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7765E3" w:rsidRDefault="00382C47">
      <w:r w:rsidRPr="007765E3">
        <w:rPr>
          <w:noProof/>
          <w:lang w:val="en-US"/>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7765E3" w:rsidRDefault="00BF25F3" w:rsidP="00BF25F3"/>
    <w:p w:rsidR="00BF25F3" w:rsidRPr="007765E3" w:rsidRDefault="00BF25F3" w:rsidP="00BF25F3"/>
    <w:p w:rsidR="00BF25F3" w:rsidRPr="007765E3" w:rsidRDefault="00BF25F3" w:rsidP="00BF25F3"/>
    <w:p w:rsidR="00BF25F3" w:rsidRPr="007765E3" w:rsidRDefault="00BF25F3" w:rsidP="00BF25F3"/>
    <w:p w:rsidR="00BF25F3" w:rsidRPr="007765E3" w:rsidRDefault="00BF25F3" w:rsidP="00BF25F3"/>
    <w:p w:rsidR="00BF25F3" w:rsidRPr="007765E3" w:rsidRDefault="00BF25F3" w:rsidP="00BF25F3"/>
    <w:p w:rsidR="00BF25F3" w:rsidRPr="007765E3" w:rsidRDefault="00BF25F3" w:rsidP="00BF25F3"/>
    <w:p w:rsidR="00BF25F3" w:rsidRPr="007765E3" w:rsidRDefault="00BF25F3" w:rsidP="00BF25F3"/>
    <w:p w:rsidR="00BF25F3" w:rsidRPr="007765E3" w:rsidRDefault="00BF25F3" w:rsidP="00BF25F3"/>
    <w:p w:rsidR="00384384" w:rsidRPr="007765E3"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7765E3" w:rsidTr="002E5576">
        <w:tc>
          <w:tcPr>
            <w:tcW w:w="4518" w:type="dxa"/>
          </w:tcPr>
          <w:p w:rsidR="00BF25F3" w:rsidRPr="007765E3" w:rsidRDefault="00BF25F3" w:rsidP="00BF25F3">
            <w:pPr>
              <w:tabs>
                <w:tab w:val="left" w:pos="6075"/>
              </w:tabs>
              <w:jc w:val="center"/>
              <w:rPr>
                <w:b/>
                <w:sz w:val="32"/>
                <w:szCs w:val="32"/>
              </w:rPr>
            </w:pPr>
            <w:r w:rsidRPr="007765E3">
              <w:rPr>
                <w:b/>
                <w:sz w:val="32"/>
                <w:szCs w:val="32"/>
              </w:rPr>
              <w:t>SUPREME COURT OF CANADA</w:t>
            </w:r>
          </w:p>
        </w:tc>
        <w:tc>
          <w:tcPr>
            <w:tcW w:w="630" w:type="dxa"/>
          </w:tcPr>
          <w:p w:rsidR="00BF25F3" w:rsidRPr="007765E3" w:rsidRDefault="00BF25F3" w:rsidP="00BF25F3">
            <w:pPr>
              <w:tabs>
                <w:tab w:val="left" w:pos="6075"/>
              </w:tabs>
              <w:jc w:val="center"/>
              <w:rPr>
                <w:sz w:val="32"/>
                <w:szCs w:val="32"/>
              </w:rPr>
            </w:pPr>
          </w:p>
        </w:tc>
        <w:tc>
          <w:tcPr>
            <w:tcW w:w="4428" w:type="dxa"/>
          </w:tcPr>
          <w:p w:rsidR="00BF25F3" w:rsidRPr="007765E3" w:rsidRDefault="00BF25F3" w:rsidP="00BF25F3">
            <w:pPr>
              <w:tabs>
                <w:tab w:val="left" w:pos="6075"/>
              </w:tabs>
              <w:jc w:val="center"/>
              <w:rPr>
                <w:b/>
                <w:sz w:val="32"/>
                <w:szCs w:val="32"/>
                <w:lang w:val="fr-CA"/>
              </w:rPr>
            </w:pPr>
            <w:r w:rsidRPr="007765E3">
              <w:rPr>
                <w:b/>
                <w:sz w:val="32"/>
                <w:szCs w:val="32"/>
                <w:lang w:val="fr-CA"/>
              </w:rPr>
              <w:t>COUR SUPRÊME DU CANADA</w:t>
            </w:r>
          </w:p>
        </w:tc>
      </w:tr>
      <w:tr w:rsidR="00BF25F3" w:rsidRPr="007765E3" w:rsidTr="002E5576">
        <w:tc>
          <w:tcPr>
            <w:tcW w:w="4518" w:type="dxa"/>
          </w:tcPr>
          <w:p w:rsidR="00BF25F3" w:rsidRPr="007765E3" w:rsidRDefault="00BF25F3" w:rsidP="00BF25F3">
            <w:pPr>
              <w:tabs>
                <w:tab w:val="left" w:pos="6075"/>
              </w:tabs>
            </w:pPr>
          </w:p>
          <w:p w:rsidR="001B5C23" w:rsidRPr="007765E3" w:rsidRDefault="001B5C23" w:rsidP="00BF25F3">
            <w:pPr>
              <w:tabs>
                <w:tab w:val="left" w:pos="6075"/>
              </w:tabs>
            </w:pPr>
          </w:p>
          <w:p w:rsidR="001B5C23" w:rsidRPr="007765E3" w:rsidRDefault="001B5C23" w:rsidP="00BF25F3">
            <w:pPr>
              <w:tabs>
                <w:tab w:val="left" w:pos="6075"/>
              </w:tabs>
            </w:pPr>
          </w:p>
        </w:tc>
        <w:tc>
          <w:tcPr>
            <w:tcW w:w="630" w:type="dxa"/>
          </w:tcPr>
          <w:p w:rsidR="00BF25F3" w:rsidRPr="007765E3" w:rsidRDefault="00BF25F3" w:rsidP="00BF25F3">
            <w:pPr>
              <w:tabs>
                <w:tab w:val="left" w:pos="6075"/>
              </w:tabs>
            </w:pPr>
          </w:p>
        </w:tc>
        <w:tc>
          <w:tcPr>
            <w:tcW w:w="4428" w:type="dxa"/>
          </w:tcPr>
          <w:p w:rsidR="00BF25F3" w:rsidRPr="007765E3" w:rsidRDefault="00BF25F3" w:rsidP="00BF25F3">
            <w:pPr>
              <w:tabs>
                <w:tab w:val="left" w:pos="6075"/>
              </w:tabs>
              <w:rPr>
                <w:lang w:val="fr-CA"/>
              </w:rPr>
            </w:pPr>
          </w:p>
        </w:tc>
      </w:tr>
      <w:tr w:rsidR="00BF25F3" w:rsidRPr="007765E3" w:rsidTr="002E5576">
        <w:tc>
          <w:tcPr>
            <w:tcW w:w="4518" w:type="dxa"/>
          </w:tcPr>
          <w:p w:rsidR="001B5C23" w:rsidRPr="007765E3" w:rsidRDefault="00BF25F3" w:rsidP="00BF25F3">
            <w:pPr>
              <w:tabs>
                <w:tab w:val="left" w:pos="6075"/>
              </w:tabs>
              <w:jc w:val="center"/>
              <w:rPr>
                <w:sz w:val="28"/>
                <w:szCs w:val="28"/>
              </w:rPr>
            </w:pPr>
            <w:r w:rsidRPr="007765E3">
              <w:rPr>
                <w:sz w:val="28"/>
                <w:szCs w:val="28"/>
              </w:rPr>
              <w:t>BULLETIN OF</w:t>
            </w:r>
          </w:p>
          <w:p w:rsidR="00BF25F3" w:rsidRPr="007765E3" w:rsidRDefault="00BF25F3" w:rsidP="00BF25F3">
            <w:pPr>
              <w:tabs>
                <w:tab w:val="left" w:pos="6075"/>
              </w:tabs>
              <w:jc w:val="center"/>
              <w:rPr>
                <w:sz w:val="28"/>
                <w:szCs w:val="28"/>
              </w:rPr>
            </w:pPr>
            <w:r w:rsidRPr="007765E3">
              <w:rPr>
                <w:sz w:val="28"/>
                <w:szCs w:val="28"/>
              </w:rPr>
              <w:t xml:space="preserve"> PROCEEDINGS</w:t>
            </w:r>
          </w:p>
        </w:tc>
        <w:tc>
          <w:tcPr>
            <w:tcW w:w="630" w:type="dxa"/>
          </w:tcPr>
          <w:p w:rsidR="00BF25F3" w:rsidRPr="007765E3" w:rsidRDefault="00BF25F3" w:rsidP="00BF25F3">
            <w:pPr>
              <w:tabs>
                <w:tab w:val="left" w:pos="6075"/>
              </w:tabs>
            </w:pPr>
          </w:p>
        </w:tc>
        <w:tc>
          <w:tcPr>
            <w:tcW w:w="4428" w:type="dxa"/>
          </w:tcPr>
          <w:p w:rsidR="001B5C23" w:rsidRPr="007765E3" w:rsidRDefault="00BF25F3" w:rsidP="00BF25F3">
            <w:pPr>
              <w:tabs>
                <w:tab w:val="left" w:pos="6075"/>
              </w:tabs>
              <w:jc w:val="center"/>
              <w:rPr>
                <w:sz w:val="28"/>
                <w:szCs w:val="28"/>
                <w:lang w:val="fr-CA"/>
              </w:rPr>
            </w:pPr>
            <w:r w:rsidRPr="007765E3">
              <w:rPr>
                <w:sz w:val="28"/>
                <w:szCs w:val="28"/>
                <w:lang w:val="fr-CA"/>
              </w:rPr>
              <w:t>BULLETIN DES</w:t>
            </w:r>
          </w:p>
          <w:p w:rsidR="00BF25F3" w:rsidRPr="007765E3" w:rsidRDefault="00BF25F3" w:rsidP="00BF25F3">
            <w:pPr>
              <w:tabs>
                <w:tab w:val="left" w:pos="6075"/>
              </w:tabs>
              <w:jc w:val="center"/>
              <w:rPr>
                <w:sz w:val="28"/>
                <w:szCs w:val="28"/>
                <w:lang w:val="fr-CA"/>
              </w:rPr>
            </w:pPr>
            <w:r w:rsidRPr="007765E3">
              <w:rPr>
                <w:sz w:val="28"/>
                <w:szCs w:val="28"/>
                <w:lang w:val="fr-CA"/>
              </w:rPr>
              <w:t xml:space="preserve"> PROCÉDURES</w:t>
            </w:r>
          </w:p>
        </w:tc>
      </w:tr>
      <w:tr w:rsidR="00BF25F3" w:rsidRPr="007765E3" w:rsidTr="002E5576">
        <w:tc>
          <w:tcPr>
            <w:tcW w:w="4518" w:type="dxa"/>
          </w:tcPr>
          <w:p w:rsidR="00BF25F3" w:rsidRPr="007765E3" w:rsidRDefault="00BF25F3" w:rsidP="00BF25F3">
            <w:pPr>
              <w:tabs>
                <w:tab w:val="left" w:pos="6075"/>
              </w:tabs>
            </w:pPr>
          </w:p>
          <w:p w:rsidR="001B5C23" w:rsidRPr="007765E3" w:rsidRDefault="001B5C23" w:rsidP="00BF25F3">
            <w:pPr>
              <w:tabs>
                <w:tab w:val="left" w:pos="6075"/>
              </w:tabs>
            </w:pPr>
          </w:p>
        </w:tc>
        <w:tc>
          <w:tcPr>
            <w:tcW w:w="630" w:type="dxa"/>
          </w:tcPr>
          <w:p w:rsidR="00BF25F3" w:rsidRPr="007765E3" w:rsidRDefault="00BF25F3" w:rsidP="00BF25F3">
            <w:pPr>
              <w:tabs>
                <w:tab w:val="left" w:pos="6075"/>
              </w:tabs>
            </w:pPr>
          </w:p>
        </w:tc>
        <w:tc>
          <w:tcPr>
            <w:tcW w:w="4428" w:type="dxa"/>
          </w:tcPr>
          <w:p w:rsidR="00BF25F3" w:rsidRPr="007765E3" w:rsidRDefault="00BF25F3" w:rsidP="00BF25F3">
            <w:pPr>
              <w:tabs>
                <w:tab w:val="left" w:pos="6075"/>
              </w:tabs>
              <w:rPr>
                <w:lang w:val="fr-CA"/>
              </w:rPr>
            </w:pPr>
          </w:p>
        </w:tc>
      </w:tr>
      <w:tr w:rsidR="00BF25F3" w:rsidRPr="007765E3" w:rsidTr="002E5576">
        <w:tc>
          <w:tcPr>
            <w:tcW w:w="4518" w:type="dxa"/>
          </w:tcPr>
          <w:p w:rsidR="00BF25F3" w:rsidRPr="007765E3" w:rsidRDefault="00BF25F3" w:rsidP="00BF25F3">
            <w:pPr>
              <w:tabs>
                <w:tab w:val="left" w:pos="6075"/>
              </w:tabs>
              <w:jc w:val="both"/>
              <w:rPr>
                <w:rFonts w:ascii="Arial" w:hAnsi="Arial" w:cs="Arial"/>
                <w:i/>
                <w:sz w:val="20"/>
                <w:szCs w:val="20"/>
              </w:rPr>
            </w:pPr>
            <w:r w:rsidRPr="007765E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765E3" w:rsidRDefault="00BF25F3" w:rsidP="00BF25F3">
            <w:pPr>
              <w:tabs>
                <w:tab w:val="left" w:pos="6075"/>
              </w:tabs>
              <w:jc w:val="both"/>
              <w:rPr>
                <w:rFonts w:ascii="Arial" w:hAnsi="Arial" w:cs="Arial"/>
                <w:i/>
                <w:sz w:val="20"/>
                <w:szCs w:val="20"/>
              </w:rPr>
            </w:pPr>
          </w:p>
        </w:tc>
        <w:tc>
          <w:tcPr>
            <w:tcW w:w="4428" w:type="dxa"/>
          </w:tcPr>
          <w:p w:rsidR="00BF25F3" w:rsidRPr="007765E3" w:rsidRDefault="00BF25F3" w:rsidP="00BF25F3">
            <w:pPr>
              <w:tabs>
                <w:tab w:val="left" w:pos="6075"/>
              </w:tabs>
              <w:jc w:val="both"/>
              <w:rPr>
                <w:rFonts w:ascii="Arial" w:hAnsi="Arial" w:cs="Arial"/>
                <w:i/>
                <w:sz w:val="20"/>
                <w:szCs w:val="20"/>
                <w:lang w:val="fr-CA"/>
              </w:rPr>
            </w:pPr>
            <w:r w:rsidRPr="007765E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765E3" w:rsidTr="002E5576">
        <w:tc>
          <w:tcPr>
            <w:tcW w:w="4518" w:type="dxa"/>
          </w:tcPr>
          <w:p w:rsidR="00BF25F3" w:rsidRPr="007765E3" w:rsidRDefault="00BF25F3" w:rsidP="00BF25F3">
            <w:pPr>
              <w:tabs>
                <w:tab w:val="left" w:pos="6075"/>
              </w:tabs>
              <w:rPr>
                <w:lang w:val="fr-CA"/>
              </w:rPr>
            </w:pPr>
          </w:p>
          <w:p w:rsidR="00D862C1" w:rsidRPr="007765E3" w:rsidRDefault="00D862C1" w:rsidP="00BF25F3">
            <w:pPr>
              <w:tabs>
                <w:tab w:val="left" w:pos="6075"/>
              </w:tabs>
              <w:rPr>
                <w:lang w:val="fr-CA"/>
              </w:rPr>
            </w:pPr>
          </w:p>
        </w:tc>
        <w:tc>
          <w:tcPr>
            <w:tcW w:w="630" w:type="dxa"/>
          </w:tcPr>
          <w:p w:rsidR="00BF25F3" w:rsidRPr="007765E3" w:rsidRDefault="00BF25F3" w:rsidP="00BF25F3">
            <w:pPr>
              <w:tabs>
                <w:tab w:val="left" w:pos="6075"/>
              </w:tabs>
              <w:rPr>
                <w:lang w:val="fr-CA"/>
              </w:rPr>
            </w:pPr>
          </w:p>
        </w:tc>
        <w:tc>
          <w:tcPr>
            <w:tcW w:w="4428" w:type="dxa"/>
          </w:tcPr>
          <w:p w:rsidR="00BF25F3" w:rsidRPr="007765E3" w:rsidRDefault="00BF25F3" w:rsidP="00BF25F3">
            <w:pPr>
              <w:tabs>
                <w:tab w:val="left" w:pos="6075"/>
              </w:tabs>
              <w:rPr>
                <w:lang w:val="fr-CA"/>
              </w:rPr>
            </w:pPr>
          </w:p>
        </w:tc>
      </w:tr>
      <w:tr w:rsidR="00BF25F3" w:rsidRPr="007765E3" w:rsidTr="002E5576">
        <w:tc>
          <w:tcPr>
            <w:tcW w:w="4518" w:type="dxa"/>
          </w:tcPr>
          <w:p w:rsidR="00BF25F3" w:rsidRPr="007765E3" w:rsidRDefault="00BF25F3" w:rsidP="009F3024">
            <w:pPr>
              <w:tabs>
                <w:tab w:val="left" w:pos="6075"/>
              </w:tabs>
              <w:jc w:val="both"/>
              <w:rPr>
                <w:rFonts w:ascii="Arial" w:hAnsi="Arial" w:cs="Arial"/>
                <w:i/>
                <w:sz w:val="20"/>
                <w:szCs w:val="20"/>
              </w:rPr>
            </w:pPr>
            <w:r w:rsidRPr="007765E3">
              <w:rPr>
                <w:rFonts w:ascii="Arial" w:hAnsi="Arial" w:cs="Arial"/>
                <w:i/>
                <w:sz w:val="20"/>
                <w:szCs w:val="20"/>
              </w:rPr>
              <w:t xml:space="preserve">During Court sessions </w:t>
            </w:r>
            <w:r w:rsidR="009F3024" w:rsidRPr="007765E3">
              <w:rPr>
                <w:rFonts w:ascii="Arial" w:hAnsi="Arial" w:cs="Arial"/>
                <w:i/>
                <w:sz w:val="20"/>
                <w:szCs w:val="20"/>
              </w:rPr>
              <w:t xml:space="preserve">the Bulletin </w:t>
            </w:r>
            <w:r w:rsidRPr="007765E3">
              <w:rPr>
                <w:rFonts w:ascii="Arial" w:hAnsi="Arial" w:cs="Arial"/>
                <w:i/>
                <w:sz w:val="20"/>
                <w:szCs w:val="20"/>
              </w:rPr>
              <w:t>is usually issued weekly.</w:t>
            </w:r>
          </w:p>
        </w:tc>
        <w:tc>
          <w:tcPr>
            <w:tcW w:w="630" w:type="dxa"/>
          </w:tcPr>
          <w:p w:rsidR="00BF25F3" w:rsidRPr="007765E3" w:rsidRDefault="00BF25F3" w:rsidP="00BF25F3">
            <w:pPr>
              <w:tabs>
                <w:tab w:val="left" w:pos="6075"/>
              </w:tabs>
              <w:jc w:val="both"/>
              <w:rPr>
                <w:rFonts w:ascii="Arial" w:hAnsi="Arial" w:cs="Arial"/>
                <w:i/>
                <w:sz w:val="20"/>
                <w:szCs w:val="20"/>
              </w:rPr>
            </w:pPr>
          </w:p>
        </w:tc>
        <w:tc>
          <w:tcPr>
            <w:tcW w:w="4428" w:type="dxa"/>
          </w:tcPr>
          <w:p w:rsidR="00BF25F3" w:rsidRPr="007765E3" w:rsidRDefault="00BF25F3" w:rsidP="00BF25F3">
            <w:pPr>
              <w:tabs>
                <w:tab w:val="left" w:pos="6075"/>
              </w:tabs>
              <w:jc w:val="both"/>
              <w:rPr>
                <w:rFonts w:ascii="Arial" w:hAnsi="Arial" w:cs="Arial"/>
                <w:i/>
                <w:sz w:val="20"/>
                <w:szCs w:val="20"/>
                <w:lang w:val="fr-CA"/>
              </w:rPr>
            </w:pPr>
            <w:r w:rsidRPr="007765E3">
              <w:rPr>
                <w:rFonts w:ascii="Arial" w:hAnsi="Arial" w:cs="Arial"/>
                <w:i/>
                <w:sz w:val="20"/>
                <w:szCs w:val="20"/>
                <w:lang w:val="fr-CA"/>
              </w:rPr>
              <w:t>Le Bulletin paraît en principe toutes les semaines pendant les sessions de la Cour.</w:t>
            </w:r>
          </w:p>
        </w:tc>
      </w:tr>
      <w:tr w:rsidR="00BF25F3" w:rsidRPr="007765E3" w:rsidTr="002E5576">
        <w:tc>
          <w:tcPr>
            <w:tcW w:w="4518" w:type="dxa"/>
          </w:tcPr>
          <w:p w:rsidR="00BF25F3" w:rsidRPr="007765E3" w:rsidRDefault="00BF25F3" w:rsidP="00BF25F3">
            <w:pPr>
              <w:tabs>
                <w:tab w:val="left" w:pos="6075"/>
              </w:tabs>
              <w:rPr>
                <w:lang w:val="fr-CA"/>
              </w:rPr>
            </w:pPr>
          </w:p>
          <w:p w:rsidR="00D862C1" w:rsidRPr="007765E3" w:rsidRDefault="00D862C1" w:rsidP="00BF25F3">
            <w:pPr>
              <w:tabs>
                <w:tab w:val="left" w:pos="6075"/>
              </w:tabs>
              <w:rPr>
                <w:lang w:val="fr-CA"/>
              </w:rPr>
            </w:pPr>
          </w:p>
        </w:tc>
        <w:tc>
          <w:tcPr>
            <w:tcW w:w="630" w:type="dxa"/>
          </w:tcPr>
          <w:p w:rsidR="00BF25F3" w:rsidRPr="007765E3" w:rsidRDefault="00BF25F3" w:rsidP="00BF25F3">
            <w:pPr>
              <w:tabs>
                <w:tab w:val="left" w:pos="6075"/>
              </w:tabs>
              <w:rPr>
                <w:lang w:val="fr-CA"/>
              </w:rPr>
            </w:pPr>
          </w:p>
        </w:tc>
        <w:tc>
          <w:tcPr>
            <w:tcW w:w="4428" w:type="dxa"/>
          </w:tcPr>
          <w:p w:rsidR="00BF25F3" w:rsidRPr="007765E3" w:rsidRDefault="00BF25F3" w:rsidP="00BF25F3">
            <w:pPr>
              <w:tabs>
                <w:tab w:val="left" w:pos="6075"/>
              </w:tabs>
              <w:rPr>
                <w:lang w:val="fr-CA"/>
              </w:rPr>
            </w:pPr>
          </w:p>
        </w:tc>
      </w:tr>
      <w:tr w:rsidR="00BF25F3" w:rsidRPr="007765E3" w:rsidTr="002E5576">
        <w:tc>
          <w:tcPr>
            <w:tcW w:w="4518" w:type="dxa"/>
          </w:tcPr>
          <w:p w:rsidR="00BF25F3" w:rsidRPr="007765E3" w:rsidRDefault="000E27A5" w:rsidP="00BF25F3">
            <w:pPr>
              <w:tabs>
                <w:tab w:val="left" w:pos="6075"/>
              </w:tabs>
              <w:jc w:val="both"/>
              <w:rPr>
                <w:rFonts w:ascii="Arial" w:hAnsi="Arial" w:cs="Arial"/>
                <w:i/>
                <w:sz w:val="20"/>
                <w:szCs w:val="20"/>
              </w:rPr>
            </w:pPr>
            <w:r w:rsidRPr="007765E3">
              <w:rPr>
                <w:rFonts w:ascii="Arial" w:hAnsi="Arial" w:cs="Arial"/>
                <w:i/>
                <w:sz w:val="20"/>
                <w:szCs w:val="20"/>
              </w:rPr>
              <w:fldChar w:fldCharType="begin"/>
            </w:r>
            <w:r w:rsidR="00BF25F3" w:rsidRPr="007765E3">
              <w:rPr>
                <w:rFonts w:ascii="Arial" w:hAnsi="Arial" w:cs="Arial"/>
                <w:i/>
                <w:sz w:val="20"/>
                <w:szCs w:val="20"/>
              </w:rPr>
              <w:instrText xml:space="preserve"> SEQ CHAPTER \h \r 1</w:instrText>
            </w:r>
            <w:r w:rsidRPr="007765E3">
              <w:rPr>
                <w:rFonts w:ascii="Arial" w:hAnsi="Arial" w:cs="Arial"/>
                <w:i/>
                <w:sz w:val="20"/>
                <w:szCs w:val="20"/>
              </w:rPr>
              <w:fldChar w:fldCharType="end"/>
            </w:r>
            <w:r w:rsidR="00BF25F3" w:rsidRPr="007765E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765E3" w:rsidRDefault="00BF25F3" w:rsidP="00BF25F3">
            <w:pPr>
              <w:tabs>
                <w:tab w:val="left" w:pos="6075"/>
              </w:tabs>
              <w:jc w:val="both"/>
              <w:rPr>
                <w:rFonts w:ascii="Arial" w:hAnsi="Arial" w:cs="Arial"/>
                <w:i/>
                <w:sz w:val="20"/>
                <w:szCs w:val="20"/>
              </w:rPr>
            </w:pPr>
          </w:p>
        </w:tc>
        <w:tc>
          <w:tcPr>
            <w:tcW w:w="4428" w:type="dxa"/>
          </w:tcPr>
          <w:p w:rsidR="00BF25F3" w:rsidRPr="007765E3" w:rsidRDefault="000E27A5" w:rsidP="00BF25F3">
            <w:pPr>
              <w:tabs>
                <w:tab w:val="left" w:pos="6075"/>
              </w:tabs>
              <w:jc w:val="both"/>
              <w:rPr>
                <w:rFonts w:ascii="Arial" w:hAnsi="Arial" w:cs="Arial"/>
                <w:i/>
                <w:sz w:val="20"/>
                <w:szCs w:val="20"/>
                <w:lang w:val="fr-CA"/>
              </w:rPr>
            </w:pPr>
            <w:r w:rsidRPr="007765E3">
              <w:rPr>
                <w:rFonts w:ascii="Arial" w:hAnsi="Arial" w:cs="Arial"/>
                <w:i/>
                <w:sz w:val="20"/>
                <w:szCs w:val="20"/>
                <w:lang w:val="fr-CA"/>
              </w:rPr>
              <w:fldChar w:fldCharType="begin"/>
            </w:r>
            <w:r w:rsidR="00BF25F3" w:rsidRPr="007765E3">
              <w:rPr>
                <w:rFonts w:ascii="Arial" w:hAnsi="Arial" w:cs="Arial"/>
                <w:i/>
                <w:sz w:val="20"/>
                <w:szCs w:val="20"/>
                <w:lang w:val="fr-CA"/>
              </w:rPr>
              <w:instrText xml:space="preserve"> SEQ CHAPTER \h \r 1</w:instrText>
            </w:r>
            <w:r w:rsidRPr="007765E3">
              <w:rPr>
                <w:rFonts w:ascii="Arial" w:hAnsi="Arial" w:cs="Arial"/>
                <w:i/>
                <w:sz w:val="20"/>
                <w:szCs w:val="20"/>
                <w:lang w:val="fr-CA"/>
              </w:rPr>
              <w:fldChar w:fldCharType="end"/>
            </w:r>
            <w:r w:rsidR="00BF25F3" w:rsidRPr="007765E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765E3" w:rsidTr="002E5576">
        <w:tc>
          <w:tcPr>
            <w:tcW w:w="4518" w:type="dxa"/>
          </w:tcPr>
          <w:p w:rsidR="009F3024" w:rsidRPr="007765E3" w:rsidRDefault="009F3024" w:rsidP="009F3024">
            <w:pPr>
              <w:tabs>
                <w:tab w:val="left" w:pos="6075"/>
              </w:tabs>
              <w:rPr>
                <w:rFonts w:cs="Times New Roman"/>
                <w:szCs w:val="24"/>
                <w:lang w:val="fr-CA"/>
              </w:rPr>
            </w:pPr>
          </w:p>
          <w:p w:rsidR="009F3024" w:rsidRPr="007765E3" w:rsidRDefault="009F3024" w:rsidP="009F3024">
            <w:pPr>
              <w:tabs>
                <w:tab w:val="left" w:pos="6075"/>
              </w:tabs>
              <w:rPr>
                <w:rFonts w:cs="Times New Roman"/>
                <w:szCs w:val="24"/>
                <w:lang w:val="fr-CA"/>
              </w:rPr>
            </w:pPr>
          </w:p>
        </w:tc>
        <w:tc>
          <w:tcPr>
            <w:tcW w:w="630" w:type="dxa"/>
          </w:tcPr>
          <w:p w:rsidR="009F3024" w:rsidRPr="007765E3" w:rsidRDefault="009F3024" w:rsidP="009F3024">
            <w:pPr>
              <w:tabs>
                <w:tab w:val="left" w:pos="6075"/>
              </w:tabs>
              <w:rPr>
                <w:rFonts w:cs="Times New Roman"/>
                <w:szCs w:val="24"/>
                <w:lang w:val="fr-CA"/>
              </w:rPr>
            </w:pPr>
          </w:p>
        </w:tc>
        <w:tc>
          <w:tcPr>
            <w:tcW w:w="4428" w:type="dxa"/>
          </w:tcPr>
          <w:p w:rsidR="009F3024" w:rsidRPr="007765E3" w:rsidRDefault="009F3024" w:rsidP="009F3024">
            <w:pPr>
              <w:tabs>
                <w:tab w:val="left" w:pos="6075"/>
              </w:tabs>
              <w:rPr>
                <w:rFonts w:cs="Times New Roman"/>
                <w:szCs w:val="24"/>
                <w:lang w:val="fr-CA"/>
              </w:rPr>
            </w:pPr>
          </w:p>
        </w:tc>
      </w:tr>
      <w:tr w:rsidR="009F3024" w:rsidRPr="007765E3" w:rsidTr="002E5576">
        <w:tc>
          <w:tcPr>
            <w:tcW w:w="4518" w:type="dxa"/>
          </w:tcPr>
          <w:p w:rsidR="009F3024" w:rsidRPr="007765E3" w:rsidRDefault="009F3024" w:rsidP="00E414CA">
            <w:pPr>
              <w:tabs>
                <w:tab w:val="left" w:pos="6075"/>
              </w:tabs>
              <w:jc w:val="both"/>
              <w:rPr>
                <w:rFonts w:ascii="Arial" w:hAnsi="Arial" w:cs="Arial"/>
                <w:i/>
                <w:sz w:val="20"/>
                <w:szCs w:val="20"/>
              </w:rPr>
            </w:pPr>
            <w:r w:rsidRPr="007765E3">
              <w:rPr>
                <w:rFonts w:ascii="Arial" w:hAnsi="Arial" w:cs="Arial"/>
                <w:i/>
                <w:sz w:val="20"/>
                <w:szCs w:val="20"/>
              </w:rPr>
              <w:t xml:space="preserve">Consult the Supreme Court of Canada website at </w:t>
            </w:r>
            <w:hyperlink r:id="rId8" w:history="1">
              <w:r w:rsidR="00E414CA" w:rsidRPr="007765E3">
                <w:rPr>
                  <w:rStyle w:val="Hyperlink"/>
                  <w:rFonts w:ascii="Arial" w:hAnsi="Arial" w:cs="Arial"/>
                  <w:i/>
                  <w:sz w:val="20"/>
                  <w:szCs w:val="20"/>
                </w:rPr>
                <w:t>www.scc-csc.ca</w:t>
              </w:r>
            </w:hyperlink>
            <w:r w:rsidRPr="007765E3">
              <w:rPr>
                <w:rFonts w:ascii="Arial" w:hAnsi="Arial" w:cs="Arial"/>
                <w:i/>
                <w:sz w:val="20"/>
                <w:szCs w:val="20"/>
              </w:rPr>
              <w:t xml:space="preserve"> for more information.</w:t>
            </w:r>
          </w:p>
        </w:tc>
        <w:tc>
          <w:tcPr>
            <w:tcW w:w="630" w:type="dxa"/>
          </w:tcPr>
          <w:p w:rsidR="009F3024" w:rsidRPr="007765E3" w:rsidRDefault="009F3024" w:rsidP="00BF25F3">
            <w:pPr>
              <w:tabs>
                <w:tab w:val="left" w:pos="6075"/>
              </w:tabs>
              <w:jc w:val="both"/>
              <w:rPr>
                <w:rFonts w:ascii="Arial" w:hAnsi="Arial" w:cs="Arial"/>
                <w:i/>
                <w:sz w:val="20"/>
                <w:szCs w:val="20"/>
              </w:rPr>
            </w:pPr>
          </w:p>
        </w:tc>
        <w:tc>
          <w:tcPr>
            <w:tcW w:w="4428" w:type="dxa"/>
          </w:tcPr>
          <w:p w:rsidR="009F3024" w:rsidRPr="007765E3" w:rsidRDefault="009F3024" w:rsidP="00E414CA">
            <w:pPr>
              <w:tabs>
                <w:tab w:val="left" w:pos="6075"/>
              </w:tabs>
              <w:jc w:val="both"/>
              <w:rPr>
                <w:rFonts w:ascii="Arial" w:hAnsi="Arial" w:cs="Arial"/>
                <w:i/>
                <w:sz w:val="20"/>
                <w:szCs w:val="20"/>
                <w:lang w:val="fr-CA"/>
              </w:rPr>
            </w:pPr>
            <w:r w:rsidRPr="007765E3">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7765E3">
                <w:rPr>
                  <w:rStyle w:val="Hyperlink"/>
                  <w:rFonts w:ascii="Arial" w:hAnsi="Arial" w:cs="Arial"/>
                  <w:i/>
                  <w:sz w:val="20"/>
                  <w:szCs w:val="20"/>
                  <w:lang w:val="fr-CA"/>
                </w:rPr>
                <w:t>www.scc-csc.ca</w:t>
              </w:r>
            </w:hyperlink>
            <w:r w:rsidRPr="007765E3">
              <w:rPr>
                <w:rFonts w:ascii="Arial" w:hAnsi="Arial" w:cs="Arial"/>
                <w:i/>
                <w:sz w:val="20"/>
                <w:szCs w:val="20"/>
                <w:lang w:val="fr-CA"/>
              </w:rPr>
              <w:t xml:space="preserve"> </w:t>
            </w:r>
          </w:p>
        </w:tc>
      </w:tr>
    </w:tbl>
    <w:p w:rsidR="00BF25F3" w:rsidRPr="007765E3" w:rsidRDefault="00BF25F3" w:rsidP="00BF25F3">
      <w:pPr>
        <w:tabs>
          <w:tab w:val="left" w:pos="6075"/>
        </w:tabs>
        <w:rPr>
          <w:lang w:val="fr-CA"/>
        </w:rPr>
      </w:pPr>
    </w:p>
    <w:p w:rsidR="00440E24" w:rsidRPr="007765E3" w:rsidRDefault="00440E24" w:rsidP="00440E24">
      <w:pPr>
        <w:pBdr>
          <w:bottom w:val="single" w:sz="6" w:space="1" w:color="auto"/>
        </w:pBdr>
        <w:tabs>
          <w:tab w:val="left" w:pos="6075"/>
        </w:tabs>
        <w:rPr>
          <w:lang w:val="fr-CA"/>
        </w:rPr>
      </w:pPr>
    </w:p>
    <w:p w:rsidR="00440E24" w:rsidRPr="007765E3" w:rsidRDefault="00440E24" w:rsidP="00440E24">
      <w:pPr>
        <w:rPr>
          <w:lang w:val="fr-CA"/>
        </w:rPr>
      </w:pPr>
    </w:p>
    <w:p w:rsidR="00600252" w:rsidRPr="007765E3" w:rsidRDefault="00A016F3" w:rsidP="00F0068D">
      <w:pPr>
        <w:pBdr>
          <w:bottom w:val="single" w:sz="6" w:space="1" w:color="auto"/>
        </w:pBdr>
        <w:tabs>
          <w:tab w:val="center" w:pos="4680"/>
          <w:tab w:val="right" w:pos="9360"/>
        </w:tabs>
        <w:rPr>
          <w:lang w:val="fr-CA"/>
        </w:rPr>
      </w:pPr>
      <w:proofErr w:type="spellStart"/>
      <w:r w:rsidRPr="007765E3">
        <w:rPr>
          <w:lang w:val="fr-CA"/>
        </w:rPr>
        <w:t>October</w:t>
      </w:r>
      <w:proofErr w:type="spellEnd"/>
      <w:r w:rsidRPr="007765E3">
        <w:rPr>
          <w:lang w:val="fr-CA"/>
        </w:rPr>
        <w:t xml:space="preserve"> 14</w:t>
      </w:r>
      <w:r w:rsidR="00440E24" w:rsidRPr="007765E3">
        <w:rPr>
          <w:lang w:val="fr-CA"/>
        </w:rPr>
        <w:t>, 201</w:t>
      </w:r>
      <w:r w:rsidR="0030050B" w:rsidRPr="007765E3">
        <w:rPr>
          <w:lang w:val="fr-CA"/>
        </w:rPr>
        <w:t>6</w:t>
      </w:r>
      <w:r w:rsidR="00F0068D" w:rsidRPr="007765E3">
        <w:rPr>
          <w:lang w:val="fr-CA"/>
        </w:rPr>
        <w:tab/>
      </w:r>
      <w:r w:rsidRPr="007765E3">
        <w:rPr>
          <w:lang w:val="fr-CA"/>
        </w:rPr>
        <w:t>1414</w:t>
      </w:r>
      <w:r w:rsidR="00F0068D" w:rsidRPr="007765E3">
        <w:rPr>
          <w:lang w:val="fr-CA"/>
        </w:rPr>
        <w:t xml:space="preserve"> - </w:t>
      </w:r>
      <w:r w:rsidR="0014222C" w:rsidRPr="007765E3">
        <w:rPr>
          <w:lang w:val="fr-CA"/>
        </w:rPr>
        <w:t>1453</w:t>
      </w:r>
      <w:r w:rsidR="00440E24" w:rsidRPr="007765E3">
        <w:rPr>
          <w:lang w:val="fr-CA"/>
        </w:rPr>
        <w:tab/>
        <w:t>Le</w:t>
      </w:r>
      <w:r w:rsidR="00C73D06" w:rsidRPr="007765E3">
        <w:rPr>
          <w:lang w:val="fr-CA"/>
        </w:rPr>
        <w:t xml:space="preserve"> </w:t>
      </w:r>
      <w:r w:rsidRPr="007765E3">
        <w:rPr>
          <w:lang w:val="fr-CA"/>
        </w:rPr>
        <w:t>14 octobre</w:t>
      </w:r>
      <w:r w:rsidR="00440E24" w:rsidRPr="007765E3">
        <w:rPr>
          <w:lang w:val="fr-CA"/>
        </w:rPr>
        <w:t xml:space="preserve"> 201</w:t>
      </w:r>
      <w:r w:rsidR="0030050B" w:rsidRPr="007765E3">
        <w:rPr>
          <w:lang w:val="fr-CA"/>
        </w:rPr>
        <w:t>6</w:t>
      </w:r>
    </w:p>
    <w:p w:rsidR="00440E24" w:rsidRPr="007765E3" w:rsidRDefault="00440E24" w:rsidP="00440E24">
      <w:pPr>
        <w:pBdr>
          <w:bottom w:val="single" w:sz="6" w:space="1" w:color="auto"/>
        </w:pBdr>
        <w:tabs>
          <w:tab w:val="right" w:pos="9360"/>
        </w:tabs>
        <w:rPr>
          <w:lang w:val="fr-CA"/>
        </w:rPr>
      </w:pPr>
    </w:p>
    <w:p w:rsidR="00440E24" w:rsidRPr="007765E3" w:rsidRDefault="00440E24" w:rsidP="00440E24">
      <w:pPr>
        <w:pBdr>
          <w:bottom w:val="single" w:sz="6" w:space="1" w:color="auto"/>
        </w:pBdr>
        <w:tabs>
          <w:tab w:val="right" w:pos="9360"/>
        </w:tabs>
        <w:rPr>
          <w:sz w:val="18"/>
          <w:szCs w:val="18"/>
          <w:lang w:val="fr-CA"/>
        </w:rPr>
      </w:pPr>
      <w:r w:rsidRPr="007765E3">
        <w:rPr>
          <w:sz w:val="18"/>
          <w:szCs w:val="18"/>
          <w:lang w:val="fr-CA"/>
        </w:rPr>
        <w:t xml:space="preserve">© </w:t>
      </w:r>
      <w:proofErr w:type="spellStart"/>
      <w:r w:rsidRPr="007765E3">
        <w:rPr>
          <w:sz w:val="18"/>
          <w:szCs w:val="18"/>
          <w:lang w:val="fr-CA"/>
        </w:rPr>
        <w:t>Supreme</w:t>
      </w:r>
      <w:proofErr w:type="spellEnd"/>
      <w:r w:rsidRPr="007765E3">
        <w:rPr>
          <w:sz w:val="18"/>
          <w:szCs w:val="18"/>
          <w:lang w:val="fr-CA"/>
        </w:rPr>
        <w:t xml:space="preserve"> Court of Canada (</w:t>
      </w:r>
      <w:r w:rsidR="0030050B" w:rsidRPr="007765E3">
        <w:rPr>
          <w:sz w:val="18"/>
          <w:szCs w:val="18"/>
          <w:lang w:val="fr-CA"/>
        </w:rPr>
        <w:t>2016</w:t>
      </w:r>
      <w:r w:rsidRPr="007765E3">
        <w:rPr>
          <w:sz w:val="18"/>
          <w:szCs w:val="18"/>
          <w:lang w:val="fr-CA"/>
        </w:rPr>
        <w:t>)</w:t>
      </w:r>
      <w:r w:rsidRPr="007765E3">
        <w:rPr>
          <w:sz w:val="18"/>
          <w:szCs w:val="18"/>
          <w:lang w:val="fr-CA"/>
        </w:rPr>
        <w:tab/>
        <w:t>© Cour suprême du Canada (</w:t>
      </w:r>
      <w:r w:rsidR="0030050B" w:rsidRPr="007765E3">
        <w:rPr>
          <w:sz w:val="18"/>
          <w:szCs w:val="18"/>
          <w:lang w:val="fr-CA"/>
        </w:rPr>
        <w:t>2016</w:t>
      </w:r>
      <w:r w:rsidRPr="007765E3">
        <w:rPr>
          <w:sz w:val="18"/>
          <w:szCs w:val="18"/>
          <w:lang w:val="fr-CA"/>
        </w:rPr>
        <w:t>)</w:t>
      </w:r>
    </w:p>
    <w:p w:rsidR="00440E24" w:rsidRPr="007765E3" w:rsidRDefault="00440E24" w:rsidP="00440E24">
      <w:pPr>
        <w:pBdr>
          <w:bottom w:val="single" w:sz="6" w:space="1" w:color="auto"/>
        </w:pBdr>
        <w:tabs>
          <w:tab w:val="right" w:pos="9360"/>
        </w:tabs>
        <w:rPr>
          <w:sz w:val="18"/>
          <w:szCs w:val="18"/>
          <w:lang w:val="fr-CA"/>
        </w:rPr>
      </w:pPr>
      <w:r w:rsidRPr="007765E3">
        <w:rPr>
          <w:sz w:val="18"/>
          <w:szCs w:val="18"/>
          <w:lang w:val="fr-CA"/>
        </w:rPr>
        <w:t>ISSN 1918-8358 (Online)</w:t>
      </w:r>
      <w:r w:rsidRPr="007765E3">
        <w:rPr>
          <w:sz w:val="18"/>
          <w:szCs w:val="18"/>
          <w:lang w:val="fr-CA"/>
        </w:rPr>
        <w:tab/>
        <w:t>ISSN 1918-8358 (En ligne)</w:t>
      </w:r>
    </w:p>
    <w:p w:rsidR="00600252" w:rsidRPr="007765E3" w:rsidRDefault="00600252" w:rsidP="00BF25F3">
      <w:pPr>
        <w:pBdr>
          <w:bottom w:val="single" w:sz="6" w:space="1" w:color="auto"/>
        </w:pBdr>
        <w:tabs>
          <w:tab w:val="left" w:pos="6075"/>
        </w:tabs>
        <w:rPr>
          <w:lang w:val="fr-CA"/>
        </w:rPr>
      </w:pPr>
    </w:p>
    <w:p w:rsidR="0030050B" w:rsidRPr="007765E3"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7765E3" w:rsidTr="00245129">
        <w:tc>
          <w:tcPr>
            <w:tcW w:w="4290" w:type="dxa"/>
            <w:shd w:val="clear" w:color="auto" w:fill="auto"/>
            <w:tcMar>
              <w:left w:w="0" w:type="dxa"/>
              <w:right w:w="0" w:type="dxa"/>
            </w:tcMar>
          </w:tcPr>
          <w:p w:rsidR="00245129" w:rsidRPr="007765E3" w:rsidRDefault="00245129" w:rsidP="00245129">
            <w:pPr>
              <w:jc w:val="both"/>
              <w:rPr>
                <w:rFonts w:eastAsia="Times New Roman" w:cs="Times New Roman"/>
                <w:b/>
                <w:sz w:val="20"/>
                <w:szCs w:val="20"/>
                <w:lang w:eastAsia="en-CA"/>
              </w:rPr>
            </w:pPr>
            <w:r w:rsidRPr="007765E3">
              <w:rPr>
                <w:b/>
              </w:rPr>
              <w:lastRenderedPageBreak/>
              <w:t>CONTENTS</w:t>
            </w:r>
          </w:p>
        </w:tc>
        <w:tc>
          <w:tcPr>
            <w:tcW w:w="1200" w:type="dxa"/>
            <w:shd w:val="clear" w:color="auto" w:fill="auto"/>
            <w:tcMar>
              <w:left w:w="0" w:type="dxa"/>
              <w:right w:w="0" w:type="dxa"/>
            </w:tcMar>
          </w:tcPr>
          <w:p w:rsidR="00245129" w:rsidRPr="007765E3" w:rsidRDefault="00245129" w:rsidP="00245129">
            <w:pPr>
              <w:jc w:val="center"/>
              <w:rPr>
                <w:rFonts w:eastAsia="Times New Roman" w:cs="Times New Roman"/>
                <w:b/>
                <w:sz w:val="20"/>
                <w:szCs w:val="20"/>
                <w:lang w:eastAsia="en-CA"/>
              </w:rPr>
            </w:pPr>
          </w:p>
          <w:p w:rsidR="00245129" w:rsidRPr="007765E3"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7765E3" w:rsidRDefault="00245129" w:rsidP="00245129">
            <w:pPr>
              <w:rPr>
                <w:rFonts w:eastAsia="Times New Roman" w:cs="Times New Roman"/>
                <w:b/>
                <w:sz w:val="20"/>
                <w:szCs w:val="20"/>
                <w:lang w:val="fr-CA" w:eastAsia="en-CA"/>
              </w:rPr>
            </w:pPr>
            <w:r w:rsidRPr="007765E3">
              <w:rPr>
                <w:b/>
                <w:lang w:val="fr-CA"/>
              </w:rPr>
              <w:t>TABLE DES MATIÈRES</w:t>
            </w:r>
          </w:p>
        </w:tc>
      </w:tr>
    </w:tbl>
    <w:p w:rsidR="0095096B" w:rsidRPr="007765E3"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765E3" w:rsidTr="00164E6D">
        <w:tc>
          <w:tcPr>
            <w:tcW w:w="3708" w:type="dxa"/>
          </w:tcPr>
          <w:p w:rsidR="0095096B" w:rsidRPr="007765E3" w:rsidRDefault="0095096B" w:rsidP="0095096B">
            <w:pPr>
              <w:tabs>
                <w:tab w:val="right" w:pos="9360"/>
              </w:tabs>
              <w:rPr>
                <w:rFonts w:cs="Times New Roman"/>
                <w:sz w:val="20"/>
                <w:szCs w:val="20"/>
              </w:rPr>
            </w:pPr>
            <w:r w:rsidRPr="007765E3">
              <w:rPr>
                <w:rFonts w:cs="Times New Roman"/>
                <w:sz w:val="20"/>
                <w:szCs w:val="20"/>
              </w:rPr>
              <w:t xml:space="preserve">Applications for leave to appeal </w:t>
            </w:r>
          </w:p>
          <w:p w:rsidR="0095096B" w:rsidRPr="007765E3" w:rsidRDefault="0095096B" w:rsidP="0095096B">
            <w:pPr>
              <w:tabs>
                <w:tab w:val="right" w:pos="9360"/>
              </w:tabs>
              <w:rPr>
                <w:rFonts w:cs="Times New Roman"/>
                <w:sz w:val="20"/>
                <w:szCs w:val="20"/>
              </w:rPr>
            </w:pPr>
            <w:r w:rsidRPr="007765E3">
              <w:rPr>
                <w:rFonts w:cs="Times New Roman"/>
                <w:sz w:val="20"/>
                <w:szCs w:val="20"/>
              </w:rPr>
              <w:t>filed</w:t>
            </w:r>
          </w:p>
          <w:p w:rsidR="0095096B" w:rsidRPr="007765E3" w:rsidRDefault="0095096B" w:rsidP="0095096B">
            <w:pPr>
              <w:tabs>
                <w:tab w:val="right" w:pos="9360"/>
              </w:tabs>
              <w:rPr>
                <w:rFonts w:cs="Times New Roman"/>
                <w:sz w:val="20"/>
                <w:szCs w:val="20"/>
              </w:rPr>
            </w:pPr>
          </w:p>
          <w:p w:rsidR="0095096B" w:rsidRPr="007765E3" w:rsidRDefault="0095096B" w:rsidP="0095096B">
            <w:pPr>
              <w:tabs>
                <w:tab w:val="right" w:pos="9360"/>
              </w:tabs>
              <w:rPr>
                <w:rFonts w:cs="Times New Roman"/>
                <w:sz w:val="20"/>
                <w:szCs w:val="20"/>
              </w:rPr>
            </w:pPr>
            <w:r w:rsidRPr="007765E3">
              <w:rPr>
                <w:rFonts w:cs="Times New Roman"/>
                <w:sz w:val="20"/>
                <w:szCs w:val="20"/>
              </w:rPr>
              <w:t xml:space="preserve">Applications for leave submitted </w:t>
            </w:r>
          </w:p>
          <w:p w:rsidR="0095096B" w:rsidRPr="007765E3" w:rsidRDefault="0095096B" w:rsidP="0095096B">
            <w:pPr>
              <w:tabs>
                <w:tab w:val="right" w:pos="9360"/>
              </w:tabs>
              <w:rPr>
                <w:rFonts w:cs="Times New Roman"/>
                <w:sz w:val="20"/>
                <w:szCs w:val="20"/>
              </w:rPr>
            </w:pPr>
            <w:r w:rsidRPr="007765E3">
              <w:rPr>
                <w:rFonts w:cs="Times New Roman"/>
                <w:sz w:val="20"/>
                <w:szCs w:val="20"/>
              </w:rPr>
              <w:t>to Court since last issue</w:t>
            </w:r>
          </w:p>
          <w:p w:rsidR="0095096B" w:rsidRPr="007765E3" w:rsidRDefault="0095096B" w:rsidP="0095096B">
            <w:pPr>
              <w:tabs>
                <w:tab w:val="right" w:pos="9360"/>
              </w:tabs>
              <w:rPr>
                <w:rFonts w:cs="Times New Roman"/>
                <w:sz w:val="20"/>
                <w:szCs w:val="20"/>
              </w:rPr>
            </w:pPr>
          </w:p>
          <w:p w:rsidR="0095096B" w:rsidRPr="007765E3" w:rsidRDefault="0095096B" w:rsidP="0095096B">
            <w:pPr>
              <w:tabs>
                <w:tab w:val="right" w:pos="9360"/>
              </w:tabs>
              <w:rPr>
                <w:rFonts w:cs="Times New Roman"/>
                <w:sz w:val="20"/>
                <w:szCs w:val="20"/>
              </w:rPr>
            </w:pPr>
            <w:r w:rsidRPr="007765E3">
              <w:rPr>
                <w:rFonts w:cs="Times New Roman"/>
                <w:sz w:val="20"/>
                <w:szCs w:val="20"/>
              </w:rPr>
              <w:t xml:space="preserve">Judgments on applications for </w:t>
            </w:r>
          </w:p>
          <w:p w:rsidR="0095096B" w:rsidRPr="007765E3" w:rsidRDefault="0095096B" w:rsidP="0095096B">
            <w:pPr>
              <w:tabs>
                <w:tab w:val="right" w:pos="9360"/>
              </w:tabs>
              <w:rPr>
                <w:rFonts w:cs="Times New Roman"/>
                <w:sz w:val="20"/>
                <w:szCs w:val="20"/>
              </w:rPr>
            </w:pPr>
            <w:r w:rsidRPr="007765E3">
              <w:rPr>
                <w:rFonts w:cs="Times New Roman"/>
                <w:sz w:val="20"/>
                <w:szCs w:val="20"/>
              </w:rPr>
              <w:t>leave</w:t>
            </w:r>
          </w:p>
          <w:p w:rsidR="0095096B" w:rsidRPr="007765E3" w:rsidRDefault="0095096B" w:rsidP="0095096B">
            <w:pPr>
              <w:tabs>
                <w:tab w:val="right" w:pos="9360"/>
              </w:tabs>
              <w:rPr>
                <w:rFonts w:cs="Times New Roman"/>
                <w:sz w:val="20"/>
                <w:szCs w:val="20"/>
              </w:rPr>
            </w:pPr>
          </w:p>
          <w:p w:rsidR="0095096B" w:rsidRPr="007765E3" w:rsidRDefault="0095096B" w:rsidP="0095096B">
            <w:pPr>
              <w:tabs>
                <w:tab w:val="right" w:pos="9360"/>
              </w:tabs>
              <w:rPr>
                <w:rFonts w:cs="Times New Roman"/>
                <w:sz w:val="20"/>
                <w:szCs w:val="20"/>
              </w:rPr>
            </w:pPr>
            <w:r w:rsidRPr="007765E3">
              <w:rPr>
                <w:rFonts w:cs="Times New Roman"/>
                <w:sz w:val="20"/>
                <w:szCs w:val="20"/>
              </w:rPr>
              <w:t>Motions</w:t>
            </w:r>
          </w:p>
          <w:p w:rsidR="0095096B" w:rsidRPr="007765E3" w:rsidRDefault="0095096B" w:rsidP="0095096B">
            <w:pPr>
              <w:tabs>
                <w:tab w:val="right" w:pos="9360"/>
              </w:tabs>
              <w:rPr>
                <w:rFonts w:cs="Times New Roman"/>
                <w:sz w:val="20"/>
                <w:szCs w:val="20"/>
              </w:rPr>
            </w:pPr>
          </w:p>
          <w:p w:rsidR="0095096B" w:rsidRPr="007765E3" w:rsidRDefault="0095096B" w:rsidP="0095096B">
            <w:pPr>
              <w:tabs>
                <w:tab w:val="right" w:pos="9360"/>
              </w:tabs>
              <w:rPr>
                <w:rFonts w:cs="Times New Roman"/>
                <w:sz w:val="20"/>
                <w:szCs w:val="20"/>
              </w:rPr>
            </w:pPr>
            <w:r w:rsidRPr="007765E3">
              <w:rPr>
                <w:rFonts w:cs="Times New Roman"/>
                <w:sz w:val="20"/>
                <w:szCs w:val="20"/>
              </w:rPr>
              <w:t>Appeals heard since last issue and disposition</w:t>
            </w:r>
          </w:p>
          <w:p w:rsidR="0095096B" w:rsidRPr="007765E3" w:rsidRDefault="0095096B" w:rsidP="0095096B">
            <w:pPr>
              <w:tabs>
                <w:tab w:val="right" w:pos="9360"/>
              </w:tabs>
              <w:rPr>
                <w:rFonts w:cs="Times New Roman"/>
                <w:sz w:val="20"/>
                <w:szCs w:val="20"/>
              </w:rPr>
            </w:pPr>
          </w:p>
          <w:p w:rsidR="0095096B" w:rsidRPr="007765E3" w:rsidRDefault="0095096B" w:rsidP="0095096B">
            <w:pPr>
              <w:tabs>
                <w:tab w:val="right" w:pos="9360"/>
              </w:tabs>
              <w:rPr>
                <w:rFonts w:cs="Times New Roman"/>
                <w:sz w:val="20"/>
                <w:szCs w:val="20"/>
              </w:rPr>
            </w:pPr>
            <w:r w:rsidRPr="007765E3">
              <w:rPr>
                <w:rFonts w:cs="Times New Roman"/>
                <w:sz w:val="20"/>
                <w:szCs w:val="20"/>
              </w:rPr>
              <w:t>Pronouncements of appeals reserved</w:t>
            </w:r>
          </w:p>
          <w:p w:rsidR="0095096B" w:rsidRPr="007765E3" w:rsidRDefault="0095096B" w:rsidP="0095096B">
            <w:pPr>
              <w:tabs>
                <w:tab w:val="right" w:pos="9360"/>
              </w:tabs>
              <w:rPr>
                <w:rFonts w:cs="Times New Roman"/>
                <w:sz w:val="20"/>
                <w:szCs w:val="20"/>
              </w:rPr>
            </w:pPr>
          </w:p>
          <w:p w:rsidR="0095096B" w:rsidRPr="007765E3" w:rsidRDefault="0095096B" w:rsidP="0095096B">
            <w:pPr>
              <w:tabs>
                <w:tab w:val="right" w:pos="9360"/>
              </w:tabs>
              <w:rPr>
                <w:rFonts w:cs="Times New Roman"/>
                <w:sz w:val="20"/>
                <w:szCs w:val="20"/>
              </w:rPr>
            </w:pPr>
          </w:p>
          <w:p w:rsidR="0095096B" w:rsidRPr="007765E3" w:rsidRDefault="0095096B" w:rsidP="0095096B">
            <w:pPr>
              <w:tabs>
                <w:tab w:val="right" w:pos="9360"/>
              </w:tabs>
              <w:rPr>
                <w:rFonts w:cs="Times New Roman"/>
                <w:sz w:val="20"/>
                <w:szCs w:val="20"/>
              </w:rPr>
            </w:pPr>
            <w:r w:rsidRPr="007765E3">
              <w:rPr>
                <w:rFonts w:cs="Times New Roman"/>
                <w:sz w:val="20"/>
                <w:szCs w:val="20"/>
              </w:rPr>
              <w:t>Headnotes of recent judgments</w:t>
            </w:r>
          </w:p>
          <w:p w:rsidR="0095096B" w:rsidRPr="007765E3" w:rsidRDefault="0095096B" w:rsidP="0095096B">
            <w:pPr>
              <w:tabs>
                <w:tab w:val="right" w:pos="9360"/>
              </w:tabs>
              <w:rPr>
                <w:rFonts w:cs="Times New Roman"/>
                <w:sz w:val="20"/>
                <w:szCs w:val="20"/>
              </w:rPr>
            </w:pPr>
          </w:p>
          <w:p w:rsidR="00A87207" w:rsidRPr="007765E3" w:rsidRDefault="00A87207" w:rsidP="0078692F">
            <w:pPr>
              <w:tabs>
                <w:tab w:val="right" w:pos="9360"/>
              </w:tabs>
              <w:rPr>
                <w:rFonts w:cs="Times New Roman"/>
                <w:sz w:val="20"/>
                <w:szCs w:val="20"/>
              </w:rPr>
            </w:pPr>
          </w:p>
        </w:tc>
        <w:tc>
          <w:tcPr>
            <w:tcW w:w="1980" w:type="dxa"/>
          </w:tcPr>
          <w:p w:rsidR="0095096B" w:rsidRPr="007765E3" w:rsidRDefault="0078692F" w:rsidP="0095096B">
            <w:pPr>
              <w:jc w:val="center"/>
              <w:rPr>
                <w:rFonts w:cs="Times New Roman"/>
                <w:sz w:val="20"/>
                <w:szCs w:val="20"/>
              </w:rPr>
            </w:pPr>
            <w:r w:rsidRPr="007765E3">
              <w:rPr>
                <w:rFonts w:cs="Times New Roman"/>
                <w:sz w:val="20"/>
                <w:szCs w:val="20"/>
              </w:rPr>
              <w:t xml:space="preserve">1414 </w:t>
            </w:r>
            <w:r w:rsidR="000E27A5" w:rsidRPr="007765E3">
              <w:rPr>
                <w:rFonts w:cs="Times New Roman"/>
                <w:sz w:val="20"/>
                <w:szCs w:val="20"/>
              </w:rPr>
              <w:fldChar w:fldCharType="begin"/>
            </w:r>
            <w:r w:rsidR="0095096B" w:rsidRPr="007765E3">
              <w:rPr>
                <w:rFonts w:cs="Times New Roman"/>
                <w:sz w:val="20"/>
                <w:szCs w:val="20"/>
              </w:rPr>
              <w:instrText xml:space="preserve"> SEQ CHAPTER \h \r 1</w:instrText>
            </w:r>
            <w:r w:rsidR="000E27A5" w:rsidRPr="007765E3">
              <w:rPr>
                <w:rFonts w:cs="Times New Roman"/>
                <w:sz w:val="20"/>
                <w:szCs w:val="20"/>
              </w:rPr>
              <w:fldChar w:fldCharType="end"/>
            </w:r>
            <w:r w:rsidR="0095096B" w:rsidRPr="007765E3">
              <w:rPr>
                <w:rFonts w:cs="Times New Roman"/>
                <w:sz w:val="20"/>
                <w:szCs w:val="20"/>
              </w:rPr>
              <w:t>-</w:t>
            </w:r>
            <w:r w:rsidRPr="007765E3">
              <w:rPr>
                <w:rFonts w:cs="Times New Roman"/>
                <w:sz w:val="20"/>
                <w:szCs w:val="20"/>
              </w:rPr>
              <w:t xml:space="preserve"> 1415</w:t>
            </w:r>
          </w:p>
          <w:p w:rsidR="0095096B" w:rsidRPr="007765E3" w:rsidRDefault="0095096B" w:rsidP="0095096B">
            <w:pPr>
              <w:jc w:val="center"/>
              <w:rPr>
                <w:rFonts w:cs="Times New Roman"/>
                <w:sz w:val="20"/>
                <w:szCs w:val="20"/>
              </w:rPr>
            </w:pPr>
          </w:p>
          <w:p w:rsidR="0095096B" w:rsidRPr="007765E3" w:rsidRDefault="0095096B" w:rsidP="0095096B">
            <w:pPr>
              <w:jc w:val="center"/>
              <w:rPr>
                <w:rFonts w:cs="Times New Roman"/>
                <w:sz w:val="20"/>
                <w:szCs w:val="20"/>
              </w:rPr>
            </w:pPr>
          </w:p>
          <w:p w:rsidR="0095096B" w:rsidRPr="007765E3" w:rsidRDefault="0078692F" w:rsidP="0095096B">
            <w:pPr>
              <w:jc w:val="center"/>
              <w:rPr>
                <w:rFonts w:cs="Times New Roman"/>
                <w:sz w:val="20"/>
                <w:szCs w:val="20"/>
              </w:rPr>
            </w:pPr>
            <w:r w:rsidRPr="007765E3">
              <w:rPr>
                <w:rFonts w:cs="Times New Roman"/>
                <w:sz w:val="20"/>
                <w:szCs w:val="20"/>
              </w:rPr>
              <w:t>1416</w:t>
            </w:r>
          </w:p>
          <w:p w:rsidR="0095096B" w:rsidRPr="007765E3" w:rsidRDefault="0095096B" w:rsidP="0095096B">
            <w:pPr>
              <w:jc w:val="center"/>
              <w:rPr>
                <w:rFonts w:cs="Times New Roman"/>
                <w:sz w:val="20"/>
                <w:szCs w:val="20"/>
              </w:rPr>
            </w:pPr>
          </w:p>
          <w:p w:rsidR="0095096B" w:rsidRPr="007765E3" w:rsidRDefault="0095096B" w:rsidP="0095096B">
            <w:pPr>
              <w:jc w:val="center"/>
              <w:rPr>
                <w:rFonts w:cs="Times New Roman"/>
                <w:sz w:val="20"/>
                <w:szCs w:val="20"/>
              </w:rPr>
            </w:pPr>
          </w:p>
          <w:p w:rsidR="0095096B" w:rsidRPr="007765E3" w:rsidRDefault="0078692F" w:rsidP="0095096B">
            <w:pPr>
              <w:jc w:val="center"/>
              <w:rPr>
                <w:rFonts w:cs="Times New Roman"/>
                <w:sz w:val="20"/>
                <w:szCs w:val="20"/>
              </w:rPr>
            </w:pPr>
            <w:r w:rsidRPr="007765E3">
              <w:rPr>
                <w:rFonts w:cs="Times New Roman"/>
                <w:sz w:val="20"/>
                <w:szCs w:val="20"/>
              </w:rPr>
              <w:t xml:space="preserve">1417 </w:t>
            </w:r>
            <w:r w:rsidR="0095096B" w:rsidRPr="007765E3">
              <w:rPr>
                <w:rFonts w:cs="Times New Roman"/>
                <w:sz w:val="20"/>
                <w:szCs w:val="20"/>
              </w:rPr>
              <w:t>-</w:t>
            </w:r>
            <w:r w:rsidRPr="007765E3">
              <w:rPr>
                <w:rFonts w:cs="Times New Roman"/>
                <w:sz w:val="20"/>
                <w:szCs w:val="20"/>
              </w:rPr>
              <w:t xml:space="preserve"> 1438</w:t>
            </w:r>
          </w:p>
          <w:p w:rsidR="0095096B" w:rsidRPr="007765E3" w:rsidRDefault="0095096B" w:rsidP="0095096B">
            <w:pPr>
              <w:jc w:val="center"/>
              <w:rPr>
                <w:rFonts w:cs="Times New Roman"/>
                <w:sz w:val="20"/>
                <w:szCs w:val="20"/>
              </w:rPr>
            </w:pPr>
          </w:p>
          <w:p w:rsidR="0078692F" w:rsidRPr="007765E3" w:rsidRDefault="0078692F" w:rsidP="0095096B">
            <w:pPr>
              <w:jc w:val="center"/>
              <w:rPr>
                <w:rFonts w:cs="Times New Roman"/>
                <w:sz w:val="20"/>
                <w:szCs w:val="20"/>
              </w:rPr>
            </w:pPr>
          </w:p>
          <w:p w:rsidR="0095096B" w:rsidRPr="007765E3" w:rsidRDefault="00A822FC" w:rsidP="0095096B">
            <w:pPr>
              <w:jc w:val="center"/>
              <w:rPr>
                <w:rFonts w:cs="Times New Roman"/>
                <w:sz w:val="20"/>
                <w:szCs w:val="20"/>
              </w:rPr>
            </w:pPr>
            <w:r w:rsidRPr="007765E3">
              <w:rPr>
                <w:rFonts w:cs="Times New Roman"/>
                <w:sz w:val="20"/>
                <w:szCs w:val="20"/>
              </w:rPr>
              <w:t xml:space="preserve">1439 </w:t>
            </w:r>
            <w:r w:rsidR="0095096B" w:rsidRPr="007765E3">
              <w:rPr>
                <w:rFonts w:cs="Times New Roman"/>
                <w:sz w:val="20"/>
                <w:szCs w:val="20"/>
              </w:rPr>
              <w:t>-</w:t>
            </w:r>
            <w:r w:rsidR="0014222C" w:rsidRPr="007765E3">
              <w:rPr>
                <w:rFonts w:cs="Times New Roman"/>
                <w:sz w:val="20"/>
                <w:szCs w:val="20"/>
              </w:rPr>
              <w:t xml:space="preserve"> 1440</w:t>
            </w:r>
          </w:p>
          <w:p w:rsidR="0095096B" w:rsidRPr="007765E3" w:rsidRDefault="0095096B" w:rsidP="0095096B">
            <w:pPr>
              <w:jc w:val="center"/>
              <w:rPr>
                <w:rFonts w:cs="Times New Roman"/>
                <w:sz w:val="20"/>
                <w:szCs w:val="20"/>
              </w:rPr>
            </w:pPr>
          </w:p>
          <w:p w:rsidR="0095096B" w:rsidRPr="007765E3" w:rsidRDefault="0014222C" w:rsidP="0095096B">
            <w:pPr>
              <w:jc w:val="center"/>
              <w:rPr>
                <w:rFonts w:cs="Times New Roman"/>
                <w:sz w:val="20"/>
                <w:szCs w:val="20"/>
              </w:rPr>
            </w:pPr>
            <w:r w:rsidRPr="007765E3">
              <w:rPr>
                <w:rFonts w:cs="Times New Roman"/>
                <w:sz w:val="20"/>
                <w:szCs w:val="20"/>
              </w:rPr>
              <w:t>1441</w:t>
            </w:r>
            <w:r w:rsidR="00A822FC" w:rsidRPr="007765E3">
              <w:rPr>
                <w:rFonts w:cs="Times New Roman"/>
                <w:sz w:val="20"/>
                <w:szCs w:val="20"/>
              </w:rPr>
              <w:t xml:space="preserve"> </w:t>
            </w:r>
            <w:r w:rsidR="0095096B" w:rsidRPr="007765E3">
              <w:rPr>
                <w:rFonts w:cs="Times New Roman"/>
                <w:sz w:val="20"/>
                <w:szCs w:val="20"/>
              </w:rPr>
              <w:t>-</w:t>
            </w:r>
            <w:r w:rsidRPr="007765E3">
              <w:rPr>
                <w:rFonts w:cs="Times New Roman"/>
                <w:sz w:val="20"/>
                <w:szCs w:val="20"/>
              </w:rPr>
              <w:t xml:space="preserve"> 1444</w:t>
            </w:r>
          </w:p>
          <w:p w:rsidR="0095096B" w:rsidRPr="007765E3" w:rsidRDefault="0095096B" w:rsidP="0095096B">
            <w:pPr>
              <w:jc w:val="center"/>
              <w:rPr>
                <w:rFonts w:cs="Times New Roman"/>
                <w:sz w:val="20"/>
                <w:szCs w:val="20"/>
              </w:rPr>
            </w:pPr>
          </w:p>
          <w:p w:rsidR="0095096B" w:rsidRPr="007765E3" w:rsidRDefault="0095096B" w:rsidP="0095096B">
            <w:pPr>
              <w:jc w:val="center"/>
              <w:rPr>
                <w:rFonts w:cs="Times New Roman"/>
                <w:sz w:val="20"/>
                <w:szCs w:val="20"/>
              </w:rPr>
            </w:pPr>
          </w:p>
          <w:p w:rsidR="0095096B" w:rsidRPr="007765E3" w:rsidRDefault="0014222C" w:rsidP="0095096B">
            <w:pPr>
              <w:jc w:val="center"/>
              <w:rPr>
                <w:rFonts w:cs="Times New Roman"/>
                <w:sz w:val="20"/>
                <w:szCs w:val="20"/>
              </w:rPr>
            </w:pPr>
            <w:r w:rsidRPr="007765E3">
              <w:rPr>
                <w:rFonts w:cs="Times New Roman"/>
                <w:sz w:val="20"/>
                <w:szCs w:val="20"/>
              </w:rPr>
              <w:t>1445</w:t>
            </w:r>
            <w:r w:rsidR="00A822FC" w:rsidRPr="007765E3">
              <w:rPr>
                <w:rFonts w:cs="Times New Roman"/>
                <w:sz w:val="20"/>
                <w:szCs w:val="20"/>
              </w:rPr>
              <w:t xml:space="preserve"> </w:t>
            </w:r>
            <w:r w:rsidR="0095096B" w:rsidRPr="007765E3">
              <w:rPr>
                <w:rFonts w:cs="Times New Roman"/>
                <w:sz w:val="20"/>
                <w:szCs w:val="20"/>
              </w:rPr>
              <w:t>-</w:t>
            </w:r>
            <w:r w:rsidRPr="007765E3">
              <w:rPr>
                <w:rFonts w:cs="Times New Roman"/>
                <w:sz w:val="20"/>
                <w:szCs w:val="20"/>
              </w:rPr>
              <w:t xml:space="preserve"> 1447</w:t>
            </w:r>
          </w:p>
          <w:p w:rsidR="0095096B" w:rsidRPr="007765E3" w:rsidRDefault="0095096B" w:rsidP="0095096B">
            <w:pPr>
              <w:jc w:val="center"/>
              <w:rPr>
                <w:rFonts w:cs="Times New Roman"/>
                <w:sz w:val="20"/>
                <w:szCs w:val="20"/>
              </w:rPr>
            </w:pPr>
          </w:p>
          <w:p w:rsidR="0078692F" w:rsidRPr="007765E3" w:rsidRDefault="0078692F" w:rsidP="0095096B">
            <w:pPr>
              <w:jc w:val="center"/>
              <w:rPr>
                <w:rFonts w:cs="Times New Roman"/>
                <w:sz w:val="20"/>
                <w:szCs w:val="20"/>
              </w:rPr>
            </w:pPr>
          </w:p>
          <w:p w:rsidR="0095096B" w:rsidRPr="007765E3" w:rsidRDefault="007F1C6A" w:rsidP="0095096B">
            <w:pPr>
              <w:jc w:val="center"/>
              <w:rPr>
                <w:rFonts w:cs="Times New Roman"/>
                <w:sz w:val="20"/>
                <w:szCs w:val="20"/>
              </w:rPr>
            </w:pPr>
            <w:r w:rsidRPr="007765E3">
              <w:rPr>
                <w:rFonts w:cs="Times New Roman"/>
                <w:sz w:val="20"/>
                <w:szCs w:val="20"/>
              </w:rPr>
              <w:t>1448</w:t>
            </w:r>
            <w:r w:rsidR="00D60BC2" w:rsidRPr="007765E3">
              <w:rPr>
                <w:rFonts w:cs="Times New Roman"/>
                <w:sz w:val="20"/>
                <w:szCs w:val="20"/>
              </w:rPr>
              <w:t xml:space="preserve"> </w:t>
            </w:r>
            <w:r w:rsidR="0095096B" w:rsidRPr="007765E3">
              <w:rPr>
                <w:rFonts w:cs="Times New Roman"/>
                <w:sz w:val="20"/>
                <w:szCs w:val="20"/>
              </w:rPr>
              <w:t>-</w:t>
            </w:r>
            <w:r w:rsidR="0014222C" w:rsidRPr="007765E3">
              <w:rPr>
                <w:rFonts w:cs="Times New Roman"/>
                <w:sz w:val="20"/>
                <w:szCs w:val="20"/>
              </w:rPr>
              <w:t xml:space="preserve"> 1453</w:t>
            </w:r>
          </w:p>
          <w:p w:rsidR="00A87207" w:rsidRPr="007765E3" w:rsidRDefault="00A87207" w:rsidP="0078692F">
            <w:pPr>
              <w:jc w:val="center"/>
              <w:rPr>
                <w:rFonts w:cs="Times New Roman"/>
                <w:sz w:val="20"/>
                <w:szCs w:val="20"/>
              </w:rPr>
            </w:pPr>
          </w:p>
        </w:tc>
        <w:tc>
          <w:tcPr>
            <w:tcW w:w="3888" w:type="dxa"/>
          </w:tcPr>
          <w:p w:rsidR="0095096B" w:rsidRPr="007765E3" w:rsidRDefault="000E27A5" w:rsidP="0095096B">
            <w:pPr>
              <w:rPr>
                <w:rFonts w:cs="Times New Roman"/>
                <w:sz w:val="20"/>
                <w:szCs w:val="20"/>
                <w:lang w:val="fr-CA"/>
              </w:rPr>
            </w:pPr>
            <w:r w:rsidRPr="007765E3">
              <w:rPr>
                <w:rFonts w:cs="Times New Roman"/>
                <w:sz w:val="20"/>
                <w:szCs w:val="20"/>
                <w:lang w:val="fr-CA"/>
              </w:rPr>
              <w:fldChar w:fldCharType="begin"/>
            </w:r>
            <w:r w:rsidR="0095096B" w:rsidRPr="007765E3">
              <w:rPr>
                <w:rFonts w:cs="Times New Roman"/>
                <w:sz w:val="20"/>
                <w:szCs w:val="20"/>
                <w:lang w:val="fr-CA"/>
              </w:rPr>
              <w:instrText xml:space="preserve"> SEQ CHAPTER \h \r 1</w:instrText>
            </w:r>
            <w:r w:rsidRPr="007765E3">
              <w:rPr>
                <w:rFonts w:cs="Times New Roman"/>
                <w:sz w:val="20"/>
                <w:szCs w:val="20"/>
                <w:lang w:val="fr-CA"/>
              </w:rPr>
              <w:fldChar w:fldCharType="end"/>
            </w:r>
            <w:r w:rsidR="0095096B" w:rsidRPr="007765E3">
              <w:rPr>
                <w:rFonts w:cs="Times New Roman"/>
                <w:sz w:val="20"/>
                <w:szCs w:val="20"/>
                <w:lang w:val="fr-CA"/>
              </w:rPr>
              <w:t>Demandes d</w:t>
            </w:r>
            <w:r w:rsidR="004137A0" w:rsidRPr="007765E3">
              <w:rPr>
                <w:rFonts w:cs="Times New Roman"/>
                <w:sz w:val="20"/>
                <w:szCs w:val="20"/>
                <w:lang w:val="fr-CA"/>
              </w:rPr>
              <w:t>’</w:t>
            </w:r>
            <w:r w:rsidR="0095096B" w:rsidRPr="007765E3">
              <w:rPr>
                <w:rFonts w:cs="Times New Roman"/>
                <w:sz w:val="20"/>
                <w:szCs w:val="20"/>
                <w:lang w:val="fr-CA"/>
              </w:rPr>
              <w:t>autorisation d</w:t>
            </w:r>
            <w:r w:rsidR="004137A0" w:rsidRPr="007765E3">
              <w:rPr>
                <w:rFonts w:cs="Times New Roman"/>
                <w:sz w:val="20"/>
                <w:szCs w:val="20"/>
                <w:lang w:val="fr-CA"/>
              </w:rPr>
              <w:t>’</w:t>
            </w:r>
            <w:r w:rsidR="0095096B" w:rsidRPr="007765E3">
              <w:rPr>
                <w:rFonts w:cs="Times New Roman"/>
                <w:sz w:val="20"/>
                <w:szCs w:val="20"/>
                <w:lang w:val="fr-CA"/>
              </w:rPr>
              <w:t xml:space="preserve">appel </w:t>
            </w:r>
          </w:p>
          <w:p w:rsidR="0095096B" w:rsidRPr="007765E3" w:rsidRDefault="0095096B" w:rsidP="0095096B">
            <w:pPr>
              <w:rPr>
                <w:rFonts w:cs="Times New Roman"/>
                <w:sz w:val="20"/>
                <w:szCs w:val="20"/>
                <w:lang w:val="fr-CA"/>
              </w:rPr>
            </w:pPr>
            <w:r w:rsidRPr="007765E3">
              <w:rPr>
                <w:rFonts w:cs="Times New Roman"/>
                <w:sz w:val="20"/>
                <w:szCs w:val="20"/>
                <w:lang w:val="fr-CA"/>
              </w:rPr>
              <w:t>déposées</w:t>
            </w:r>
          </w:p>
          <w:p w:rsidR="0095096B" w:rsidRPr="007765E3" w:rsidRDefault="0095096B" w:rsidP="0095096B">
            <w:pPr>
              <w:rPr>
                <w:rFonts w:cs="Times New Roman"/>
                <w:sz w:val="20"/>
                <w:szCs w:val="20"/>
                <w:lang w:val="fr-CA"/>
              </w:rPr>
            </w:pPr>
          </w:p>
          <w:p w:rsidR="0095096B" w:rsidRPr="007765E3" w:rsidRDefault="0095096B" w:rsidP="0095096B">
            <w:pPr>
              <w:rPr>
                <w:rFonts w:cs="Times New Roman"/>
                <w:sz w:val="20"/>
                <w:szCs w:val="20"/>
                <w:lang w:val="fr-CA"/>
              </w:rPr>
            </w:pPr>
            <w:r w:rsidRPr="007765E3">
              <w:rPr>
                <w:rFonts w:cs="Times New Roman"/>
                <w:sz w:val="20"/>
                <w:szCs w:val="20"/>
                <w:lang w:val="fr-CA"/>
              </w:rPr>
              <w:t xml:space="preserve">Demandes soumises à la Cour depuis la </w:t>
            </w:r>
          </w:p>
          <w:p w:rsidR="0095096B" w:rsidRPr="007765E3" w:rsidRDefault="0095096B" w:rsidP="0095096B">
            <w:pPr>
              <w:rPr>
                <w:rFonts w:cs="Times New Roman"/>
                <w:sz w:val="20"/>
                <w:szCs w:val="20"/>
                <w:lang w:val="fr-CA"/>
              </w:rPr>
            </w:pPr>
            <w:r w:rsidRPr="007765E3">
              <w:rPr>
                <w:rFonts w:cs="Times New Roman"/>
                <w:sz w:val="20"/>
                <w:szCs w:val="20"/>
                <w:lang w:val="fr-CA"/>
              </w:rPr>
              <w:t>dernière parution</w:t>
            </w:r>
          </w:p>
          <w:p w:rsidR="0095096B" w:rsidRPr="007765E3" w:rsidRDefault="0095096B" w:rsidP="0095096B">
            <w:pPr>
              <w:rPr>
                <w:rFonts w:cs="Times New Roman"/>
                <w:sz w:val="20"/>
                <w:szCs w:val="20"/>
                <w:lang w:val="fr-CA"/>
              </w:rPr>
            </w:pPr>
          </w:p>
          <w:p w:rsidR="0095096B" w:rsidRPr="007765E3" w:rsidRDefault="0095096B" w:rsidP="0095096B">
            <w:pPr>
              <w:rPr>
                <w:rFonts w:cs="Times New Roman"/>
                <w:sz w:val="20"/>
                <w:szCs w:val="20"/>
                <w:lang w:val="fr-CA"/>
              </w:rPr>
            </w:pPr>
            <w:r w:rsidRPr="007765E3">
              <w:rPr>
                <w:rFonts w:cs="Times New Roman"/>
                <w:sz w:val="20"/>
                <w:szCs w:val="20"/>
                <w:lang w:val="fr-CA"/>
              </w:rPr>
              <w:t xml:space="preserve">Jugements rendus sur les demandes </w:t>
            </w:r>
          </w:p>
          <w:p w:rsidR="0095096B" w:rsidRPr="007765E3" w:rsidRDefault="004137A0" w:rsidP="0095096B">
            <w:pPr>
              <w:rPr>
                <w:rFonts w:cs="Times New Roman"/>
                <w:sz w:val="20"/>
                <w:szCs w:val="20"/>
                <w:lang w:val="fr-CA"/>
              </w:rPr>
            </w:pPr>
            <w:r w:rsidRPr="007765E3">
              <w:rPr>
                <w:rFonts w:cs="Times New Roman"/>
                <w:sz w:val="20"/>
                <w:szCs w:val="20"/>
                <w:lang w:val="fr-CA"/>
              </w:rPr>
              <w:t>d’</w:t>
            </w:r>
            <w:r w:rsidR="0095096B" w:rsidRPr="007765E3">
              <w:rPr>
                <w:rFonts w:cs="Times New Roman"/>
                <w:sz w:val="20"/>
                <w:szCs w:val="20"/>
                <w:lang w:val="fr-CA"/>
              </w:rPr>
              <w:t>autorisation</w:t>
            </w:r>
          </w:p>
          <w:p w:rsidR="0095096B" w:rsidRPr="007765E3" w:rsidRDefault="0095096B" w:rsidP="0095096B">
            <w:pPr>
              <w:rPr>
                <w:rFonts w:cs="Times New Roman"/>
                <w:sz w:val="20"/>
                <w:szCs w:val="20"/>
                <w:lang w:val="fr-CA"/>
              </w:rPr>
            </w:pPr>
          </w:p>
          <w:p w:rsidR="0095096B" w:rsidRPr="007765E3" w:rsidRDefault="0095096B" w:rsidP="0095096B">
            <w:pPr>
              <w:rPr>
                <w:rFonts w:cs="Times New Roman"/>
                <w:sz w:val="20"/>
                <w:szCs w:val="20"/>
                <w:lang w:val="fr-CA"/>
              </w:rPr>
            </w:pPr>
            <w:r w:rsidRPr="007765E3">
              <w:rPr>
                <w:rFonts w:cs="Times New Roman"/>
                <w:sz w:val="20"/>
                <w:szCs w:val="20"/>
                <w:lang w:val="fr-CA"/>
              </w:rPr>
              <w:t>Requêtes</w:t>
            </w:r>
          </w:p>
          <w:p w:rsidR="0095096B" w:rsidRPr="007765E3" w:rsidRDefault="0095096B" w:rsidP="0095096B">
            <w:pPr>
              <w:rPr>
                <w:rFonts w:cs="Times New Roman"/>
                <w:sz w:val="20"/>
                <w:szCs w:val="20"/>
                <w:lang w:val="fr-CA"/>
              </w:rPr>
            </w:pPr>
          </w:p>
          <w:p w:rsidR="0095096B" w:rsidRPr="007765E3" w:rsidRDefault="0095096B" w:rsidP="0095096B">
            <w:pPr>
              <w:rPr>
                <w:rFonts w:cs="Times New Roman"/>
                <w:sz w:val="20"/>
                <w:szCs w:val="20"/>
                <w:lang w:val="fr-CA"/>
              </w:rPr>
            </w:pPr>
            <w:r w:rsidRPr="007765E3">
              <w:rPr>
                <w:rFonts w:cs="Times New Roman"/>
                <w:sz w:val="20"/>
                <w:szCs w:val="20"/>
                <w:lang w:val="fr-CA"/>
              </w:rPr>
              <w:t xml:space="preserve">Appels entendus depuis la dernière </w:t>
            </w:r>
          </w:p>
          <w:p w:rsidR="0095096B" w:rsidRPr="007765E3" w:rsidRDefault="0095096B" w:rsidP="0095096B">
            <w:pPr>
              <w:rPr>
                <w:rFonts w:cs="Times New Roman"/>
                <w:sz w:val="20"/>
                <w:szCs w:val="20"/>
                <w:lang w:val="fr-CA"/>
              </w:rPr>
            </w:pPr>
            <w:r w:rsidRPr="007765E3">
              <w:rPr>
                <w:rFonts w:cs="Times New Roman"/>
                <w:sz w:val="20"/>
                <w:szCs w:val="20"/>
                <w:lang w:val="fr-CA"/>
              </w:rPr>
              <w:t>parution et résultat</w:t>
            </w:r>
          </w:p>
          <w:p w:rsidR="0095096B" w:rsidRPr="007765E3" w:rsidRDefault="0095096B" w:rsidP="0095096B">
            <w:pPr>
              <w:rPr>
                <w:rFonts w:cs="Times New Roman"/>
                <w:sz w:val="20"/>
                <w:szCs w:val="20"/>
                <w:lang w:val="fr-CA"/>
              </w:rPr>
            </w:pPr>
          </w:p>
          <w:p w:rsidR="0095096B" w:rsidRPr="007765E3" w:rsidRDefault="0095096B" w:rsidP="0095096B">
            <w:pPr>
              <w:rPr>
                <w:rFonts w:cs="Times New Roman"/>
                <w:sz w:val="20"/>
                <w:szCs w:val="20"/>
                <w:lang w:val="fr-CA"/>
              </w:rPr>
            </w:pPr>
            <w:r w:rsidRPr="007765E3">
              <w:rPr>
                <w:rFonts w:cs="Times New Roman"/>
                <w:sz w:val="20"/>
                <w:szCs w:val="20"/>
                <w:lang w:val="fr-CA"/>
              </w:rPr>
              <w:t xml:space="preserve">Jugements rendus sur les appels en </w:t>
            </w:r>
          </w:p>
          <w:p w:rsidR="0095096B" w:rsidRPr="007765E3" w:rsidRDefault="0095096B" w:rsidP="0095096B">
            <w:pPr>
              <w:rPr>
                <w:rFonts w:cs="Times New Roman"/>
                <w:sz w:val="20"/>
                <w:szCs w:val="20"/>
                <w:lang w:val="fr-CA"/>
              </w:rPr>
            </w:pPr>
            <w:r w:rsidRPr="007765E3">
              <w:rPr>
                <w:rFonts w:cs="Times New Roman"/>
                <w:sz w:val="20"/>
                <w:szCs w:val="20"/>
                <w:lang w:val="fr-CA"/>
              </w:rPr>
              <w:t>délibéré</w:t>
            </w:r>
          </w:p>
          <w:p w:rsidR="0095096B" w:rsidRPr="007765E3" w:rsidRDefault="0095096B" w:rsidP="0095096B">
            <w:pPr>
              <w:rPr>
                <w:rFonts w:cs="Times New Roman"/>
                <w:sz w:val="20"/>
                <w:szCs w:val="20"/>
                <w:lang w:val="fr-CA"/>
              </w:rPr>
            </w:pPr>
          </w:p>
          <w:p w:rsidR="0095096B" w:rsidRPr="007765E3" w:rsidRDefault="0095096B" w:rsidP="0095096B">
            <w:pPr>
              <w:rPr>
                <w:rFonts w:cs="Times New Roman"/>
                <w:sz w:val="20"/>
                <w:szCs w:val="20"/>
                <w:lang w:val="fr-CA"/>
              </w:rPr>
            </w:pPr>
            <w:r w:rsidRPr="007765E3">
              <w:rPr>
                <w:rFonts w:cs="Times New Roman"/>
                <w:sz w:val="20"/>
                <w:szCs w:val="20"/>
                <w:lang w:val="fr-CA"/>
              </w:rPr>
              <w:t xml:space="preserve">Sommaires de </w:t>
            </w:r>
            <w:r w:rsidR="00C50A5C" w:rsidRPr="007765E3">
              <w:rPr>
                <w:rFonts w:cs="Times New Roman"/>
                <w:sz w:val="20"/>
                <w:szCs w:val="20"/>
                <w:lang w:val="fr-CA"/>
              </w:rPr>
              <w:t>jugements récents</w:t>
            </w:r>
          </w:p>
          <w:p w:rsidR="0095096B" w:rsidRPr="007765E3" w:rsidRDefault="0095096B" w:rsidP="0095096B">
            <w:pPr>
              <w:rPr>
                <w:rFonts w:cs="Times New Roman"/>
                <w:sz w:val="20"/>
                <w:szCs w:val="20"/>
                <w:lang w:val="fr-CA"/>
              </w:rPr>
            </w:pPr>
          </w:p>
          <w:p w:rsidR="00A87207" w:rsidRPr="007765E3" w:rsidRDefault="00A87207" w:rsidP="0078692F">
            <w:pPr>
              <w:tabs>
                <w:tab w:val="right" w:pos="9360"/>
              </w:tabs>
              <w:rPr>
                <w:rFonts w:cs="Times New Roman"/>
                <w:sz w:val="20"/>
                <w:szCs w:val="20"/>
                <w:lang w:val="fr-CA"/>
              </w:rPr>
            </w:pPr>
          </w:p>
        </w:tc>
      </w:tr>
    </w:tbl>
    <w:p w:rsidR="0095096B" w:rsidRPr="007765E3"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765E3" w:rsidTr="0079724F">
        <w:tc>
          <w:tcPr>
            <w:tcW w:w="9576" w:type="dxa"/>
          </w:tcPr>
          <w:p w:rsidR="0079724F" w:rsidRPr="007765E3" w:rsidRDefault="0079724F" w:rsidP="00215F7C">
            <w:pPr>
              <w:keepNext/>
              <w:tabs>
                <w:tab w:val="right" w:pos="9360"/>
              </w:tabs>
              <w:jc w:val="center"/>
              <w:rPr>
                <w:szCs w:val="24"/>
              </w:rPr>
            </w:pPr>
            <w:r w:rsidRPr="007765E3">
              <w:rPr>
                <w:szCs w:val="24"/>
              </w:rPr>
              <w:t>NOTICE</w:t>
            </w:r>
          </w:p>
          <w:p w:rsidR="0079724F" w:rsidRPr="007765E3" w:rsidRDefault="0079724F" w:rsidP="00215F7C">
            <w:pPr>
              <w:keepNext/>
              <w:tabs>
                <w:tab w:val="right" w:pos="9360"/>
              </w:tabs>
              <w:rPr>
                <w:szCs w:val="24"/>
              </w:rPr>
            </w:pPr>
          </w:p>
          <w:p w:rsidR="0079724F" w:rsidRPr="007765E3" w:rsidRDefault="0079724F" w:rsidP="00215F7C">
            <w:pPr>
              <w:keepNext/>
              <w:tabs>
                <w:tab w:val="right" w:pos="9360"/>
              </w:tabs>
              <w:jc w:val="both"/>
              <w:rPr>
                <w:szCs w:val="24"/>
              </w:rPr>
            </w:pPr>
            <w:r w:rsidRPr="007765E3">
              <w:rPr>
                <w:szCs w:val="24"/>
              </w:rPr>
              <w:t>Case summaries included in the Bulletin are prepared by the Office of the Registrar of the Supreme Court of Canada (Law Branch) for information purposes only.</w:t>
            </w:r>
          </w:p>
          <w:p w:rsidR="0079724F" w:rsidRPr="007765E3" w:rsidRDefault="0079724F" w:rsidP="00215F7C">
            <w:pPr>
              <w:keepNext/>
              <w:tabs>
                <w:tab w:val="right" w:pos="9360"/>
              </w:tabs>
              <w:rPr>
                <w:szCs w:val="24"/>
              </w:rPr>
            </w:pPr>
          </w:p>
          <w:p w:rsidR="0079724F" w:rsidRPr="007765E3" w:rsidRDefault="0079724F" w:rsidP="00215F7C">
            <w:pPr>
              <w:keepNext/>
              <w:tabs>
                <w:tab w:val="right" w:pos="9360"/>
              </w:tabs>
              <w:rPr>
                <w:szCs w:val="24"/>
              </w:rPr>
            </w:pPr>
          </w:p>
          <w:p w:rsidR="0079724F" w:rsidRPr="007765E3" w:rsidRDefault="0079724F" w:rsidP="00215F7C">
            <w:pPr>
              <w:keepNext/>
              <w:tabs>
                <w:tab w:val="right" w:pos="9360"/>
              </w:tabs>
              <w:jc w:val="center"/>
              <w:rPr>
                <w:szCs w:val="24"/>
                <w:lang w:val="fr-CA"/>
              </w:rPr>
            </w:pPr>
            <w:r w:rsidRPr="007765E3">
              <w:rPr>
                <w:szCs w:val="24"/>
                <w:lang w:val="fr-CA"/>
              </w:rPr>
              <w:t>AVIS</w:t>
            </w:r>
          </w:p>
          <w:p w:rsidR="0079724F" w:rsidRPr="007765E3" w:rsidRDefault="0079724F" w:rsidP="00215F7C">
            <w:pPr>
              <w:keepNext/>
              <w:tabs>
                <w:tab w:val="right" w:pos="9360"/>
              </w:tabs>
              <w:rPr>
                <w:szCs w:val="24"/>
                <w:lang w:val="fr-CA"/>
              </w:rPr>
            </w:pPr>
          </w:p>
          <w:p w:rsidR="0079724F" w:rsidRPr="007765E3" w:rsidRDefault="0079724F" w:rsidP="00215F7C">
            <w:pPr>
              <w:keepNext/>
              <w:tabs>
                <w:tab w:val="right" w:pos="9360"/>
              </w:tabs>
              <w:jc w:val="both"/>
              <w:rPr>
                <w:sz w:val="20"/>
                <w:szCs w:val="20"/>
                <w:lang w:val="fr-CA"/>
              </w:rPr>
            </w:pPr>
            <w:r w:rsidRPr="007765E3">
              <w:rPr>
                <w:szCs w:val="24"/>
                <w:lang w:val="fr-CA"/>
              </w:rPr>
              <w:t>Les résumés de dossiers publiés dans le bulletin sont préparés par le Bureau du registraire (Direction générale du droit) uniquement à titre d’information.</w:t>
            </w:r>
          </w:p>
        </w:tc>
      </w:tr>
    </w:tbl>
    <w:p w:rsidR="0095096B" w:rsidRPr="007765E3" w:rsidRDefault="0095096B" w:rsidP="0095096B">
      <w:pPr>
        <w:tabs>
          <w:tab w:val="right" w:pos="9360"/>
        </w:tabs>
        <w:rPr>
          <w:lang w:val="fr-CA"/>
        </w:rPr>
      </w:pPr>
    </w:p>
    <w:p w:rsidR="00A87207" w:rsidRPr="007765E3" w:rsidRDefault="00A87207" w:rsidP="0095096B">
      <w:pPr>
        <w:tabs>
          <w:tab w:val="right" w:pos="9360"/>
        </w:tabs>
        <w:rPr>
          <w:lang w:val="fr-CA"/>
        </w:rPr>
        <w:sectPr w:rsidR="00A87207" w:rsidRPr="007765E3"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7765E3" w:rsidTr="00245129">
        <w:tc>
          <w:tcPr>
            <w:tcW w:w="4200" w:type="dxa"/>
            <w:shd w:val="clear" w:color="auto" w:fill="auto"/>
            <w:tcMar>
              <w:left w:w="0" w:type="dxa"/>
              <w:right w:w="0" w:type="dxa"/>
            </w:tcMar>
          </w:tcPr>
          <w:p w:rsidR="00A87207" w:rsidRPr="007765E3" w:rsidRDefault="00A87207" w:rsidP="00BA6468">
            <w:pPr>
              <w:rPr>
                <w:rFonts w:eastAsia="Times New Roman" w:cs="Times New Roman"/>
                <w:b/>
                <w:sz w:val="20"/>
                <w:szCs w:val="20"/>
                <w:lang w:eastAsia="en-CA"/>
              </w:rPr>
            </w:pPr>
            <w:r w:rsidRPr="007765E3">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7765E3" w:rsidRDefault="00A87207" w:rsidP="002E2327">
            <w:pPr>
              <w:jc w:val="center"/>
              <w:rPr>
                <w:rFonts w:eastAsia="Times New Roman" w:cs="Times New Roman"/>
                <w:b/>
                <w:sz w:val="20"/>
                <w:szCs w:val="20"/>
                <w:lang w:eastAsia="en-CA"/>
              </w:rPr>
            </w:pPr>
          </w:p>
          <w:p w:rsidR="00A87207" w:rsidRPr="007765E3" w:rsidRDefault="00A87207" w:rsidP="002E2327">
            <w:pPr>
              <w:jc w:val="center"/>
              <w:rPr>
                <w:rFonts w:eastAsia="Times New Roman" w:cs="Times New Roman"/>
                <w:b/>
                <w:sz w:val="20"/>
                <w:szCs w:val="20"/>
                <w:lang w:eastAsia="en-CA"/>
              </w:rPr>
            </w:pPr>
          </w:p>
          <w:p w:rsidR="00A87207" w:rsidRPr="007765E3"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7765E3" w:rsidRDefault="00A87207" w:rsidP="00A87207">
            <w:pPr>
              <w:rPr>
                <w:rFonts w:eastAsia="Times New Roman" w:cs="Times New Roman"/>
                <w:b/>
                <w:sz w:val="20"/>
                <w:szCs w:val="20"/>
                <w:lang w:val="fr-CA" w:eastAsia="en-CA"/>
              </w:rPr>
            </w:pPr>
            <w:r w:rsidRPr="007765E3">
              <w:rPr>
                <w:rFonts w:eastAsia="Times New Roman" w:cs="Times New Roman"/>
                <w:b/>
                <w:szCs w:val="20"/>
                <w:lang w:val="fr-CA" w:eastAsia="en-CA"/>
              </w:rPr>
              <w:t>DEMANDES D’AUTORISATION D’APPEL DÉPOSÉES</w:t>
            </w:r>
          </w:p>
        </w:tc>
      </w:tr>
    </w:tbl>
    <w:p w:rsidR="00A87207" w:rsidRPr="007765E3"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765E3" w:rsidTr="003B3977">
        <w:tc>
          <w:tcPr>
            <w:tcW w:w="4320" w:type="dxa"/>
            <w:shd w:val="clear" w:color="auto" w:fill="auto"/>
          </w:tcPr>
          <w:p w:rsidR="00C21644" w:rsidRPr="007765E3" w:rsidRDefault="00CC228D" w:rsidP="005F1ED8">
            <w:pPr>
              <w:rPr>
                <w:sz w:val="20"/>
                <w:szCs w:val="20"/>
                <w:lang w:val="fr-CA"/>
              </w:rPr>
            </w:pPr>
            <w:r w:rsidRPr="007765E3">
              <w:rPr>
                <w:b/>
                <w:sz w:val="20"/>
                <w:szCs w:val="20"/>
                <w:lang w:val="fr-CA"/>
              </w:rPr>
              <w:t>Ville de Montréal</w:t>
            </w:r>
          </w:p>
          <w:p w:rsidR="00CC228D" w:rsidRPr="007765E3" w:rsidRDefault="00CC228D" w:rsidP="005F1ED8">
            <w:pPr>
              <w:rPr>
                <w:sz w:val="20"/>
                <w:szCs w:val="20"/>
                <w:lang w:val="fr-CA"/>
              </w:rPr>
            </w:pPr>
            <w:r w:rsidRPr="007765E3">
              <w:rPr>
                <w:sz w:val="20"/>
                <w:szCs w:val="20"/>
                <w:lang w:val="fr-CA"/>
              </w:rPr>
              <w:tab/>
              <w:t>Pierre Yves Boisvert</w:t>
            </w:r>
          </w:p>
          <w:p w:rsidR="00CC228D" w:rsidRPr="007765E3" w:rsidRDefault="00CC228D" w:rsidP="005F1ED8">
            <w:pPr>
              <w:rPr>
                <w:sz w:val="20"/>
                <w:szCs w:val="20"/>
                <w:lang w:val="fr-CA"/>
              </w:rPr>
            </w:pPr>
            <w:r w:rsidRPr="007765E3">
              <w:rPr>
                <w:sz w:val="20"/>
                <w:szCs w:val="20"/>
                <w:lang w:val="fr-CA"/>
              </w:rPr>
              <w:tab/>
            </w:r>
            <w:proofErr w:type="spellStart"/>
            <w:r w:rsidRPr="007765E3">
              <w:rPr>
                <w:sz w:val="20"/>
                <w:szCs w:val="20"/>
                <w:lang w:val="fr-CA"/>
              </w:rPr>
              <w:t>Dagenais</w:t>
            </w:r>
            <w:proofErr w:type="spellEnd"/>
            <w:r w:rsidRPr="007765E3">
              <w:rPr>
                <w:sz w:val="20"/>
                <w:szCs w:val="20"/>
                <w:lang w:val="fr-CA"/>
              </w:rPr>
              <w:t xml:space="preserve">, </w:t>
            </w:r>
            <w:proofErr w:type="spellStart"/>
            <w:r w:rsidRPr="007765E3">
              <w:rPr>
                <w:sz w:val="20"/>
                <w:szCs w:val="20"/>
                <w:lang w:val="fr-CA"/>
              </w:rPr>
              <w:t>Gagnier</w:t>
            </w:r>
            <w:proofErr w:type="spellEnd"/>
            <w:r w:rsidRPr="007765E3">
              <w:rPr>
                <w:sz w:val="20"/>
                <w:szCs w:val="20"/>
                <w:lang w:val="fr-CA"/>
              </w:rPr>
              <w:t>, Biron</w:t>
            </w:r>
          </w:p>
          <w:p w:rsidR="00CC228D" w:rsidRPr="007765E3" w:rsidRDefault="00CC228D" w:rsidP="005F1ED8">
            <w:pPr>
              <w:rPr>
                <w:sz w:val="20"/>
                <w:szCs w:val="20"/>
                <w:lang w:val="fr-CA"/>
              </w:rPr>
            </w:pPr>
          </w:p>
          <w:p w:rsidR="00CC228D" w:rsidRPr="007765E3" w:rsidRDefault="00CC228D" w:rsidP="005F1ED8">
            <w:pPr>
              <w:rPr>
                <w:sz w:val="20"/>
                <w:szCs w:val="20"/>
                <w:lang w:val="fr-CA"/>
              </w:rPr>
            </w:pPr>
            <w:r w:rsidRPr="007765E3">
              <w:rPr>
                <w:sz w:val="20"/>
                <w:szCs w:val="20"/>
                <w:lang w:val="fr-CA"/>
              </w:rPr>
              <w:tab/>
              <w:t>c. (37184)</w:t>
            </w:r>
          </w:p>
          <w:p w:rsidR="00CC228D" w:rsidRPr="007765E3" w:rsidRDefault="00CC228D" w:rsidP="005F1ED8">
            <w:pPr>
              <w:rPr>
                <w:sz w:val="20"/>
                <w:szCs w:val="20"/>
                <w:lang w:val="fr-CA"/>
              </w:rPr>
            </w:pPr>
            <w:bookmarkStart w:id="0" w:name="_GoBack"/>
            <w:bookmarkEnd w:id="0"/>
          </w:p>
          <w:p w:rsidR="00CC228D" w:rsidRPr="007765E3" w:rsidRDefault="00CC228D" w:rsidP="005F1ED8">
            <w:pPr>
              <w:rPr>
                <w:b/>
                <w:sz w:val="20"/>
                <w:szCs w:val="20"/>
                <w:lang w:val="fr-CA"/>
              </w:rPr>
            </w:pPr>
            <w:r w:rsidRPr="007765E3">
              <w:rPr>
                <w:b/>
                <w:sz w:val="20"/>
                <w:szCs w:val="20"/>
                <w:lang w:val="fr-CA"/>
              </w:rPr>
              <w:t xml:space="preserve">Davide </w:t>
            </w:r>
            <w:proofErr w:type="spellStart"/>
            <w:r w:rsidRPr="007765E3">
              <w:rPr>
                <w:b/>
                <w:sz w:val="20"/>
                <w:szCs w:val="20"/>
                <w:lang w:val="fr-CA"/>
              </w:rPr>
              <w:t>Lonardi</w:t>
            </w:r>
            <w:proofErr w:type="spellEnd"/>
            <w:r w:rsidRPr="007765E3">
              <w:rPr>
                <w:b/>
                <w:sz w:val="20"/>
                <w:szCs w:val="20"/>
                <w:lang w:val="fr-CA"/>
              </w:rPr>
              <w:t xml:space="preserve"> et autres (</w:t>
            </w:r>
            <w:proofErr w:type="spellStart"/>
            <w:r w:rsidRPr="007765E3">
              <w:rPr>
                <w:b/>
                <w:sz w:val="20"/>
                <w:szCs w:val="20"/>
                <w:lang w:val="fr-CA"/>
              </w:rPr>
              <w:t>Qc</w:t>
            </w:r>
            <w:proofErr w:type="spellEnd"/>
            <w:r w:rsidRPr="007765E3">
              <w:rPr>
                <w:b/>
                <w:sz w:val="20"/>
                <w:szCs w:val="20"/>
                <w:lang w:val="fr-CA"/>
              </w:rPr>
              <w:t>)</w:t>
            </w:r>
          </w:p>
          <w:p w:rsidR="00CC228D" w:rsidRPr="007765E3" w:rsidRDefault="00CC228D" w:rsidP="005F1ED8">
            <w:pPr>
              <w:rPr>
                <w:sz w:val="20"/>
                <w:szCs w:val="20"/>
                <w:lang w:val="fr-CA"/>
              </w:rPr>
            </w:pPr>
            <w:r w:rsidRPr="007765E3">
              <w:rPr>
                <w:sz w:val="20"/>
                <w:szCs w:val="20"/>
                <w:lang w:val="fr-CA"/>
              </w:rPr>
              <w:tab/>
            </w:r>
            <w:proofErr w:type="spellStart"/>
            <w:r w:rsidRPr="007765E3">
              <w:rPr>
                <w:sz w:val="20"/>
                <w:szCs w:val="20"/>
                <w:lang w:val="fr-CA"/>
              </w:rPr>
              <w:t>Mélany</w:t>
            </w:r>
            <w:proofErr w:type="spellEnd"/>
            <w:r w:rsidRPr="007765E3">
              <w:rPr>
                <w:sz w:val="20"/>
                <w:szCs w:val="20"/>
                <w:lang w:val="fr-CA"/>
              </w:rPr>
              <w:t xml:space="preserve"> Renaud</w:t>
            </w:r>
          </w:p>
          <w:p w:rsidR="00CC228D" w:rsidRPr="007765E3" w:rsidRDefault="00CC228D" w:rsidP="005F1ED8">
            <w:pPr>
              <w:rPr>
                <w:sz w:val="20"/>
                <w:szCs w:val="20"/>
                <w:lang w:val="fr-CA"/>
              </w:rPr>
            </w:pPr>
            <w:r w:rsidRPr="007765E3">
              <w:rPr>
                <w:sz w:val="20"/>
                <w:szCs w:val="20"/>
                <w:lang w:val="fr-CA"/>
              </w:rPr>
              <w:tab/>
              <w:t xml:space="preserve">Avocats Laval </w:t>
            </w:r>
            <w:proofErr w:type="spellStart"/>
            <w:r w:rsidRPr="007765E3">
              <w:rPr>
                <w:sz w:val="20"/>
                <w:szCs w:val="20"/>
                <w:lang w:val="fr-CA"/>
              </w:rPr>
              <w:t>s.n</w:t>
            </w:r>
            <w:proofErr w:type="spellEnd"/>
            <w:r w:rsidRPr="007765E3">
              <w:rPr>
                <w:sz w:val="20"/>
                <w:szCs w:val="20"/>
                <w:lang w:val="fr-CA"/>
              </w:rPr>
              <w:t>.</w:t>
            </w:r>
          </w:p>
          <w:p w:rsidR="00CC228D" w:rsidRPr="007765E3" w:rsidRDefault="00CC228D" w:rsidP="005F1ED8">
            <w:pPr>
              <w:rPr>
                <w:sz w:val="20"/>
                <w:szCs w:val="20"/>
                <w:lang w:val="fr-CA"/>
              </w:rPr>
            </w:pPr>
          </w:p>
          <w:p w:rsidR="00CC228D" w:rsidRPr="007765E3" w:rsidRDefault="00CC228D" w:rsidP="005F1ED8">
            <w:pPr>
              <w:rPr>
                <w:sz w:val="20"/>
                <w:szCs w:val="20"/>
                <w:lang w:val="fr-CA"/>
              </w:rPr>
            </w:pPr>
            <w:r w:rsidRPr="007765E3">
              <w:rPr>
                <w:sz w:val="20"/>
                <w:szCs w:val="20"/>
                <w:lang w:val="fr-CA"/>
              </w:rPr>
              <w:t>DATE DE PRODUCTION : 13.09.2016</w:t>
            </w:r>
          </w:p>
          <w:p w:rsidR="00C21644" w:rsidRPr="007765E3" w:rsidRDefault="007765E3" w:rsidP="005F1ED8">
            <w:pPr>
              <w:rPr>
                <w:sz w:val="20"/>
                <w:szCs w:val="20"/>
              </w:rPr>
            </w:pPr>
            <w:r w:rsidRPr="007765E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p w:rsidR="00C21644" w:rsidRPr="007765E3" w:rsidRDefault="00C21644" w:rsidP="00242AEE">
            <w:pPr>
              <w:jc w:val="center"/>
              <w:rPr>
                <w:sz w:val="20"/>
                <w:szCs w:val="20"/>
              </w:rPr>
            </w:pPr>
          </w:p>
        </w:tc>
        <w:tc>
          <w:tcPr>
            <w:tcW w:w="4320" w:type="dxa"/>
            <w:shd w:val="clear" w:color="auto" w:fill="auto"/>
          </w:tcPr>
          <w:p w:rsidR="00CC228D" w:rsidRPr="007765E3" w:rsidRDefault="00CC228D" w:rsidP="00E942C2">
            <w:pPr>
              <w:rPr>
                <w:b/>
                <w:sz w:val="20"/>
                <w:szCs w:val="20"/>
                <w:lang w:val="en-US"/>
              </w:rPr>
            </w:pPr>
            <w:proofErr w:type="spellStart"/>
            <w:r w:rsidRPr="007765E3">
              <w:rPr>
                <w:b/>
                <w:sz w:val="20"/>
                <w:szCs w:val="20"/>
                <w:lang w:val="en-US"/>
              </w:rPr>
              <w:t>Mamadou</w:t>
            </w:r>
            <w:proofErr w:type="spellEnd"/>
            <w:r w:rsidRPr="007765E3">
              <w:rPr>
                <w:b/>
                <w:sz w:val="20"/>
                <w:szCs w:val="20"/>
                <w:lang w:val="en-US"/>
              </w:rPr>
              <w:t xml:space="preserve"> </w:t>
            </w:r>
            <w:proofErr w:type="spellStart"/>
            <w:r w:rsidRPr="007765E3">
              <w:rPr>
                <w:b/>
                <w:sz w:val="20"/>
                <w:szCs w:val="20"/>
                <w:lang w:val="en-US"/>
              </w:rPr>
              <w:t>Zoungrana</w:t>
            </w:r>
            <w:proofErr w:type="spellEnd"/>
          </w:p>
          <w:p w:rsidR="00CC228D" w:rsidRPr="007765E3" w:rsidRDefault="00CC228D" w:rsidP="00E942C2">
            <w:pPr>
              <w:rPr>
                <w:sz w:val="20"/>
                <w:szCs w:val="20"/>
                <w:lang w:val="en-US"/>
              </w:rPr>
            </w:pPr>
            <w:r w:rsidRPr="007765E3">
              <w:rPr>
                <w:sz w:val="20"/>
                <w:szCs w:val="20"/>
                <w:lang w:val="en-US"/>
              </w:rPr>
              <w:tab/>
              <w:t xml:space="preserve">Gérard </w:t>
            </w:r>
            <w:proofErr w:type="spellStart"/>
            <w:r w:rsidRPr="007765E3">
              <w:rPr>
                <w:sz w:val="20"/>
                <w:szCs w:val="20"/>
                <w:lang w:val="en-US"/>
              </w:rPr>
              <w:t>Samet</w:t>
            </w:r>
            <w:proofErr w:type="spellEnd"/>
          </w:p>
          <w:p w:rsidR="00CC228D" w:rsidRPr="007765E3" w:rsidRDefault="00CC228D" w:rsidP="00E942C2">
            <w:pPr>
              <w:rPr>
                <w:sz w:val="20"/>
                <w:szCs w:val="20"/>
                <w:lang w:val="en-US"/>
              </w:rPr>
            </w:pPr>
            <w:r w:rsidRPr="007765E3">
              <w:rPr>
                <w:sz w:val="20"/>
                <w:szCs w:val="20"/>
                <w:lang w:val="en-US"/>
              </w:rPr>
              <w:tab/>
              <w:t xml:space="preserve">Colas, Moreira, </w:t>
            </w:r>
            <w:proofErr w:type="spellStart"/>
            <w:r w:rsidRPr="007765E3">
              <w:rPr>
                <w:sz w:val="20"/>
                <w:szCs w:val="20"/>
                <w:lang w:val="en-US"/>
              </w:rPr>
              <w:t>Kazandjian</w:t>
            </w:r>
            <w:proofErr w:type="spellEnd"/>
            <w:r w:rsidRPr="007765E3">
              <w:rPr>
                <w:sz w:val="20"/>
                <w:szCs w:val="20"/>
                <w:lang w:val="en-US"/>
              </w:rPr>
              <w:t xml:space="preserve">, </w:t>
            </w:r>
            <w:proofErr w:type="spellStart"/>
            <w:r w:rsidRPr="007765E3">
              <w:rPr>
                <w:sz w:val="20"/>
                <w:szCs w:val="20"/>
                <w:lang w:val="en-US"/>
              </w:rPr>
              <w:t>Zikovsky</w:t>
            </w:r>
            <w:proofErr w:type="spellEnd"/>
            <w:r w:rsidRPr="007765E3">
              <w:rPr>
                <w:sz w:val="20"/>
                <w:szCs w:val="20"/>
                <w:lang w:val="en-US"/>
              </w:rPr>
              <w:t xml:space="preserve"> </w:t>
            </w:r>
            <w:r w:rsidRPr="007765E3">
              <w:rPr>
                <w:sz w:val="20"/>
                <w:szCs w:val="20"/>
                <w:lang w:val="en-US"/>
              </w:rPr>
              <w:tab/>
              <w:t>LLP</w:t>
            </w:r>
          </w:p>
          <w:p w:rsidR="00CC228D" w:rsidRPr="007765E3" w:rsidRDefault="00CC228D" w:rsidP="00E942C2">
            <w:pPr>
              <w:rPr>
                <w:b/>
                <w:sz w:val="20"/>
                <w:szCs w:val="20"/>
                <w:lang w:val="en-US"/>
              </w:rPr>
            </w:pPr>
          </w:p>
          <w:p w:rsidR="00CC228D" w:rsidRPr="007765E3" w:rsidRDefault="00CC228D" w:rsidP="00E942C2">
            <w:pPr>
              <w:rPr>
                <w:sz w:val="20"/>
                <w:szCs w:val="20"/>
                <w:lang w:val="en-US"/>
              </w:rPr>
            </w:pPr>
            <w:r w:rsidRPr="007765E3">
              <w:rPr>
                <w:b/>
                <w:sz w:val="20"/>
                <w:szCs w:val="20"/>
                <w:lang w:val="en-US"/>
              </w:rPr>
              <w:tab/>
            </w:r>
            <w:r w:rsidRPr="007765E3">
              <w:rPr>
                <w:sz w:val="20"/>
                <w:szCs w:val="20"/>
                <w:lang w:val="en-US"/>
              </w:rPr>
              <w:t>c. (37190)</w:t>
            </w:r>
          </w:p>
          <w:p w:rsidR="00CC228D" w:rsidRPr="007765E3" w:rsidRDefault="00CC228D" w:rsidP="00E942C2">
            <w:pPr>
              <w:rPr>
                <w:sz w:val="20"/>
                <w:szCs w:val="20"/>
                <w:lang w:val="en-US"/>
              </w:rPr>
            </w:pPr>
          </w:p>
          <w:p w:rsidR="00CC228D" w:rsidRPr="007765E3" w:rsidRDefault="00CC228D" w:rsidP="00E942C2">
            <w:pPr>
              <w:rPr>
                <w:b/>
                <w:sz w:val="20"/>
                <w:szCs w:val="20"/>
                <w:lang w:val="en-US"/>
              </w:rPr>
            </w:pPr>
            <w:r w:rsidRPr="007765E3">
              <w:rPr>
                <w:b/>
                <w:sz w:val="20"/>
                <w:szCs w:val="20"/>
                <w:lang w:val="en-US"/>
              </w:rPr>
              <w:t xml:space="preserve">Air </w:t>
            </w:r>
            <w:proofErr w:type="spellStart"/>
            <w:r w:rsidRPr="007765E3">
              <w:rPr>
                <w:b/>
                <w:sz w:val="20"/>
                <w:szCs w:val="20"/>
                <w:lang w:val="en-US"/>
              </w:rPr>
              <w:t>Algérie</w:t>
            </w:r>
            <w:proofErr w:type="spellEnd"/>
            <w:r w:rsidRPr="007765E3">
              <w:rPr>
                <w:b/>
                <w:sz w:val="20"/>
                <w:szCs w:val="20"/>
                <w:lang w:val="en-US"/>
              </w:rPr>
              <w:t xml:space="preserve"> (Qc)</w:t>
            </w:r>
          </w:p>
          <w:p w:rsidR="00CC228D" w:rsidRPr="007765E3" w:rsidRDefault="00CC228D" w:rsidP="00E942C2">
            <w:pPr>
              <w:rPr>
                <w:sz w:val="20"/>
                <w:szCs w:val="20"/>
                <w:lang w:val="en-US"/>
              </w:rPr>
            </w:pPr>
            <w:r w:rsidRPr="007765E3">
              <w:rPr>
                <w:sz w:val="20"/>
                <w:szCs w:val="20"/>
                <w:lang w:val="en-US"/>
              </w:rPr>
              <w:tab/>
              <w:t xml:space="preserve">Catherine </w:t>
            </w:r>
            <w:proofErr w:type="spellStart"/>
            <w:r w:rsidRPr="007765E3">
              <w:rPr>
                <w:sz w:val="20"/>
                <w:szCs w:val="20"/>
                <w:lang w:val="en-US"/>
              </w:rPr>
              <w:t>Chaput</w:t>
            </w:r>
            <w:proofErr w:type="spellEnd"/>
          </w:p>
          <w:p w:rsidR="00CC228D" w:rsidRPr="007765E3" w:rsidRDefault="00CC228D" w:rsidP="00E942C2">
            <w:pPr>
              <w:rPr>
                <w:sz w:val="20"/>
                <w:szCs w:val="20"/>
                <w:lang w:val="en-US"/>
              </w:rPr>
            </w:pPr>
            <w:r w:rsidRPr="007765E3">
              <w:rPr>
                <w:sz w:val="20"/>
                <w:szCs w:val="20"/>
                <w:lang w:val="en-US"/>
              </w:rPr>
              <w:tab/>
            </w:r>
            <w:proofErr w:type="spellStart"/>
            <w:r w:rsidRPr="007765E3">
              <w:rPr>
                <w:sz w:val="20"/>
                <w:szCs w:val="20"/>
                <w:lang w:val="en-US"/>
              </w:rPr>
              <w:t>Gasco</w:t>
            </w:r>
            <w:proofErr w:type="spellEnd"/>
            <w:r w:rsidRPr="007765E3">
              <w:rPr>
                <w:sz w:val="20"/>
                <w:szCs w:val="20"/>
                <w:lang w:val="en-US"/>
              </w:rPr>
              <w:t>, Goodhue, St-</w:t>
            </w:r>
            <w:proofErr w:type="spellStart"/>
            <w:r w:rsidRPr="007765E3">
              <w:rPr>
                <w:sz w:val="20"/>
                <w:szCs w:val="20"/>
                <w:lang w:val="en-US"/>
              </w:rPr>
              <w:t>Germain</w:t>
            </w:r>
            <w:proofErr w:type="spellEnd"/>
            <w:r w:rsidRPr="007765E3">
              <w:rPr>
                <w:sz w:val="20"/>
                <w:szCs w:val="20"/>
                <w:lang w:val="en-US"/>
              </w:rPr>
              <w:t xml:space="preserve">, </w:t>
            </w:r>
            <w:proofErr w:type="spellStart"/>
            <w:r w:rsidRPr="007765E3">
              <w:rPr>
                <w:sz w:val="20"/>
                <w:szCs w:val="20"/>
                <w:lang w:val="en-US"/>
              </w:rPr>
              <w:t>s.e.n.c.r.l</w:t>
            </w:r>
            <w:proofErr w:type="spellEnd"/>
            <w:r w:rsidRPr="007765E3">
              <w:rPr>
                <w:sz w:val="20"/>
                <w:szCs w:val="20"/>
                <w:lang w:val="en-US"/>
              </w:rPr>
              <w:t>.</w:t>
            </w:r>
          </w:p>
          <w:p w:rsidR="00CC228D" w:rsidRPr="007765E3" w:rsidRDefault="00CC228D" w:rsidP="00E942C2">
            <w:pPr>
              <w:rPr>
                <w:sz w:val="20"/>
                <w:szCs w:val="20"/>
                <w:lang w:val="en-US"/>
              </w:rPr>
            </w:pPr>
          </w:p>
          <w:p w:rsidR="00CC228D" w:rsidRPr="007765E3" w:rsidRDefault="00CC228D" w:rsidP="00E942C2">
            <w:pPr>
              <w:rPr>
                <w:b/>
                <w:sz w:val="20"/>
                <w:szCs w:val="20"/>
                <w:lang w:val="en-US"/>
              </w:rPr>
            </w:pPr>
            <w:r w:rsidRPr="007765E3">
              <w:rPr>
                <w:sz w:val="20"/>
                <w:szCs w:val="20"/>
                <w:lang w:val="en-US"/>
              </w:rPr>
              <w:t>DATE DE PRODUCTION: 14.09.2016</w:t>
            </w:r>
          </w:p>
          <w:p w:rsidR="00C21644" w:rsidRPr="007765E3" w:rsidRDefault="007765E3" w:rsidP="00E942C2">
            <w:pPr>
              <w:rPr>
                <w:sz w:val="20"/>
                <w:szCs w:val="20"/>
                <w:lang w:val="fr-CA"/>
              </w:rPr>
            </w:pPr>
            <w:r w:rsidRPr="007765E3">
              <w:rPr>
                <w:sz w:val="20"/>
                <w:szCs w:val="20"/>
                <w:lang w:val="fr-CA"/>
              </w:rPr>
              <w:pict>
                <v:rect id="_x0000_i1026" style="width:108pt;height:1pt" o:hrpct="0" o:hralign="center" o:hrstd="t" o:hrnoshade="t" o:hr="t" fillcolor="black [3213]" stroked="f"/>
              </w:pict>
            </w:r>
          </w:p>
          <w:p w:rsidR="00CC228D" w:rsidRPr="007765E3" w:rsidRDefault="00CC228D" w:rsidP="00E942C2">
            <w:pPr>
              <w:rPr>
                <w:sz w:val="20"/>
                <w:szCs w:val="20"/>
                <w:lang w:val="fr-CA"/>
              </w:rPr>
            </w:pPr>
          </w:p>
        </w:tc>
      </w:tr>
      <w:tr w:rsidR="00C21644" w:rsidRPr="007765E3" w:rsidTr="003B3977">
        <w:tc>
          <w:tcPr>
            <w:tcW w:w="4320" w:type="dxa"/>
            <w:shd w:val="clear" w:color="auto" w:fill="auto"/>
          </w:tcPr>
          <w:p w:rsidR="00C21644" w:rsidRPr="007765E3" w:rsidRDefault="00DE549C" w:rsidP="003B3977">
            <w:pPr>
              <w:rPr>
                <w:b/>
                <w:sz w:val="20"/>
                <w:szCs w:val="20"/>
                <w:lang w:val="fr-CA"/>
              </w:rPr>
            </w:pPr>
            <w:r w:rsidRPr="007765E3">
              <w:rPr>
                <w:b/>
                <w:sz w:val="20"/>
                <w:szCs w:val="20"/>
                <w:lang w:val="fr-CA"/>
              </w:rPr>
              <w:t xml:space="preserve">Tammy </w:t>
            </w:r>
            <w:proofErr w:type="spellStart"/>
            <w:r w:rsidRPr="007765E3">
              <w:rPr>
                <w:b/>
                <w:sz w:val="20"/>
                <w:szCs w:val="20"/>
                <w:lang w:val="fr-CA"/>
              </w:rPr>
              <w:t>Onyskiw</w:t>
            </w:r>
            <w:proofErr w:type="spellEnd"/>
            <w:r w:rsidRPr="007765E3">
              <w:rPr>
                <w:b/>
                <w:sz w:val="20"/>
                <w:szCs w:val="20"/>
                <w:lang w:val="fr-CA"/>
              </w:rPr>
              <w:t xml:space="preserve"> et al.</w:t>
            </w:r>
          </w:p>
          <w:p w:rsidR="00DE549C" w:rsidRPr="007765E3" w:rsidRDefault="00DE549C" w:rsidP="003B3977">
            <w:pPr>
              <w:rPr>
                <w:sz w:val="20"/>
                <w:szCs w:val="20"/>
                <w:lang w:val="fr-CA"/>
              </w:rPr>
            </w:pPr>
            <w:r w:rsidRPr="007765E3">
              <w:rPr>
                <w:sz w:val="20"/>
                <w:szCs w:val="20"/>
                <w:lang w:val="fr-CA"/>
              </w:rPr>
              <w:tab/>
              <w:t xml:space="preserve">Lesli </w:t>
            </w:r>
            <w:proofErr w:type="spellStart"/>
            <w:r w:rsidRPr="007765E3">
              <w:rPr>
                <w:sz w:val="20"/>
                <w:szCs w:val="20"/>
                <w:lang w:val="fr-CA"/>
              </w:rPr>
              <w:t>Bisgould</w:t>
            </w:r>
            <w:proofErr w:type="spellEnd"/>
          </w:p>
          <w:p w:rsidR="00DE549C" w:rsidRPr="007765E3" w:rsidRDefault="00DE549C" w:rsidP="003B3977">
            <w:pPr>
              <w:rPr>
                <w:sz w:val="20"/>
                <w:szCs w:val="20"/>
              </w:rPr>
            </w:pPr>
            <w:r w:rsidRPr="007765E3">
              <w:rPr>
                <w:sz w:val="20"/>
                <w:szCs w:val="20"/>
                <w:lang w:val="fr-CA"/>
              </w:rPr>
              <w:tab/>
            </w:r>
            <w:r w:rsidRPr="007765E3">
              <w:rPr>
                <w:sz w:val="20"/>
                <w:szCs w:val="20"/>
              </w:rPr>
              <w:t>Legal Aid Ontario</w:t>
            </w:r>
          </w:p>
          <w:p w:rsidR="00DE549C" w:rsidRPr="007765E3" w:rsidRDefault="00DE549C" w:rsidP="003B3977">
            <w:pPr>
              <w:rPr>
                <w:sz w:val="20"/>
                <w:szCs w:val="20"/>
              </w:rPr>
            </w:pPr>
          </w:p>
          <w:p w:rsidR="00DE549C" w:rsidRPr="007765E3" w:rsidRDefault="00DE549C" w:rsidP="003B3977">
            <w:pPr>
              <w:rPr>
                <w:sz w:val="20"/>
                <w:szCs w:val="20"/>
              </w:rPr>
            </w:pPr>
            <w:r w:rsidRPr="007765E3">
              <w:rPr>
                <w:sz w:val="20"/>
                <w:szCs w:val="20"/>
              </w:rPr>
              <w:tab/>
              <w:t>v. (37192)</w:t>
            </w:r>
          </w:p>
          <w:p w:rsidR="00DE549C" w:rsidRPr="007765E3" w:rsidRDefault="00DE549C" w:rsidP="003B3977">
            <w:pPr>
              <w:rPr>
                <w:sz w:val="20"/>
                <w:szCs w:val="20"/>
              </w:rPr>
            </w:pPr>
          </w:p>
          <w:p w:rsidR="00DE549C" w:rsidRPr="007765E3" w:rsidRDefault="00DE549C" w:rsidP="003B3977">
            <w:pPr>
              <w:rPr>
                <w:b/>
                <w:sz w:val="20"/>
                <w:szCs w:val="20"/>
              </w:rPr>
            </w:pPr>
            <w:r w:rsidRPr="007765E3">
              <w:rPr>
                <w:b/>
                <w:sz w:val="20"/>
                <w:szCs w:val="20"/>
              </w:rPr>
              <w:t>CJM Property Management Ltd. (Ont.)</w:t>
            </w:r>
          </w:p>
          <w:p w:rsidR="00DE549C" w:rsidRPr="007765E3" w:rsidRDefault="00DE549C" w:rsidP="003B3977">
            <w:pPr>
              <w:rPr>
                <w:sz w:val="20"/>
                <w:szCs w:val="20"/>
              </w:rPr>
            </w:pPr>
            <w:r w:rsidRPr="007765E3">
              <w:rPr>
                <w:sz w:val="20"/>
                <w:szCs w:val="20"/>
              </w:rPr>
              <w:tab/>
              <w:t>S. David Lyman</w:t>
            </w:r>
          </w:p>
          <w:p w:rsidR="00DE549C" w:rsidRPr="007765E3" w:rsidRDefault="00DE549C" w:rsidP="003B3977">
            <w:pPr>
              <w:rPr>
                <w:sz w:val="20"/>
                <w:szCs w:val="20"/>
              </w:rPr>
            </w:pPr>
            <w:r w:rsidRPr="007765E3">
              <w:rPr>
                <w:sz w:val="20"/>
                <w:szCs w:val="20"/>
              </w:rPr>
              <w:tab/>
              <w:t>Dickie &amp; Lyman Lawyers LLP</w:t>
            </w:r>
          </w:p>
          <w:p w:rsidR="00DE549C" w:rsidRPr="007765E3" w:rsidRDefault="00DE549C" w:rsidP="003B3977">
            <w:pPr>
              <w:rPr>
                <w:sz w:val="20"/>
                <w:szCs w:val="20"/>
              </w:rPr>
            </w:pPr>
          </w:p>
          <w:p w:rsidR="00DE549C" w:rsidRPr="007765E3" w:rsidRDefault="00DE549C" w:rsidP="003B3977">
            <w:pPr>
              <w:rPr>
                <w:sz w:val="20"/>
                <w:szCs w:val="20"/>
              </w:rPr>
            </w:pPr>
            <w:r w:rsidRPr="007765E3">
              <w:rPr>
                <w:sz w:val="20"/>
                <w:szCs w:val="20"/>
              </w:rPr>
              <w:t>FILING DATE: 14.09.2016</w:t>
            </w:r>
          </w:p>
          <w:p w:rsidR="00DE549C" w:rsidRPr="007765E3" w:rsidRDefault="007765E3" w:rsidP="003B3977">
            <w:pPr>
              <w:rPr>
                <w:sz w:val="20"/>
                <w:szCs w:val="20"/>
              </w:rPr>
            </w:pPr>
            <w:r w:rsidRPr="007765E3">
              <w:rPr>
                <w:sz w:val="20"/>
                <w:szCs w:val="20"/>
                <w:lang w:val="fr-CA"/>
              </w:rPr>
              <w:pict>
                <v:rect id="_x0000_i1027" style="width:108pt;height:1pt" o:hrpct="0" o:hralign="center" o:hrstd="t" o:hrnoshade="t" o:hr="t" fillcolor="black [3213]" stroked="f"/>
              </w:pict>
            </w:r>
          </w:p>
          <w:p w:rsidR="00DE549C" w:rsidRPr="007765E3" w:rsidRDefault="00DE549C" w:rsidP="003B3977">
            <w:pPr>
              <w:rPr>
                <w:sz w:val="20"/>
                <w:szCs w:val="20"/>
              </w:rPr>
            </w:pPr>
          </w:p>
        </w:tc>
        <w:tc>
          <w:tcPr>
            <w:tcW w:w="1181" w:type="dxa"/>
            <w:shd w:val="clear" w:color="auto" w:fill="auto"/>
          </w:tcPr>
          <w:p w:rsidR="00C21644" w:rsidRPr="007765E3" w:rsidRDefault="00C21644" w:rsidP="00242AEE">
            <w:pPr>
              <w:jc w:val="center"/>
              <w:rPr>
                <w:sz w:val="20"/>
                <w:szCs w:val="20"/>
              </w:rPr>
            </w:pPr>
          </w:p>
        </w:tc>
        <w:tc>
          <w:tcPr>
            <w:tcW w:w="4320" w:type="dxa"/>
            <w:shd w:val="clear" w:color="auto" w:fill="auto"/>
          </w:tcPr>
          <w:p w:rsidR="00C21644" w:rsidRPr="007765E3" w:rsidRDefault="000F2AF7" w:rsidP="00E942C2">
            <w:pPr>
              <w:rPr>
                <w:b/>
                <w:sz w:val="20"/>
                <w:szCs w:val="20"/>
              </w:rPr>
            </w:pPr>
            <w:r w:rsidRPr="007765E3">
              <w:rPr>
                <w:b/>
                <w:sz w:val="20"/>
                <w:szCs w:val="20"/>
              </w:rPr>
              <w:t>Tristin Jones</w:t>
            </w:r>
          </w:p>
          <w:p w:rsidR="000F2AF7" w:rsidRPr="007765E3" w:rsidRDefault="000F2AF7" w:rsidP="00E942C2">
            <w:pPr>
              <w:rPr>
                <w:sz w:val="20"/>
                <w:szCs w:val="20"/>
              </w:rPr>
            </w:pPr>
            <w:r w:rsidRPr="007765E3">
              <w:rPr>
                <w:b/>
                <w:sz w:val="20"/>
                <w:szCs w:val="20"/>
              </w:rPr>
              <w:tab/>
            </w:r>
            <w:r w:rsidRPr="007765E3">
              <w:rPr>
                <w:sz w:val="20"/>
                <w:szCs w:val="20"/>
              </w:rPr>
              <w:t xml:space="preserve">Patrick McCann </w:t>
            </w:r>
          </w:p>
          <w:p w:rsidR="000F2AF7" w:rsidRPr="007765E3" w:rsidRDefault="000F2AF7" w:rsidP="00E942C2">
            <w:pPr>
              <w:rPr>
                <w:sz w:val="20"/>
                <w:szCs w:val="20"/>
              </w:rPr>
            </w:pPr>
          </w:p>
          <w:p w:rsidR="000F2AF7" w:rsidRPr="007765E3" w:rsidRDefault="000F2AF7" w:rsidP="00E942C2">
            <w:pPr>
              <w:rPr>
                <w:sz w:val="20"/>
                <w:szCs w:val="20"/>
              </w:rPr>
            </w:pPr>
            <w:r w:rsidRPr="007765E3">
              <w:rPr>
                <w:sz w:val="20"/>
                <w:szCs w:val="20"/>
              </w:rPr>
              <w:tab/>
              <w:t>v. (37194)</w:t>
            </w:r>
          </w:p>
          <w:p w:rsidR="000F2AF7" w:rsidRPr="007765E3" w:rsidRDefault="000F2AF7" w:rsidP="00E942C2">
            <w:pPr>
              <w:rPr>
                <w:sz w:val="20"/>
                <w:szCs w:val="20"/>
              </w:rPr>
            </w:pPr>
          </w:p>
          <w:p w:rsidR="000F2AF7" w:rsidRPr="007765E3" w:rsidRDefault="000F2AF7" w:rsidP="00E942C2">
            <w:pPr>
              <w:rPr>
                <w:b/>
                <w:sz w:val="20"/>
                <w:szCs w:val="20"/>
              </w:rPr>
            </w:pPr>
            <w:r w:rsidRPr="007765E3">
              <w:rPr>
                <w:b/>
                <w:sz w:val="20"/>
                <w:szCs w:val="20"/>
              </w:rPr>
              <w:t>Her Majesty the Queen in Right of Ontario, et al. (Ont.)</w:t>
            </w:r>
          </w:p>
          <w:p w:rsidR="000F2AF7" w:rsidRPr="007765E3" w:rsidRDefault="000F2AF7" w:rsidP="00E942C2">
            <w:pPr>
              <w:rPr>
                <w:sz w:val="20"/>
                <w:szCs w:val="20"/>
              </w:rPr>
            </w:pPr>
            <w:r w:rsidRPr="007765E3">
              <w:rPr>
                <w:sz w:val="20"/>
                <w:szCs w:val="20"/>
              </w:rPr>
              <w:tab/>
              <w:t>Randy Schwartz</w:t>
            </w:r>
          </w:p>
          <w:p w:rsidR="000F2AF7" w:rsidRPr="007765E3" w:rsidRDefault="000F2AF7" w:rsidP="00E942C2">
            <w:pPr>
              <w:rPr>
                <w:sz w:val="20"/>
                <w:szCs w:val="20"/>
              </w:rPr>
            </w:pPr>
            <w:r w:rsidRPr="007765E3">
              <w:rPr>
                <w:sz w:val="20"/>
                <w:szCs w:val="20"/>
              </w:rPr>
              <w:tab/>
              <w:t>A.G. of Ontario</w:t>
            </w:r>
          </w:p>
          <w:p w:rsidR="000F2AF7" w:rsidRPr="007765E3" w:rsidRDefault="000F2AF7" w:rsidP="00E942C2">
            <w:pPr>
              <w:rPr>
                <w:sz w:val="20"/>
                <w:szCs w:val="20"/>
              </w:rPr>
            </w:pPr>
          </w:p>
          <w:p w:rsidR="000F2AF7" w:rsidRPr="007765E3" w:rsidRDefault="000F2AF7" w:rsidP="00E942C2">
            <w:pPr>
              <w:rPr>
                <w:sz w:val="20"/>
                <w:szCs w:val="20"/>
              </w:rPr>
            </w:pPr>
            <w:r w:rsidRPr="007765E3">
              <w:rPr>
                <w:sz w:val="20"/>
                <w:szCs w:val="20"/>
              </w:rPr>
              <w:t>FILING DATE: 14.09.2016</w:t>
            </w:r>
          </w:p>
          <w:p w:rsidR="000F2AF7" w:rsidRPr="007765E3" w:rsidRDefault="007765E3" w:rsidP="00E942C2">
            <w:pPr>
              <w:rPr>
                <w:sz w:val="20"/>
                <w:szCs w:val="20"/>
              </w:rPr>
            </w:pPr>
            <w:r w:rsidRPr="007765E3">
              <w:rPr>
                <w:sz w:val="20"/>
                <w:szCs w:val="20"/>
                <w:lang w:val="fr-CA"/>
              </w:rPr>
              <w:pict>
                <v:rect id="_x0000_i1028" style="width:108pt;height:1pt" o:hrpct="0" o:hralign="center" o:hrstd="t" o:hrnoshade="t" o:hr="t" fillcolor="black [3213]" stroked="f"/>
              </w:pict>
            </w:r>
          </w:p>
        </w:tc>
      </w:tr>
      <w:tr w:rsidR="00C21644" w:rsidRPr="007765E3" w:rsidTr="003B3977">
        <w:tc>
          <w:tcPr>
            <w:tcW w:w="4320" w:type="dxa"/>
            <w:shd w:val="clear" w:color="auto" w:fill="auto"/>
          </w:tcPr>
          <w:p w:rsidR="00C21644" w:rsidRPr="007765E3" w:rsidRDefault="000F2AF7" w:rsidP="005F1ED8">
            <w:pPr>
              <w:rPr>
                <w:b/>
                <w:sz w:val="20"/>
                <w:szCs w:val="20"/>
                <w:lang w:val="fr-CA"/>
              </w:rPr>
            </w:pPr>
            <w:proofErr w:type="spellStart"/>
            <w:r w:rsidRPr="007765E3">
              <w:rPr>
                <w:b/>
                <w:sz w:val="20"/>
                <w:szCs w:val="20"/>
                <w:lang w:val="fr-CA"/>
              </w:rPr>
              <w:t>Nature’s</w:t>
            </w:r>
            <w:proofErr w:type="spellEnd"/>
            <w:r w:rsidRPr="007765E3">
              <w:rPr>
                <w:b/>
                <w:sz w:val="20"/>
                <w:szCs w:val="20"/>
                <w:lang w:val="fr-CA"/>
              </w:rPr>
              <w:t xml:space="preserve"> </w:t>
            </w:r>
            <w:proofErr w:type="spellStart"/>
            <w:r w:rsidRPr="007765E3">
              <w:rPr>
                <w:b/>
                <w:sz w:val="20"/>
                <w:szCs w:val="20"/>
                <w:lang w:val="fr-CA"/>
              </w:rPr>
              <w:t>Finest</w:t>
            </w:r>
            <w:proofErr w:type="spellEnd"/>
            <w:r w:rsidRPr="007765E3">
              <w:rPr>
                <w:b/>
                <w:sz w:val="20"/>
                <w:szCs w:val="20"/>
                <w:lang w:val="fr-CA"/>
              </w:rPr>
              <w:t xml:space="preserve"> </w:t>
            </w:r>
            <w:proofErr w:type="spellStart"/>
            <w:r w:rsidRPr="007765E3">
              <w:rPr>
                <w:b/>
                <w:sz w:val="20"/>
                <w:szCs w:val="20"/>
                <w:lang w:val="fr-CA"/>
              </w:rPr>
              <w:t>Produce</w:t>
            </w:r>
            <w:proofErr w:type="spellEnd"/>
            <w:r w:rsidRPr="007765E3">
              <w:rPr>
                <w:b/>
                <w:sz w:val="20"/>
                <w:szCs w:val="20"/>
                <w:lang w:val="fr-CA"/>
              </w:rPr>
              <w:t xml:space="preserve"> Ltd. et al. </w:t>
            </w:r>
          </w:p>
          <w:p w:rsidR="000F2AF7" w:rsidRPr="007765E3" w:rsidRDefault="000F2AF7" w:rsidP="005F1ED8">
            <w:pPr>
              <w:rPr>
                <w:sz w:val="20"/>
                <w:szCs w:val="20"/>
                <w:lang w:val="en-US"/>
              </w:rPr>
            </w:pPr>
            <w:r w:rsidRPr="007765E3">
              <w:rPr>
                <w:b/>
                <w:sz w:val="20"/>
                <w:szCs w:val="20"/>
                <w:lang w:val="fr-CA"/>
              </w:rPr>
              <w:tab/>
            </w:r>
            <w:r w:rsidR="00A7356B" w:rsidRPr="007765E3">
              <w:rPr>
                <w:sz w:val="20"/>
                <w:szCs w:val="20"/>
                <w:lang w:val="en-US"/>
              </w:rPr>
              <w:t xml:space="preserve">Raymond </w:t>
            </w:r>
            <w:proofErr w:type="spellStart"/>
            <w:r w:rsidR="00A7356B" w:rsidRPr="007765E3">
              <w:rPr>
                <w:sz w:val="20"/>
                <w:szCs w:val="20"/>
                <w:lang w:val="en-US"/>
              </w:rPr>
              <w:t>Co</w:t>
            </w:r>
            <w:r w:rsidRPr="007765E3">
              <w:rPr>
                <w:sz w:val="20"/>
                <w:szCs w:val="20"/>
                <w:lang w:val="en-US"/>
              </w:rPr>
              <w:t>lautti</w:t>
            </w:r>
            <w:proofErr w:type="spellEnd"/>
          </w:p>
          <w:p w:rsidR="000F2AF7" w:rsidRPr="007765E3" w:rsidRDefault="00A7356B" w:rsidP="005F1ED8">
            <w:pPr>
              <w:rPr>
                <w:sz w:val="20"/>
                <w:szCs w:val="20"/>
                <w:lang w:val="en-US"/>
              </w:rPr>
            </w:pPr>
            <w:r w:rsidRPr="007765E3">
              <w:rPr>
                <w:sz w:val="20"/>
                <w:szCs w:val="20"/>
                <w:lang w:val="en-US"/>
              </w:rPr>
              <w:tab/>
            </w:r>
            <w:proofErr w:type="spellStart"/>
            <w:r w:rsidRPr="007765E3">
              <w:rPr>
                <w:sz w:val="20"/>
                <w:szCs w:val="20"/>
                <w:lang w:val="en-US"/>
              </w:rPr>
              <w:t>Co</w:t>
            </w:r>
            <w:r w:rsidR="000F2AF7" w:rsidRPr="007765E3">
              <w:rPr>
                <w:sz w:val="20"/>
                <w:szCs w:val="20"/>
                <w:lang w:val="en-US"/>
              </w:rPr>
              <w:t>lautti</w:t>
            </w:r>
            <w:proofErr w:type="spellEnd"/>
            <w:r w:rsidR="000F2AF7" w:rsidRPr="007765E3">
              <w:rPr>
                <w:sz w:val="20"/>
                <w:szCs w:val="20"/>
                <w:lang w:val="en-US"/>
              </w:rPr>
              <w:t xml:space="preserve"> Landry Law Professional </w:t>
            </w:r>
            <w:r w:rsidR="000F2AF7" w:rsidRPr="007765E3">
              <w:rPr>
                <w:sz w:val="20"/>
                <w:szCs w:val="20"/>
                <w:lang w:val="en-US"/>
              </w:rPr>
              <w:tab/>
              <w:t>Corporation</w:t>
            </w:r>
          </w:p>
          <w:p w:rsidR="000F2AF7" w:rsidRPr="007765E3" w:rsidRDefault="000F2AF7" w:rsidP="005F1ED8">
            <w:pPr>
              <w:rPr>
                <w:sz w:val="20"/>
                <w:szCs w:val="20"/>
                <w:lang w:val="en-US"/>
              </w:rPr>
            </w:pPr>
          </w:p>
          <w:p w:rsidR="000F2AF7" w:rsidRPr="007765E3" w:rsidRDefault="000F2AF7" w:rsidP="005F1ED8">
            <w:pPr>
              <w:rPr>
                <w:sz w:val="20"/>
                <w:szCs w:val="20"/>
                <w:lang w:val="en-US"/>
              </w:rPr>
            </w:pPr>
            <w:r w:rsidRPr="007765E3">
              <w:rPr>
                <w:sz w:val="20"/>
                <w:szCs w:val="20"/>
                <w:lang w:val="en-US"/>
              </w:rPr>
              <w:tab/>
              <w:t>v. (37189)</w:t>
            </w:r>
          </w:p>
          <w:p w:rsidR="000F2AF7" w:rsidRPr="007765E3" w:rsidRDefault="000F2AF7" w:rsidP="005F1ED8">
            <w:pPr>
              <w:rPr>
                <w:sz w:val="20"/>
                <w:szCs w:val="20"/>
                <w:lang w:val="en-US"/>
              </w:rPr>
            </w:pPr>
          </w:p>
          <w:p w:rsidR="000F2AF7" w:rsidRPr="007765E3" w:rsidRDefault="000F2AF7" w:rsidP="005F1ED8">
            <w:pPr>
              <w:rPr>
                <w:b/>
                <w:sz w:val="20"/>
                <w:szCs w:val="20"/>
                <w:lang w:val="en-US"/>
              </w:rPr>
            </w:pPr>
            <w:r w:rsidRPr="007765E3">
              <w:rPr>
                <w:b/>
                <w:sz w:val="20"/>
                <w:szCs w:val="20"/>
                <w:lang w:val="en-US"/>
              </w:rPr>
              <w:t>R. &amp; G. Draper Farms (Keswick) Ltd. (Ont.)</w:t>
            </w:r>
          </w:p>
          <w:p w:rsidR="000F2AF7" w:rsidRPr="007765E3" w:rsidRDefault="000F2AF7" w:rsidP="005F1ED8">
            <w:pPr>
              <w:rPr>
                <w:sz w:val="20"/>
                <w:szCs w:val="20"/>
                <w:lang w:val="en-US"/>
              </w:rPr>
            </w:pPr>
            <w:r w:rsidRPr="007765E3">
              <w:rPr>
                <w:b/>
                <w:sz w:val="20"/>
                <w:szCs w:val="20"/>
                <w:lang w:val="en-US"/>
              </w:rPr>
              <w:tab/>
            </w:r>
            <w:r w:rsidRPr="007765E3">
              <w:rPr>
                <w:sz w:val="20"/>
                <w:szCs w:val="20"/>
                <w:lang w:val="en-US"/>
              </w:rPr>
              <w:t>Morris Manning, Q.C.</w:t>
            </w:r>
          </w:p>
          <w:p w:rsidR="000F2AF7" w:rsidRPr="007765E3" w:rsidRDefault="000F2AF7" w:rsidP="005F1ED8">
            <w:pPr>
              <w:rPr>
                <w:sz w:val="20"/>
                <w:szCs w:val="20"/>
                <w:lang w:val="en-US"/>
              </w:rPr>
            </w:pPr>
            <w:r w:rsidRPr="007765E3">
              <w:rPr>
                <w:sz w:val="20"/>
                <w:szCs w:val="20"/>
                <w:lang w:val="en-US"/>
              </w:rPr>
              <w:tab/>
              <w:t xml:space="preserve">Manning, Morris, Professional </w:t>
            </w:r>
            <w:r w:rsidRPr="007765E3">
              <w:rPr>
                <w:sz w:val="20"/>
                <w:szCs w:val="20"/>
                <w:lang w:val="en-US"/>
              </w:rPr>
              <w:tab/>
              <w:t>Corporation</w:t>
            </w:r>
          </w:p>
          <w:p w:rsidR="000F2AF7" w:rsidRPr="007765E3" w:rsidRDefault="000F2AF7" w:rsidP="005F1ED8">
            <w:pPr>
              <w:rPr>
                <w:sz w:val="20"/>
                <w:szCs w:val="20"/>
                <w:lang w:val="en-US"/>
              </w:rPr>
            </w:pPr>
          </w:p>
          <w:p w:rsidR="000F2AF7" w:rsidRPr="007765E3" w:rsidRDefault="000F2AF7" w:rsidP="005F1ED8">
            <w:pPr>
              <w:rPr>
                <w:sz w:val="20"/>
                <w:szCs w:val="20"/>
                <w:lang w:val="en-US"/>
              </w:rPr>
            </w:pPr>
            <w:r w:rsidRPr="007765E3">
              <w:rPr>
                <w:sz w:val="20"/>
                <w:szCs w:val="20"/>
                <w:lang w:val="en-US"/>
              </w:rPr>
              <w:t>FILING DATE: 15.09.2016</w:t>
            </w:r>
          </w:p>
          <w:p w:rsidR="000F2AF7" w:rsidRPr="007765E3" w:rsidRDefault="007765E3" w:rsidP="005F1ED8">
            <w:pPr>
              <w:rPr>
                <w:sz w:val="20"/>
                <w:szCs w:val="20"/>
                <w:lang w:val="en-US"/>
              </w:rPr>
            </w:pPr>
            <w:r w:rsidRPr="007765E3">
              <w:rPr>
                <w:sz w:val="20"/>
                <w:szCs w:val="20"/>
                <w:lang w:val="fr-CA"/>
              </w:rPr>
              <w:pict>
                <v:rect id="_x0000_i1029" style="width:108pt;height:1pt" o:hrpct="0" o:hralign="center" o:hrstd="t" o:hrnoshade="t" o:hr="t" fillcolor="black [3213]" stroked="f"/>
              </w:pict>
            </w:r>
          </w:p>
          <w:p w:rsidR="000F2AF7" w:rsidRPr="007765E3" w:rsidRDefault="000F2AF7" w:rsidP="005F1ED8">
            <w:pPr>
              <w:rPr>
                <w:sz w:val="20"/>
                <w:szCs w:val="20"/>
                <w:lang w:val="en-US"/>
              </w:rPr>
            </w:pPr>
          </w:p>
        </w:tc>
        <w:tc>
          <w:tcPr>
            <w:tcW w:w="1181" w:type="dxa"/>
            <w:shd w:val="clear" w:color="auto" w:fill="auto"/>
          </w:tcPr>
          <w:p w:rsidR="00C21644" w:rsidRPr="007765E3" w:rsidRDefault="00C21644" w:rsidP="00242AEE">
            <w:pPr>
              <w:jc w:val="center"/>
              <w:rPr>
                <w:sz w:val="20"/>
                <w:szCs w:val="20"/>
                <w:lang w:val="en-US"/>
              </w:rPr>
            </w:pPr>
          </w:p>
        </w:tc>
        <w:tc>
          <w:tcPr>
            <w:tcW w:w="4320" w:type="dxa"/>
            <w:shd w:val="clear" w:color="auto" w:fill="auto"/>
          </w:tcPr>
          <w:p w:rsidR="00C21644" w:rsidRPr="007765E3" w:rsidRDefault="000F2AF7" w:rsidP="005F1ED8">
            <w:pPr>
              <w:rPr>
                <w:b/>
                <w:sz w:val="20"/>
                <w:szCs w:val="20"/>
                <w:lang w:val="fr-CA"/>
              </w:rPr>
            </w:pPr>
            <w:r w:rsidRPr="007765E3">
              <w:rPr>
                <w:b/>
                <w:sz w:val="20"/>
                <w:szCs w:val="20"/>
                <w:lang w:val="fr-CA"/>
              </w:rPr>
              <w:t>Julie Tremblay</w:t>
            </w:r>
          </w:p>
          <w:p w:rsidR="000F2AF7" w:rsidRPr="007765E3" w:rsidRDefault="000F2AF7" w:rsidP="005F1ED8">
            <w:pPr>
              <w:rPr>
                <w:sz w:val="20"/>
                <w:szCs w:val="20"/>
                <w:lang w:val="fr-CA"/>
              </w:rPr>
            </w:pPr>
            <w:r w:rsidRPr="007765E3">
              <w:rPr>
                <w:b/>
                <w:sz w:val="20"/>
                <w:szCs w:val="20"/>
                <w:lang w:val="fr-CA"/>
              </w:rPr>
              <w:tab/>
            </w:r>
            <w:r w:rsidRPr="007765E3">
              <w:rPr>
                <w:sz w:val="20"/>
                <w:szCs w:val="20"/>
                <w:lang w:val="fr-CA"/>
              </w:rPr>
              <w:t>William Desrochers</w:t>
            </w:r>
          </w:p>
          <w:p w:rsidR="000F2AF7" w:rsidRPr="007765E3" w:rsidRDefault="000F2AF7" w:rsidP="005F1ED8">
            <w:pPr>
              <w:rPr>
                <w:sz w:val="20"/>
                <w:szCs w:val="20"/>
                <w:lang w:val="fr-CA"/>
              </w:rPr>
            </w:pPr>
            <w:r w:rsidRPr="007765E3">
              <w:rPr>
                <w:sz w:val="20"/>
                <w:szCs w:val="20"/>
                <w:lang w:val="fr-CA"/>
              </w:rPr>
              <w:tab/>
              <w:t xml:space="preserve">Simard Desrochers Avocats </w:t>
            </w:r>
            <w:proofErr w:type="spellStart"/>
            <w:r w:rsidRPr="007765E3">
              <w:rPr>
                <w:sz w:val="20"/>
                <w:szCs w:val="20"/>
                <w:lang w:val="fr-CA"/>
              </w:rPr>
              <w:t>inc.</w:t>
            </w:r>
            <w:proofErr w:type="spellEnd"/>
          </w:p>
          <w:p w:rsidR="000F2AF7" w:rsidRPr="007765E3" w:rsidRDefault="000F2AF7" w:rsidP="005F1ED8">
            <w:pPr>
              <w:rPr>
                <w:sz w:val="20"/>
                <w:szCs w:val="20"/>
                <w:lang w:val="fr-CA"/>
              </w:rPr>
            </w:pPr>
          </w:p>
          <w:p w:rsidR="000F2AF7" w:rsidRPr="007765E3" w:rsidRDefault="000F2AF7" w:rsidP="005F1ED8">
            <w:pPr>
              <w:rPr>
                <w:sz w:val="20"/>
                <w:szCs w:val="20"/>
                <w:lang w:val="fr-CA"/>
              </w:rPr>
            </w:pPr>
            <w:r w:rsidRPr="007765E3">
              <w:rPr>
                <w:sz w:val="20"/>
                <w:szCs w:val="20"/>
                <w:lang w:val="fr-CA"/>
              </w:rPr>
              <w:tab/>
              <w:t>c. (37193)</w:t>
            </w:r>
          </w:p>
          <w:p w:rsidR="000F2AF7" w:rsidRPr="007765E3" w:rsidRDefault="000F2AF7" w:rsidP="005F1ED8">
            <w:pPr>
              <w:rPr>
                <w:sz w:val="20"/>
                <w:szCs w:val="20"/>
                <w:lang w:val="fr-CA"/>
              </w:rPr>
            </w:pPr>
          </w:p>
          <w:p w:rsidR="000F2AF7" w:rsidRPr="007765E3" w:rsidRDefault="000F2AF7" w:rsidP="005F1ED8">
            <w:pPr>
              <w:rPr>
                <w:b/>
                <w:sz w:val="20"/>
                <w:szCs w:val="20"/>
                <w:lang w:val="fr-CA"/>
              </w:rPr>
            </w:pPr>
            <w:r w:rsidRPr="007765E3">
              <w:rPr>
                <w:b/>
                <w:sz w:val="20"/>
                <w:szCs w:val="20"/>
                <w:lang w:val="fr-CA"/>
              </w:rPr>
              <w:t>Sally Barber et autres (</w:t>
            </w:r>
            <w:proofErr w:type="spellStart"/>
            <w:r w:rsidRPr="007765E3">
              <w:rPr>
                <w:b/>
                <w:sz w:val="20"/>
                <w:szCs w:val="20"/>
                <w:lang w:val="fr-CA"/>
              </w:rPr>
              <w:t>Qc</w:t>
            </w:r>
            <w:proofErr w:type="spellEnd"/>
            <w:r w:rsidRPr="007765E3">
              <w:rPr>
                <w:b/>
                <w:sz w:val="20"/>
                <w:szCs w:val="20"/>
                <w:lang w:val="fr-CA"/>
              </w:rPr>
              <w:t>)</w:t>
            </w:r>
          </w:p>
          <w:p w:rsidR="000F2AF7" w:rsidRPr="007765E3" w:rsidRDefault="000F2AF7" w:rsidP="005F1ED8">
            <w:pPr>
              <w:rPr>
                <w:sz w:val="20"/>
                <w:szCs w:val="20"/>
                <w:lang w:val="fr-CA"/>
              </w:rPr>
            </w:pPr>
            <w:r w:rsidRPr="007765E3">
              <w:rPr>
                <w:sz w:val="20"/>
                <w:szCs w:val="20"/>
                <w:lang w:val="fr-CA"/>
              </w:rPr>
              <w:tab/>
              <w:t>Vincent Veilleux</w:t>
            </w:r>
          </w:p>
          <w:p w:rsidR="000F2AF7" w:rsidRPr="007765E3" w:rsidRDefault="000F2AF7" w:rsidP="005F1ED8">
            <w:pPr>
              <w:rPr>
                <w:sz w:val="20"/>
                <w:szCs w:val="20"/>
                <w:lang w:val="fr-CA"/>
              </w:rPr>
            </w:pPr>
            <w:r w:rsidRPr="007765E3">
              <w:rPr>
                <w:sz w:val="20"/>
                <w:szCs w:val="20"/>
                <w:lang w:val="fr-CA"/>
              </w:rPr>
              <w:tab/>
              <w:t>P.G. du Canada</w:t>
            </w:r>
          </w:p>
          <w:p w:rsidR="000F2AF7" w:rsidRPr="007765E3" w:rsidRDefault="000F2AF7" w:rsidP="005F1ED8">
            <w:pPr>
              <w:rPr>
                <w:sz w:val="20"/>
                <w:szCs w:val="20"/>
                <w:lang w:val="fr-CA"/>
              </w:rPr>
            </w:pPr>
          </w:p>
          <w:p w:rsidR="000F2AF7" w:rsidRPr="007765E3" w:rsidRDefault="000F2AF7" w:rsidP="005F1ED8">
            <w:pPr>
              <w:rPr>
                <w:sz w:val="20"/>
                <w:szCs w:val="20"/>
                <w:lang w:val="fr-CA"/>
              </w:rPr>
            </w:pPr>
            <w:r w:rsidRPr="007765E3">
              <w:rPr>
                <w:sz w:val="20"/>
                <w:szCs w:val="20"/>
                <w:lang w:val="fr-CA"/>
              </w:rPr>
              <w:t>DATE DE PRODUCTION : 15.09.2016</w:t>
            </w:r>
          </w:p>
          <w:p w:rsidR="000F2AF7" w:rsidRPr="007765E3" w:rsidRDefault="007765E3" w:rsidP="005F1ED8">
            <w:pPr>
              <w:rPr>
                <w:sz w:val="20"/>
                <w:szCs w:val="20"/>
                <w:lang w:val="fr-CA"/>
              </w:rPr>
            </w:pPr>
            <w:r w:rsidRPr="007765E3">
              <w:rPr>
                <w:sz w:val="20"/>
                <w:szCs w:val="20"/>
                <w:lang w:val="fr-CA"/>
              </w:rPr>
              <w:pict>
                <v:rect id="_x0000_i1030" style="width:108pt;height:1pt" o:hrpct="0" o:hralign="center" o:hrstd="t" o:hrnoshade="t" o:hr="t" fillcolor="black [3213]" stroked="f"/>
              </w:pict>
            </w:r>
          </w:p>
        </w:tc>
      </w:tr>
      <w:tr w:rsidR="00C21644" w:rsidRPr="007765E3" w:rsidTr="003B3977">
        <w:trPr>
          <w:cantSplit/>
        </w:trPr>
        <w:tc>
          <w:tcPr>
            <w:tcW w:w="4320" w:type="dxa"/>
            <w:shd w:val="clear" w:color="auto" w:fill="auto"/>
          </w:tcPr>
          <w:p w:rsidR="00C21644" w:rsidRPr="007765E3" w:rsidRDefault="000F2AF7" w:rsidP="005F1ED8">
            <w:pPr>
              <w:rPr>
                <w:b/>
                <w:sz w:val="20"/>
                <w:szCs w:val="20"/>
                <w:lang w:val="en-US"/>
              </w:rPr>
            </w:pPr>
            <w:r w:rsidRPr="007765E3">
              <w:rPr>
                <w:b/>
                <w:sz w:val="20"/>
                <w:szCs w:val="20"/>
                <w:lang w:val="en-US"/>
              </w:rPr>
              <w:lastRenderedPageBreak/>
              <w:t>Kevin Karl Morrill</w:t>
            </w:r>
          </w:p>
          <w:p w:rsidR="000F2AF7" w:rsidRPr="007765E3" w:rsidRDefault="000F2AF7" w:rsidP="005F1ED8">
            <w:pPr>
              <w:rPr>
                <w:sz w:val="20"/>
                <w:szCs w:val="20"/>
                <w:lang w:val="en-US"/>
              </w:rPr>
            </w:pPr>
            <w:r w:rsidRPr="007765E3">
              <w:rPr>
                <w:b/>
                <w:sz w:val="20"/>
                <w:szCs w:val="20"/>
                <w:lang w:val="en-US"/>
              </w:rPr>
              <w:tab/>
            </w:r>
            <w:r w:rsidRPr="007765E3">
              <w:rPr>
                <w:sz w:val="20"/>
                <w:szCs w:val="20"/>
                <w:lang w:val="en-US"/>
              </w:rPr>
              <w:t>Marni L. Karpiak</w:t>
            </w:r>
          </w:p>
          <w:p w:rsidR="000F2AF7" w:rsidRPr="007765E3" w:rsidRDefault="000F2AF7" w:rsidP="005F1ED8">
            <w:pPr>
              <w:rPr>
                <w:sz w:val="20"/>
                <w:szCs w:val="20"/>
                <w:lang w:val="en-US"/>
              </w:rPr>
            </w:pPr>
            <w:r w:rsidRPr="007765E3">
              <w:rPr>
                <w:sz w:val="20"/>
                <w:szCs w:val="20"/>
                <w:lang w:val="en-US"/>
              </w:rPr>
              <w:tab/>
              <w:t>Fillmore &amp; Riley LLP</w:t>
            </w:r>
          </w:p>
          <w:p w:rsidR="000F2AF7" w:rsidRPr="007765E3" w:rsidRDefault="000F2AF7" w:rsidP="005F1ED8">
            <w:pPr>
              <w:rPr>
                <w:sz w:val="20"/>
                <w:szCs w:val="20"/>
                <w:lang w:val="en-US"/>
              </w:rPr>
            </w:pPr>
          </w:p>
          <w:p w:rsidR="000F2AF7" w:rsidRPr="007765E3" w:rsidRDefault="000F2AF7" w:rsidP="005F1ED8">
            <w:pPr>
              <w:rPr>
                <w:sz w:val="20"/>
                <w:szCs w:val="20"/>
                <w:lang w:val="en-US"/>
              </w:rPr>
            </w:pPr>
            <w:r w:rsidRPr="007765E3">
              <w:rPr>
                <w:sz w:val="20"/>
                <w:szCs w:val="20"/>
                <w:lang w:val="en-US"/>
              </w:rPr>
              <w:tab/>
              <w:t>v. (37195)</w:t>
            </w:r>
          </w:p>
          <w:p w:rsidR="000F2AF7" w:rsidRPr="007765E3" w:rsidRDefault="000F2AF7" w:rsidP="005F1ED8">
            <w:pPr>
              <w:rPr>
                <w:sz w:val="20"/>
                <w:szCs w:val="20"/>
                <w:lang w:val="en-US"/>
              </w:rPr>
            </w:pPr>
          </w:p>
          <w:p w:rsidR="000F2AF7" w:rsidRPr="007765E3" w:rsidRDefault="000F2AF7" w:rsidP="005F1ED8">
            <w:pPr>
              <w:rPr>
                <w:b/>
                <w:sz w:val="20"/>
                <w:szCs w:val="20"/>
                <w:lang w:val="en-US"/>
              </w:rPr>
            </w:pPr>
            <w:r w:rsidRPr="007765E3">
              <w:rPr>
                <w:b/>
                <w:sz w:val="20"/>
                <w:szCs w:val="20"/>
                <w:lang w:val="en-US"/>
              </w:rPr>
              <w:t>Nadine Nicole Morrill (Man.)</w:t>
            </w:r>
          </w:p>
          <w:p w:rsidR="000F2AF7" w:rsidRPr="007765E3" w:rsidRDefault="000F2AF7" w:rsidP="005F1ED8">
            <w:pPr>
              <w:rPr>
                <w:sz w:val="20"/>
                <w:szCs w:val="20"/>
                <w:lang w:val="en-US"/>
              </w:rPr>
            </w:pPr>
            <w:r w:rsidRPr="007765E3">
              <w:rPr>
                <w:b/>
                <w:sz w:val="20"/>
                <w:szCs w:val="20"/>
                <w:lang w:val="en-US"/>
              </w:rPr>
              <w:tab/>
            </w:r>
            <w:r w:rsidRPr="007765E3">
              <w:rPr>
                <w:sz w:val="20"/>
                <w:szCs w:val="20"/>
                <w:lang w:val="en-US"/>
              </w:rPr>
              <w:t xml:space="preserve">Dean R. </w:t>
            </w:r>
            <w:proofErr w:type="spellStart"/>
            <w:r w:rsidRPr="007765E3">
              <w:rPr>
                <w:sz w:val="20"/>
                <w:szCs w:val="20"/>
                <w:lang w:val="en-US"/>
              </w:rPr>
              <w:t>Kropp</w:t>
            </w:r>
            <w:proofErr w:type="spellEnd"/>
          </w:p>
          <w:p w:rsidR="000F2AF7" w:rsidRPr="007765E3" w:rsidRDefault="000F2AF7" w:rsidP="005F1ED8">
            <w:pPr>
              <w:rPr>
                <w:sz w:val="20"/>
                <w:szCs w:val="20"/>
                <w:lang w:val="en-US"/>
              </w:rPr>
            </w:pPr>
            <w:r w:rsidRPr="007765E3">
              <w:rPr>
                <w:sz w:val="20"/>
                <w:szCs w:val="20"/>
                <w:lang w:val="en-US"/>
              </w:rPr>
              <w:tab/>
              <w:t>Tapper Cuddy LLP</w:t>
            </w:r>
          </w:p>
          <w:p w:rsidR="000F2AF7" w:rsidRPr="007765E3" w:rsidRDefault="000F2AF7" w:rsidP="005F1ED8">
            <w:pPr>
              <w:rPr>
                <w:sz w:val="20"/>
                <w:szCs w:val="20"/>
                <w:lang w:val="en-US"/>
              </w:rPr>
            </w:pPr>
          </w:p>
          <w:p w:rsidR="000F2AF7" w:rsidRPr="007765E3" w:rsidRDefault="000F2AF7" w:rsidP="005F1ED8">
            <w:pPr>
              <w:rPr>
                <w:sz w:val="20"/>
                <w:szCs w:val="20"/>
                <w:lang w:val="fr-CA"/>
              </w:rPr>
            </w:pPr>
            <w:r w:rsidRPr="007765E3">
              <w:rPr>
                <w:sz w:val="20"/>
                <w:szCs w:val="20"/>
                <w:lang w:val="fr-CA"/>
              </w:rPr>
              <w:t>FILING DATE : 19.09.2016</w:t>
            </w:r>
          </w:p>
          <w:p w:rsidR="000F2AF7" w:rsidRPr="007765E3" w:rsidRDefault="007765E3" w:rsidP="005F1ED8">
            <w:pPr>
              <w:rPr>
                <w:sz w:val="20"/>
                <w:szCs w:val="20"/>
                <w:lang w:val="fr-CA"/>
              </w:rPr>
            </w:pPr>
            <w:r w:rsidRPr="007765E3">
              <w:rPr>
                <w:sz w:val="20"/>
                <w:szCs w:val="20"/>
                <w:lang w:val="fr-CA"/>
              </w:rPr>
              <w:pict>
                <v:rect id="_x0000_i1031" style="width:108pt;height:1pt" o:hrpct="0" o:hralign="center" o:hrstd="t" o:hrnoshade="t" o:hr="t" fillcolor="black [3213]" stroked="f"/>
              </w:pict>
            </w:r>
          </w:p>
          <w:p w:rsidR="000F2AF7" w:rsidRPr="007765E3" w:rsidRDefault="000F2AF7" w:rsidP="005F1ED8">
            <w:pPr>
              <w:rPr>
                <w:sz w:val="20"/>
                <w:szCs w:val="20"/>
                <w:lang w:val="fr-CA"/>
              </w:rPr>
            </w:pPr>
          </w:p>
        </w:tc>
        <w:tc>
          <w:tcPr>
            <w:tcW w:w="1181" w:type="dxa"/>
            <w:shd w:val="clear" w:color="auto" w:fill="auto"/>
          </w:tcPr>
          <w:p w:rsidR="00C21644" w:rsidRPr="007765E3" w:rsidRDefault="00C21644" w:rsidP="00242AEE">
            <w:pPr>
              <w:jc w:val="center"/>
              <w:rPr>
                <w:sz w:val="20"/>
                <w:szCs w:val="20"/>
                <w:lang w:val="fr-CA"/>
              </w:rPr>
            </w:pPr>
          </w:p>
        </w:tc>
        <w:tc>
          <w:tcPr>
            <w:tcW w:w="4320" w:type="dxa"/>
            <w:shd w:val="clear" w:color="auto" w:fill="auto"/>
          </w:tcPr>
          <w:p w:rsidR="00C21644" w:rsidRPr="007765E3" w:rsidRDefault="000F2AF7" w:rsidP="005F1ED8">
            <w:pPr>
              <w:rPr>
                <w:b/>
                <w:sz w:val="20"/>
                <w:szCs w:val="20"/>
                <w:lang w:val="en-US"/>
              </w:rPr>
            </w:pPr>
            <w:proofErr w:type="spellStart"/>
            <w:r w:rsidRPr="007765E3">
              <w:rPr>
                <w:b/>
                <w:sz w:val="20"/>
                <w:szCs w:val="20"/>
                <w:lang w:val="en-US"/>
              </w:rPr>
              <w:t>Jaswinder</w:t>
            </w:r>
            <w:proofErr w:type="spellEnd"/>
            <w:r w:rsidRPr="007765E3">
              <w:rPr>
                <w:b/>
                <w:sz w:val="20"/>
                <w:szCs w:val="20"/>
                <w:lang w:val="en-US"/>
              </w:rPr>
              <w:t xml:space="preserve"> Singh Bagri</w:t>
            </w:r>
          </w:p>
          <w:p w:rsidR="000F2AF7" w:rsidRPr="007765E3" w:rsidRDefault="000F2AF7" w:rsidP="005F1ED8">
            <w:pPr>
              <w:rPr>
                <w:sz w:val="20"/>
                <w:szCs w:val="20"/>
                <w:lang w:val="en-US"/>
              </w:rPr>
            </w:pPr>
            <w:r w:rsidRPr="007765E3">
              <w:rPr>
                <w:b/>
                <w:sz w:val="20"/>
                <w:szCs w:val="20"/>
                <w:lang w:val="en-US"/>
              </w:rPr>
              <w:tab/>
            </w:r>
            <w:r w:rsidRPr="007765E3">
              <w:rPr>
                <w:sz w:val="20"/>
                <w:szCs w:val="20"/>
                <w:lang w:val="en-US"/>
              </w:rPr>
              <w:t xml:space="preserve">Daniel </w:t>
            </w:r>
            <w:proofErr w:type="spellStart"/>
            <w:r w:rsidRPr="007765E3">
              <w:rPr>
                <w:sz w:val="20"/>
                <w:szCs w:val="20"/>
                <w:lang w:val="en-US"/>
              </w:rPr>
              <w:t>Markovitz</w:t>
            </w:r>
            <w:proofErr w:type="spellEnd"/>
          </w:p>
          <w:p w:rsidR="000F2AF7" w:rsidRPr="007765E3" w:rsidRDefault="000F2AF7" w:rsidP="005F1ED8">
            <w:pPr>
              <w:rPr>
                <w:sz w:val="20"/>
                <w:szCs w:val="20"/>
                <w:lang w:val="en-US"/>
              </w:rPr>
            </w:pPr>
            <w:r w:rsidRPr="007765E3">
              <w:rPr>
                <w:sz w:val="20"/>
                <w:szCs w:val="20"/>
                <w:lang w:val="en-US"/>
              </w:rPr>
              <w:tab/>
            </w:r>
            <w:proofErr w:type="spellStart"/>
            <w:r w:rsidRPr="007765E3">
              <w:rPr>
                <w:sz w:val="20"/>
                <w:szCs w:val="20"/>
                <w:lang w:val="en-US"/>
              </w:rPr>
              <w:t>Markovitz</w:t>
            </w:r>
            <w:proofErr w:type="spellEnd"/>
            <w:r w:rsidRPr="007765E3">
              <w:rPr>
                <w:sz w:val="20"/>
                <w:szCs w:val="20"/>
                <w:lang w:val="en-US"/>
              </w:rPr>
              <w:t xml:space="preserve"> Law Offices</w:t>
            </w:r>
          </w:p>
          <w:p w:rsidR="000F2AF7" w:rsidRPr="007765E3" w:rsidRDefault="000F2AF7" w:rsidP="005F1ED8">
            <w:pPr>
              <w:rPr>
                <w:sz w:val="20"/>
                <w:szCs w:val="20"/>
                <w:lang w:val="en-US"/>
              </w:rPr>
            </w:pPr>
          </w:p>
          <w:p w:rsidR="000F2AF7" w:rsidRPr="007765E3" w:rsidRDefault="000F2AF7" w:rsidP="005F1ED8">
            <w:pPr>
              <w:rPr>
                <w:sz w:val="20"/>
                <w:szCs w:val="20"/>
                <w:lang w:val="en-US"/>
              </w:rPr>
            </w:pPr>
            <w:r w:rsidRPr="007765E3">
              <w:rPr>
                <w:sz w:val="20"/>
                <w:szCs w:val="20"/>
                <w:lang w:val="en-US"/>
              </w:rPr>
              <w:tab/>
              <w:t>v. (37199)</w:t>
            </w:r>
          </w:p>
          <w:p w:rsidR="000F2AF7" w:rsidRPr="007765E3" w:rsidRDefault="000F2AF7" w:rsidP="005F1ED8">
            <w:pPr>
              <w:rPr>
                <w:sz w:val="20"/>
                <w:szCs w:val="20"/>
                <w:lang w:val="en-US"/>
              </w:rPr>
            </w:pPr>
          </w:p>
          <w:p w:rsidR="000F2AF7" w:rsidRPr="007765E3" w:rsidRDefault="000F2AF7" w:rsidP="005F1ED8">
            <w:pPr>
              <w:rPr>
                <w:b/>
                <w:sz w:val="20"/>
                <w:szCs w:val="20"/>
                <w:lang w:val="en-US"/>
              </w:rPr>
            </w:pPr>
            <w:r w:rsidRPr="007765E3">
              <w:rPr>
                <w:b/>
                <w:sz w:val="20"/>
                <w:szCs w:val="20"/>
                <w:lang w:val="en-US"/>
              </w:rPr>
              <w:t>Her Majesty the Queen (B.C.)</w:t>
            </w:r>
          </w:p>
          <w:p w:rsidR="000F2AF7" w:rsidRPr="007765E3" w:rsidRDefault="000F2AF7" w:rsidP="005F1ED8">
            <w:pPr>
              <w:rPr>
                <w:sz w:val="20"/>
                <w:szCs w:val="20"/>
                <w:lang w:val="en-US"/>
              </w:rPr>
            </w:pPr>
            <w:r w:rsidRPr="007765E3">
              <w:rPr>
                <w:sz w:val="20"/>
                <w:szCs w:val="20"/>
                <w:lang w:val="en-US"/>
              </w:rPr>
              <w:tab/>
              <w:t>Megan A Street</w:t>
            </w:r>
          </w:p>
          <w:p w:rsidR="000F2AF7" w:rsidRPr="007765E3" w:rsidRDefault="000F2AF7" w:rsidP="005F1ED8">
            <w:pPr>
              <w:rPr>
                <w:sz w:val="20"/>
                <w:szCs w:val="20"/>
                <w:lang w:val="en-US"/>
              </w:rPr>
            </w:pPr>
            <w:r w:rsidRPr="007765E3">
              <w:rPr>
                <w:sz w:val="20"/>
                <w:szCs w:val="20"/>
                <w:lang w:val="en-US"/>
              </w:rPr>
              <w:tab/>
              <w:t xml:space="preserve">A.G. of </w:t>
            </w:r>
            <w:r w:rsidR="004A644E" w:rsidRPr="007765E3">
              <w:rPr>
                <w:sz w:val="20"/>
                <w:szCs w:val="20"/>
                <w:lang w:val="en-US"/>
              </w:rPr>
              <w:t>British Columbia</w:t>
            </w:r>
          </w:p>
          <w:p w:rsidR="004A644E" w:rsidRPr="007765E3" w:rsidRDefault="004A644E" w:rsidP="005F1ED8">
            <w:pPr>
              <w:rPr>
                <w:sz w:val="20"/>
                <w:szCs w:val="20"/>
                <w:lang w:val="en-US"/>
              </w:rPr>
            </w:pPr>
          </w:p>
          <w:p w:rsidR="004A644E" w:rsidRPr="007765E3" w:rsidRDefault="004A644E" w:rsidP="005F1ED8">
            <w:pPr>
              <w:rPr>
                <w:sz w:val="20"/>
                <w:szCs w:val="20"/>
                <w:lang w:val="en-US"/>
              </w:rPr>
            </w:pPr>
            <w:r w:rsidRPr="007765E3">
              <w:rPr>
                <w:sz w:val="20"/>
                <w:szCs w:val="20"/>
                <w:lang w:val="en-US"/>
              </w:rPr>
              <w:t>FILING DATE: 21.09.2016</w:t>
            </w:r>
          </w:p>
          <w:p w:rsidR="004A644E" w:rsidRPr="007765E3" w:rsidRDefault="007765E3" w:rsidP="005F1ED8">
            <w:pPr>
              <w:rPr>
                <w:sz w:val="20"/>
                <w:szCs w:val="20"/>
                <w:lang w:val="fr-CA"/>
              </w:rPr>
            </w:pPr>
            <w:r w:rsidRPr="007765E3">
              <w:rPr>
                <w:sz w:val="20"/>
                <w:szCs w:val="20"/>
                <w:lang w:val="fr-CA"/>
              </w:rPr>
              <w:pict>
                <v:rect id="_x0000_i1032" style="width:108pt;height:1pt" o:hrpct="0" o:hralign="center" o:hrstd="t" o:hrnoshade="t" o:hr="t" fillcolor="black [3213]" stroked="f"/>
              </w:pict>
            </w:r>
          </w:p>
          <w:p w:rsidR="004A644E" w:rsidRPr="007765E3" w:rsidRDefault="004A644E" w:rsidP="005F1ED8">
            <w:pPr>
              <w:rPr>
                <w:sz w:val="20"/>
                <w:szCs w:val="20"/>
                <w:lang w:val="en-US"/>
              </w:rPr>
            </w:pPr>
          </w:p>
        </w:tc>
      </w:tr>
      <w:tr w:rsidR="000F2AF7" w:rsidRPr="007765E3" w:rsidTr="003B3977">
        <w:trPr>
          <w:cantSplit/>
        </w:trPr>
        <w:tc>
          <w:tcPr>
            <w:tcW w:w="4320" w:type="dxa"/>
            <w:shd w:val="clear" w:color="auto" w:fill="auto"/>
          </w:tcPr>
          <w:p w:rsidR="000F2AF7" w:rsidRPr="007765E3" w:rsidRDefault="004A644E" w:rsidP="005F1ED8">
            <w:pPr>
              <w:rPr>
                <w:b/>
                <w:sz w:val="20"/>
                <w:szCs w:val="20"/>
                <w:lang w:val="en-US"/>
              </w:rPr>
            </w:pPr>
            <w:r w:rsidRPr="007765E3">
              <w:rPr>
                <w:b/>
                <w:sz w:val="20"/>
                <w:szCs w:val="20"/>
                <w:lang w:val="en-US"/>
              </w:rPr>
              <w:t>Sheldon Blank</w:t>
            </w:r>
          </w:p>
          <w:p w:rsidR="004A644E" w:rsidRPr="007765E3" w:rsidRDefault="004A644E" w:rsidP="005F1ED8">
            <w:pPr>
              <w:rPr>
                <w:sz w:val="20"/>
                <w:szCs w:val="20"/>
                <w:lang w:val="en-US"/>
              </w:rPr>
            </w:pPr>
            <w:r w:rsidRPr="007765E3">
              <w:rPr>
                <w:b/>
                <w:sz w:val="20"/>
                <w:szCs w:val="20"/>
                <w:lang w:val="en-US"/>
              </w:rPr>
              <w:tab/>
            </w:r>
            <w:r w:rsidRPr="007765E3">
              <w:rPr>
                <w:sz w:val="20"/>
                <w:szCs w:val="20"/>
                <w:lang w:val="en-US"/>
              </w:rPr>
              <w:t>Sheldon Blank</w:t>
            </w:r>
          </w:p>
          <w:p w:rsidR="004A644E" w:rsidRPr="007765E3" w:rsidRDefault="004A644E" w:rsidP="005F1ED8">
            <w:pPr>
              <w:rPr>
                <w:sz w:val="20"/>
                <w:szCs w:val="20"/>
                <w:lang w:val="en-US"/>
              </w:rPr>
            </w:pPr>
          </w:p>
          <w:p w:rsidR="004A644E" w:rsidRPr="007765E3" w:rsidRDefault="004A644E" w:rsidP="005F1ED8">
            <w:pPr>
              <w:rPr>
                <w:sz w:val="20"/>
                <w:szCs w:val="20"/>
                <w:lang w:val="en-US"/>
              </w:rPr>
            </w:pPr>
            <w:r w:rsidRPr="007765E3">
              <w:rPr>
                <w:sz w:val="20"/>
                <w:szCs w:val="20"/>
                <w:lang w:val="en-US"/>
              </w:rPr>
              <w:tab/>
              <w:t>v. (37231)</w:t>
            </w:r>
          </w:p>
          <w:p w:rsidR="004A644E" w:rsidRPr="007765E3" w:rsidRDefault="004A644E" w:rsidP="005F1ED8">
            <w:pPr>
              <w:rPr>
                <w:sz w:val="20"/>
                <w:szCs w:val="20"/>
                <w:lang w:val="en-US"/>
              </w:rPr>
            </w:pPr>
          </w:p>
          <w:p w:rsidR="004A644E" w:rsidRPr="007765E3" w:rsidRDefault="004A644E" w:rsidP="005F1ED8">
            <w:pPr>
              <w:rPr>
                <w:b/>
                <w:sz w:val="20"/>
                <w:szCs w:val="20"/>
                <w:lang w:val="en-US"/>
              </w:rPr>
            </w:pPr>
            <w:r w:rsidRPr="007765E3">
              <w:rPr>
                <w:b/>
                <w:sz w:val="20"/>
                <w:szCs w:val="20"/>
                <w:lang w:val="en-US"/>
              </w:rPr>
              <w:t>Minister of Justice (F.C.)</w:t>
            </w:r>
          </w:p>
          <w:p w:rsidR="004A644E" w:rsidRPr="007765E3" w:rsidRDefault="004A644E" w:rsidP="005F1ED8">
            <w:pPr>
              <w:rPr>
                <w:sz w:val="20"/>
                <w:szCs w:val="20"/>
                <w:lang w:val="en-US"/>
              </w:rPr>
            </w:pPr>
            <w:r w:rsidRPr="007765E3">
              <w:rPr>
                <w:sz w:val="20"/>
                <w:szCs w:val="20"/>
                <w:lang w:val="en-US"/>
              </w:rPr>
              <w:tab/>
              <w:t xml:space="preserve">John A. </w:t>
            </w:r>
            <w:proofErr w:type="spellStart"/>
            <w:r w:rsidRPr="007765E3">
              <w:rPr>
                <w:sz w:val="20"/>
                <w:szCs w:val="20"/>
                <w:lang w:val="en-US"/>
              </w:rPr>
              <w:t>Faulhammer</w:t>
            </w:r>
            <w:proofErr w:type="spellEnd"/>
          </w:p>
          <w:p w:rsidR="004A644E" w:rsidRPr="007765E3" w:rsidRDefault="004A644E" w:rsidP="005F1ED8">
            <w:pPr>
              <w:rPr>
                <w:sz w:val="20"/>
                <w:szCs w:val="20"/>
                <w:lang w:val="en-US"/>
              </w:rPr>
            </w:pPr>
            <w:r w:rsidRPr="007765E3">
              <w:rPr>
                <w:sz w:val="20"/>
                <w:szCs w:val="20"/>
                <w:lang w:val="en-US"/>
              </w:rPr>
              <w:tab/>
              <w:t>A.G. of Canada</w:t>
            </w:r>
          </w:p>
          <w:p w:rsidR="004A644E" w:rsidRPr="007765E3" w:rsidRDefault="004A644E" w:rsidP="005F1ED8">
            <w:pPr>
              <w:rPr>
                <w:sz w:val="20"/>
                <w:szCs w:val="20"/>
                <w:lang w:val="en-US"/>
              </w:rPr>
            </w:pPr>
          </w:p>
          <w:p w:rsidR="004A644E" w:rsidRPr="007765E3" w:rsidRDefault="004A644E" w:rsidP="005F1ED8">
            <w:pPr>
              <w:rPr>
                <w:sz w:val="20"/>
                <w:szCs w:val="20"/>
                <w:lang w:val="en-US"/>
              </w:rPr>
            </w:pPr>
            <w:r w:rsidRPr="007765E3">
              <w:rPr>
                <w:sz w:val="20"/>
                <w:szCs w:val="20"/>
                <w:lang w:val="en-US"/>
              </w:rPr>
              <w:t>FILING DATE: 22.09.2016</w:t>
            </w:r>
          </w:p>
          <w:p w:rsidR="004A644E" w:rsidRPr="007765E3" w:rsidRDefault="007765E3" w:rsidP="005F1ED8">
            <w:pPr>
              <w:rPr>
                <w:sz w:val="20"/>
                <w:szCs w:val="20"/>
                <w:lang w:val="fr-CA"/>
              </w:rPr>
            </w:pPr>
            <w:r w:rsidRPr="007765E3">
              <w:rPr>
                <w:sz w:val="20"/>
                <w:szCs w:val="20"/>
                <w:lang w:val="fr-CA"/>
              </w:rPr>
              <w:pict>
                <v:rect id="_x0000_i1033" style="width:108pt;height:1pt" o:hrpct="0" o:hralign="center" o:hrstd="t" o:hrnoshade="t" o:hr="t" fillcolor="black [3213]" stroked="f"/>
              </w:pict>
            </w:r>
          </w:p>
          <w:p w:rsidR="004A644E" w:rsidRPr="007765E3" w:rsidRDefault="004A644E" w:rsidP="005F1ED8">
            <w:pPr>
              <w:rPr>
                <w:sz w:val="20"/>
                <w:szCs w:val="20"/>
                <w:lang w:val="en-US"/>
              </w:rPr>
            </w:pPr>
          </w:p>
        </w:tc>
        <w:tc>
          <w:tcPr>
            <w:tcW w:w="1181" w:type="dxa"/>
            <w:shd w:val="clear" w:color="auto" w:fill="auto"/>
          </w:tcPr>
          <w:p w:rsidR="000F2AF7" w:rsidRPr="007765E3" w:rsidRDefault="000F2AF7" w:rsidP="00242AEE">
            <w:pPr>
              <w:jc w:val="center"/>
              <w:rPr>
                <w:sz w:val="20"/>
                <w:szCs w:val="20"/>
                <w:lang w:val="en-US"/>
              </w:rPr>
            </w:pPr>
          </w:p>
        </w:tc>
        <w:tc>
          <w:tcPr>
            <w:tcW w:w="4320" w:type="dxa"/>
            <w:shd w:val="clear" w:color="auto" w:fill="auto"/>
          </w:tcPr>
          <w:p w:rsidR="000F2AF7" w:rsidRPr="007765E3" w:rsidRDefault="00901382" w:rsidP="005F1ED8">
            <w:pPr>
              <w:rPr>
                <w:b/>
                <w:sz w:val="20"/>
                <w:szCs w:val="20"/>
                <w:lang w:val="en-US"/>
              </w:rPr>
            </w:pPr>
            <w:r w:rsidRPr="007765E3">
              <w:rPr>
                <w:b/>
                <w:sz w:val="20"/>
                <w:szCs w:val="20"/>
                <w:lang w:val="en-US"/>
              </w:rPr>
              <w:t xml:space="preserve">Jason Donald </w:t>
            </w:r>
            <w:proofErr w:type="spellStart"/>
            <w:r w:rsidRPr="007765E3">
              <w:rPr>
                <w:b/>
                <w:sz w:val="20"/>
                <w:szCs w:val="20"/>
                <w:lang w:val="en-US"/>
              </w:rPr>
              <w:t>Nassr</w:t>
            </w:r>
            <w:proofErr w:type="spellEnd"/>
          </w:p>
          <w:p w:rsidR="00901382" w:rsidRPr="007765E3" w:rsidRDefault="00901382" w:rsidP="005F1ED8">
            <w:pPr>
              <w:rPr>
                <w:sz w:val="20"/>
                <w:szCs w:val="20"/>
                <w:lang w:val="en-US"/>
              </w:rPr>
            </w:pPr>
            <w:r w:rsidRPr="007765E3">
              <w:rPr>
                <w:sz w:val="20"/>
                <w:szCs w:val="20"/>
                <w:lang w:val="en-US"/>
              </w:rPr>
              <w:tab/>
              <w:t xml:space="preserve">Jason Donald </w:t>
            </w:r>
            <w:proofErr w:type="spellStart"/>
            <w:r w:rsidRPr="007765E3">
              <w:rPr>
                <w:sz w:val="20"/>
                <w:szCs w:val="20"/>
                <w:lang w:val="en-US"/>
              </w:rPr>
              <w:t>Nassr</w:t>
            </w:r>
            <w:proofErr w:type="spellEnd"/>
          </w:p>
          <w:p w:rsidR="00901382" w:rsidRPr="007765E3" w:rsidRDefault="00901382" w:rsidP="005F1ED8">
            <w:pPr>
              <w:rPr>
                <w:sz w:val="20"/>
                <w:szCs w:val="20"/>
                <w:lang w:val="en-US"/>
              </w:rPr>
            </w:pPr>
          </w:p>
          <w:p w:rsidR="00901382" w:rsidRPr="007765E3" w:rsidRDefault="00901382" w:rsidP="005F1ED8">
            <w:pPr>
              <w:rPr>
                <w:sz w:val="20"/>
                <w:szCs w:val="20"/>
                <w:lang w:val="fr-CA"/>
              </w:rPr>
            </w:pPr>
            <w:r w:rsidRPr="007765E3">
              <w:rPr>
                <w:sz w:val="20"/>
                <w:szCs w:val="20"/>
                <w:lang w:val="en-US"/>
              </w:rPr>
              <w:tab/>
            </w:r>
            <w:r w:rsidRPr="007765E3">
              <w:rPr>
                <w:sz w:val="20"/>
                <w:szCs w:val="20"/>
                <w:lang w:val="fr-CA"/>
              </w:rPr>
              <w:t>v. (37232)</w:t>
            </w:r>
          </w:p>
          <w:p w:rsidR="00901382" w:rsidRPr="007765E3" w:rsidRDefault="00901382" w:rsidP="005F1ED8">
            <w:pPr>
              <w:rPr>
                <w:sz w:val="20"/>
                <w:szCs w:val="20"/>
                <w:lang w:val="fr-CA"/>
              </w:rPr>
            </w:pPr>
          </w:p>
          <w:p w:rsidR="00901382" w:rsidRPr="007765E3" w:rsidRDefault="00901382" w:rsidP="005F1ED8">
            <w:pPr>
              <w:rPr>
                <w:b/>
                <w:sz w:val="20"/>
                <w:szCs w:val="20"/>
                <w:lang w:val="fr-CA"/>
              </w:rPr>
            </w:pPr>
            <w:r w:rsidRPr="007765E3">
              <w:rPr>
                <w:b/>
                <w:sz w:val="20"/>
                <w:szCs w:val="20"/>
                <w:lang w:val="fr-CA"/>
              </w:rPr>
              <w:t>Laurie Ann Vermette (Ont.)</w:t>
            </w:r>
          </w:p>
          <w:p w:rsidR="00901382" w:rsidRPr="007765E3" w:rsidRDefault="00901382" w:rsidP="005F1ED8">
            <w:pPr>
              <w:rPr>
                <w:sz w:val="20"/>
                <w:szCs w:val="20"/>
                <w:lang w:val="en-US"/>
              </w:rPr>
            </w:pPr>
            <w:r w:rsidRPr="007765E3">
              <w:rPr>
                <w:sz w:val="20"/>
                <w:szCs w:val="20"/>
                <w:lang w:val="fr-CA"/>
              </w:rPr>
              <w:tab/>
            </w:r>
            <w:r w:rsidRPr="007765E3">
              <w:rPr>
                <w:sz w:val="20"/>
                <w:szCs w:val="20"/>
                <w:lang w:val="en-US"/>
              </w:rPr>
              <w:t>Allan Dare Pearce</w:t>
            </w:r>
          </w:p>
          <w:p w:rsidR="00901382" w:rsidRPr="007765E3" w:rsidRDefault="00901382" w:rsidP="005F1ED8">
            <w:pPr>
              <w:rPr>
                <w:sz w:val="20"/>
                <w:szCs w:val="20"/>
                <w:lang w:val="en-US"/>
              </w:rPr>
            </w:pPr>
            <w:r w:rsidRPr="007765E3">
              <w:rPr>
                <w:sz w:val="20"/>
                <w:szCs w:val="20"/>
                <w:lang w:val="en-US"/>
              </w:rPr>
              <w:tab/>
              <w:t xml:space="preserve">Pearce </w:t>
            </w:r>
            <w:proofErr w:type="spellStart"/>
            <w:r w:rsidRPr="007765E3">
              <w:rPr>
                <w:sz w:val="20"/>
                <w:szCs w:val="20"/>
                <w:lang w:val="en-US"/>
              </w:rPr>
              <w:t>Ducharme</w:t>
            </w:r>
            <w:proofErr w:type="spellEnd"/>
            <w:r w:rsidRPr="007765E3">
              <w:rPr>
                <w:sz w:val="20"/>
                <w:szCs w:val="20"/>
                <w:lang w:val="en-US"/>
              </w:rPr>
              <w:t xml:space="preserve"> &amp; Associates Family </w:t>
            </w:r>
            <w:r w:rsidRPr="007765E3">
              <w:rPr>
                <w:sz w:val="20"/>
                <w:szCs w:val="20"/>
                <w:lang w:val="en-US"/>
              </w:rPr>
              <w:tab/>
              <w:t>Law</w:t>
            </w:r>
          </w:p>
          <w:p w:rsidR="00901382" w:rsidRPr="007765E3" w:rsidRDefault="00901382" w:rsidP="005F1ED8">
            <w:pPr>
              <w:rPr>
                <w:sz w:val="20"/>
                <w:szCs w:val="20"/>
                <w:lang w:val="en-US"/>
              </w:rPr>
            </w:pPr>
          </w:p>
          <w:p w:rsidR="00901382" w:rsidRPr="007765E3" w:rsidRDefault="00901382" w:rsidP="005F1ED8">
            <w:pPr>
              <w:rPr>
                <w:sz w:val="20"/>
                <w:szCs w:val="20"/>
                <w:lang w:val="en-US"/>
              </w:rPr>
            </w:pPr>
            <w:r w:rsidRPr="007765E3">
              <w:rPr>
                <w:sz w:val="20"/>
                <w:szCs w:val="20"/>
                <w:lang w:val="en-US"/>
              </w:rPr>
              <w:t>FILING DATE: 27.09.2016</w:t>
            </w:r>
          </w:p>
          <w:p w:rsidR="00901382" w:rsidRPr="007765E3" w:rsidRDefault="007765E3" w:rsidP="005F1ED8">
            <w:pPr>
              <w:rPr>
                <w:sz w:val="20"/>
                <w:szCs w:val="20"/>
                <w:lang w:val="fr-CA"/>
              </w:rPr>
            </w:pPr>
            <w:r w:rsidRPr="007765E3">
              <w:rPr>
                <w:sz w:val="20"/>
                <w:szCs w:val="20"/>
                <w:lang w:val="fr-CA"/>
              </w:rPr>
              <w:pict>
                <v:rect id="_x0000_i1034" style="width:108pt;height:1pt" o:hrpct="0" o:hralign="center" o:hrstd="t" o:hrnoshade="t" o:hr="t" fillcolor="black [3213]" stroked="f"/>
              </w:pict>
            </w:r>
          </w:p>
          <w:p w:rsidR="00901382" w:rsidRPr="007765E3" w:rsidRDefault="00901382" w:rsidP="005F1ED8">
            <w:pPr>
              <w:rPr>
                <w:sz w:val="20"/>
                <w:szCs w:val="20"/>
                <w:lang w:val="en-US"/>
              </w:rPr>
            </w:pPr>
          </w:p>
        </w:tc>
      </w:tr>
      <w:tr w:rsidR="000F2AF7" w:rsidRPr="007765E3" w:rsidTr="003B3977">
        <w:trPr>
          <w:cantSplit/>
        </w:trPr>
        <w:tc>
          <w:tcPr>
            <w:tcW w:w="4320" w:type="dxa"/>
            <w:shd w:val="clear" w:color="auto" w:fill="auto"/>
          </w:tcPr>
          <w:p w:rsidR="000F2AF7" w:rsidRPr="007765E3" w:rsidRDefault="00901382" w:rsidP="005F1ED8">
            <w:pPr>
              <w:rPr>
                <w:b/>
                <w:sz w:val="20"/>
                <w:szCs w:val="20"/>
                <w:lang w:val="en-US"/>
              </w:rPr>
            </w:pPr>
            <w:r w:rsidRPr="007765E3">
              <w:rPr>
                <w:b/>
                <w:sz w:val="20"/>
                <w:szCs w:val="20"/>
                <w:lang w:val="en-US"/>
              </w:rPr>
              <w:t>Gregory Marshall</w:t>
            </w:r>
          </w:p>
          <w:p w:rsidR="00901382" w:rsidRPr="007765E3" w:rsidRDefault="00901382" w:rsidP="005F1ED8">
            <w:pPr>
              <w:rPr>
                <w:sz w:val="20"/>
                <w:szCs w:val="20"/>
                <w:lang w:val="en-US"/>
              </w:rPr>
            </w:pPr>
            <w:r w:rsidRPr="007765E3">
              <w:rPr>
                <w:b/>
                <w:sz w:val="20"/>
                <w:szCs w:val="20"/>
                <w:lang w:val="en-US"/>
              </w:rPr>
              <w:tab/>
            </w:r>
            <w:r w:rsidRPr="007765E3">
              <w:rPr>
                <w:sz w:val="20"/>
                <w:szCs w:val="20"/>
                <w:lang w:val="en-US"/>
              </w:rPr>
              <w:t>Gregory Marshall</w:t>
            </w:r>
          </w:p>
          <w:p w:rsidR="00901382" w:rsidRPr="007765E3" w:rsidRDefault="00901382" w:rsidP="005F1ED8">
            <w:pPr>
              <w:rPr>
                <w:sz w:val="20"/>
                <w:szCs w:val="20"/>
                <w:lang w:val="en-US"/>
              </w:rPr>
            </w:pPr>
          </w:p>
          <w:p w:rsidR="00901382" w:rsidRPr="007765E3" w:rsidRDefault="00901382" w:rsidP="005F1ED8">
            <w:pPr>
              <w:rPr>
                <w:sz w:val="20"/>
                <w:szCs w:val="20"/>
                <w:lang w:val="en-US"/>
              </w:rPr>
            </w:pPr>
            <w:r w:rsidRPr="007765E3">
              <w:rPr>
                <w:sz w:val="20"/>
                <w:szCs w:val="20"/>
                <w:lang w:val="en-US"/>
              </w:rPr>
              <w:tab/>
              <w:t>v. (37243)</w:t>
            </w:r>
          </w:p>
          <w:p w:rsidR="00901382" w:rsidRPr="007765E3" w:rsidRDefault="00901382" w:rsidP="005F1ED8">
            <w:pPr>
              <w:rPr>
                <w:sz w:val="20"/>
                <w:szCs w:val="20"/>
                <w:lang w:val="en-US"/>
              </w:rPr>
            </w:pPr>
          </w:p>
          <w:p w:rsidR="00901382" w:rsidRPr="007765E3" w:rsidRDefault="00901382" w:rsidP="005F1ED8">
            <w:pPr>
              <w:rPr>
                <w:b/>
                <w:sz w:val="20"/>
                <w:szCs w:val="20"/>
                <w:lang w:val="fr-CA"/>
              </w:rPr>
            </w:pPr>
            <w:r w:rsidRPr="007765E3">
              <w:rPr>
                <w:b/>
                <w:sz w:val="20"/>
                <w:szCs w:val="20"/>
                <w:lang w:val="fr-CA"/>
              </w:rPr>
              <w:t>Julie Robbins (N.S.)</w:t>
            </w:r>
          </w:p>
          <w:p w:rsidR="00901382" w:rsidRPr="007765E3" w:rsidRDefault="00901382" w:rsidP="005F1ED8">
            <w:pPr>
              <w:rPr>
                <w:sz w:val="20"/>
                <w:szCs w:val="20"/>
                <w:lang w:val="fr-CA"/>
              </w:rPr>
            </w:pPr>
            <w:r w:rsidRPr="007765E3">
              <w:rPr>
                <w:b/>
                <w:sz w:val="20"/>
                <w:szCs w:val="20"/>
                <w:lang w:val="fr-CA"/>
              </w:rPr>
              <w:tab/>
            </w:r>
            <w:r w:rsidRPr="007765E3">
              <w:rPr>
                <w:sz w:val="20"/>
                <w:szCs w:val="20"/>
                <w:lang w:val="fr-CA"/>
              </w:rPr>
              <w:t xml:space="preserve">Ann </w:t>
            </w:r>
            <w:proofErr w:type="spellStart"/>
            <w:r w:rsidRPr="007765E3">
              <w:rPr>
                <w:sz w:val="20"/>
                <w:szCs w:val="20"/>
                <w:lang w:val="fr-CA"/>
              </w:rPr>
              <w:t>Levangie</w:t>
            </w:r>
            <w:proofErr w:type="spellEnd"/>
          </w:p>
          <w:p w:rsidR="00901382" w:rsidRPr="007765E3" w:rsidRDefault="00901382" w:rsidP="005F1ED8">
            <w:pPr>
              <w:rPr>
                <w:sz w:val="20"/>
                <w:szCs w:val="20"/>
                <w:lang w:val="en-US"/>
              </w:rPr>
            </w:pPr>
            <w:r w:rsidRPr="007765E3">
              <w:rPr>
                <w:sz w:val="20"/>
                <w:szCs w:val="20"/>
                <w:lang w:val="fr-CA"/>
              </w:rPr>
              <w:tab/>
            </w:r>
            <w:r w:rsidRPr="007765E3">
              <w:rPr>
                <w:sz w:val="20"/>
                <w:szCs w:val="20"/>
                <w:lang w:val="en-US"/>
              </w:rPr>
              <w:t>Patterson Law</w:t>
            </w:r>
          </w:p>
          <w:p w:rsidR="00901382" w:rsidRPr="007765E3" w:rsidRDefault="00901382" w:rsidP="005F1ED8">
            <w:pPr>
              <w:rPr>
                <w:sz w:val="20"/>
                <w:szCs w:val="20"/>
                <w:lang w:val="en-US"/>
              </w:rPr>
            </w:pPr>
          </w:p>
          <w:p w:rsidR="00901382" w:rsidRPr="007765E3" w:rsidRDefault="00901382" w:rsidP="005F1ED8">
            <w:pPr>
              <w:rPr>
                <w:sz w:val="20"/>
                <w:szCs w:val="20"/>
                <w:lang w:val="en-US"/>
              </w:rPr>
            </w:pPr>
            <w:r w:rsidRPr="007765E3">
              <w:rPr>
                <w:sz w:val="20"/>
                <w:szCs w:val="20"/>
                <w:lang w:val="en-US"/>
              </w:rPr>
              <w:t>FILING DATE: 27.09.2016</w:t>
            </w:r>
          </w:p>
          <w:p w:rsidR="00901382" w:rsidRPr="007765E3" w:rsidRDefault="007765E3" w:rsidP="005F1ED8">
            <w:pPr>
              <w:rPr>
                <w:sz w:val="20"/>
                <w:szCs w:val="20"/>
                <w:lang w:val="fr-CA"/>
              </w:rPr>
            </w:pPr>
            <w:r w:rsidRPr="007765E3">
              <w:rPr>
                <w:sz w:val="20"/>
                <w:szCs w:val="20"/>
                <w:lang w:val="fr-CA"/>
              </w:rPr>
              <w:pict>
                <v:rect id="_x0000_i1035" style="width:108pt;height:1pt" o:hrpct="0" o:hralign="center" o:hrstd="t" o:hrnoshade="t" o:hr="t" fillcolor="black [3213]" stroked="f"/>
              </w:pict>
            </w:r>
          </w:p>
          <w:p w:rsidR="00901382" w:rsidRPr="007765E3" w:rsidRDefault="00901382" w:rsidP="005F1ED8">
            <w:pPr>
              <w:rPr>
                <w:sz w:val="20"/>
                <w:szCs w:val="20"/>
                <w:lang w:val="en-US"/>
              </w:rPr>
            </w:pPr>
          </w:p>
        </w:tc>
        <w:tc>
          <w:tcPr>
            <w:tcW w:w="1181" w:type="dxa"/>
            <w:shd w:val="clear" w:color="auto" w:fill="auto"/>
          </w:tcPr>
          <w:p w:rsidR="000F2AF7" w:rsidRPr="007765E3" w:rsidRDefault="000F2AF7" w:rsidP="00242AEE">
            <w:pPr>
              <w:jc w:val="center"/>
              <w:rPr>
                <w:sz w:val="20"/>
                <w:szCs w:val="20"/>
                <w:lang w:val="en-US"/>
              </w:rPr>
            </w:pPr>
          </w:p>
        </w:tc>
        <w:tc>
          <w:tcPr>
            <w:tcW w:w="4320" w:type="dxa"/>
            <w:shd w:val="clear" w:color="auto" w:fill="auto"/>
          </w:tcPr>
          <w:p w:rsidR="000F2AF7" w:rsidRPr="007765E3" w:rsidRDefault="00901382" w:rsidP="005F1ED8">
            <w:pPr>
              <w:rPr>
                <w:b/>
                <w:sz w:val="20"/>
                <w:szCs w:val="20"/>
                <w:lang w:val="en-US"/>
              </w:rPr>
            </w:pPr>
            <w:r w:rsidRPr="007765E3">
              <w:rPr>
                <w:b/>
                <w:sz w:val="20"/>
                <w:szCs w:val="20"/>
                <w:lang w:val="en-US"/>
              </w:rPr>
              <w:t>Conserve Oil 1</w:t>
            </w:r>
            <w:r w:rsidRPr="007765E3">
              <w:rPr>
                <w:b/>
                <w:sz w:val="20"/>
                <w:szCs w:val="20"/>
                <w:vertAlign w:val="superscript"/>
                <w:lang w:val="en-US"/>
              </w:rPr>
              <w:t>st</w:t>
            </w:r>
            <w:r w:rsidRPr="007765E3">
              <w:rPr>
                <w:b/>
                <w:sz w:val="20"/>
                <w:szCs w:val="20"/>
                <w:lang w:val="en-US"/>
              </w:rPr>
              <w:t xml:space="preserve"> Corporation</w:t>
            </w:r>
          </w:p>
          <w:p w:rsidR="00901382" w:rsidRPr="007765E3" w:rsidRDefault="00901382" w:rsidP="005F1ED8">
            <w:pPr>
              <w:rPr>
                <w:sz w:val="20"/>
                <w:szCs w:val="20"/>
                <w:lang w:val="en-US"/>
              </w:rPr>
            </w:pPr>
            <w:r w:rsidRPr="007765E3">
              <w:rPr>
                <w:b/>
                <w:sz w:val="20"/>
                <w:szCs w:val="20"/>
                <w:lang w:val="en-US"/>
              </w:rPr>
              <w:tab/>
            </w:r>
            <w:r w:rsidRPr="007765E3">
              <w:rPr>
                <w:sz w:val="20"/>
                <w:szCs w:val="20"/>
                <w:lang w:val="en-US"/>
              </w:rPr>
              <w:t xml:space="preserve">Ariel Z. </w:t>
            </w:r>
            <w:proofErr w:type="spellStart"/>
            <w:r w:rsidRPr="007765E3">
              <w:rPr>
                <w:sz w:val="20"/>
                <w:szCs w:val="20"/>
                <w:lang w:val="en-US"/>
              </w:rPr>
              <w:t>Breitman</w:t>
            </w:r>
            <w:proofErr w:type="spellEnd"/>
          </w:p>
          <w:p w:rsidR="00901382" w:rsidRPr="007765E3" w:rsidRDefault="00901382" w:rsidP="005F1ED8">
            <w:pPr>
              <w:rPr>
                <w:sz w:val="20"/>
                <w:szCs w:val="20"/>
                <w:lang w:val="fr-CA"/>
              </w:rPr>
            </w:pPr>
            <w:r w:rsidRPr="007765E3">
              <w:rPr>
                <w:sz w:val="20"/>
                <w:szCs w:val="20"/>
                <w:lang w:val="en-US"/>
              </w:rPr>
              <w:tab/>
            </w:r>
            <w:proofErr w:type="spellStart"/>
            <w:r w:rsidRPr="007765E3">
              <w:rPr>
                <w:sz w:val="20"/>
                <w:szCs w:val="20"/>
                <w:lang w:val="fr-CA"/>
              </w:rPr>
              <w:t>MacPherson</w:t>
            </w:r>
            <w:proofErr w:type="spellEnd"/>
            <w:r w:rsidRPr="007765E3">
              <w:rPr>
                <w:sz w:val="20"/>
                <w:szCs w:val="20"/>
                <w:lang w:val="fr-CA"/>
              </w:rPr>
              <w:t xml:space="preserve"> Leslie &amp; </w:t>
            </w:r>
            <w:proofErr w:type="spellStart"/>
            <w:r w:rsidRPr="007765E3">
              <w:rPr>
                <w:sz w:val="20"/>
                <w:szCs w:val="20"/>
                <w:lang w:val="fr-CA"/>
              </w:rPr>
              <w:t>Tyerman</w:t>
            </w:r>
            <w:proofErr w:type="spellEnd"/>
            <w:r w:rsidRPr="007765E3">
              <w:rPr>
                <w:sz w:val="20"/>
                <w:szCs w:val="20"/>
                <w:lang w:val="fr-CA"/>
              </w:rPr>
              <w:t xml:space="preserve"> LLP</w:t>
            </w:r>
          </w:p>
          <w:p w:rsidR="00901382" w:rsidRPr="007765E3" w:rsidRDefault="00901382" w:rsidP="005F1ED8">
            <w:pPr>
              <w:rPr>
                <w:sz w:val="20"/>
                <w:szCs w:val="20"/>
                <w:lang w:val="fr-CA"/>
              </w:rPr>
            </w:pPr>
          </w:p>
          <w:p w:rsidR="00901382" w:rsidRPr="007765E3" w:rsidRDefault="00901382" w:rsidP="005F1ED8">
            <w:pPr>
              <w:rPr>
                <w:sz w:val="20"/>
                <w:szCs w:val="20"/>
                <w:lang w:val="fr-CA"/>
              </w:rPr>
            </w:pPr>
            <w:r w:rsidRPr="007765E3">
              <w:rPr>
                <w:sz w:val="20"/>
                <w:szCs w:val="20"/>
                <w:lang w:val="fr-CA"/>
              </w:rPr>
              <w:tab/>
              <w:t>v. (37025)</w:t>
            </w:r>
          </w:p>
          <w:p w:rsidR="00901382" w:rsidRPr="007765E3" w:rsidRDefault="00901382" w:rsidP="005F1ED8">
            <w:pPr>
              <w:rPr>
                <w:sz w:val="20"/>
                <w:szCs w:val="20"/>
                <w:lang w:val="fr-CA"/>
              </w:rPr>
            </w:pPr>
          </w:p>
          <w:p w:rsidR="00901382" w:rsidRPr="007765E3" w:rsidRDefault="00901382" w:rsidP="005F1ED8">
            <w:pPr>
              <w:rPr>
                <w:b/>
                <w:sz w:val="20"/>
                <w:szCs w:val="20"/>
                <w:lang w:val="en-US"/>
              </w:rPr>
            </w:pPr>
            <w:r w:rsidRPr="007765E3">
              <w:rPr>
                <w:b/>
                <w:sz w:val="20"/>
                <w:szCs w:val="20"/>
                <w:lang w:val="en-US"/>
              </w:rPr>
              <w:t>Alberta Treasury Branches (Alta.)</w:t>
            </w:r>
          </w:p>
          <w:p w:rsidR="00901382" w:rsidRPr="007765E3" w:rsidRDefault="00901382" w:rsidP="005F1ED8">
            <w:pPr>
              <w:rPr>
                <w:sz w:val="20"/>
                <w:szCs w:val="20"/>
                <w:lang w:val="en-US"/>
              </w:rPr>
            </w:pPr>
            <w:r w:rsidRPr="007765E3">
              <w:rPr>
                <w:sz w:val="20"/>
                <w:szCs w:val="20"/>
                <w:lang w:val="en-US"/>
              </w:rPr>
              <w:tab/>
              <w:t xml:space="preserve">Ryan </w:t>
            </w:r>
            <w:proofErr w:type="spellStart"/>
            <w:r w:rsidRPr="007765E3">
              <w:rPr>
                <w:sz w:val="20"/>
                <w:szCs w:val="20"/>
                <w:lang w:val="en-US"/>
              </w:rPr>
              <w:t>Zahara</w:t>
            </w:r>
            <w:proofErr w:type="spellEnd"/>
          </w:p>
          <w:p w:rsidR="00901382" w:rsidRPr="007765E3" w:rsidRDefault="00901382" w:rsidP="005F1ED8">
            <w:pPr>
              <w:rPr>
                <w:sz w:val="20"/>
                <w:szCs w:val="20"/>
                <w:lang w:val="en-US"/>
              </w:rPr>
            </w:pPr>
            <w:r w:rsidRPr="007765E3">
              <w:rPr>
                <w:sz w:val="20"/>
                <w:szCs w:val="20"/>
                <w:lang w:val="en-US"/>
              </w:rPr>
              <w:tab/>
              <w:t xml:space="preserve">Blake, Cassels &amp; </w:t>
            </w:r>
            <w:proofErr w:type="spellStart"/>
            <w:r w:rsidRPr="007765E3">
              <w:rPr>
                <w:sz w:val="20"/>
                <w:szCs w:val="20"/>
                <w:lang w:val="en-US"/>
              </w:rPr>
              <w:t>Graydon</w:t>
            </w:r>
            <w:proofErr w:type="spellEnd"/>
            <w:r w:rsidRPr="007765E3">
              <w:rPr>
                <w:sz w:val="20"/>
                <w:szCs w:val="20"/>
                <w:lang w:val="en-US"/>
              </w:rPr>
              <w:t xml:space="preserve"> LLP</w:t>
            </w:r>
          </w:p>
          <w:p w:rsidR="00901382" w:rsidRPr="007765E3" w:rsidRDefault="00901382" w:rsidP="005F1ED8">
            <w:pPr>
              <w:rPr>
                <w:sz w:val="20"/>
                <w:szCs w:val="20"/>
                <w:lang w:val="en-US"/>
              </w:rPr>
            </w:pPr>
          </w:p>
          <w:p w:rsidR="00901382" w:rsidRPr="007765E3" w:rsidRDefault="00901382" w:rsidP="005F1ED8">
            <w:pPr>
              <w:rPr>
                <w:sz w:val="20"/>
                <w:szCs w:val="20"/>
                <w:lang w:val="en-US"/>
              </w:rPr>
            </w:pPr>
            <w:r w:rsidRPr="007765E3">
              <w:rPr>
                <w:sz w:val="20"/>
                <w:szCs w:val="20"/>
                <w:lang w:val="en-US"/>
              </w:rPr>
              <w:t>FILING DATE : 28.09.2016</w:t>
            </w:r>
          </w:p>
          <w:p w:rsidR="00901382" w:rsidRPr="007765E3" w:rsidRDefault="007765E3" w:rsidP="005F1ED8">
            <w:pPr>
              <w:rPr>
                <w:sz w:val="20"/>
                <w:szCs w:val="20"/>
                <w:lang w:val="fr-CA"/>
              </w:rPr>
            </w:pPr>
            <w:r w:rsidRPr="007765E3">
              <w:rPr>
                <w:sz w:val="20"/>
                <w:szCs w:val="20"/>
                <w:lang w:val="fr-CA"/>
              </w:rPr>
              <w:pict>
                <v:rect id="_x0000_i1036" style="width:108pt;height:1pt" o:hrpct="0" o:hralign="center" o:hrstd="t" o:hrnoshade="t" o:hr="t" fillcolor="black [3213]" stroked="f"/>
              </w:pict>
            </w:r>
          </w:p>
          <w:p w:rsidR="00901382" w:rsidRPr="007765E3" w:rsidRDefault="00901382" w:rsidP="005F1ED8">
            <w:pPr>
              <w:rPr>
                <w:sz w:val="20"/>
                <w:szCs w:val="20"/>
                <w:lang w:val="fr-CA"/>
              </w:rPr>
            </w:pPr>
          </w:p>
        </w:tc>
      </w:tr>
      <w:tr w:rsidR="00901382" w:rsidRPr="007765E3" w:rsidTr="003B3977">
        <w:trPr>
          <w:cantSplit/>
        </w:trPr>
        <w:tc>
          <w:tcPr>
            <w:tcW w:w="4320" w:type="dxa"/>
            <w:shd w:val="clear" w:color="auto" w:fill="auto"/>
          </w:tcPr>
          <w:p w:rsidR="00901382" w:rsidRPr="007765E3" w:rsidRDefault="00901382" w:rsidP="005F1ED8">
            <w:pPr>
              <w:rPr>
                <w:sz w:val="20"/>
                <w:szCs w:val="20"/>
                <w:lang w:val="fr-CA"/>
              </w:rPr>
            </w:pPr>
          </w:p>
        </w:tc>
        <w:tc>
          <w:tcPr>
            <w:tcW w:w="1181" w:type="dxa"/>
            <w:shd w:val="clear" w:color="auto" w:fill="auto"/>
          </w:tcPr>
          <w:p w:rsidR="00901382" w:rsidRPr="007765E3" w:rsidRDefault="00901382" w:rsidP="00242AEE">
            <w:pPr>
              <w:jc w:val="center"/>
              <w:rPr>
                <w:sz w:val="20"/>
                <w:szCs w:val="20"/>
                <w:lang w:val="fr-CA"/>
              </w:rPr>
            </w:pPr>
          </w:p>
        </w:tc>
        <w:tc>
          <w:tcPr>
            <w:tcW w:w="4320" w:type="dxa"/>
            <w:shd w:val="clear" w:color="auto" w:fill="auto"/>
          </w:tcPr>
          <w:p w:rsidR="00901382" w:rsidRPr="007765E3" w:rsidRDefault="00901382" w:rsidP="005F1ED8">
            <w:pPr>
              <w:rPr>
                <w:sz w:val="20"/>
                <w:szCs w:val="20"/>
                <w:lang w:val="fr-CA"/>
              </w:rPr>
            </w:pPr>
          </w:p>
        </w:tc>
      </w:tr>
      <w:tr w:rsidR="00901382" w:rsidRPr="007765E3" w:rsidTr="003B3977">
        <w:trPr>
          <w:cantSplit/>
        </w:trPr>
        <w:tc>
          <w:tcPr>
            <w:tcW w:w="4320" w:type="dxa"/>
            <w:shd w:val="clear" w:color="auto" w:fill="auto"/>
          </w:tcPr>
          <w:p w:rsidR="00901382" w:rsidRPr="007765E3" w:rsidRDefault="00901382" w:rsidP="005F1ED8">
            <w:pPr>
              <w:rPr>
                <w:sz w:val="20"/>
                <w:szCs w:val="20"/>
                <w:lang w:val="fr-CA"/>
              </w:rPr>
            </w:pPr>
          </w:p>
        </w:tc>
        <w:tc>
          <w:tcPr>
            <w:tcW w:w="1181" w:type="dxa"/>
            <w:shd w:val="clear" w:color="auto" w:fill="auto"/>
          </w:tcPr>
          <w:p w:rsidR="00901382" w:rsidRPr="007765E3" w:rsidRDefault="00901382" w:rsidP="00242AEE">
            <w:pPr>
              <w:jc w:val="center"/>
              <w:rPr>
                <w:sz w:val="20"/>
                <w:szCs w:val="20"/>
                <w:lang w:val="fr-CA"/>
              </w:rPr>
            </w:pPr>
          </w:p>
        </w:tc>
        <w:tc>
          <w:tcPr>
            <w:tcW w:w="4320" w:type="dxa"/>
            <w:shd w:val="clear" w:color="auto" w:fill="auto"/>
          </w:tcPr>
          <w:p w:rsidR="00901382" w:rsidRPr="007765E3" w:rsidRDefault="00901382" w:rsidP="005F1ED8">
            <w:pPr>
              <w:rPr>
                <w:sz w:val="20"/>
                <w:szCs w:val="20"/>
                <w:lang w:val="fr-CA"/>
              </w:rPr>
            </w:pPr>
          </w:p>
        </w:tc>
      </w:tr>
      <w:tr w:rsidR="00901382" w:rsidRPr="007765E3" w:rsidTr="003B3977">
        <w:trPr>
          <w:cantSplit/>
        </w:trPr>
        <w:tc>
          <w:tcPr>
            <w:tcW w:w="4320" w:type="dxa"/>
            <w:shd w:val="clear" w:color="auto" w:fill="auto"/>
          </w:tcPr>
          <w:p w:rsidR="00901382" w:rsidRPr="007765E3" w:rsidRDefault="00901382" w:rsidP="005F1ED8">
            <w:pPr>
              <w:rPr>
                <w:sz w:val="20"/>
                <w:szCs w:val="20"/>
                <w:lang w:val="fr-CA"/>
              </w:rPr>
            </w:pPr>
          </w:p>
        </w:tc>
        <w:tc>
          <w:tcPr>
            <w:tcW w:w="1181" w:type="dxa"/>
            <w:shd w:val="clear" w:color="auto" w:fill="auto"/>
          </w:tcPr>
          <w:p w:rsidR="00901382" w:rsidRPr="007765E3" w:rsidRDefault="00901382" w:rsidP="00242AEE">
            <w:pPr>
              <w:jc w:val="center"/>
              <w:rPr>
                <w:sz w:val="20"/>
                <w:szCs w:val="20"/>
                <w:lang w:val="fr-CA"/>
              </w:rPr>
            </w:pPr>
          </w:p>
        </w:tc>
        <w:tc>
          <w:tcPr>
            <w:tcW w:w="4320" w:type="dxa"/>
            <w:shd w:val="clear" w:color="auto" w:fill="auto"/>
          </w:tcPr>
          <w:p w:rsidR="00901382" w:rsidRPr="007765E3" w:rsidRDefault="00901382" w:rsidP="005F1ED8">
            <w:pPr>
              <w:rPr>
                <w:sz w:val="20"/>
                <w:szCs w:val="20"/>
                <w:lang w:val="fr-CA"/>
              </w:rPr>
            </w:pPr>
          </w:p>
        </w:tc>
      </w:tr>
      <w:tr w:rsidR="00901382" w:rsidRPr="007765E3" w:rsidTr="003B3977">
        <w:trPr>
          <w:cantSplit/>
        </w:trPr>
        <w:tc>
          <w:tcPr>
            <w:tcW w:w="4320" w:type="dxa"/>
            <w:shd w:val="clear" w:color="auto" w:fill="auto"/>
          </w:tcPr>
          <w:p w:rsidR="00901382" w:rsidRPr="007765E3" w:rsidRDefault="00901382" w:rsidP="005F1ED8">
            <w:pPr>
              <w:rPr>
                <w:sz w:val="20"/>
                <w:szCs w:val="20"/>
                <w:lang w:val="fr-CA"/>
              </w:rPr>
            </w:pPr>
          </w:p>
        </w:tc>
        <w:tc>
          <w:tcPr>
            <w:tcW w:w="1181" w:type="dxa"/>
            <w:shd w:val="clear" w:color="auto" w:fill="auto"/>
          </w:tcPr>
          <w:p w:rsidR="00901382" w:rsidRPr="007765E3" w:rsidRDefault="00901382" w:rsidP="00242AEE">
            <w:pPr>
              <w:jc w:val="center"/>
              <w:rPr>
                <w:sz w:val="20"/>
                <w:szCs w:val="20"/>
                <w:lang w:val="fr-CA"/>
              </w:rPr>
            </w:pPr>
          </w:p>
        </w:tc>
        <w:tc>
          <w:tcPr>
            <w:tcW w:w="4320" w:type="dxa"/>
            <w:shd w:val="clear" w:color="auto" w:fill="auto"/>
          </w:tcPr>
          <w:p w:rsidR="00901382" w:rsidRPr="007765E3" w:rsidRDefault="00901382" w:rsidP="005F1ED8">
            <w:pPr>
              <w:rPr>
                <w:sz w:val="20"/>
                <w:szCs w:val="20"/>
                <w:lang w:val="fr-CA"/>
              </w:rPr>
            </w:pPr>
          </w:p>
        </w:tc>
      </w:tr>
    </w:tbl>
    <w:p w:rsidR="00242AEE" w:rsidRPr="007765E3" w:rsidRDefault="00242AEE" w:rsidP="0095096B">
      <w:pPr>
        <w:tabs>
          <w:tab w:val="right" w:pos="9360"/>
        </w:tabs>
        <w:rPr>
          <w:sz w:val="20"/>
          <w:szCs w:val="20"/>
          <w:lang w:val="fr-CA"/>
        </w:rPr>
      </w:pPr>
    </w:p>
    <w:p w:rsidR="00242AEE" w:rsidRPr="007765E3" w:rsidRDefault="00242AEE" w:rsidP="0095096B">
      <w:pPr>
        <w:tabs>
          <w:tab w:val="right" w:pos="9360"/>
        </w:tabs>
        <w:rPr>
          <w:sz w:val="20"/>
          <w:szCs w:val="20"/>
          <w:lang w:val="fr-CA"/>
        </w:rPr>
        <w:sectPr w:rsidR="00242AEE" w:rsidRPr="007765E3" w:rsidSect="00A7356B">
          <w:headerReference w:type="default" r:id="rId10"/>
          <w:footerReference w:type="default" r:id="rId11"/>
          <w:headerReference w:type="first" r:id="rId12"/>
          <w:footerReference w:type="first" r:id="rId13"/>
          <w:pgSz w:w="12240" w:h="15840"/>
          <w:pgMar w:top="720" w:right="965" w:bottom="1080" w:left="1656" w:header="706" w:footer="706" w:gutter="0"/>
          <w:pgNumType w:start="141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765E3" w:rsidTr="00BA6468">
        <w:trPr>
          <w:trHeight w:val="900"/>
        </w:trPr>
        <w:tc>
          <w:tcPr>
            <w:tcW w:w="4200" w:type="dxa"/>
            <w:tcMar>
              <w:left w:w="0" w:type="dxa"/>
              <w:right w:w="0" w:type="dxa"/>
            </w:tcMar>
          </w:tcPr>
          <w:p w:rsidR="002E2327" w:rsidRPr="007765E3" w:rsidRDefault="002E2327" w:rsidP="002E2327">
            <w:pPr>
              <w:keepNext/>
              <w:keepLines/>
              <w:widowControl w:val="0"/>
              <w:rPr>
                <w:b/>
                <w:szCs w:val="24"/>
                <w:lang w:val="en-US"/>
              </w:rPr>
            </w:pPr>
            <w:r w:rsidRPr="007765E3">
              <w:rPr>
                <w:b/>
                <w:szCs w:val="24"/>
                <w:lang w:val="en-US"/>
              </w:rPr>
              <w:lastRenderedPageBreak/>
              <w:t>APPLICATIONS FOR LEAVE SUBMITTED TO COURT SINCE LAST ISSUE</w:t>
            </w:r>
          </w:p>
        </w:tc>
        <w:tc>
          <w:tcPr>
            <w:tcW w:w="1200" w:type="dxa"/>
            <w:tcMar>
              <w:left w:w="0" w:type="dxa"/>
              <w:right w:w="0" w:type="dxa"/>
            </w:tcMar>
          </w:tcPr>
          <w:p w:rsidR="002E2327" w:rsidRPr="007765E3" w:rsidRDefault="002E2327" w:rsidP="002E2327">
            <w:pPr>
              <w:keepNext/>
              <w:keepLines/>
              <w:widowControl w:val="0"/>
              <w:jc w:val="center"/>
              <w:rPr>
                <w:b/>
                <w:szCs w:val="24"/>
                <w:lang w:val="en-US"/>
              </w:rPr>
            </w:pPr>
          </w:p>
          <w:p w:rsidR="001D0D5F" w:rsidRPr="007765E3" w:rsidRDefault="001D0D5F" w:rsidP="002E2327">
            <w:pPr>
              <w:keepNext/>
              <w:keepLines/>
              <w:widowControl w:val="0"/>
              <w:jc w:val="center"/>
              <w:rPr>
                <w:b/>
                <w:szCs w:val="24"/>
                <w:lang w:val="en-US"/>
              </w:rPr>
            </w:pPr>
          </w:p>
          <w:p w:rsidR="001D0D5F" w:rsidRPr="007765E3" w:rsidRDefault="001D0D5F" w:rsidP="002E2327">
            <w:pPr>
              <w:keepNext/>
              <w:keepLines/>
              <w:widowControl w:val="0"/>
              <w:jc w:val="center"/>
              <w:rPr>
                <w:b/>
                <w:szCs w:val="24"/>
                <w:lang w:val="en-US"/>
              </w:rPr>
            </w:pPr>
          </w:p>
          <w:p w:rsidR="001D0D5F" w:rsidRPr="007765E3" w:rsidRDefault="001D0D5F" w:rsidP="002E2327">
            <w:pPr>
              <w:keepNext/>
              <w:keepLines/>
              <w:widowControl w:val="0"/>
              <w:jc w:val="center"/>
              <w:rPr>
                <w:b/>
                <w:szCs w:val="24"/>
                <w:lang w:val="en-US"/>
              </w:rPr>
            </w:pPr>
          </w:p>
        </w:tc>
        <w:tc>
          <w:tcPr>
            <w:tcW w:w="4080" w:type="dxa"/>
            <w:tcMar>
              <w:left w:w="0" w:type="dxa"/>
              <w:right w:w="0" w:type="dxa"/>
            </w:tcMar>
          </w:tcPr>
          <w:p w:rsidR="002E2327" w:rsidRPr="007765E3" w:rsidRDefault="002E2327" w:rsidP="002E2327">
            <w:pPr>
              <w:keepLines/>
              <w:widowControl w:val="0"/>
              <w:rPr>
                <w:szCs w:val="24"/>
                <w:lang w:val="fr-CA"/>
              </w:rPr>
            </w:pPr>
            <w:r w:rsidRPr="007765E3">
              <w:rPr>
                <w:b/>
                <w:szCs w:val="24"/>
                <w:lang w:val="fr-CA"/>
              </w:rPr>
              <w:t>DEMANDES SOUMISES À LA COUR DEPUIS LA DERNIÈRE PARUTION</w:t>
            </w:r>
          </w:p>
          <w:p w:rsidR="002E2327" w:rsidRPr="007765E3"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7765E3" w:rsidRDefault="002E2327" w:rsidP="002E2327">
      <w:pPr>
        <w:widowControl w:val="0"/>
        <w:rPr>
          <w:b/>
          <w:sz w:val="20"/>
          <w:szCs w:val="20"/>
          <w:lang w:val="fr-CA"/>
        </w:rPr>
      </w:pPr>
    </w:p>
    <w:p w:rsidR="00CB3520" w:rsidRPr="007765E3" w:rsidRDefault="00901382" w:rsidP="00CB3520">
      <w:pPr>
        <w:widowControl w:val="0"/>
        <w:rPr>
          <w:b/>
          <w:sz w:val="20"/>
          <w:szCs w:val="20"/>
          <w:lang w:val="en-US"/>
        </w:rPr>
      </w:pPr>
      <w:r w:rsidRPr="007765E3">
        <w:rPr>
          <w:b/>
          <w:sz w:val="20"/>
          <w:szCs w:val="20"/>
          <w:lang w:val="en-US"/>
        </w:rPr>
        <w:t>OCTOBER 1</w:t>
      </w:r>
      <w:r w:rsidR="00922775" w:rsidRPr="007765E3">
        <w:rPr>
          <w:b/>
          <w:sz w:val="20"/>
          <w:szCs w:val="20"/>
          <w:lang w:val="en-US"/>
        </w:rPr>
        <w:t>1</w:t>
      </w:r>
      <w:r w:rsidR="00CB3520" w:rsidRPr="007765E3">
        <w:rPr>
          <w:b/>
          <w:sz w:val="20"/>
          <w:szCs w:val="20"/>
          <w:lang w:val="en-US"/>
        </w:rPr>
        <w:t>, 201</w:t>
      </w:r>
      <w:r w:rsidR="0030050B" w:rsidRPr="007765E3">
        <w:rPr>
          <w:b/>
          <w:sz w:val="20"/>
          <w:szCs w:val="20"/>
          <w:lang w:val="en-US"/>
        </w:rPr>
        <w:t>6</w:t>
      </w:r>
      <w:r w:rsidR="00CB3520" w:rsidRPr="007765E3">
        <w:rPr>
          <w:b/>
          <w:sz w:val="20"/>
          <w:szCs w:val="20"/>
          <w:lang w:val="en-US"/>
        </w:rPr>
        <w:t xml:space="preserve"> / LE </w:t>
      </w:r>
      <w:r w:rsidR="00020DC3" w:rsidRPr="007765E3">
        <w:rPr>
          <w:b/>
          <w:sz w:val="20"/>
          <w:szCs w:val="20"/>
          <w:lang w:val="en-US"/>
        </w:rPr>
        <w:t>1</w:t>
      </w:r>
      <w:r w:rsidR="00922775" w:rsidRPr="007765E3">
        <w:rPr>
          <w:b/>
          <w:sz w:val="20"/>
          <w:szCs w:val="20"/>
          <w:lang w:val="en-US"/>
        </w:rPr>
        <w:t>1</w:t>
      </w:r>
      <w:r w:rsidR="00CB3520" w:rsidRPr="007765E3">
        <w:rPr>
          <w:b/>
          <w:sz w:val="20"/>
          <w:szCs w:val="20"/>
          <w:lang w:val="en-US"/>
        </w:rPr>
        <w:t xml:space="preserve"> </w:t>
      </w:r>
      <w:r w:rsidRPr="007765E3">
        <w:rPr>
          <w:b/>
          <w:sz w:val="20"/>
          <w:szCs w:val="20"/>
          <w:lang w:val="en-US"/>
        </w:rPr>
        <w:t>OCTOBRE</w:t>
      </w:r>
      <w:r w:rsidR="00CB3520" w:rsidRPr="007765E3">
        <w:rPr>
          <w:b/>
          <w:sz w:val="20"/>
          <w:szCs w:val="20"/>
          <w:lang w:val="en-US"/>
        </w:rPr>
        <w:t xml:space="preserve"> 201</w:t>
      </w:r>
      <w:r w:rsidR="0030050B" w:rsidRPr="007765E3">
        <w:rPr>
          <w:b/>
          <w:sz w:val="20"/>
          <w:szCs w:val="20"/>
          <w:lang w:val="en-US"/>
        </w:rPr>
        <w:t>6</w:t>
      </w:r>
    </w:p>
    <w:p w:rsidR="00CB3520" w:rsidRPr="007765E3" w:rsidRDefault="00CB3520" w:rsidP="00CB3520">
      <w:pPr>
        <w:widowControl w:val="0"/>
        <w:rPr>
          <w:b/>
          <w:sz w:val="20"/>
          <w:szCs w:val="20"/>
          <w:lang w:val="en-US"/>
        </w:rPr>
      </w:pPr>
    </w:p>
    <w:p w:rsidR="00CB3520" w:rsidRPr="007765E3" w:rsidRDefault="00CB3520" w:rsidP="00CB3520">
      <w:pPr>
        <w:widowControl w:val="0"/>
        <w:jc w:val="center"/>
        <w:rPr>
          <w:b/>
          <w:sz w:val="20"/>
          <w:szCs w:val="20"/>
          <w:lang w:val="en-US"/>
        </w:rPr>
      </w:pPr>
      <w:r w:rsidRPr="007765E3">
        <w:rPr>
          <w:b/>
          <w:sz w:val="20"/>
          <w:szCs w:val="20"/>
          <w:lang w:val="en-US"/>
        </w:rPr>
        <w:t xml:space="preserve">CORAM:  Chief Justice </w:t>
      </w:r>
      <w:proofErr w:type="spellStart"/>
      <w:r w:rsidRPr="007765E3">
        <w:rPr>
          <w:b/>
          <w:sz w:val="20"/>
          <w:szCs w:val="20"/>
          <w:lang w:val="en-US"/>
        </w:rPr>
        <w:t>McLachlin</w:t>
      </w:r>
      <w:proofErr w:type="spellEnd"/>
      <w:r w:rsidRPr="007765E3">
        <w:rPr>
          <w:b/>
          <w:sz w:val="20"/>
          <w:szCs w:val="20"/>
          <w:lang w:val="en-US"/>
        </w:rPr>
        <w:t xml:space="preserve"> and </w:t>
      </w:r>
      <w:r w:rsidR="00253236" w:rsidRPr="007765E3">
        <w:rPr>
          <w:b/>
          <w:sz w:val="20"/>
          <w:szCs w:val="20"/>
          <w:lang w:val="en-US"/>
        </w:rPr>
        <w:t xml:space="preserve">Wagner </w:t>
      </w:r>
      <w:r w:rsidRPr="007765E3">
        <w:rPr>
          <w:b/>
          <w:sz w:val="20"/>
          <w:szCs w:val="20"/>
          <w:lang w:val="en-US"/>
        </w:rPr>
        <w:t xml:space="preserve">and </w:t>
      </w:r>
      <w:proofErr w:type="spellStart"/>
      <w:r w:rsidR="00FA3373" w:rsidRPr="007765E3">
        <w:rPr>
          <w:b/>
          <w:sz w:val="20"/>
          <w:szCs w:val="20"/>
          <w:lang w:val="en-US"/>
        </w:rPr>
        <w:t>Gascon</w:t>
      </w:r>
      <w:proofErr w:type="spellEnd"/>
      <w:r w:rsidR="00FA3373" w:rsidRPr="007765E3">
        <w:rPr>
          <w:b/>
          <w:sz w:val="20"/>
          <w:szCs w:val="20"/>
          <w:lang w:val="en-US"/>
        </w:rPr>
        <w:t xml:space="preserve"> </w:t>
      </w:r>
      <w:r w:rsidRPr="007765E3">
        <w:rPr>
          <w:b/>
          <w:sz w:val="20"/>
          <w:szCs w:val="20"/>
          <w:lang w:val="en-US"/>
        </w:rPr>
        <w:t>JJ.</w:t>
      </w:r>
    </w:p>
    <w:p w:rsidR="00CB3520" w:rsidRPr="007765E3" w:rsidRDefault="00CB3520" w:rsidP="00CB3520">
      <w:pPr>
        <w:widowControl w:val="0"/>
        <w:jc w:val="center"/>
        <w:rPr>
          <w:sz w:val="20"/>
          <w:szCs w:val="20"/>
          <w:lang w:val="fr-CA"/>
        </w:rPr>
      </w:pPr>
      <w:r w:rsidRPr="007765E3">
        <w:rPr>
          <w:b/>
          <w:sz w:val="20"/>
          <w:szCs w:val="20"/>
          <w:lang w:val="fr-CA"/>
        </w:rPr>
        <w:t xml:space="preserve">La juge en chef </w:t>
      </w:r>
      <w:proofErr w:type="spellStart"/>
      <w:r w:rsidRPr="007765E3">
        <w:rPr>
          <w:b/>
          <w:sz w:val="20"/>
          <w:szCs w:val="20"/>
          <w:lang w:val="fr-CA"/>
        </w:rPr>
        <w:t>McLachlin</w:t>
      </w:r>
      <w:proofErr w:type="spellEnd"/>
      <w:r w:rsidRPr="007765E3">
        <w:rPr>
          <w:b/>
          <w:sz w:val="20"/>
          <w:szCs w:val="20"/>
          <w:lang w:val="fr-CA"/>
        </w:rPr>
        <w:t xml:space="preserve"> et les juges </w:t>
      </w:r>
      <w:r w:rsidR="00253236" w:rsidRPr="007765E3">
        <w:rPr>
          <w:b/>
          <w:sz w:val="20"/>
          <w:szCs w:val="20"/>
          <w:lang w:val="fr-CA"/>
        </w:rPr>
        <w:t xml:space="preserve">Wagner </w:t>
      </w:r>
      <w:r w:rsidRPr="007765E3">
        <w:rPr>
          <w:b/>
          <w:sz w:val="20"/>
          <w:szCs w:val="20"/>
          <w:lang w:val="fr-CA"/>
        </w:rPr>
        <w:t xml:space="preserve">et </w:t>
      </w:r>
      <w:r w:rsidR="00FA3373" w:rsidRPr="007765E3">
        <w:rPr>
          <w:b/>
          <w:sz w:val="20"/>
          <w:szCs w:val="20"/>
          <w:lang w:val="fr-CA"/>
        </w:rPr>
        <w:t>Gascon</w:t>
      </w:r>
    </w:p>
    <w:p w:rsidR="00CB3520" w:rsidRPr="007765E3" w:rsidRDefault="00CB3520" w:rsidP="00CB3520">
      <w:pPr>
        <w:widowControl w:val="0"/>
        <w:rPr>
          <w:sz w:val="20"/>
          <w:szCs w:val="20"/>
          <w:lang w:val="fr-CA"/>
        </w:rPr>
      </w:pPr>
    </w:p>
    <w:p w:rsidR="00CB3520" w:rsidRPr="007765E3" w:rsidRDefault="00922775" w:rsidP="00CB3520">
      <w:pPr>
        <w:pStyle w:val="ListParagraph"/>
        <w:widowControl w:val="0"/>
        <w:numPr>
          <w:ilvl w:val="0"/>
          <w:numId w:val="1"/>
        </w:numPr>
        <w:ind w:hanging="720"/>
        <w:jc w:val="both"/>
        <w:rPr>
          <w:sz w:val="20"/>
          <w:szCs w:val="20"/>
          <w:lang w:val="en-US"/>
        </w:rPr>
      </w:pPr>
      <w:r w:rsidRPr="007765E3">
        <w:rPr>
          <w:i/>
          <w:sz w:val="20"/>
          <w:szCs w:val="20"/>
          <w:lang w:val="fr-CA"/>
        </w:rPr>
        <w:t>Patricia</w:t>
      </w:r>
      <w:r w:rsidR="00FE3302" w:rsidRPr="007765E3">
        <w:rPr>
          <w:i/>
          <w:sz w:val="20"/>
          <w:szCs w:val="20"/>
          <w:lang w:val="fr-CA"/>
        </w:rPr>
        <w:t>-</w:t>
      </w:r>
      <w:r w:rsidRPr="007765E3">
        <w:rPr>
          <w:i/>
          <w:sz w:val="20"/>
          <w:szCs w:val="20"/>
          <w:lang w:val="fr-CA"/>
        </w:rPr>
        <w:t xml:space="preserve">Ann </w:t>
      </w:r>
      <w:proofErr w:type="spellStart"/>
      <w:r w:rsidRPr="007765E3">
        <w:rPr>
          <w:i/>
          <w:sz w:val="20"/>
          <w:szCs w:val="20"/>
          <w:lang w:val="fr-CA"/>
        </w:rPr>
        <w:t>Truter</w:t>
      </w:r>
      <w:proofErr w:type="spellEnd"/>
      <w:r w:rsidRPr="007765E3">
        <w:rPr>
          <w:i/>
          <w:sz w:val="20"/>
          <w:szCs w:val="20"/>
          <w:lang w:val="fr-CA"/>
        </w:rPr>
        <w:t xml:space="preserve"> et al. v. M.A. </w:t>
      </w:r>
      <w:proofErr w:type="spellStart"/>
      <w:r w:rsidRPr="007765E3">
        <w:rPr>
          <w:i/>
          <w:sz w:val="20"/>
          <w:szCs w:val="20"/>
          <w:lang w:val="fr-CA"/>
        </w:rPr>
        <w:t>Concrete</w:t>
      </w:r>
      <w:proofErr w:type="spellEnd"/>
      <w:r w:rsidRPr="007765E3">
        <w:rPr>
          <w:i/>
          <w:sz w:val="20"/>
          <w:szCs w:val="20"/>
          <w:lang w:val="fr-CA"/>
        </w:rPr>
        <w:t xml:space="preserve"> Ltd. et al. </w:t>
      </w:r>
      <w:r w:rsidRPr="007765E3">
        <w:rPr>
          <w:sz w:val="20"/>
          <w:szCs w:val="20"/>
          <w:lang w:val="en-US"/>
        </w:rPr>
        <w:t>(B.C.) (Civil) (By Leave) (37106)</w:t>
      </w:r>
    </w:p>
    <w:p w:rsidR="00922775" w:rsidRPr="007765E3" w:rsidRDefault="00922775" w:rsidP="00922775">
      <w:pPr>
        <w:pStyle w:val="ListParagraph"/>
        <w:widowControl w:val="0"/>
        <w:jc w:val="both"/>
        <w:rPr>
          <w:sz w:val="20"/>
          <w:szCs w:val="20"/>
          <w:lang w:val="en-US"/>
        </w:rPr>
      </w:pPr>
    </w:p>
    <w:p w:rsidR="00922775" w:rsidRPr="007765E3" w:rsidRDefault="00922775" w:rsidP="00CB3520">
      <w:pPr>
        <w:pStyle w:val="ListParagraph"/>
        <w:widowControl w:val="0"/>
        <w:numPr>
          <w:ilvl w:val="0"/>
          <w:numId w:val="1"/>
        </w:numPr>
        <w:ind w:hanging="720"/>
        <w:jc w:val="both"/>
        <w:rPr>
          <w:sz w:val="20"/>
          <w:szCs w:val="20"/>
          <w:lang w:val="en-US"/>
        </w:rPr>
      </w:pPr>
      <w:proofErr w:type="spellStart"/>
      <w:r w:rsidRPr="007765E3">
        <w:rPr>
          <w:i/>
          <w:sz w:val="20"/>
          <w:szCs w:val="20"/>
          <w:lang w:val="en-US"/>
        </w:rPr>
        <w:t>Anica</w:t>
      </w:r>
      <w:proofErr w:type="spellEnd"/>
      <w:r w:rsidRPr="007765E3">
        <w:rPr>
          <w:i/>
          <w:sz w:val="20"/>
          <w:szCs w:val="20"/>
          <w:lang w:val="en-US"/>
        </w:rPr>
        <w:t xml:space="preserve"> </w:t>
      </w:r>
      <w:proofErr w:type="spellStart"/>
      <w:r w:rsidRPr="007765E3">
        <w:rPr>
          <w:i/>
          <w:sz w:val="20"/>
          <w:szCs w:val="20"/>
          <w:lang w:val="en-US"/>
        </w:rPr>
        <w:t>Visic</w:t>
      </w:r>
      <w:proofErr w:type="spellEnd"/>
      <w:r w:rsidRPr="007765E3">
        <w:rPr>
          <w:i/>
          <w:sz w:val="20"/>
          <w:szCs w:val="20"/>
          <w:lang w:val="en-US"/>
        </w:rPr>
        <w:t xml:space="preserve"> v. Human Rights Tribunal of Ontario et al. </w:t>
      </w:r>
      <w:r w:rsidRPr="007765E3">
        <w:rPr>
          <w:sz w:val="20"/>
          <w:szCs w:val="20"/>
          <w:lang w:val="en-US"/>
        </w:rPr>
        <w:t>(Ont.) (Civil) (By Leave) (37125)</w:t>
      </w:r>
    </w:p>
    <w:p w:rsidR="00306B52" w:rsidRPr="007765E3" w:rsidRDefault="00306B52" w:rsidP="00306B52">
      <w:pPr>
        <w:pStyle w:val="ListParagraph"/>
        <w:rPr>
          <w:sz w:val="20"/>
          <w:szCs w:val="20"/>
          <w:lang w:val="en-US"/>
        </w:rPr>
      </w:pPr>
    </w:p>
    <w:p w:rsidR="00306B52" w:rsidRPr="007765E3" w:rsidRDefault="00306B52" w:rsidP="00CB3520">
      <w:pPr>
        <w:pStyle w:val="ListParagraph"/>
        <w:widowControl w:val="0"/>
        <w:numPr>
          <w:ilvl w:val="0"/>
          <w:numId w:val="1"/>
        </w:numPr>
        <w:ind w:hanging="720"/>
        <w:jc w:val="both"/>
        <w:rPr>
          <w:sz w:val="20"/>
          <w:szCs w:val="20"/>
          <w:lang w:val="en-US"/>
        </w:rPr>
      </w:pPr>
      <w:proofErr w:type="spellStart"/>
      <w:r w:rsidRPr="007765E3">
        <w:rPr>
          <w:i/>
          <w:sz w:val="20"/>
          <w:szCs w:val="20"/>
          <w:lang w:val="en-US"/>
        </w:rPr>
        <w:t>Anica</w:t>
      </w:r>
      <w:proofErr w:type="spellEnd"/>
      <w:r w:rsidRPr="007765E3">
        <w:rPr>
          <w:i/>
          <w:sz w:val="20"/>
          <w:szCs w:val="20"/>
          <w:lang w:val="en-US"/>
        </w:rPr>
        <w:t xml:space="preserve"> </w:t>
      </w:r>
      <w:proofErr w:type="spellStart"/>
      <w:r w:rsidRPr="007765E3">
        <w:rPr>
          <w:i/>
          <w:sz w:val="20"/>
          <w:szCs w:val="20"/>
          <w:lang w:val="en-US"/>
        </w:rPr>
        <w:t>Visic</w:t>
      </w:r>
      <w:proofErr w:type="spellEnd"/>
      <w:r w:rsidRPr="007765E3">
        <w:rPr>
          <w:i/>
          <w:sz w:val="20"/>
          <w:szCs w:val="20"/>
          <w:lang w:val="en-US"/>
        </w:rPr>
        <w:t xml:space="preserve"> v. Human Rights Tribunal of Ontario </w:t>
      </w:r>
      <w:r w:rsidRPr="007765E3">
        <w:rPr>
          <w:sz w:val="20"/>
          <w:szCs w:val="20"/>
          <w:lang w:val="en-US"/>
        </w:rPr>
        <w:t>(Ont.) (Civil) (By Leave) (37126)</w:t>
      </w:r>
    </w:p>
    <w:p w:rsidR="00306B52" w:rsidRPr="007765E3" w:rsidRDefault="00306B52" w:rsidP="00306B52">
      <w:pPr>
        <w:pStyle w:val="ListParagraph"/>
        <w:rPr>
          <w:sz w:val="20"/>
          <w:szCs w:val="20"/>
          <w:lang w:val="en-US"/>
        </w:rPr>
      </w:pPr>
    </w:p>
    <w:p w:rsidR="00306B52" w:rsidRPr="007765E3" w:rsidRDefault="00306B52" w:rsidP="00CB3520">
      <w:pPr>
        <w:pStyle w:val="ListParagraph"/>
        <w:widowControl w:val="0"/>
        <w:numPr>
          <w:ilvl w:val="0"/>
          <w:numId w:val="1"/>
        </w:numPr>
        <w:ind w:hanging="720"/>
        <w:jc w:val="both"/>
        <w:rPr>
          <w:sz w:val="20"/>
          <w:szCs w:val="20"/>
          <w:lang w:val="en-US"/>
        </w:rPr>
      </w:pPr>
      <w:proofErr w:type="spellStart"/>
      <w:r w:rsidRPr="007765E3">
        <w:rPr>
          <w:i/>
          <w:sz w:val="20"/>
          <w:szCs w:val="20"/>
          <w:lang w:val="en-US"/>
        </w:rPr>
        <w:t>Anica</w:t>
      </w:r>
      <w:proofErr w:type="spellEnd"/>
      <w:r w:rsidRPr="007765E3">
        <w:rPr>
          <w:i/>
          <w:sz w:val="20"/>
          <w:szCs w:val="20"/>
          <w:lang w:val="en-US"/>
        </w:rPr>
        <w:t xml:space="preserve"> </w:t>
      </w:r>
      <w:proofErr w:type="spellStart"/>
      <w:r w:rsidRPr="007765E3">
        <w:rPr>
          <w:i/>
          <w:sz w:val="20"/>
          <w:szCs w:val="20"/>
          <w:lang w:val="en-US"/>
        </w:rPr>
        <w:t>Visic</w:t>
      </w:r>
      <w:proofErr w:type="spellEnd"/>
      <w:r w:rsidRPr="007765E3">
        <w:rPr>
          <w:i/>
          <w:sz w:val="20"/>
          <w:szCs w:val="20"/>
          <w:lang w:val="en-US"/>
        </w:rPr>
        <w:t xml:space="preserve"> v. Ontario Human Rights Tribunal et al.</w:t>
      </w:r>
      <w:r w:rsidRPr="007765E3">
        <w:rPr>
          <w:sz w:val="20"/>
          <w:szCs w:val="20"/>
          <w:lang w:val="en-US"/>
        </w:rPr>
        <w:t xml:space="preserve"> (Ont.) (Civil) (By Leave) (37127)</w:t>
      </w:r>
    </w:p>
    <w:p w:rsidR="00CB3520" w:rsidRPr="007765E3" w:rsidRDefault="00CB3520" w:rsidP="00CB3520">
      <w:pPr>
        <w:widowControl w:val="0"/>
        <w:rPr>
          <w:sz w:val="20"/>
          <w:szCs w:val="20"/>
          <w:lang w:val="en-US"/>
        </w:rPr>
      </w:pPr>
    </w:p>
    <w:p w:rsidR="00CB3520" w:rsidRPr="007765E3" w:rsidRDefault="00CB3520" w:rsidP="00CB3520">
      <w:pPr>
        <w:widowControl w:val="0"/>
        <w:rPr>
          <w:sz w:val="20"/>
          <w:szCs w:val="20"/>
          <w:lang w:val="en-US"/>
        </w:rPr>
      </w:pPr>
    </w:p>
    <w:p w:rsidR="00CB3520" w:rsidRPr="007765E3" w:rsidRDefault="00CB3520" w:rsidP="00CB3520">
      <w:pPr>
        <w:widowControl w:val="0"/>
        <w:jc w:val="center"/>
        <w:rPr>
          <w:b/>
          <w:sz w:val="20"/>
          <w:szCs w:val="20"/>
          <w:lang w:val="en-US"/>
        </w:rPr>
      </w:pPr>
      <w:r w:rsidRPr="007765E3">
        <w:rPr>
          <w:b/>
          <w:sz w:val="20"/>
          <w:szCs w:val="20"/>
          <w:lang w:val="en-US"/>
        </w:rPr>
        <w:t xml:space="preserve">CORAM: </w:t>
      </w:r>
      <w:proofErr w:type="spellStart"/>
      <w:r w:rsidR="00FA3373" w:rsidRPr="007765E3">
        <w:rPr>
          <w:b/>
          <w:sz w:val="20"/>
          <w:szCs w:val="20"/>
          <w:lang w:val="en-US"/>
        </w:rPr>
        <w:t>Abella</w:t>
      </w:r>
      <w:proofErr w:type="spellEnd"/>
      <w:r w:rsidRPr="007765E3">
        <w:rPr>
          <w:b/>
          <w:sz w:val="20"/>
          <w:szCs w:val="20"/>
          <w:lang w:val="en-US"/>
        </w:rPr>
        <w:t xml:space="preserve">, </w:t>
      </w:r>
      <w:proofErr w:type="spellStart"/>
      <w:r w:rsidRPr="007765E3">
        <w:rPr>
          <w:b/>
          <w:sz w:val="20"/>
          <w:szCs w:val="20"/>
          <w:lang w:val="en-US"/>
        </w:rPr>
        <w:t>Karakatsanis</w:t>
      </w:r>
      <w:proofErr w:type="spellEnd"/>
      <w:r w:rsidRPr="007765E3">
        <w:rPr>
          <w:b/>
          <w:sz w:val="20"/>
          <w:szCs w:val="20"/>
          <w:lang w:val="en-US"/>
        </w:rPr>
        <w:t xml:space="preserve"> and </w:t>
      </w:r>
      <w:r w:rsidR="00E942C2" w:rsidRPr="007765E3">
        <w:rPr>
          <w:b/>
          <w:sz w:val="20"/>
          <w:szCs w:val="20"/>
          <w:lang w:val="en-US"/>
        </w:rPr>
        <w:t>Brown</w:t>
      </w:r>
      <w:r w:rsidRPr="007765E3">
        <w:rPr>
          <w:b/>
          <w:sz w:val="20"/>
          <w:szCs w:val="20"/>
          <w:lang w:val="en-US"/>
        </w:rPr>
        <w:t xml:space="preserve"> JJ.</w:t>
      </w:r>
    </w:p>
    <w:p w:rsidR="00CB3520" w:rsidRPr="007765E3" w:rsidRDefault="00CB3520" w:rsidP="00CB3520">
      <w:pPr>
        <w:widowControl w:val="0"/>
        <w:jc w:val="center"/>
        <w:rPr>
          <w:b/>
          <w:sz w:val="20"/>
          <w:szCs w:val="20"/>
          <w:lang w:val="fr-CA"/>
        </w:rPr>
      </w:pPr>
      <w:r w:rsidRPr="007765E3">
        <w:rPr>
          <w:b/>
          <w:sz w:val="20"/>
          <w:szCs w:val="20"/>
          <w:lang w:val="fr-CA"/>
        </w:rPr>
        <w:t xml:space="preserve">Les juges </w:t>
      </w:r>
      <w:r w:rsidR="00FA3373" w:rsidRPr="007765E3">
        <w:rPr>
          <w:b/>
          <w:sz w:val="20"/>
          <w:szCs w:val="20"/>
          <w:lang w:val="fr-CA"/>
        </w:rPr>
        <w:t>Abella</w:t>
      </w:r>
      <w:r w:rsidRPr="007765E3">
        <w:rPr>
          <w:b/>
          <w:sz w:val="20"/>
          <w:szCs w:val="20"/>
          <w:lang w:val="fr-CA"/>
        </w:rPr>
        <w:t xml:space="preserve">, </w:t>
      </w:r>
      <w:proofErr w:type="spellStart"/>
      <w:r w:rsidRPr="007765E3">
        <w:rPr>
          <w:b/>
          <w:sz w:val="20"/>
          <w:szCs w:val="20"/>
          <w:lang w:val="fr-CA"/>
        </w:rPr>
        <w:t>Karakatsanis</w:t>
      </w:r>
      <w:proofErr w:type="spellEnd"/>
      <w:r w:rsidRPr="007765E3">
        <w:rPr>
          <w:b/>
          <w:sz w:val="20"/>
          <w:szCs w:val="20"/>
          <w:lang w:val="fr-CA"/>
        </w:rPr>
        <w:t xml:space="preserve"> et </w:t>
      </w:r>
      <w:r w:rsidR="00E942C2" w:rsidRPr="007765E3">
        <w:rPr>
          <w:b/>
          <w:sz w:val="20"/>
          <w:szCs w:val="20"/>
          <w:lang w:val="fr-CA"/>
        </w:rPr>
        <w:t>Brown</w:t>
      </w:r>
    </w:p>
    <w:p w:rsidR="00CB3520" w:rsidRPr="007765E3" w:rsidRDefault="00CB3520" w:rsidP="00CB3520">
      <w:pPr>
        <w:widowControl w:val="0"/>
        <w:jc w:val="both"/>
        <w:rPr>
          <w:sz w:val="20"/>
          <w:szCs w:val="20"/>
          <w:lang w:val="fr-CA"/>
        </w:rPr>
      </w:pPr>
    </w:p>
    <w:p w:rsidR="00CB3520" w:rsidRPr="007765E3" w:rsidRDefault="00C75B64" w:rsidP="00901382">
      <w:pPr>
        <w:pStyle w:val="ListParagraph"/>
        <w:widowControl w:val="0"/>
        <w:numPr>
          <w:ilvl w:val="0"/>
          <w:numId w:val="1"/>
        </w:numPr>
        <w:ind w:hanging="720"/>
        <w:jc w:val="both"/>
        <w:rPr>
          <w:sz w:val="20"/>
          <w:szCs w:val="20"/>
        </w:rPr>
      </w:pPr>
      <w:r w:rsidRPr="007765E3">
        <w:rPr>
          <w:i/>
          <w:sz w:val="20"/>
          <w:szCs w:val="20"/>
        </w:rPr>
        <w:t xml:space="preserve">Christopher </w:t>
      </w:r>
      <w:proofErr w:type="spellStart"/>
      <w:r w:rsidRPr="007765E3">
        <w:rPr>
          <w:i/>
          <w:sz w:val="20"/>
          <w:szCs w:val="20"/>
        </w:rPr>
        <w:t>Sheriffe</w:t>
      </w:r>
      <w:proofErr w:type="spellEnd"/>
      <w:r w:rsidRPr="007765E3">
        <w:rPr>
          <w:i/>
          <w:sz w:val="20"/>
          <w:szCs w:val="20"/>
        </w:rPr>
        <w:t xml:space="preserve"> v. Her Majesty the Queen </w:t>
      </w:r>
      <w:r w:rsidRPr="007765E3">
        <w:rPr>
          <w:sz w:val="20"/>
          <w:szCs w:val="20"/>
        </w:rPr>
        <w:t>(Ont.) (Crim.) (By Leave) (37101)</w:t>
      </w:r>
    </w:p>
    <w:p w:rsidR="00C75B64" w:rsidRPr="007765E3" w:rsidRDefault="00C75B64" w:rsidP="00C75B64">
      <w:pPr>
        <w:pStyle w:val="ListParagraph"/>
        <w:widowControl w:val="0"/>
        <w:jc w:val="both"/>
        <w:rPr>
          <w:sz w:val="20"/>
          <w:szCs w:val="20"/>
        </w:rPr>
      </w:pPr>
    </w:p>
    <w:p w:rsidR="00C75B64" w:rsidRPr="007765E3" w:rsidRDefault="00C75B64" w:rsidP="00901382">
      <w:pPr>
        <w:pStyle w:val="ListParagraph"/>
        <w:widowControl w:val="0"/>
        <w:numPr>
          <w:ilvl w:val="0"/>
          <w:numId w:val="1"/>
        </w:numPr>
        <w:ind w:hanging="720"/>
        <w:jc w:val="both"/>
        <w:rPr>
          <w:sz w:val="20"/>
          <w:szCs w:val="20"/>
        </w:rPr>
      </w:pPr>
      <w:r w:rsidRPr="007765E3">
        <w:rPr>
          <w:i/>
          <w:sz w:val="20"/>
          <w:szCs w:val="20"/>
        </w:rPr>
        <w:t>Federal Government Dockyard Trades and Labour Council (Esquimalt, B.C.) et al. v. Her Majesty the Queen in Right of Canada as Represented by the Attorney General of Canada et al.</w:t>
      </w:r>
      <w:r w:rsidRPr="007765E3">
        <w:rPr>
          <w:sz w:val="20"/>
          <w:szCs w:val="20"/>
        </w:rPr>
        <w:t xml:space="preserve"> (B.C.) (Civil) (By Leave) (35569)</w:t>
      </w:r>
    </w:p>
    <w:p w:rsidR="00C75B64" w:rsidRPr="007765E3" w:rsidRDefault="00C75B64" w:rsidP="00C75B64">
      <w:pPr>
        <w:pStyle w:val="ListParagraph"/>
        <w:rPr>
          <w:sz w:val="20"/>
          <w:szCs w:val="20"/>
        </w:rPr>
      </w:pPr>
    </w:p>
    <w:p w:rsidR="00C75B64" w:rsidRPr="007765E3" w:rsidRDefault="00C75B64" w:rsidP="00901382">
      <w:pPr>
        <w:pStyle w:val="ListParagraph"/>
        <w:widowControl w:val="0"/>
        <w:numPr>
          <w:ilvl w:val="0"/>
          <w:numId w:val="1"/>
        </w:numPr>
        <w:ind w:hanging="720"/>
        <w:jc w:val="both"/>
        <w:rPr>
          <w:sz w:val="20"/>
          <w:szCs w:val="20"/>
        </w:rPr>
      </w:pPr>
      <w:r w:rsidRPr="007765E3">
        <w:rPr>
          <w:i/>
          <w:sz w:val="20"/>
          <w:szCs w:val="20"/>
        </w:rPr>
        <w:t>Meredith Johnson v. Her Majesty the Queen in Right of Ontario, as represented by the Minister of Finance</w:t>
      </w:r>
      <w:r w:rsidRPr="007765E3">
        <w:rPr>
          <w:sz w:val="20"/>
          <w:szCs w:val="20"/>
        </w:rPr>
        <w:t xml:space="preserve"> (Ont.) (Civil) (By Leave) (37116)</w:t>
      </w:r>
    </w:p>
    <w:p w:rsidR="00C75B64" w:rsidRPr="007765E3" w:rsidRDefault="00C75B64" w:rsidP="00C75B64">
      <w:pPr>
        <w:pStyle w:val="ListParagraph"/>
        <w:rPr>
          <w:sz w:val="20"/>
          <w:szCs w:val="20"/>
        </w:rPr>
      </w:pPr>
    </w:p>
    <w:p w:rsidR="00C75B64" w:rsidRPr="007765E3" w:rsidRDefault="00C75B64" w:rsidP="00901382">
      <w:pPr>
        <w:pStyle w:val="ListParagraph"/>
        <w:widowControl w:val="0"/>
        <w:numPr>
          <w:ilvl w:val="0"/>
          <w:numId w:val="1"/>
        </w:numPr>
        <w:ind w:hanging="720"/>
        <w:jc w:val="both"/>
        <w:rPr>
          <w:sz w:val="20"/>
          <w:szCs w:val="20"/>
          <w:lang w:val="fr-CA"/>
        </w:rPr>
      </w:pPr>
      <w:r w:rsidRPr="007765E3">
        <w:rPr>
          <w:i/>
          <w:sz w:val="20"/>
          <w:szCs w:val="20"/>
          <w:lang w:val="fr-CA"/>
        </w:rPr>
        <w:t xml:space="preserve">Centrale des syndicats du Québec et autres c. Procureur générale du Québec </w:t>
      </w:r>
      <w:r w:rsidRPr="007765E3">
        <w:rPr>
          <w:sz w:val="20"/>
          <w:szCs w:val="20"/>
          <w:lang w:val="fr-CA"/>
        </w:rPr>
        <w:t>(</w:t>
      </w:r>
      <w:proofErr w:type="spellStart"/>
      <w:r w:rsidRPr="007765E3">
        <w:rPr>
          <w:sz w:val="20"/>
          <w:szCs w:val="20"/>
          <w:lang w:val="fr-CA"/>
        </w:rPr>
        <w:t>Qc</w:t>
      </w:r>
      <w:proofErr w:type="spellEnd"/>
      <w:r w:rsidRPr="007765E3">
        <w:rPr>
          <w:sz w:val="20"/>
          <w:szCs w:val="20"/>
          <w:lang w:val="fr-CA"/>
        </w:rPr>
        <w:t>) (Civile) (Autorisation) (37002)</w:t>
      </w:r>
    </w:p>
    <w:p w:rsidR="00C75B64" w:rsidRPr="007765E3" w:rsidRDefault="00C75B64" w:rsidP="00C75B64">
      <w:pPr>
        <w:widowControl w:val="0"/>
        <w:jc w:val="both"/>
        <w:rPr>
          <w:sz w:val="20"/>
          <w:szCs w:val="20"/>
          <w:lang w:val="fr-CA"/>
        </w:rPr>
      </w:pPr>
    </w:p>
    <w:p w:rsidR="00CB3520" w:rsidRPr="007765E3" w:rsidRDefault="00CB3520" w:rsidP="00CB3520">
      <w:pPr>
        <w:widowControl w:val="0"/>
        <w:jc w:val="both"/>
        <w:rPr>
          <w:sz w:val="20"/>
          <w:szCs w:val="20"/>
          <w:lang w:val="fr-CA"/>
        </w:rPr>
      </w:pPr>
    </w:p>
    <w:p w:rsidR="00CB3520" w:rsidRPr="007765E3" w:rsidRDefault="00CB3520" w:rsidP="00CB3520">
      <w:pPr>
        <w:widowControl w:val="0"/>
        <w:jc w:val="center"/>
        <w:rPr>
          <w:b/>
          <w:sz w:val="20"/>
          <w:szCs w:val="20"/>
          <w:lang w:val="en-US"/>
        </w:rPr>
      </w:pPr>
      <w:r w:rsidRPr="007765E3">
        <w:rPr>
          <w:b/>
          <w:sz w:val="20"/>
          <w:szCs w:val="20"/>
          <w:lang w:val="en-US"/>
        </w:rPr>
        <w:t xml:space="preserve">CORAM: </w:t>
      </w:r>
      <w:proofErr w:type="spellStart"/>
      <w:r w:rsidR="00253236" w:rsidRPr="007765E3">
        <w:rPr>
          <w:b/>
          <w:sz w:val="20"/>
          <w:szCs w:val="20"/>
          <w:lang w:val="en-US"/>
        </w:rPr>
        <w:t>Moldaver</w:t>
      </w:r>
      <w:proofErr w:type="spellEnd"/>
      <w:r w:rsidR="00E942C2" w:rsidRPr="007765E3">
        <w:rPr>
          <w:b/>
          <w:sz w:val="20"/>
          <w:szCs w:val="20"/>
          <w:lang w:val="en-US"/>
        </w:rPr>
        <w:t xml:space="preserve">, </w:t>
      </w:r>
      <w:proofErr w:type="spellStart"/>
      <w:r w:rsidR="00253236" w:rsidRPr="007765E3">
        <w:rPr>
          <w:b/>
          <w:sz w:val="20"/>
          <w:szCs w:val="20"/>
          <w:lang w:val="en-US"/>
        </w:rPr>
        <w:t>Côté</w:t>
      </w:r>
      <w:proofErr w:type="spellEnd"/>
      <w:r w:rsidR="00253236" w:rsidRPr="007765E3">
        <w:rPr>
          <w:b/>
          <w:sz w:val="20"/>
          <w:szCs w:val="20"/>
          <w:lang w:val="en-US"/>
        </w:rPr>
        <w:t xml:space="preserve"> </w:t>
      </w:r>
      <w:r w:rsidRPr="007765E3">
        <w:rPr>
          <w:b/>
          <w:sz w:val="20"/>
          <w:szCs w:val="20"/>
          <w:lang w:val="en-US"/>
        </w:rPr>
        <w:t xml:space="preserve">and </w:t>
      </w:r>
      <w:r w:rsidR="00253236" w:rsidRPr="007765E3">
        <w:rPr>
          <w:b/>
          <w:sz w:val="20"/>
          <w:szCs w:val="20"/>
          <w:lang w:val="en-US"/>
        </w:rPr>
        <w:t xml:space="preserve">Brown </w:t>
      </w:r>
      <w:r w:rsidRPr="007765E3">
        <w:rPr>
          <w:b/>
          <w:sz w:val="20"/>
          <w:szCs w:val="20"/>
          <w:lang w:val="en-US"/>
        </w:rPr>
        <w:t>JJ.</w:t>
      </w:r>
    </w:p>
    <w:p w:rsidR="00CB3520" w:rsidRPr="007765E3" w:rsidRDefault="00CB3520" w:rsidP="00CB3520">
      <w:pPr>
        <w:widowControl w:val="0"/>
        <w:jc w:val="center"/>
        <w:rPr>
          <w:b/>
          <w:sz w:val="20"/>
          <w:szCs w:val="20"/>
          <w:lang w:val="fr-CA"/>
        </w:rPr>
      </w:pPr>
      <w:r w:rsidRPr="007765E3">
        <w:rPr>
          <w:b/>
          <w:sz w:val="20"/>
          <w:szCs w:val="20"/>
          <w:lang w:val="fr-CA"/>
        </w:rPr>
        <w:t xml:space="preserve">Les juges </w:t>
      </w:r>
      <w:proofErr w:type="spellStart"/>
      <w:r w:rsidR="00253236" w:rsidRPr="007765E3">
        <w:rPr>
          <w:b/>
          <w:sz w:val="20"/>
          <w:szCs w:val="20"/>
          <w:lang w:val="fr-CA"/>
        </w:rPr>
        <w:t>Moldaver</w:t>
      </w:r>
      <w:proofErr w:type="spellEnd"/>
      <w:r w:rsidR="00E942C2" w:rsidRPr="007765E3">
        <w:rPr>
          <w:b/>
          <w:sz w:val="20"/>
          <w:szCs w:val="20"/>
          <w:lang w:val="fr-CA"/>
        </w:rPr>
        <w:t xml:space="preserve">, </w:t>
      </w:r>
      <w:r w:rsidR="00253236" w:rsidRPr="007765E3">
        <w:rPr>
          <w:b/>
          <w:sz w:val="20"/>
          <w:szCs w:val="20"/>
          <w:lang w:val="fr-CA"/>
        </w:rPr>
        <w:t xml:space="preserve">Côté </w:t>
      </w:r>
      <w:r w:rsidR="00E942C2" w:rsidRPr="007765E3">
        <w:rPr>
          <w:b/>
          <w:sz w:val="20"/>
          <w:szCs w:val="20"/>
          <w:lang w:val="fr-CA"/>
        </w:rPr>
        <w:t xml:space="preserve">et </w:t>
      </w:r>
      <w:r w:rsidR="00253236" w:rsidRPr="007765E3">
        <w:rPr>
          <w:b/>
          <w:sz w:val="20"/>
          <w:szCs w:val="20"/>
          <w:lang w:val="fr-CA"/>
        </w:rPr>
        <w:t>Brown</w:t>
      </w:r>
    </w:p>
    <w:p w:rsidR="00CB3520" w:rsidRPr="007765E3" w:rsidRDefault="00CB3520" w:rsidP="00CB3520">
      <w:pPr>
        <w:widowControl w:val="0"/>
        <w:jc w:val="both"/>
        <w:rPr>
          <w:sz w:val="20"/>
          <w:szCs w:val="20"/>
          <w:lang w:val="fr-CA"/>
        </w:rPr>
      </w:pPr>
    </w:p>
    <w:p w:rsidR="002E2327" w:rsidRPr="007765E3" w:rsidRDefault="00C75B64" w:rsidP="00901382">
      <w:pPr>
        <w:pStyle w:val="ListParagraph"/>
        <w:widowControl w:val="0"/>
        <w:numPr>
          <w:ilvl w:val="0"/>
          <w:numId w:val="1"/>
        </w:numPr>
        <w:ind w:hanging="720"/>
        <w:jc w:val="both"/>
        <w:rPr>
          <w:sz w:val="20"/>
          <w:szCs w:val="20"/>
          <w:lang w:val="en-US"/>
        </w:rPr>
      </w:pPr>
      <w:proofErr w:type="spellStart"/>
      <w:r w:rsidRPr="007765E3">
        <w:rPr>
          <w:i/>
          <w:sz w:val="20"/>
          <w:szCs w:val="20"/>
          <w:lang w:val="en-US"/>
        </w:rPr>
        <w:t>Wael</w:t>
      </w:r>
      <w:proofErr w:type="spellEnd"/>
      <w:r w:rsidRPr="007765E3">
        <w:rPr>
          <w:i/>
          <w:sz w:val="20"/>
          <w:szCs w:val="20"/>
          <w:lang w:val="en-US"/>
        </w:rPr>
        <w:t xml:space="preserve"> </w:t>
      </w:r>
      <w:proofErr w:type="spellStart"/>
      <w:r w:rsidRPr="007765E3">
        <w:rPr>
          <w:i/>
          <w:sz w:val="20"/>
          <w:szCs w:val="20"/>
          <w:lang w:val="en-US"/>
        </w:rPr>
        <w:t>Maged</w:t>
      </w:r>
      <w:proofErr w:type="spellEnd"/>
      <w:r w:rsidRPr="007765E3">
        <w:rPr>
          <w:i/>
          <w:sz w:val="20"/>
          <w:szCs w:val="20"/>
          <w:lang w:val="en-US"/>
        </w:rPr>
        <w:t xml:space="preserve"> </w:t>
      </w:r>
      <w:proofErr w:type="spellStart"/>
      <w:r w:rsidRPr="007765E3">
        <w:rPr>
          <w:i/>
          <w:sz w:val="20"/>
          <w:szCs w:val="20"/>
          <w:lang w:val="en-US"/>
        </w:rPr>
        <w:t>Badawy</w:t>
      </w:r>
      <w:proofErr w:type="spellEnd"/>
      <w:r w:rsidRPr="007765E3">
        <w:rPr>
          <w:i/>
          <w:sz w:val="20"/>
          <w:szCs w:val="20"/>
          <w:lang w:val="en-US"/>
        </w:rPr>
        <w:t xml:space="preserve"> v. </w:t>
      </w:r>
      <w:proofErr w:type="spellStart"/>
      <w:r w:rsidRPr="007765E3">
        <w:rPr>
          <w:i/>
          <w:sz w:val="20"/>
          <w:szCs w:val="20"/>
          <w:lang w:val="en-US"/>
        </w:rPr>
        <w:t>Zeinab</w:t>
      </w:r>
      <w:proofErr w:type="spellEnd"/>
      <w:r w:rsidRPr="007765E3">
        <w:rPr>
          <w:i/>
          <w:sz w:val="20"/>
          <w:szCs w:val="20"/>
          <w:lang w:val="en-US"/>
        </w:rPr>
        <w:t xml:space="preserve"> </w:t>
      </w:r>
      <w:proofErr w:type="spellStart"/>
      <w:r w:rsidRPr="007765E3">
        <w:rPr>
          <w:i/>
          <w:sz w:val="20"/>
          <w:szCs w:val="20"/>
          <w:lang w:val="en-US"/>
        </w:rPr>
        <w:t>Hassanein</w:t>
      </w:r>
      <w:proofErr w:type="spellEnd"/>
      <w:r w:rsidRPr="007765E3">
        <w:rPr>
          <w:i/>
          <w:sz w:val="20"/>
          <w:szCs w:val="20"/>
          <w:lang w:val="en-US"/>
        </w:rPr>
        <w:t xml:space="preserve"> et al. </w:t>
      </w:r>
      <w:r w:rsidRPr="007765E3">
        <w:rPr>
          <w:sz w:val="20"/>
          <w:szCs w:val="20"/>
          <w:lang w:val="en-US"/>
        </w:rPr>
        <w:t>(Alta.) (Civil) (By Leave) (36961)</w:t>
      </w:r>
    </w:p>
    <w:p w:rsidR="00C75B64" w:rsidRPr="007765E3" w:rsidRDefault="00C75B64" w:rsidP="00C75B64">
      <w:pPr>
        <w:pStyle w:val="ListParagraph"/>
        <w:widowControl w:val="0"/>
        <w:jc w:val="both"/>
        <w:rPr>
          <w:sz w:val="20"/>
          <w:szCs w:val="20"/>
          <w:lang w:val="en-US"/>
        </w:rPr>
      </w:pPr>
    </w:p>
    <w:p w:rsidR="00C75B64" w:rsidRPr="007765E3" w:rsidRDefault="00C75B64" w:rsidP="00901382">
      <w:pPr>
        <w:pStyle w:val="ListParagraph"/>
        <w:widowControl w:val="0"/>
        <w:numPr>
          <w:ilvl w:val="0"/>
          <w:numId w:val="1"/>
        </w:numPr>
        <w:ind w:hanging="720"/>
        <w:jc w:val="both"/>
        <w:rPr>
          <w:sz w:val="20"/>
          <w:szCs w:val="20"/>
          <w:lang w:val="en-US"/>
        </w:rPr>
      </w:pPr>
      <w:proofErr w:type="spellStart"/>
      <w:r w:rsidRPr="007765E3">
        <w:rPr>
          <w:i/>
          <w:sz w:val="20"/>
          <w:szCs w:val="20"/>
          <w:lang w:val="en-US"/>
        </w:rPr>
        <w:t>Wael</w:t>
      </w:r>
      <w:proofErr w:type="spellEnd"/>
      <w:r w:rsidRPr="007765E3">
        <w:rPr>
          <w:i/>
          <w:sz w:val="20"/>
          <w:szCs w:val="20"/>
          <w:lang w:val="en-US"/>
        </w:rPr>
        <w:t xml:space="preserve"> </w:t>
      </w:r>
      <w:proofErr w:type="spellStart"/>
      <w:r w:rsidRPr="007765E3">
        <w:rPr>
          <w:i/>
          <w:sz w:val="20"/>
          <w:szCs w:val="20"/>
          <w:lang w:val="en-US"/>
        </w:rPr>
        <w:t>Maged</w:t>
      </w:r>
      <w:proofErr w:type="spellEnd"/>
      <w:r w:rsidRPr="007765E3">
        <w:rPr>
          <w:i/>
          <w:sz w:val="20"/>
          <w:szCs w:val="20"/>
          <w:lang w:val="en-US"/>
        </w:rPr>
        <w:t xml:space="preserve"> </w:t>
      </w:r>
      <w:proofErr w:type="spellStart"/>
      <w:r w:rsidRPr="007765E3">
        <w:rPr>
          <w:i/>
          <w:sz w:val="20"/>
          <w:szCs w:val="20"/>
          <w:lang w:val="en-US"/>
        </w:rPr>
        <w:t>Badawy</w:t>
      </w:r>
      <w:proofErr w:type="spellEnd"/>
      <w:r w:rsidRPr="007765E3">
        <w:rPr>
          <w:i/>
          <w:sz w:val="20"/>
          <w:szCs w:val="20"/>
          <w:lang w:val="en-US"/>
        </w:rPr>
        <w:t xml:space="preserve"> v. Law Society of Alberta et al. </w:t>
      </w:r>
      <w:r w:rsidRPr="007765E3">
        <w:rPr>
          <w:sz w:val="20"/>
          <w:szCs w:val="20"/>
          <w:lang w:val="en-US"/>
        </w:rPr>
        <w:t>(F.C.) (Civil) (By Leave) (37165)</w:t>
      </w:r>
    </w:p>
    <w:p w:rsidR="00C75B64" w:rsidRPr="007765E3" w:rsidRDefault="00C75B64" w:rsidP="00C75B64">
      <w:pPr>
        <w:pStyle w:val="ListParagraph"/>
        <w:rPr>
          <w:sz w:val="20"/>
          <w:szCs w:val="20"/>
          <w:lang w:val="en-US"/>
        </w:rPr>
      </w:pPr>
    </w:p>
    <w:p w:rsidR="00C75B64" w:rsidRPr="007765E3" w:rsidRDefault="00C75B64" w:rsidP="00901382">
      <w:pPr>
        <w:pStyle w:val="ListParagraph"/>
        <w:widowControl w:val="0"/>
        <w:numPr>
          <w:ilvl w:val="0"/>
          <w:numId w:val="1"/>
        </w:numPr>
        <w:ind w:hanging="720"/>
        <w:jc w:val="both"/>
        <w:rPr>
          <w:sz w:val="20"/>
          <w:szCs w:val="20"/>
          <w:lang w:val="en-US"/>
        </w:rPr>
      </w:pPr>
      <w:proofErr w:type="spellStart"/>
      <w:r w:rsidRPr="007765E3">
        <w:rPr>
          <w:i/>
          <w:sz w:val="20"/>
          <w:szCs w:val="20"/>
          <w:lang w:val="en-US"/>
        </w:rPr>
        <w:t>Da’naxda’xw</w:t>
      </w:r>
      <w:proofErr w:type="spellEnd"/>
      <w:r w:rsidRPr="007765E3">
        <w:rPr>
          <w:i/>
          <w:sz w:val="20"/>
          <w:szCs w:val="20"/>
          <w:lang w:val="en-US"/>
        </w:rPr>
        <w:t>/</w:t>
      </w:r>
      <w:proofErr w:type="spellStart"/>
      <w:r w:rsidRPr="007765E3">
        <w:rPr>
          <w:i/>
          <w:sz w:val="20"/>
          <w:szCs w:val="20"/>
          <w:lang w:val="en-US"/>
        </w:rPr>
        <w:t>Awaetlala</w:t>
      </w:r>
      <w:proofErr w:type="spellEnd"/>
      <w:r w:rsidRPr="007765E3">
        <w:rPr>
          <w:i/>
          <w:sz w:val="20"/>
          <w:szCs w:val="20"/>
          <w:lang w:val="en-US"/>
        </w:rPr>
        <w:t xml:space="preserve"> First Nation et al. v. Minister of Energy, Mines and Natural Gas et al. </w:t>
      </w:r>
      <w:r w:rsidRPr="007765E3">
        <w:rPr>
          <w:sz w:val="20"/>
          <w:szCs w:val="20"/>
          <w:lang w:val="en-US"/>
        </w:rPr>
        <w:t>(B.C.) (Civil) (By Leave) (37074)</w:t>
      </w:r>
    </w:p>
    <w:p w:rsidR="00C75B64" w:rsidRPr="007765E3" w:rsidRDefault="00C75B64" w:rsidP="00C75B64">
      <w:pPr>
        <w:pStyle w:val="ListParagraph"/>
        <w:rPr>
          <w:sz w:val="20"/>
          <w:szCs w:val="20"/>
          <w:lang w:val="en-US"/>
        </w:rPr>
      </w:pPr>
    </w:p>
    <w:p w:rsidR="00C75B64" w:rsidRPr="007765E3" w:rsidRDefault="00C75B64" w:rsidP="00901382">
      <w:pPr>
        <w:pStyle w:val="ListParagraph"/>
        <w:widowControl w:val="0"/>
        <w:numPr>
          <w:ilvl w:val="0"/>
          <w:numId w:val="1"/>
        </w:numPr>
        <w:ind w:hanging="720"/>
        <w:jc w:val="both"/>
        <w:rPr>
          <w:sz w:val="20"/>
          <w:szCs w:val="20"/>
          <w:lang w:val="fr-CA"/>
        </w:rPr>
      </w:pPr>
      <w:r w:rsidRPr="007765E3">
        <w:rPr>
          <w:i/>
          <w:sz w:val="20"/>
          <w:szCs w:val="20"/>
          <w:lang w:val="en-US"/>
        </w:rPr>
        <w:t xml:space="preserve">Steven Ward </w:t>
      </w:r>
      <w:proofErr w:type="spellStart"/>
      <w:r w:rsidRPr="007765E3">
        <w:rPr>
          <w:i/>
          <w:sz w:val="20"/>
          <w:szCs w:val="20"/>
          <w:lang w:val="en-US"/>
        </w:rPr>
        <w:t>Leason</w:t>
      </w:r>
      <w:proofErr w:type="spellEnd"/>
      <w:r w:rsidRPr="007765E3">
        <w:rPr>
          <w:i/>
          <w:sz w:val="20"/>
          <w:szCs w:val="20"/>
          <w:lang w:val="en-US"/>
        </w:rPr>
        <w:t xml:space="preserve"> v. Alyssa-Rea </w:t>
      </w:r>
      <w:proofErr w:type="spellStart"/>
      <w:r w:rsidRPr="007765E3">
        <w:rPr>
          <w:i/>
          <w:sz w:val="20"/>
          <w:szCs w:val="20"/>
          <w:lang w:val="en-US"/>
        </w:rPr>
        <w:t>Doranne</w:t>
      </w:r>
      <w:proofErr w:type="spellEnd"/>
      <w:r w:rsidRPr="007765E3">
        <w:rPr>
          <w:i/>
          <w:sz w:val="20"/>
          <w:szCs w:val="20"/>
          <w:lang w:val="en-US"/>
        </w:rPr>
        <w:t xml:space="preserve"> </w:t>
      </w:r>
      <w:proofErr w:type="spellStart"/>
      <w:r w:rsidRPr="007765E3">
        <w:rPr>
          <w:i/>
          <w:sz w:val="20"/>
          <w:szCs w:val="20"/>
          <w:lang w:val="en-US"/>
        </w:rPr>
        <w:t>McAlpine</w:t>
      </w:r>
      <w:proofErr w:type="spellEnd"/>
      <w:r w:rsidRPr="007765E3">
        <w:rPr>
          <w:sz w:val="20"/>
          <w:szCs w:val="20"/>
          <w:lang w:val="en-US"/>
        </w:rPr>
        <w:t xml:space="preserve"> (Alta.) </w:t>
      </w:r>
      <w:r w:rsidRPr="007765E3">
        <w:rPr>
          <w:sz w:val="20"/>
          <w:szCs w:val="20"/>
          <w:lang w:val="fr-CA"/>
        </w:rPr>
        <w:t xml:space="preserve">(Civil) (By </w:t>
      </w:r>
      <w:proofErr w:type="spellStart"/>
      <w:r w:rsidRPr="007765E3">
        <w:rPr>
          <w:sz w:val="20"/>
          <w:szCs w:val="20"/>
          <w:lang w:val="fr-CA"/>
        </w:rPr>
        <w:t>Leave</w:t>
      </w:r>
      <w:proofErr w:type="spellEnd"/>
      <w:r w:rsidRPr="007765E3">
        <w:rPr>
          <w:sz w:val="20"/>
          <w:szCs w:val="20"/>
          <w:lang w:val="fr-CA"/>
        </w:rPr>
        <w:t>) (37099)</w:t>
      </w:r>
    </w:p>
    <w:p w:rsidR="00C75B64" w:rsidRPr="007765E3" w:rsidRDefault="00C75B64" w:rsidP="00C75B64">
      <w:pPr>
        <w:pStyle w:val="ListParagraph"/>
        <w:rPr>
          <w:sz w:val="20"/>
          <w:szCs w:val="20"/>
          <w:lang w:val="fr-CA"/>
        </w:rPr>
      </w:pPr>
    </w:p>
    <w:p w:rsidR="002E2327" w:rsidRPr="007765E3" w:rsidRDefault="007765E3" w:rsidP="002E2327">
      <w:pPr>
        <w:widowControl w:val="0"/>
        <w:rPr>
          <w:sz w:val="20"/>
          <w:szCs w:val="20"/>
          <w:lang w:val="fr-CA"/>
        </w:rPr>
      </w:pPr>
      <w:r w:rsidRPr="007765E3">
        <w:rPr>
          <w:sz w:val="20"/>
          <w:szCs w:val="20"/>
        </w:rPr>
        <w:pict>
          <v:rect id="_x0000_i1039" style="width:2in;height:1pt" o:hrpct="0" o:hralign="center" o:hrstd="t" o:hrnoshade="t" o:hr="t" fillcolor="black [3213]" stroked="f"/>
        </w:pict>
      </w:r>
    </w:p>
    <w:p w:rsidR="00D94028" w:rsidRPr="007765E3" w:rsidRDefault="00D94028" w:rsidP="002E2327">
      <w:pPr>
        <w:widowControl w:val="0"/>
        <w:rPr>
          <w:sz w:val="20"/>
          <w:szCs w:val="20"/>
          <w:lang w:val="fr-CA"/>
        </w:rPr>
      </w:pPr>
    </w:p>
    <w:p w:rsidR="00D94028" w:rsidRPr="007765E3" w:rsidRDefault="00D94028" w:rsidP="002E2327">
      <w:pPr>
        <w:widowControl w:val="0"/>
        <w:rPr>
          <w:sz w:val="20"/>
          <w:szCs w:val="20"/>
          <w:lang w:val="fr-CA"/>
        </w:rPr>
      </w:pPr>
    </w:p>
    <w:p w:rsidR="00D94028" w:rsidRPr="007765E3" w:rsidRDefault="00D94028" w:rsidP="002E2327">
      <w:pPr>
        <w:widowControl w:val="0"/>
        <w:rPr>
          <w:sz w:val="20"/>
          <w:szCs w:val="20"/>
          <w:lang w:val="fr-CA"/>
        </w:rPr>
      </w:pPr>
    </w:p>
    <w:p w:rsidR="0044776A" w:rsidRPr="007765E3" w:rsidRDefault="0044776A" w:rsidP="002E2327">
      <w:pPr>
        <w:widowControl w:val="0"/>
        <w:spacing w:line="0" w:lineRule="atLeast"/>
        <w:rPr>
          <w:sz w:val="20"/>
          <w:szCs w:val="20"/>
          <w:lang w:val="fr-CA"/>
        </w:rPr>
        <w:sectPr w:rsidR="0044776A" w:rsidRPr="007765E3"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765E3" w:rsidTr="00ED7E83">
        <w:tc>
          <w:tcPr>
            <w:tcW w:w="4200" w:type="dxa"/>
            <w:tcMar>
              <w:left w:w="0" w:type="dxa"/>
              <w:right w:w="0" w:type="dxa"/>
            </w:tcMar>
          </w:tcPr>
          <w:p w:rsidR="008D292F" w:rsidRPr="007765E3" w:rsidRDefault="008D292F" w:rsidP="00ED7E83">
            <w:pPr>
              <w:keepNext/>
              <w:keepLines/>
              <w:jc w:val="both"/>
              <w:rPr>
                <w:b/>
                <w:szCs w:val="24"/>
                <w:lang w:val="en-US"/>
              </w:rPr>
            </w:pPr>
            <w:bookmarkStart w:id="1" w:name="QuickMark_1"/>
            <w:bookmarkEnd w:id="1"/>
            <w:r w:rsidRPr="007765E3">
              <w:rPr>
                <w:b/>
                <w:szCs w:val="24"/>
                <w:lang w:val="en-US"/>
              </w:rPr>
              <w:lastRenderedPageBreak/>
              <w:t>JUDGMENTS ON APPLICATIONS</w:t>
            </w:r>
          </w:p>
          <w:p w:rsidR="008D292F" w:rsidRPr="007765E3" w:rsidRDefault="008D292F" w:rsidP="00ED7E83">
            <w:pPr>
              <w:keepNext/>
              <w:keepLines/>
              <w:jc w:val="both"/>
              <w:rPr>
                <w:b/>
                <w:szCs w:val="24"/>
                <w:lang w:val="en-US"/>
              </w:rPr>
            </w:pPr>
            <w:r w:rsidRPr="007765E3">
              <w:rPr>
                <w:b/>
                <w:szCs w:val="24"/>
                <w:lang w:val="en-US"/>
              </w:rPr>
              <w:t>FOR LEAVE</w:t>
            </w:r>
          </w:p>
        </w:tc>
        <w:tc>
          <w:tcPr>
            <w:tcW w:w="1200" w:type="dxa"/>
            <w:tcMar>
              <w:left w:w="0" w:type="dxa"/>
              <w:right w:w="0" w:type="dxa"/>
            </w:tcMar>
          </w:tcPr>
          <w:p w:rsidR="008D292F" w:rsidRPr="007765E3" w:rsidRDefault="008D292F" w:rsidP="008D292F">
            <w:pPr>
              <w:keepNext/>
              <w:keepLines/>
              <w:jc w:val="center"/>
              <w:rPr>
                <w:b/>
                <w:szCs w:val="24"/>
                <w:lang w:val="en-US"/>
              </w:rPr>
            </w:pPr>
          </w:p>
          <w:p w:rsidR="008D292F" w:rsidRPr="007765E3" w:rsidRDefault="008D292F" w:rsidP="008D292F">
            <w:pPr>
              <w:keepNext/>
              <w:keepLines/>
              <w:jc w:val="center"/>
              <w:rPr>
                <w:b/>
                <w:szCs w:val="24"/>
                <w:lang w:val="en-US"/>
              </w:rPr>
            </w:pPr>
          </w:p>
          <w:p w:rsidR="008D292F" w:rsidRPr="007765E3" w:rsidRDefault="008D292F" w:rsidP="008D292F">
            <w:pPr>
              <w:keepNext/>
              <w:keepLines/>
              <w:jc w:val="center"/>
              <w:rPr>
                <w:b/>
                <w:szCs w:val="24"/>
                <w:lang w:val="en-US"/>
              </w:rPr>
            </w:pPr>
          </w:p>
        </w:tc>
        <w:tc>
          <w:tcPr>
            <w:tcW w:w="4080" w:type="dxa"/>
            <w:tcMar>
              <w:left w:w="0" w:type="dxa"/>
              <w:right w:w="0" w:type="dxa"/>
            </w:tcMar>
          </w:tcPr>
          <w:p w:rsidR="008D292F" w:rsidRPr="007765E3" w:rsidRDefault="008D292F" w:rsidP="00ED7E83">
            <w:pPr>
              <w:keepNext/>
              <w:keepLines/>
              <w:jc w:val="both"/>
              <w:rPr>
                <w:b/>
                <w:szCs w:val="24"/>
                <w:lang w:val="fr-CA"/>
              </w:rPr>
            </w:pPr>
            <w:r w:rsidRPr="007765E3">
              <w:rPr>
                <w:b/>
                <w:szCs w:val="24"/>
                <w:lang w:val="fr-CA"/>
              </w:rPr>
              <w:t>JUGEMENTS RENDUS SUR LES DEMANDES D’AUTORISATION</w:t>
            </w:r>
          </w:p>
        </w:tc>
      </w:tr>
    </w:tbl>
    <w:p w:rsidR="008D292F" w:rsidRPr="007765E3" w:rsidRDefault="008D292F" w:rsidP="008D292F">
      <w:pPr>
        <w:rPr>
          <w:sz w:val="20"/>
          <w:szCs w:val="20"/>
          <w:lang w:val="fr-CA"/>
        </w:rPr>
      </w:pPr>
    </w:p>
    <w:p w:rsidR="000E2959" w:rsidRPr="007765E3" w:rsidRDefault="00901382" w:rsidP="000E2959">
      <w:pPr>
        <w:rPr>
          <w:b/>
          <w:sz w:val="20"/>
          <w:szCs w:val="20"/>
        </w:rPr>
      </w:pPr>
      <w:r w:rsidRPr="007765E3">
        <w:rPr>
          <w:b/>
          <w:sz w:val="20"/>
          <w:szCs w:val="20"/>
          <w:lang w:val="fr-CA"/>
        </w:rPr>
        <w:t>OCTOBER 13</w:t>
      </w:r>
      <w:r w:rsidR="000E2959" w:rsidRPr="007765E3">
        <w:rPr>
          <w:b/>
          <w:sz w:val="20"/>
          <w:szCs w:val="20"/>
          <w:lang w:val="fr-CA"/>
        </w:rPr>
        <w:t xml:space="preserve">, </w:t>
      </w:r>
      <w:r w:rsidR="0030050B" w:rsidRPr="007765E3">
        <w:rPr>
          <w:b/>
          <w:sz w:val="20"/>
          <w:szCs w:val="20"/>
          <w:lang w:val="fr-CA"/>
        </w:rPr>
        <w:t>2016</w:t>
      </w:r>
      <w:r w:rsidR="000E2959" w:rsidRPr="007765E3">
        <w:rPr>
          <w:b/>
          <w:sz w:val="20"/>
          <w:szCs w:val="20"/>
          <w:lang w:val="fr-CA"/>
        </w:rPr>
        <w:t xml:space="preserve"> / LE </w:t>
      </w:r>
      <w:r w:rsidRPr="007765E3">
        <w:rPr>
          <w:b/>
          <w:sz w:val="20"/>
          <w:szCs w:val="20"/>
          <w:lang w:val="fr-CA"/>
        </w:rPr>
        <w:t xml:space="preserve">13 </w:t>
      </w:r>
      <w:r w:rsidRPr="007765E3">
        <w:rPr>
          <w:b/>
          <w:sz w:val="20"/>
          <w:szCs w:val="20"/>
        </w:rPr>
        <w:t>OCTOBRE</w:t>
      </w:r>
      <w:r w:rsidR="000E2959" w:rsidRPr="007765E3">
        <w:rPr>
          <w:b/>
          <w:sz w:val="20"/>
          <w:szCs w:val="20"/>
        </w:rPr>
        <w:t xml:space="preserve"> </w:t>
      </w:r>
      <w:r w:rsidR="0030050B" w:rsidRPr="007765E3">
        <w:rPr>
          <w:b/>
          <w:sz w:val="20"/>
          <w:szCs w:val="20"/>
        </w:rPr>
        <w:t>2016</w:t>
      </w:r>
    </w:p>
    <w:p w:rsidR="000E2959" w:rsidRPr="007765E3"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01382" w:rsidRPr="007765E3" w:rsidTr="00A7356B">
        <w:trPr>
          <w:cantSplit/>
        </w:trPr>
        <w:tc>
          <w:tcPr>
            <w:tcW w:w="1458" w:type="dxa"/>
          </w:tcPr>
          <w:p w:rsidR="00901382" w:rsidRPr="007765E3" w:rsidRDefault="00127038" w:rsidP="00A7356B">
            <w:pPr>
              <w:jc w:val="both"/>
              <w:rPr>
                <w:rFonts w:cs="Times New Roman"/>
                <w:sz w:val="20"/>
                <w:szCs w:val="20"/>
              </w:rPr>
            </w:pPr>
            <w:r w:rsidRPr="007765E3">
              <w:rPr>
                <w:rStyle w:val="SCCFileNumberChar"/>
                <w:sz w:val="20"/>
                <w:szCs w:val="20"/>
              </w:rPr>
              <w:t>36786</w:t>
            </w:r>
          </w:p>
          <w:p w:rsidR="00901382" w:rsidRPr="007765E3" w:rsidRDefault="00901382" w:rsidP="00A7356B">
            <w:pPr>
              <w:jc w:val="both"/>
              <w:rPr>
                <w:rFonts w:cs="Times New Roman"/>
                <w:b/>
                <w:sz w:val="20"/>
                <w:szCs w:val="20"/>
              </w:rPr>
            </w:pPr>
          </w:p>
        </w:tc>
        <w:tc>
          <w:tcPr>
            <w:tcW w:w="8118" w:type="dxa"/>
            <w:gridSpan w:val="3"/>
          </w:tcPr>
          <w:p w:rsidR="00901382" w:rsidRPr="007765E3" w:rsidRDefault="00070F74" w:rsidP="00A7356B">
            <w:pPr>
              <w:jc w:val="both"/>
              <w:rPr>
                <w:rFonts w:cs="Times New Roman"/>
                <w:sz w:val="20"/>
                <w:szCs w:val="20"/>
              </w:rPr>
            </w:pPr>
            <w:r w:rsidRPr="007765E3">
              <w:rPr>
                <w:b/>
                <w:sz w:val="20"/>
                <w:szCs w:val="20"/>
                <w:u w:val="single"/>
                <w:lang w:val="fr-CA"/>
              </w:rPr>
              <w:t xml:space="preserve">Abdelhakim </w:t>
            </w:r>
            <w:proofErr w:type="spellStart"/>
            <w:r w:rsidRPr="007765E3">
              <w:rPr>
                <w:b/>
                <w:sz w:val="20"/>
                <w:szCs w:val="20"/>
                <w:u w:val="single"/>
                <w:lang w:val="fr-CA"/>
              </w:rPr>
              <w:t>Bouarfa</w:t>
            </w:r>
            <w:proofErr w:type="spellEnd"/>
            <w:r w:rsidRPr="007765E3">
              <w:rPr>
                <w:b/>
                <w:sz w:val="20"/>
                <w:szCs w:val="20"/>
                <w:u w:val="single"/>
                <w:lang w:val="fr-CA"/>
              </w:rPr>
              <w:t xml:space="preserve"> c. Procureure générale du Canada représentant la République française</w:t>
            </w:r>
            <w:r w:rsidRPr="007765E3">
              <w:rPr>
                <w:rFonts w:cs="Times New Roman"/>
                <w:sz w:val="20"/>
                <w:szCs w:val="20"/>
                <w:lang w:val="fr-CA"/>
              </w:rPr>
              <w:t xml:space="preserve"> </w:t>
            </w:r>
            <w:r w:rsidR="00901382" w:rsidRPr="007765E3">
              <w:rPr>
                <w:rFonts w:cs="Times New Roman"/>
                <w:sz w:val="20"/>
                <w:szCs w:val="20"/>
                <w:lang w:val="fr-CA"/>
              </w:rPr>
              <w:t>(</w:t>
            </w:r>
            <w:proofErr w:type="spellStart"/>
            <w:r w:rsidRPr="007765E3">
              <w:rPr>
                <w:rFonts w:cs="Times New Roman"/>
                <w:sz w:val="20"/>
                <w:szCs w:val="20"/>
                <w:lang w:val="fr-CA"/>
              </w:rPr>
              <w:t>Qc</w:t>
            </w:r>
            <w:proofErr w:type="spellEnd"/>
            <w:r w:rsidR="00901382" w:rsidRPr="007765E3">
              <w:rPr>
                <w:rFonts w:cs="Times New Roman"/>
                <w:sz w:val="20"/>
                <w:szCs w:val="20"/>
                <w:lang w:val="fr-CA"/>
              </w:rPr>
              <w:t>) (</w:t>
            </w:r>
            <w:proofErr w:type="spellStart"/>
            <w:r w:rsidR="00901382" w:rsidRPr="007765E3">
              <w:rPr>
                <w:rFonts w:cs="Times New Roman"/>
                <w:sz w:val="20"/>
                <w:szCs w:val="20"/>
                <w:lang w:val="fr-CA"/>
              </w:rPr>
              <w:t>C</w:t>
            </w:r>
            <w:r w:rsidRPr="007765E3">
              <w:rPr>
                <w:rFonts w:cs="Times New Roman"/>
                <w:sz w:val="20"/>
                <w:szCs w:val="20"/>
                <w:lang w:val="fr-CA"/>
              </w:rPr>
              <w:t>rim</w:t>
            </w:r>
            <w:proofErr w:type="spellEnd"/>
            <w:r w:rsidRPr="007765E3">
              <w:rPr>
                <w:rFonts w:cs="Times New Roman"/>
                <w:sz w:val="20"/>
                <w:szCs w:val="20"/>
                <w:lang w:val="fr-CA"/>
              </w:rPr>
              <w:t>.</w:t>
            </w:r>
            <w:r w:rsidR="00901382" w:rsidRPr="007765E3">
              <w:rPr>
                <w:rFonts w:cs="Times New Roman"/>
                <w:sz w:val="20"/>
                <w:szCs w:val="20"/>
                <w:lang w:val="fr-CA"/>
              </w:rPr>
              <w:t xml:space="preserve">) </w:t>
            </w:r>
            <w:r w:rsidR="00901382" w:rsidRPr="007765E3">
              <w:rPr>
                <w:rFonts w:cs="Times New Roman"/>
                <w:sz w:val="20"/>
                <w:szCs w:val="20"/>
              </w:rPr>
              <w:t>(</w:t>
            </w:r>
            <w:proofErr w:type="spellStart"/>
            <w:r w:rsidRPr="007765E3">
              <w:rPr>
                <w:rFonts w:cs="Times New Roman"/>
                <w:sz w:val="20"/>
                <w:szCs w:val="20"/>
              </w:rPr>
              <w:t>Autorisation</w:t>
            </w:r>
            <w:proofErr w:type="spellEnd"/>
            <w:r w:rsidR="00901382" w:rsidRPr="007765E3">
              <w:rPr>
                <w:rFonts w:cs="Times New Roman"/>
                <w:sz w:val="20"/>
                <w:szCs w:val="20"/>
              </w:rPr>
              <w:t>)</w:t>
            </w:r>
          </w:p>
          <w:p w:rsidR="00901382" w:rsidRPr="007765E3" w:rsidRDefault="00901382" w:rsidP="00A7356B">
            <w:pPr>
              <w:jc w:val="both"/>
              <w:rPr>
                <w:rFonts w:cs="Times New Roman"/>
                <w:sz w:val="20"/>
                <w:szCs w:val="20"/>
              </w:rPr>
            </w:pPr>
          </w:p>
        </w:tc>
      </w:tr>
      <w:tr w:rsidR="00901382" w:rsidRPr="007765E3" w:rsidTr="00A7356B">
        <w:trPr>
          <w:cantSplit/>
        </w:trPr>
        <w:tc>
          <w:tcPr>
            <w:tcW w:w="1458" w:type="dxa"/>
          </w:tcPr>
          <w:p w:rsidR="00901382" w:rsidRPr="007765E3" w:rsidRDefault="00901382" w:rsidP="00A7356B">
            <w:pPr>
              <w:jc w:val="both"/>
              <w:rPr>
                <w:rFonts w:cs="Times New Roman"/>
                <w:sz w:val="20"/>
                <w:szCs w:val="20"/>
              </w:rPr>
            </w:pPr>
            <w:r w:rsidRPr="007765E3">
              <w:rPr>
                <w:rFonts w:cs="Times New Roman"/>
                <w:sz w:val="20"/>
                <w:szCs w:val="20"/>
              </w:rPr>
              <w:t>Coram :</w:t>
            </w:r>
          </w:p>
        </w:tc>
        <w:tc>
          <w:tcPr>
            <w:tcW w:w="8118" w:type="dxa"/>
            <w:gridSpan w:val="3"/>
          </w:tcPr>
          <w:p w:rsidR="00901382" w:rsidRPr="007765E3" w:rsidRDefault="00070F74" w:rsidP="00A7356B">
            <w:pPr>
              <w:jc w:val="both"/>
              <w:rPr>
                <w:rStyle w:val="SCCCoramChar"/>
                <w:sz w:val="20"/>
                <w:szCs w:val="20"/>
              </w:rPr>
            </w:pPr>
            <w:r w:rsidRPr="007765E3">
              <w:rPr>
                <w:sz w:val="20"/>
                <w:szCs w:val="20"/>
                <w:u w:val="single"/>
                <w:lang w:val="fr-CA"/>
              </w:rPr>
              <w:t xml:space="preserve">Les juges Abella, </w:t>
            </w:r>
            <w:proofErr w:type="spellStart"/>
            <w:r w:rsidRPr="007765E3">
              <w:rPr>
                <w:sz w:val="20"/>
                <w:szCs w:val="20"/>
                <w:u w:val="single"/>
                <w:lang w:val="fr-CA"/>
              </w:rPr>
              <w:t>Karakatsanis</w:t>
            </w:r>
            <w:proofErr w:type="spellEnd"/>
            <w:r w:rsidRPr="007765E3">
              <w:rPr>
                <w:sz w:val="20"/>
                <w:szCs w:val="20"/>
                <w:u w:val="single"/>
                <w:lang w:val="fr-CA"/>
              </w:rPr>
              <w:t xml:space="preserve"> et Brown</w:t>
            </w:r>
          </w:p>
          <w:p w:rsidR="00901382" w:rsidRPr="007765E3" w:rsidRDefault="00901382" w:rsidP="00A7356B">
            <w:pPr>
              <w:jc w:val="both"/>
              <w:rPr>
                <w:rFonts w:cs="Times New Roman"/>
                <w:sz w:val="20"/>
                <w:szCs w:val="20"/>
                <w:u w:val="single"/>
                <w:lang w:val="fr-CA"/>
              </w:rPr>
            </w:pPr>
          </w:p>
        </w:tc>
      </w:tr>
      <w:tr w:rsidR="00901382" w:rsidRPr="007765E3" w:rsidTr="00A7356B">
        <w:trPr>
          <w:cantSplit/>
        </w:trPr>
        <w:tc>
          <w:tcPr>
            <w:tcW w:w="9576" w:type="dxa"/>
            <w:gridSpan w:val="4"/>
          </w:tcPr>
          <w:p w:rsidR="00901382" w:rsidRPr="007765E3" w:rsidRDefault="00901382" w:rsidP="00A7356B">
            <w:pPr>
              <w:pStyle w:val="SCCShortJudgment"/>
              <w:ind w:firstLine="0"/>
              <w:rPr>
                <w:rFonts w:cs="Times New Roman"/>
                <w:szCs w:val="20"/>
                <w:lang w:val="fr-CA"/>
              </w:rPr>
            </w:pPr>
            <w:r w:rsidRPr="007765E3">
              <w:rPr>
                <w:rFonts w:cs="Times New Roman"/>
                <w:szCs w:val="20"/>
                <w:lang w:val="fr-CA"/>
              </w:rPr>
              <w:tab/>
            </w:r>
            <w:r w:rsidR="00070F74" w:rsidRPr="007765E3">
              <w:rPr>
                <w:szCs w:val="20"/>
                <w:lang w:val="fr-FR"/>
              </w:rPr>
              <w:t>La requête en prorogation du délai pour la signification et le dépôt de la demande d’autorisation d’appel est accueillie.</w:t>
            </w:r>
            <w:r w:rsidR="00070F74" w:rsidRPr="007765E3">
              <w:rPr>
                <w:szCs w:val="20"/>
                <w:lang w:val="fr-CA"/>
              </w:rPr>
              <w:t xml:space="preserve"> La demande d’autorisation d’appel de l’arrêt de la Cour d’appel du Québec (Montréal), numéro 500-10-005579-147, 2015 QCCA 1970, daté du 26 novembre 2015, est rejetée.</w:t>
            </w:r>
          </w:p>
          <w:p w:rsidR="00901382" w:rsidRPr="007765E3" w:rsidRDefault="00901382" w:rsidP="00A7356B">
            <w:pPr>
              <w:pStyle w:val="SCCShortJudgment"/>
              <w:ind w:firstLine="0"/>
              <w:rPr>
                <w:rFonts w:cs="Times New Roman"/>
                <w:szCs w:val="20"/>
                <w:lang w:val="fr-CA"/>
              </w:rPr>
            </w:pPr>
          </w:p>
          <w:p w:rsidR="00901382" w:rsidRPr="007765E3" w:rsidRDefault="00901382" w:rsidP="00A7356B">
            <w:pPr>
              <w:pStyle w:val="SCCShortJudgment"/>
              <w:ind w:firstLine="0"/>
              <w:rPr>
                <w:rFonts w:cs="Times New Roman"/>
                <w:szCs w:val="20"/>
                <w:lang w:val="en-US"/>
              </w:rPr>
            </w:pPr>
            <w:r w:rsidRPr="007765E3">
              <w:rPr>
                <w:rFonts w:cs="Times New Roman"/>
                <w:szCs w:val="20"/>
                <w:lang w:val="fr-CA"/>
              </w:rPr>
              <w:tab/>
            </w:r>
            <w:r w:rsidR="00070F74" w:rsidRPr="007765E3">
              <w:rPr>
                <w:szCs w:val="20"/>
              </w:rPr>
              <w:t>The motion for an extension of time to serve and file the application for leave to appeal is granted. The application for leave to appeal from the judgment of the Court of Appeal of Quebec (Montréal), Number 500-10-005579-147, 2015 QCCA 1970, dated November 26, 2015, is dismissed.</w:t>
            </w:r>
          </w:p>
          <w:p w:rsidR="00901382" w:rsidRPr="007765E3" w:rsidRDefault="00901382" w:rsidP="00A7356B">
            <w:pPr>
              <w:pStyle w:val="SCCShortJudgment"/>
              <w:ind w:firstLine="0"/>
              <w:rPr>
                <w:rFonts w:cs="Times New Roman"/>
                <w:szCs w:val="20"/>
                <w:lang w:val="en-US"/>
              </w:rPr>
            </w:pPr>
          </w:p>
        </w:tc>
      </w:tr>
      <w:tr w:rsidR="00901382" w:rsidRPr="007765E3" w:rsidTr="00A7356B">
        <w:trPr>
          <w:cantSplit/>
        </w:trPr>
        <w:tc>
          <w:tcPr>
            <w:tcW w:w="9576" w:type="dxa"/>
            <w:gridSpan w:val="4"/>
          </w:tcPr>
          <w:p w:rsidR="00901382" w:rsidRPr="007765E3" w:rsidRDefault="00901382" w:rsidP="00A7356B">
            <w:pPr>
              <w:pStyle w:val="SCCShortJudgment"/>
              <w:ind w:firstLine="0"/>
              <w:rPr>
                <w:rFonts w:cs="Times New Roman"/>
                <w:szCs w:val="20"/>
                <w:u w:val="single"/>
                <w:lang w:val="fr-CA"/>
              </w:rPr>
            </w:pPr>
            <w:r w:rsidRPr="007765E3">
              <w:rPr>
                <w:rFonts w:cs="Times New Roman"/>
                <w:szCs w:val="20"/>
                <w:u w:val="single"/>
                <w:lang w:val="fr-CA"/>
              </w:rPr>
              <w:t>CASE SUMMARY</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901382" w:rsidRPr="007765E3" w:rsidRDefault="00070F74" w:rsidP="00A7356B">
            <w:pPr>
              <w:pStyle w:val="SCCShortJudgment"/>
              <w:ind w:firstLine="0"/>
              <w:rPr>
                <w:color w:val="1F1F1F"/>
                <w:szCs w:val="20"/>
              </w:rPr>
            </w:pPr>
            <w:r w:rsidRPr="007765E3">
              <w:rPr>
                <w:i/>
                <w:szCs w:val="20"/>
              </w:rPr>
              <w:t>Canadian Charter of Rights and Freedoms</w:t>
            </w:r>
            <w:r w:rsidRPr="007765E3">
              <w:rPr>
                <w:szCs w:val="20"/>
              </w:rPr>
              <w:t xml:space="preserve"> </w:t>
            </w:r>
            <w:r w:rsidRPr="007765E3">
              <w:rPr>
                <w:color w:val="1F1F1F"/>
                <w:szCs w:val="20"/>
              </w:rPr>
              <w:t>–</w:t>
            </w:r>
            <w:r w:rsidRPr="007765E3">
              <w:rPr>
                <w:szCs w:val="20"/>
              </w:rPr>
              <w:t xml:space="preserve"> Public international law </w:t>
            </w:r>
            <w:r w:rsidRPr="007765E3">
              <w:rPr>
                <w:color w:val="1F1F1F"/>
                <w:szCs w:val="20"/>
              </w:rPr>
              <w:t>–</w:t>
            </w:r>
            <w:r w:rsidRPr="007765E3">
              <w:rPr>
                <w:szCs w:val="20"/>
              </w:rPr>
              <w:t xml:space="preserve"> Extradition and mutual legal assistance in criminal matters </w:t>
            </w:r>
            <w:r w:rsidRPr="007765E3">
              <w:rPr>
                <w:color w:val="1F1F1F"/>
                <w:szCs w:val="20"/>
              </w:rPr>
              <w:t>–</w:t>
            </w:r>
            <w:r w:rsidRPr="007765E3">
              <w:rPr>
                <w:szCs w:val="20"/>
              </w:rPr>
              <w:t xml:space="preserve"> Applicant convicted by French courts, first in 1993 and then in 1996 </w:t>
            </w:r>
            <w:r w:rsidRPr="007765E3">
              <w:rPr>
                <w:color w:val="1F1F1F"/>
                <w:szCs w:val="20"/>
              </w:rPr>
              <w:t>–</w:t>
            </w:r>
            <w:r w:rsidRPr="007765E3">
              <w:rPr>
                <w:szCs w:val="20"/>
              </w:rPr>
              <w:t xml:space="preserve"> Applicant arrested in Algeria few years later and charged again with crime of which he had been convicted in 1996, at instigation of French Republic </w:t>
            </w:r>
            <w:r w:rsidRPr="007765E3">
              <w:rPr>
                <w:color w:val="1F1F1F"/>
                <w:szCs w:val="20"/>
              </w:rPr>
              <w:t>–</w:t>
            </w:r>
            <w:r w:rsidRPr="007765E3">
              <w:rPr>
                <w:szCs w:val="20"/>
              </w:rPr>
              <w:t xml:space="preserve"> Case ending in verdict of acquittal upheld by Algerian appeal court </w:t>
            </w:r>
            <w:r w:rsidRPr="007765E3">
              <w:rPr>
                <w:color w:val="1F1F1F"/>
                <w:szCs w:val="20"/>
              </w:rPr>
              <w:t>–</w:t>
            </w:r>
            <w:r w:rsidRPr="007765E3">
              <w:rPr>
                <w:szCs w:val="20"/>
              </w:rPr>
              <w:t xml:space="preserve"> Applicant arrested again, this time in Canada, still at request of French authorities, who sought surrender order against him </w:t>
            </w:r>
            <w:r w:rsidRPr="007765E3">
              <w:rPr>
                <w:color w:val="1F1F1F"/>
                <w:szCs w:val="20"/>
              </w:rPr>
              <w:t>– O</w:t>
            </w:r>
            <w:r w:rsidRPr="007765E3">
              <w:rPr>
                <w:szCs w:val="20"/>
              </w:rPr>
              <w:t>rder made by Minister of Justice of Canada </w:t>
            </w:r>
            <w:r w:rsidRPr="007765E3">
              <w:rPr>
                <w:color w:val="1F1F1F"/>
                <w:szCs w:val="20"/>
              </w:rPr>
              <w:t>–</w:t>
            </w:r>
            <w:r w:rsidRPr="007765E3">
              <w:rPr>
                <w:szCs w:val="20"/>
              </w:rPr>
              <w:t xml:space="preserve"> Motion for judicial review of surrender order </w:t>
            </w:r>
            <w:r w:rsidRPr="007765E3">
              <w:rPr>
                <w:color w:val="1F1F1F"/>
                <w:szCs w:val="20"/>
              </w:rPr>
              <w:t>–</w:t>
            </w:r>
            <w:r w:rsidRPr="007765E3">
              <w:rPr>
                <w:szCs w:val="20"/>
              </w:rPr>
              <w:t xml:space="preserve"> Whether judgment in third state acquitting person who was tried at request of requesting state (under extradition treaty between both states) is equivalent to judgment acquitting person in requesting state </w:t>
            </w:r>
            <w:r w:rsidRPr="007765E3">
              <w:rPr>
                <w:color w:val="1F1F1F"/>
                <w:szCs w:val="20"/>
              </w:rPr>
              <w:t>– Whether surrender of person acquitted in third state, at request of requesting state (under extradition treaty between both states), violates principles of fundamental justice.</w:t>
            </w:r>
          </w:p>
          <w:p w:rsidR="00070F74" w:rsidRPr="007765E3" w:rsidRDefault="00070F74" w:rsidP="00A7356B">
            <w:pPr>
              <w:pStyle w:val="SCCShortJudgment"/>
              <w:ind w:firstLine="0"/>
              <w:rPr>
                <w:rFonts w:cs="Times New Roman"/>
                <w:szCs w:val="20"/>
              </w:rPr>
            </w:pPr>
          </w:p>
        </w:tc>
      </w:tr>
      <w:tr w:rsidR="00901382" w:rsidRPr="007765E3" w:rsidTr="00A7356B">
        <w:trPr>
          <w:cantSplit/>
        </w:trPr>
        <w:tc>
          <w:tcPr>
            <w:tcW w:w="9576" w:type="dxa"/>
            <w:gridSpan w:val="4"/>
          </w:tcPr>
          <w:p w:rsidR="00070F74" w:rsidRPr="007765E3" w:rsidRDefault="00070F74" w:rsidP="00070F74">
            <w:pPr>
              <w:jc w:val="both"/>
              <w:rPr>
                <w:sz w:val="20"/>
                <w:szCs w:val="20"/>
              </w:rPr>
            </w:pPr>
            <w:r w:rsidRPr="007765E3">
              <w:rPr>
                <w:sz w:val="20"/>
                <w:szCs w:val="20"/>
              </w:rPr>
              <w:t>The applicant, Mr. </w:t>
            </w:r>
            <w:proofErr w:type="spellStart"/>
            <w:r w:rsidRPr="007765E3">
              <w:rPr>
                <w:sz w:val="20"/>
                <w:szCs w:val="20"/>
              </w:rPr>
              <w:t>Bouarfa</w:t>
            </w:r>
            <w:proofErr w:type="spellEnd"/>
            <w:r w:rsidRPr="007765E3">
              <w:rPr>
                <w:sz w:val="20"/>
                <w:szCs w:val="20"/>
              </w:rPr>
              <w:t xml:space="preserve">, was convicted </w:t>
            </w:r>
            <w:r w:rsidRPr="007765E3">
              <w:rPr>
                <w:i/>
                <w:sz w:val="20"/>
                <w:szCs w:val="20"/>
              </w:rPr>
              <w:t>in absentia</w:t>
            </w:r>
            <w:r w:rsidRPr="007765E3">
              <w:rPr>
                <w:sz w:val="20"/>
                <w:szCs w:val="20"/>
              </w:rPr>
              <w:t xml:space="preserve"> by French courts, first in 1993 and then in 1996. The convictions gave rise to prison sentences of 15 years in the first case and 10 years in the second. Mr. </w:t>
            </w:r>
            <w:proofErr w:type="spellStart"/>
            <w:r w:rsidRPr="007765E3">
              <w:rPr>
                <w:sz w:val="20"/>
                <w:szCs w:val="20"/>
              </w:rPr>
              <w:t>Bouarfa</w:t>
            </w:r>
            <w:proofErr w:type="spellEnd"/>
            <w:r w:rsidRPr="007765E3">
              <w:rPr>
                <w:sz w:val="20"/>
                <w:szCs w:val="20"/>
              </w:rPr>
              <w:t xml:space="preserve"> was arrested in Algeria a few years later and charged again with the crime of which he had been convicted in 1996, at the instigation of the French Republic. The case ended in a verdict of acquittal upheld by an Algerian appeal court. Mr. </w:t>
            </w:r>
            <w:proofErr w:type="spellStart"/>
            <w:r w:rsidRPr="007765E3">
              <w:rPr>
                <w:sz w:val="20"/>
                <w:szCs w:val="20"/>
              </w:rPr>
              <w:t>Bouarfa</w:t>
            </w:r>
            <w:proofErr w:type="spellEnd"/>
            <w:r w:rsidRPr="007765E3">
              <w:rPr>
                <w:sz w:val="20"/>
                <w:szCs w:val="20"/>
              </w:rPr>
              <w:t xml:space="preserve"> was arrested again, this time in Canada, still at the request of the French authorities, who sought a surrender order against him. The order was made by the respondent Minister in 2011. In 2012, the Quebec Court of Appeal allowed Mr. </w:t>
            </w:r>
            <w:proofErr w:type="spellStart"/>
            <w:r w:rsidRPr="007765E3">
              <w:rPr>
                <w:sz w:val="20"/>
                <w:szCs w:val="20"/>
              </w:rPr>
              <w:t>Bouarfa’s</w:t>
            </w:r>
            <w:proofErr w:type="spellEnd"/>
            <w:r w:rsidRPr="007765E3">
              <w:rPr>
                <w:sz w:val="20"/>
                <w:szCs w:val="20"/>
              </w:rPr>
              <w:t xml:space="preserve"> application for review in part. In accordance with the Court of Appeal’s conclusions, the Minister sent the French authorities a request for additional information. After receiving a reply to his request as well as submissions from Mr. </w:t>
            </w:r>
            <w:proofErr w:type="spellStart"/>
            <w:r w:rsidRPr="007765E3">
              <w:rPr>
                <w:sz w:val="20"/>
                <w:szCs w:val="20"/>
              </w:rPr>
              <w:t>Bouarfa’s</w:t>
            </w:r>
            <w:proofErr w:type="spellEnd"/>
            <w:r w:rsidRPr="007765E3">
              <w:rPr>
                <w:sz w:val="20"/>
                <w:szCs w:val="20"/>
              </w:rPr>
              <w:t xml:space="preserve"> counsel, the Minister made a new surrender order in 2014. Mr. </w:t>
            </w:r>
            <w:proofErr w:type="spellStart"/>
            <w:r w:rsidRPr="007765E3">
              <w:rPr>
                <w:sz w:val="20"/>
                <w:szCs w:val="20"/>
              </w:rPr>
              <w:t>Bouarfa</w:t>
            </w:r>
            <w:proofErr w:type="spellEnd"/>
            <w:r w:rsidRPr="007765E3">
              <w:rPr>
                <w:sz w:val="20"/>
                <w:szCs w:val="20"/>
              </w:rPr>
              <w:t xml:space="preserve"> applied for a second review of that decision but was unsuccessful.</w:t>
            </w:r>
          </w:p>
          <w:p w:rsidR="00901382" w:rsidRPr="007765E3" w:rsidRDefault="00901382" w:rsidP="00A7356B">
            <w:pPr>
              <w:pStyle w:val="SCCShortJudgment"/>
              <w:ind w:firstLine="0"/>
              <w:rPr>
                <w:rFonts w:cs="Times New Roman"/>
                <w:szCs w:val="20"/>
              </w:rPr>
            </w:pPr>
          </w:p>
        </w:tc>
      </w:tr>
      <w:tr w:rsidR="00901382" w:rsidRPr="007765E3" w:rsidTr="00A7356B">
        <w:trPr>
          <w:cantSplit/>
        </w:trPr>
        <w:tc>
          <w:tcPr>
            <w:tcW w:w="4410" w:type="dxa"/>
            <w:gridSpan w:val="2"/>
          </w:tcPr>
          <w:p w:rsidR="00070F74" w:rsidRPr="007765E3" w:rsidRDefault="00070F74" w:rsidP="00070F74">
            <w:pPr>
              <w:rPr>
                <w:sz w:val="20"/>
                <w:szCs w:val="20"/>
              </w:rPr>
            </w:pPr>
            <w:r w:rsidRPr="007765E3">
              <w:rPr>
                <w:sz w:val="20"/>
                <w:szCs w:val="20"/>
              </w:rPr>
              <w:t>July 6, 2011</w:t>
            </w:r>
          </w:p>
          <w:p w:rsidR="00070F74" w:rsidRPr="007765E3" w:rsidRDefault="00070F74" w:rsidP="00070F74">
            <w:pPr>
              <w:rPr>
                <w:sz w:val="20"/>
                <w:szCs w:val="20"/>
              </w:rPr>
            </w:pPr>
            <w:r w:rsidRPr="007765E3">
              <w:rPr>
                <w:sz w:val="20"/>
                <w:szCs w:val="20"/>
              </w:rPr>
              <w:t>Minister of Justice of Canada</w:t>
            </w:r>
          </w:p>
          <w:p w:rsidR="00901382" w:rsidRPr="007765E3" w:rsidRDefault="00901382" w:rsidP="00A7356B">
            <w:pPr>
              <w:jc w:val="both"/>
              <w:rPr>
                <w:rFonts w:cs="Times New Roman"/>
                <w:sz w:val="20"/>
                <w:szCs w:val="20"/>
              </w:rPr>
            </w:pPr>
          </w:p>
        </w:tc>
        <w:tc>
          <w:tcPr>
            <w:tcW w:w="630" w:type="dxa"/>
          </w:tcPr>
          <w:p w:rsidR="00901382" w:rsidRPr="007765E3" w:rsidRDefault="00901382" w:rsidP="00A7356B">
            <w:pPr>
              <w:pStyle w:val="SCCShortJudgment"/>
              <w:ind w:firstLine="0"/>
              <w:rPr>
                <w:rFonts w:cs="Times New Roman"/>
                <w:szCs w:val="20"/>
              </w:rPr>
            </w:pPr>
          </w:p>
        </w:tc>
        <w:tc>
          <w:tcPr>
            <w:tcW w:w="4536" w:type="dxa"/>
          </w:tcPr>
          <w:p w:rsidR="00901382" w:rsidRPr="007765E3" w:rsidRDefault="006C5C57" w:rsidP="00A7356B">
            <w:pPr>
              <w:jc w:val="both"/>
              <w:rPr>
                <w:rFonts w:cs="Times New Roman"/>
                <w:sz w:val="20"/>
                <w:szCs w:val="20"/>
              </w:rPr>
            </w:pPr>
            <w:r w:rsidRPr="007765E3">
              <w:rPr>
                <w:sz w:val="20"/>
                <w:szCs w:val="20"/>
              </w:rPr>
              <w:t>Surrender order made</w:t>
            </w:r>
          </w:p>
        </w:tc>
      </w:tr>
      <w:tr w:rsidR="00901382" w:rsidRPr="007765E3" w:rsidTr="00A7356B">
        <w:trPr>
          <w:cantSplit/>
        </w:trPr>
        <w:tc>
          <w:tcPr>
            <w:tcW w:w="4410" w:type="dxa"/>
            <w:gridSpan w:val="2"/>
          </w:tcPr>
          <w:p w:rsidR="00070F74" w:rsidRPr="007765E3" w:rsidRDefault="00070F74" w:rsidP="00070F74">
            <w:pPr>
              <w:rPr>
                <w:sz w:val="20"/>
                <w:szCs w:val="20"/>
              </w:rPr>
            </w:pPr>
            <w:r w:rsidRPr="007765E3">
              <w:rPr>
                <w:sz w:val="20"/>
                <w:szCs w:val="20"/>
              </w:rPr>
              <w:t>August 1, 2012</w:t>
            </w:r>
            <w:r w:rsidRPr="007765E3">
              <w:rPr>
                <w:sz w:val="20"/>
                <w:szCs w:val="20"/>
              </w:rPr>
              <w:tab/>
            </w:r>
          </w:p>
          <w:p w:rsidR="00070F74" w:rsidRPr="007765E3" w:rsidRDefault="00070F74" w:rsidP="00070F74">
            <w:pPr>
              <w:rPr>
                <w:sz w:val="20"/>
                <w:szCs w:val="20"/>
              </w:rPr>
            </w:pPr>
            <w:r w:rsidRPr="007765E3">
              <w:rPr>
                <w:sz w:val="20"/>
                <w:szCs w:val="20"/>
              </w:rPr>
              <w:t>Quebec Court of Appeal (Montréal)</w:t>
            </w:r>
          </w:p>
          <w:p w:rsidR="00070F74" w:rsidRPr="007765E3" w:rsidRDefault="00070F74" w:rsidP="00070F74">
            <w:pPr>
              <w:rPr>
                <w:sz w:val="20"/>
                <w:szCs w:val="20"/>
              </w:rPr>
            </w:pPr>
            <w:r w:rsidRPr="007765E3">
              <w:rPr>
                <w:sz w:val="20"/>
                <w:szCs w:val="20"/>
              </w:rPr>
              <w:t xml:space="preserve">(Hilton, </w:t>
            </w:r>
            <w:proofErr w:type="spellStart"/>
            <w:r w:rsidRPr="007765E3">
              <w:rPr>
                <w:sz w:val="20"/>
                <w:szCs w:val="20"/>
              </w:rPr>
              <w:t>Kasirer</w:t>
            </w:r>
            <w:proofErr w:type="spellEnd"/>
            <w:r w:rsidRPr="007765E3">
              <w:rPr>
                <w:sz w:val="20"/>
                <w:szCs w:val="20"/>
              </w:rPr>
              <w:t xml:space="preserve"> and Wagner JJ.A.)</w:t>
            </w:r>
          </w:p>
          <w:p w:rsidR="00070F74" w:rsidRPr="007765E3" w:rsidRDefault="007765E3" w:rsidP="00070F74">
            <w:pPr>
              <w:rPr>
                <w:sz w:val="20"/>
                <w:szCs w:val="20"/>
              </w:rPr>
            </w:pPr>
            <w:hyperlink r:id="rId18" w:history="1">
              <w:r w:rsidR="00070F74" w:rsidRPr="007765E3">
                <w:rPr>
                  <w:rStyle w:val="Hyperlink"/>
                  <w:sz w:val="20"/>
                  <w:szCs w:val="20"/>
                </w:rPr>
                <w:t>2012 QCCA 1378</w:t>
              </w:r>
            </w:hyperlink>
          </w:p>
          <w:p w:rsidR="00901382" w:rsidRPr="007765E3" w:rsidRDefault="00901382" w:rsidP="00A7356B">
            <w:pPr>
              <w:jc w:val="both"/>
              <w:rPr>
                <w:rFonts w:cs="Times New Roman"/>
                <w:sz w:val="20"/>
                <w:szCs w:val="20"/>
              </w:rPr>
            </w:pPr>
          </w:p>
        </w:tc>
        <w:tc>
          <w:tcPr>
            <w:tcW w:w="630" w:type="dxa"/>
          </w:tcPr>
          <w:p w:rsidR="00901382" w:rsidRPr="007765E3" w:rsidRDefault="00901382" w:rsidP="00A7356B">
            <w:pPr>
              <w:pStyle w:val="SCCShortJudgment"/>
              <w:ind w:firstLine="0"/>
              <w:rPr>
                <w:rFonts w:cs="Times New Roman"/>
                <w:szCs w:val="20"/>
              </w:rPr>
            </w:pPr>
          </w:p>
        </w:tc>
        <w:tc>
          <w:tcPr>
            <w:tcW w:w="4536" w:type="dxa"/>
          </w:tcPr>
          <w:p w:rsidR="00901382" w:rsidRPr="007765E3" w:rsidRDefault="006C5C57" w:rsidP="00A7356B">
            <w:pPr>
              <w:jc w:val="both"/>
              <w:rPr>
                <w:rFonts w:cs="Times New Roman"/>
                <w:sz w:val="20"/>
                <w:szCs w:val="20"/>
              </w:rPr>
            </w:pPr>
            <w:r w:rsidRPr="007765E3">
              <w:rPr>
                <w:sz w:val="20"/>
                <w:szCs w:val="20"/>
              </w:rPr>
              <w:t>Application for judicial review of surrender order allowed in part and matter remitted to Minister of Justice of Canada</w:t>
            </w:r>
          </w:p>
        </w:tc>
      </w:tr>
      <w:tr w:rsidR="00901382" w:rsidRPr="007765E3" w:rsidTr="00A7356B">
        <w:trPr>
          <w:cantSplit/>
        </w:trPr>
        <w:tc>
          <w:tcPr>
            <w:tcW w:w="4410" w:type="dxa"/>
            <w:gridSpan w:val="2"/>
          </w:tcPr>
          <w:p w:rsidR="006C5C57" w:rsidRPr="007765E3" w:rsidRDefault="006C5C57" w:rsidP="006C5C57">
            <w:pPr>
              <w:rPr>
                <w:sz w:val="20"/>
                <w:szCs w:val="20"/>
              </w:rPr>
            </w:pPr>
            <w:r w:rsidRPr="007765E3">
              <w:rPr>
                <w:sz w:val="20"/>
                <w:szCs w:val="20"/>
              </w:rPr>
              <w:t>January 7, 2014</w:t>
            </w:r>
          </w:p>
          <w:p w:rsidR="006C5C57" w:rsidRPr="007765E3" w:rsidRDefault="006C5C57" w:rsidP="006C5C57">
            <w:pPr>
              <w:rPr>
                <w:sz w:val="20"/>
                <w:szCs w:val="20"/>
              </w:rPr>
            </w:pPr>
            <w:r w:rsidRPr="007765E3">
              <w:rPr>
                <w:sz w:val="20"/>
                <w:szCs w:val="20"/>
              </w:rPr>
              <w:t>Minister of Justice of Canada</w:t>
            </w:r>
          </w:p>
          <w:p w:rsidR="00901382" w:rsidRPr="007765E3" w:rsidRDefault="00901382" w:rsidP="00A7356B">
            <w:pPr>
              <w:jc w:val="both"/>
              <w:rPr>
                <w:rFonts w:cs="Times New Roman"/>
                <w:sz w:val="20"/>
                <w:szCs w:val="20"/>
              </w:rPr>
            </w:pPr>
          </w:p>
        </w:tc>
        <w:tc>
          <w:tcPr>
            <w:tcW w:w="630" w:type="dxa"/>
          </w:tcPr>
          <w:p w:rsidR="00901382" w:rsidRPr="007765E3" w:rsidRDefault="00901382" w:rsidP="00A7356B">
            <w:pPr>
              <w:pStyle w:val="SCCShortJudgment"/>
              <w:ind w:firstLine="0"/>
              <w:rPr>
                <w:rFonts w:cs="Times New Roman"/>
                <w:szCs w:val="20"/>
              </w:rPr>
            </w:pPr>
          </w:p>
        </w:tc>
        <w:tc>
          <w:tcPr>
            <w:tcW w:w="4536" w:type="dxa"/>
          </w:tcPr>
          <w:p w:rsidR="006C5C57" w:rsidRPr="007765E3" w:rsidRDefault="006C5C57" w:rsidP="006C5C57">
            <w:pPr>
              <w:rPr>
                <w:sz w:val="20"/>
                <w:szCs w:val="20"/>
              </w:rPr>
            </w:pPr>
            <w:r w:rsidRPr="007765E3">
              <w:rPr>
                <w:sz w:val="20"/>
                <w:szCs w:val="20"/>
              </w:rPr>
              <w:t>New surrender order made</w:t>
            </w:r>
          </w:p>
          <w:p w:rsidR="00901382" w:rsidRPr="007765E3" w:rsidRDefault="00901382" w:rsidP="00A7356B">
            <w:pPr>
              <w:jc w:val="both"/>
              <w:rPr>
                <w:rFonts w:cs="Times New Roman"/>
                <w:sz w:val="20"/>
                <w:szCs w:val="20"/>
              </w:rPr>
            </w:pPr>
          </w:p>
        </w:tc>
      </w:tr>
      <w:tr w:rsidR="00901382" w:rsidRPr="007765E3" w:rsidTr="00A7356B">
        <w:trPr>
          <w:cantSplit/>
        </w:trPr>
        <w:tc>
          <w:tcPr>
            <w:tcW w:w="4410" w:type="dxa"/>
            <w:gridSpan w:val="2"/>
          </w:tcPr>
          <w:p w:rsidR="006C5C57" w:rsidRPr="007765E3" w:rsidRDefault="006C5C57" w:rsidP="006C5C57">
            <w:pPr>
              <w:rPr>
                <w:sz w:val="20"/>
                <w:szCs w:val="20"/>
              </w:rPr>
            </w:pPr>
            <w:r w:rsidRPr="007765E3">
              <w:rPr>
                <w:sz w:val="20"/>
                <w:szCs w:val="20"/>
              </w:rPr>
              <w:lastRenderedPageBreak/>
              <w:t>November 26, 2015</w:t>
            </w:r>
          </w:p>
          <w:p w:rsidR="006C5C57" w:rsidRPr="007765E3" w:rsidRDefault="006C5C57" w:rsidP="006C5C57">
            <w:pPr>
              <w:rPr>
                <w:sz w:val="20"/>
                <w:szCs w:val="20"/>
              </w:rPr>
            </w:pPr>
            <w:r w:rsidRPr="007765E3">
              <w:rPr>
                <w:sz w:val="20"/>
                <w:szCs w:val="20"/>
              </w:rPr>
              <w:t>Quebec Court of Appeal (Montréal)</w:t>
            </w:r>
          </w:p>
          <w:p w:rsidR="006C5C57" w:rsidRPr="007765E3" w:rsidRDefault="006C5C57" w:rsidP="006C5C57">
            <w:pPr>
              <w:rPr>
                <w:sz w:val="20"/>
                <w:szCs w:val="20"/>
              </w:rPr>
            </w:pPr>
            <w:r w:rsidRPr="007765E3">
              <w:rPr>
                <w:sz w:val="20"/>
                <w:szCs w:val="20"/>
              </w:rPr>
              <w:t xml:space="preserve">(Pelletier, </w:t>
            </w:r>
            <w:proofErr w:type="spellStart"/>
            <w:r w:rsidRPr="007765E3">
              <w:rPr>
                <w:sz w:val="20"/>
                <w:szCs w:val="20"/>
              </w:rPr>
              <w:t>Vauclair</w:t>
            </w:r>
            <w:proofErr w:type="spellEnd"/>
            <w:r w:rsidRPr="007765E3">
              <w:rPr>
                <w:sz w:val="20"/>
                <w:szCs w:val="20"/>
              </w:rPr>
              <w:t xml:space="preserve"> and Hogue JJ.A.)</w:t>
            </w:r>
          </w:p>
          <w:p w:rsidR="00901382" w:rsidRPr="007765E3" w:rsidRDefault="007765E3" w:rsidP="006C5C57">
            <w:pPr>
              <w:rPr>
                <w:sz w:val="20"/>
                <w:szCs w:val="20"/>
              </w:rPr>
            </w:pPr>
            <w:hyperlink r:id="rId19" w:history="1">
              <w:r w:rsidR="006C5C57" w:rsidRPr="007765E3">
                <w:rPr>
                  <w:rStyle w:val="Hyperlink"/>
                  <w:sz w:val="20"/>
                  <w:szCs w:val="20"/>
                </w:rPr>
                <w:t>2015 QCCA 1970</w:t>
              </w:r>
            </w:hyperlink>
          </w:p>
          <w:p w:rsidR="006C5C57" w:rsidRPr="007765E3" w:rsidRDefault="006C5C57" w:rsidP="006C5C57">
            <w:pPr>
              <w:rPr>
                <w:sz w:val="20"/>
                <w:szCs w:val="20"/>
              </w:rPr>
            </w:pPr>
          </w:p>
        </w:tc>
        <w:tc>
          <w:tcPr>
            <w:tcW w:w="630" w:type="dxa"/>
          </w:tcPr>
          <w:p w:rsidR="00901382" w:rsidRPr="007765E3" w:rsidRDefault="00901382" w:rsidP="00A7356B">
            <w:pPr>
              <w:jc w:val="both"/>
              <w:rPr>
                <w:rFonts w:cs="Times New Roman"/>
                <w:sz w:val="20"/>
                <w:szCs w:val="20"/>
              </w:rPr>
            </w:pPr>
          </w:p>
        </w:tc>
        <w:tc>
          <w:tcPr>
            <w:tcW w:w="4536" w:type="dxa"/>
          </w:tcPr>
          <w:p w:rsidR="006C5C57" w:rsidRPr="007765E3" w:rsidRDefault="006C5C57" w:rsidP="006C5C57">
            <w:pPr>
              <w:rPr>
                <w:sz w:val="20"/>
                <w:szCs w:val="20"/>
              </w:rPr>
            </w:pPr>
            <w:r w:rsidRPr="007765E3">
              <w:rPr>
                <w:sz w:val="20"/>
                <w:szCs w:val="20"/>
              </w:rPr>
              <w:t>Second application for review dismissed</w:t>
            </w:r>
          </w:p>
          <w:p w:rsidR="00901382" w:rsidRPr="007765E3" w:rsidRDefault="00901382" w:rsidP="00A7356B">
            <w:pPr>
              <w:jc w:val="both"/>
              <w:rPr>
                <w:rFonts w:cs="Times New Roman"/>
                <w:sz w:val="20"/>
                <w:szCs w:val="20"/>
              </w:rPr>
            </w:pPr>
          </w:p>
        </w:tc>
      </w:tr>
      <w:tr w:rsidR="006C5C57" w:rsidRPr="007765E3" w:rsidTr="00A7356B">
        <w:trPr>
          <w:cantSplit/>
        </w:trPr>
        <w:tc>
          <w:tcPr>
            <w:tcW w:w="4410" w:type="dxa"/>
            <w:gridSpan w:val="2"/>
          </w:tcPr>
          <w:p w:rsidR="006C5C57" w:rsidRPr="007765E3" w:rsidRDefault="006C5C57" w:rsidP="006C5C57">
            <w:pPr>
              <w:rPr>
                <w:sz w:val="20"/>
                <w:szCs w:val="20"/>
              </w:rPr>
            </w:pPr>
            <w:r w:rsidRPr="007765E3">
              <w:rPr>
                <w:sz w:val="20"/>
                <w:szCs w:val="20"/>
              </w:rPr>
              <w:t>February 25, 2016</w:t>
            </w:r>
          </w:p>
          <w:p w:rsidR="006C5C57" w:rsidRPr="007765E3" w:rsidRDefault="006C5C57" w:rsidP="006C5C57">
            <w:pPr>
              <w:rPr>
                <w:sz w:val="20"/>
                <w:szCs w:val="20"/>
              </w:rPr>
            </w:pPr>
            <w:r w:rsidRPr="007765E3">
              <w:rPr>
                <w:sz w:val="20"/>
                <w:szCs w:val="20"/>
              </w:rPr>
              <w:t>Supreme Court of Canada</w:t>
            </w:r>
          </w:p>
        </w:tc>
        <w:tc>
          <w:tcPr>
            <w:tcW w:w="630" w:type="dxa"/>
          </w:tcPr>
          <w:p w:rsidR="006C5C57" w:rsidRPr="007765E3" w:rsidRDefault="006C5C57" w:rsidP="00A7356B">
            <w:pPr>
              <w:jc w:val="both"/>
              <w:rPr>
                <w:rFonts w:cs="Times New Roman"/>
                <w:sz w:val="20"/>
                <w:szCs w:val="20"/>
              </w:rPr>
            </w:pPr>
          </w:p>
        </w:tc>
        <w:tc>
          <w:tcPr>
            <w:tcW w:w="4536" w:type="dxa"/>
          </w:tcPr>
          <w:p w:rsidR="006C5C57" w:rsidRPr="007765E3" w:rsidRDefault="006C5C57" w:rsidP="00A7356B">
            <w:pPr>
              <w:jc w:val="both"/>
              <w:rPr>
                <w:rFonts w:cs="Times New Roman"/>
                <w:sz w:val="20"/>
                <w:szCs w:val="20"/>
              </w:rPr>
            </w:pPr>
            <w:r w:rsidRPr="007765E3">
              <w:rPr>
                <w:sz w:val="20"/>
                <w:szCs w:val="20"/>
              </w:rPr>
              <w:t>Application for leave to appeal and motion to extend time to serve and file application for leave to appeal filed</w:t>
            </w:r>
          </w:p>
        </w:tc>
      </w:tr>
      <w:tr w:rsidR="00901382" w:rsidRPr="007765E3" w:rsidTr="00A7356B">
        <w:trPr>
          <w:cantSplit/>
        </w:trPr>
        <w:tc>
          <w:tcPr>
            <w:tcW w:w="9576" w:type="dxa"/>
            <w:gridSpan w:val="4"/>
          </w:tcPr>
          <w:p w:rsidR="00901382" w:rsidRPr="007765E3" w:rsidRDefault="007765E3" w:rsidP="00A7356B">
            <w:pPr>
              <w:pStyle w:val="SCCShortJudgment"/>
              <w:ind w:firstLine="0"/>
              <w:rPr>
                <w:rFonts w:cs="Times New Roman"/>
                <w:szCs w:val="20"/>
                <w:lang w:val="fr-CA"/>
              </w:rPr>
            </w:pPr>
            <w:r w:rsidRPr="007765E3">
              <w:rPr>
                <w:rFonts w:cs="Times New Roman"/>
                <w:szCs w:val="20"/>
                <w:lang w:val="fr-CA"/>
              </w:rPr>
              <w:pict>
                <v:rect id="_x0000_i1042" style="width:2in;height:1pt" o:hrpct="0" o:hralign="center" o:hrstd="t" o:hrnoshade="t" o:hr="t" fillcolor="black [3213]" stroked="f"/>
              </w:pict>
            </w:r>
          </w:p>
          <w:p w:rsidR="00901382" w:rsidRPr="007765E3" w:rsidRDefault="00901382" w:rsidP="00A7356B">
            <w:pPr>
              <w:pStyle w:val="SCCShortJudgment"/>
              <w:ind w:firstLine="0"/>
              <w:rPr>
                <w:rFonts w:cs="Times New Roman"/>
                <w:szCs w:val="20"/>
                <w:lang w:val="fr-CA"/>
              </w:rPr>
            </w:pPr>
          </w:p>
        </w:tc>
      </w:tr>
      <w:tr w:rsidR="00901382" w:rsidRPr="007765E3" w:rsidTr="00A7356B">
        <w:trPr>
          <w:cantSplit/>
        </w:trPr>
        <w:tc>
          <w:tcPr>
            <w:tcW w:w="9576" w:type="dxa"/>
            <w:gridSpan w:val="4"/>
          </w:tcPr>
          <w:p w:rsidR="00901382" w:rsidRPr="007765E3" w:rsidRDefault="00901382" w:rsidP="00A7356B">
            <w:pPr>
              <w:pStyle w:val="SCCShortJudgment"/>
              <w:ind w:firstLine="0"/>
              <w:rPr>
                <w:rFonts w:cs="Times New Roman"/>
                <w:szCs w:val="20"/>
                <w:u w:val="single"/>
                <w:lang w:val="fr-CA"/>
              </w:rPr>
            </w:pPr>
            <w:r w:rsidRPr="007765E3">
              <w:rPr>
                <w:rFonts w:cs="Times New Roman"/>
                <w:szCs w:val="20"/>
                <w:u w:val="single"/>
                <w:lang w:val="fr-CA"/>
              </w:rPr>
              <w:t>RÉSUMÉ DE L’AFFAIRE </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901382" w:rsidRPr="007765E3" w:rsidRDefault="006C5C57" w:rsidP="00A7356B">
            <w:pPr>
              <w:pStyle w:val="SCCShortJudgment"/>
              <w:ind w:firstLine="0"/>
              <w:rPr>
                <w:szCs w:val="20"/>
                <w:lang w:val="fr-CA"/>
              </w:rPr>
            </w:pPr>
            <w:r w:rsidRPr="007765E3">
              <w:rPr>
                <w:i/>
                <w:szCs w:val="20"/>
                <w:lang w:val="fr-CA"/>
              </w:rPr>
              <w:t>Charte</w:t>
            </w:r>
            <w:r w:rsidRPr="007765E3">
              <w:rPr>
                <w:szCs w:val="20"/>
                <w:lang w:val="fr-CA"/>
              </w:rPr>
              <w:t xml:space="preserve"> </w:t>
            </w:r>
            <w:r w:rsidRPr="007765E3">
              <w:rPr>
                <w:i/>
                <w:szCs w:val="20"/>
                <w:lang w:val="fr-CA"/>
              </w:rPr>
              <w:t>canadienne des droits et libertés</w:t>
            </w:r>
            <w:r w:rsidRPr="007765E3">
              <w:rPr>
                <w:szCs w:val="20"/>
                <w:lang w:val="fr-CA"/>
              </w:rPr>
              <w:t xml:space="preserve"> </w:t>
            </w:r>
            <w:r w:rsidRPr="007765E3">
              <w:rPr>
                <w:color w:val="1F1F1F"/>
                <w:szCs w:val="20"/>
                <w:lang w:val="fr-FR"/>
              </w:rPr>
              <w:t>–</w:t>
            </w:r>
            <w:r w:rsidRPr="007765E3">
              <w:rPr>
                <w:szCs w:val="20"/>
                <w:lang w:val="fr-CA"/>
              </w:rPr>
              <w:t xml:space="preserve"> Droit international public </w:t>
            </w:r>
            <w:r w:rsidRPr="007765E3">
              <w:rPr>
                <w:color w:val="1F1F1F"/>
                <w:szCs w:val="20"/>
                <w:lang w:val="fr-FR"/>
              </w:rPr>
              <w:t>–</w:t>
            </w:r>
            <w:r w:rsidRPr="007765E3">
              <w:rPr>
                <w:szCs w:val="20"/>
                <w:lang w:val="fr-CA"/>
              </w:rPr>
              <w:t xml:space="preserve"> Extradition et entraide juridique en matière criminelle </w:t>
            </w:r>
            <w:r w:rsidRPr="007765E3">
              <w:rPr>
                <w:color w:val="1F1F1F"/>
                <w:szCs w:val="20"/>
                <w:lang w:val="fr-FR"/>
              </w:rPr>
              <w:t>–</w:t>
            </w:r>
            <w:r w:rsidRPr="007765E3">
              <w:rPr>
                <w:szCs w:val="20"/>
                <w:lang w:val="fr-CA"/>
              </w:rPr>
              <w:t xml:space="preserve"> Le demandeur a été condamné par des tribunaux français une première fois en 1993, et une seconde en 1996 </w:t>
            </w:r>
            <w:r w:rsidRPr="007765E3">
              <w:rPr>
                <w:color w:val="1F1F1F"/>
                <w:szCs w:val="20"/>
                <w:lang w:val="fr-FR"/>
              </w:rPr>
              <w:t>–</w:t>
            </w:r>
            <w:r w:rsidRPr="007765E3">
              <w:rPr>
                <w:szCs w:val="20"/>
                <w:lang w:val="fr-CA"/>
              </w:rPr>
              <w:t xml:space="preserve"> Arrêté en Algérie quelques années plus tard, il fut de nouveau accusé du crime ayant fait l’objet de la condamnation de 1996, et ce, à l’instigation de la République française </w:t>
            </w:r>
            <w:r w:rsidRPr="007765E3">
              <w:rPr>
                <w:color w:val="1F1F1F"/>
                <w:szCs w:val="20"/>
                <w:lang w:val="fr-FR"/>
              </w:rPr>
              <w:t>–</w:t>
            </w:r>
            <w:r w:rsidRPr="007765E3">
              <w:rPr>
                <w:szCs w:val="20"/>
                <w:lang w:val="fr-CA"/>
              </w:rPr>
              <w:t xml:space="preserve"> L’affaire se termina par un verdict d’acquittement confirmé par un tribunal d’appel algérien </w:t>
            </w:r>
            <w:r w:rsidRPr="007765E3">
              <w:rPr>
                <w:color w:val="1F1F1F"/>
                <w:szCs w:val="20"/>
                <w:lang w:val="fr-FR"/>
              </w:rPr>
              <w:t>–</w:t>
            </w:r>
            <w:r w:rsidRPr="007765E3">
              <w:rPr>
                <w:szCs w:val="20"/>
                <w:lang w:val="fr-CA"/>
              </w:rPr>
              <w:t xml:space="preserve"> Le demandeur fut de nouveau arrêté, cette fois au Canada, toujours à la demande des autorités françaises qui ont requis contre lui un arrêté d’extradition </w:t>
            </w:r>
            <w:r w:rsidRPr="007765E3">
              <w:rPr>
                <w:color w:val="1F1F1F"/>
                <w:szCs w:val="20"/>
                <w:lang w:val="fr-FR"/>
              </w:rPr>
              <w:t>–</w:t>
            </w:r>
            <w:r w:rsidRPr="007765E3">
              <w:rPr>
                <w:szCs w:val="20"/>
                <w:lang w:val="fr-CA"/>
              </w:rPr>
              <w:t xml:space="preserve"> Cet arrêté fut pris par le ministre de la Justice du Canada </w:t>
            </w:r>
            <w:r w:rsidRPr="007765E3">
              <w:rPr>
                <w:color w:val="1F1F1F"/>
                <w:szCs w:val="20"/>
                <w:lang w:val="fr-FR"/>
              </w:rPr>
              <w:t>–</w:t>
            </w:r>
            <w:r w:rsidRPr="007765E3">
              <w:rPr>
                <w:szCs w:val="20"/>
                <w:lang w:val="fr-CA"/>
              </w:rPr>
              <w:t xml:space="preserve"> Requête en révision judiciaire relativement à l’arrêté d’extradition </w:t>
            </w:r>
            <w:r w:rsidRPr="007765E3">
              <w:rPr>
                <w:color w:val="1F1F1F"/>
                <w:szCs w:val="20"/>
                <w:lang w:val="fr-FR"/>
              </w:rPr>
              <w:t>–</w:t>
            </w:r>
            <w:r w:rsidRPr="007765E3">
              <w:rPr>
                <w:szCs w:val="20"/>
                <w:lang w:val="fr-CA"/>
              </w:rPr>
              <w:t xml:space="preserve"> Le jugement prononçant l’acquittement dans un état tiers, lorsque la personne a été jugée à la demande de l’état requérant (en vertu d’un traité d’extradition entre ces deux états), est-il l’équivalent d’un jugement prononçant l’acquittement dans l’état requérant? </w:t>
            </w:r>
            <w:r w:rsidRPr="007765E3">
              <w:rPr>
                <w:color w:val="1F1F1F"/>
                <w:szCs w:val="20"/>
                <w:lang w:val="fr-FR"/>
              </w:rPr>
              <w:t xml:space="preserve">– </w:t>
            </w:r>
            <w:r w:rsidRPr="007765E3">
              <w:rPr>
                <w:szCs w:val="20"/>
                <w:lang w:val="fr-CA"/>
              </w:rPr>
              <w:t>L’extradition d’une personne dont l’acquittement a été prononcée dans un état tiers, à la demande de l’état requérant (en vertu d’un traité d’extradition entre ces deux états), viole-t-elle les principes de justice fondamentale?</w:t>
            </w:r>
          </w:p>
          <w:p w:rsidR="006C5C57" w:rsidRPr="007765E3" w:rsidRDefault="006C5C57"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6C5C57" w:rsidRPr="007765E3" w:rsidRDefault="006C5C57" w:rsidP="006C5C57">
            <w:pPr>
              <w:jc w:val="both"/>
              <w:rPr>
                <w:sz w:val="20"/>
                <w:szCs w:val="20"/>
                <w:lang w:val="fr-CA"/>
              </w:rPr>
            </w:pPr>
            <w:r w:rsidRPr="007765E3">
              <w:rPr>
                <w:sz w:val="20"/>
                <w:szCs w:val="20"/>
                <w:lang w:val="fr-CA"/>
              </w:rPr>
              <w:t xml:space="preserve">Le demandeur, Monsieur </w:t>
            </w:r>
            <w:proofErr w:type="spellStart"/>
            <w:r w:rsidRPr="007765E3">
              <w:rPr>
                <w:sz w:val="20"/>
                <w:szCs w:val="20"/>
                <w:lang w:val="fr-CA"/>
              </w:rPr>
              <w:t>Bouarfa</w:t>
            </w:r>
            <w:proofErr w:type="spellEnd"/>
            <w:r w:rsidRPr="007765E3">
              <w:rPr>
                <w:sz w:val="20"/>
                <w:szCs w:val="20"/>
                <w:lang w:val="fr-CA"/>
              </w:rPr>
              <w:t xml:space="preserve">, a été condamné </w:t>
            </w:r>
            <w:r w:rsidRPr="007765E3">
              <w:rPr>
                <w:i/>
                <w:sz w:val="20"/>
                <w:szCs w:val="20"/>
                <w:lang w:val="fr-CA"/>
              </w:rPr>
              <w:t>in absentia</w:t>
            </w:r>
            <w:r w:rsidRPr="007765E3">
              <w:rPr>
                <w:sz w:val="20"/>
                <w:szCs w:val="20"/>
                <w:lang w:val="fr-CA"/>
              </w:rPr>
              <w:t xml:space="preserve"> par des tribunaux français une première fois en 1993, et une seconde en 1996. La première condamnation a donné lieu à l’infliction d’une peine de 15 ans de prison et la seconde à une autre de 10 ans. Arrêté en Algérie quelques années plus tard, M. </w:t>
            </w:r>
            <w:proofErr w:type="spellStart"/>
            <w:r w:rsidRPr="007765E3">
              <w:rPr>
                <w:sz w:val="20"/>
                <w:szCs w:val="20"/>
                <w:lang w:val="fr-CA"/>
              </w:rPr>
              <w:t>Bouarfa</w:t>
            </w:r>
            <w:proofErr w:type="spellEnd"/>
            <w:r w:rsidRPr="007765E3">
              <w:rPr>
                <w:sz w:val="20"/>
                <w:szCs w:val="20"/>
                <w:lang w:val="fr-CA"/>
              </w:rPr>
              <w:t xml:space="preserve"> fut de nouveau accusé du crime ayant fait l’objet de la condamnation de 1996, et ce, à l’instigation de la République française. L’affaire se termina par un verdict d’acquittement confirmé par un tribunal d’appel algérien. Monsieur </w:t>
            </w:r>
            <w:proofErr w:type="spellStart"/>
            <w:r w:rsidRPr="007765E3">
              <w:rPr>
                <w:sz w:val="20"/>
                <w:szCs w:val="20"/>
                <w:lang w:val="fr-CA"/>
              </w:rPr>
              <w:t>Bouarfa</w:t>
            </w:r>
            <w:proofErr w:type="spellEnd"/>
            <w:r w:rsidRPr="007765E3">
              <w:rPr>
                <w:sz w:val="20"/>
                <w:szCs w:val="20"/>
                <w:lang w:val="fr-CA"/>
              </w:rPr>
              <w:t xml:space="preserve"> fut de nouveau arrêté, cette fois au Canada, toujours à la demande des autorités françaises qui ont requis contre lui un arrêté d’extradition. Cet arrêté fut pris par le ministre intimé en 2011. En 2012, la Cour d’appel du Québec a accueilli en partie la demande de révision de M. </w:t>
            </w:r>
            <w:proofErr w:type="spellStart"/>
            <w:r w:rsidRPr="007765E3">
              <w:rPr>
                <w:sz w:val="20"/>
                <w:szCs w:val="20"/>
                <w:lang w:val="fr-CA"/>
              </w:rPr>
              <w:t>Bouarfa</w:t>
            </w:r>
            <w:proofErr w:type="spellEnd"/>
            <w:r w:rsidRPr="007765E3">
              <w:rPr>
                <w:sz w:val="20"/>
                <w:szCs w:val="20"/>
                <w:lang w:val="fr-CA"/>
              </w:rPr>
              <w:t>. Conformément aux conclusions de la Cour d’appel, le ministre a adressé une demande aux autorités françaises pour obtenir des informations additionnelles. Après avoir reçu une réponse à sa demande, de même que les observations de l’avocat de M. </w:t>
            </w:r>
            <w:proofErr w:type="spellStart"/>
            <w:r w:rsidRPr="007765E3">
              <w:rPr>
                <w:sz w:val="20"/>
                <w:szCs w:val="20"/>
                <w:lang w:val="fr-CA"/>
              </w:rPr>
              <w:t>Bouarfa</w:t>
            </w:r>
            <w:proofErr w:type="spellEnd"/>
            <w:r w:rsidRPr="007765E3">
              <w:rPr>
                <w:sz w:val="20"/>
                <w:szCs w:val="20"/>
                <w:lang w:val="fr-CA"/>
              </w:rPr>
              <w:t>, le ministre a pris un nouvel arrêté d’extradition en 2014. C’est de cette décision que M. </w:t>
            </w:r>
            <w:proofErr w:type="spellStart"/>
            <w:r w:rsidRPr="007765E3">
              <w:rPr>
                <w:sz w:val="20"/>
                <w:szCs w:val="20"/>
                <w:lang w:val="fr-CA"/>
              </w:rPr>
              <w:t>Bouarfa</w:t>
            </w:r>
            <w:proofErr w:type="spellEnd"/>
            <w:r w:rsidRPr="007765E3">
              <w:rPr>
                <w:sz w:val="20"/>
                <w:szCs w:val="20"/>
                <w:lang w:val="fr-CA"/>
              </w:rPr>
              <w:t xml:space="preserve"> a demandé une deuxième révision, mais sans succès.</w:t>
            </w:r>
          </w:p>
          <w:p w:rsidR="00901382" w:rsidRPr="007765E3" w:rsidRDefault="00901382" w:rsidP="00A7356B">
            <w:pPr>
              <w:jc w:val="both"/>
              <w:rPr>
                <w:rFonts w:cs="Times New Roman"/>
                <w:sz w:val="20"/>
                <w:szCs w:val="20"/>
                <w:u w:val="single"/>
                <w:lang w:val="fr-CA"/>
              </w:rPr>
            </w:pPr>
          </w:p>
        </w:tc>
      </w:tr>
      <w:tr w:rsidR="00901382" w:rsidRPr="007765E3" w:rsidTr="00A7356B">
        <w:trPr>
          <w:cantSplit/>
        </w:trPr>
        <w:tc>
          <w:tcPr>
            <w:tcW w:w="4410" w:type="dxa"/>
            <w:gridSpan w:val="2"/>
          </w:tcPr>
          <w:p w:rsidR="006C5C57" w:rsidRPr="007765E3" w:rsidRDefault="006C5C57" w:rsidP="006C5C57">
            <w:pPr>
              <w:rPr>
                <w:sz w:val="20"/>
                <w:szCs w:val="20"/>
                <w:lang w:val="fr-CA"/>
              </w:rPr>
            </w:pPr>
            <w:r w:rsidRPr="007765E3">
              <w:rPr>
                <w:sz w:val="20"/>
                <w:szCs w:val="20"/>
                <w:lang w:val="fr-CA"/>
              </w:rPr>
              <w:t>Le 6 juillet 2011</w:t>
            </w:r>
          </w:p>
          <w:p w:rsidR="006C5C57" w:rsidRPr="007765E3" w:rsidRDefault="006C5C57" w:rsidP="006C5C57">
            <w:pPr>
              <w:rPr>
                <w:sz w:val="20"/>
                <w:szCs w:val="20"/>
                <w:lang w:val="fr-CA"/>
              </w:rPr>
            </w:pPr>
            <w:r w:rsidRPr="007765E3">
              <w:rPr>
                <w:sz w:val="20"/>
                <w:szCs w:val="20"/>
                <w:lang w:val="fr-CA"/>
              </w:rPr>
              <w:t>Le ministre de la Justice du Canada</w:t>
            </w:r>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901382" w:rsidRPr="007765E3" w:rsidRDefault="006C5C57" w:rsidP="00A7356B">
            <w:pPr>
              <w:pStyle w:val="SCCShortJudgment"/>
              <w:ind w:firstLine="0"/>
              <w:rPr>
                <w:rFonts w:cs="Times New Roman"/>
                <w:szCs w:val="20"/>
                <w:u w:val="single"/>
                <w:lang w:val="fr-CA"/>
              </w:rPr>
            </w:pPr>
            <w:proofErr w:type="spellStart"/>
            <w:r w:rsidRPr="007765E3">
              <w:rPr>
                <w:szCs w:val="20"/>
              </w:rPr>
              <w:t>Arrêté</w:t>
            </w:r>
            <w:proofErr w:type="spellEnd"/>
            <w:r w:rsidRPr="007765E3">
              <w:rPr>
                <w:szCs w:val="20"/>
              </w:rPr>
              <w:t xml:space="preserve"> </w:t>
            </w:r>
            <w:proofErr w:type="spellStart"/>
            <w:r w:rsidRPr="007765E3">
              <w:rPr>
                <w:szCs w:val="20"/>
              </w:rPr>
              <w:t>d’extradition</w:t>
            </w:r>
            <w:proofErr w:type="spellEnd"/>
            <w:r w:rsidRPr="007765E3">
              <w:rPr>
                <w:szCs w:val="20"/>
              </w:rPr>
              <w:t>.</w:t>
            </w:r>
          </w:p>
        </w:tc>
      </w:tr>
      <w:tr w:rsidR="00901382" w:rsidRPr="007765E3" w:rsidTr="00A7356B">
        <w:trPr>
          <w:cantSplit/>
        </w:trPr>
        <w:tc>
          <w:tcPr>
            <w:tcW w:w="4410" w:type="dxa"/>
            <w:gridSpan w:val="2"/>
          </w:tcPr>
          <w:p w:rsidR="006C5C57" w:rsidRPr="007765E3" w:rsidRDefault="006C5C57" w:rsidP="006C5C57">
            <w:pPr>
              <w:rPr>
                <w:sz w:val="20"/>
                <w:szCs w:val="20"/>
                <w:lang w:val="fr-CA"/>
              </w:rPr>
            </w:pPr>
            <w:r w:rsidRPr="007765E3">
              <w:rPr>
                <w:sz w:val="20"/>
                <w:szCs w:val="20"/>
                <w:lang w:val="fr-CA"/>
              </w:rPr>
              <w:t>Le 1 août 2012</w:t>
            </w:r>
            <w:r w:rsidRPr="007765E3">
              <w:rPr>
                <w:sz w:val="20"/>
                <w:szCs w:val="20"/>
                <w:lang w:val="fr-CA"/>
              </w:rPr>
              <w:tab/>
            </w:r>
          </w:p>
          <w:p w:rsidR="006C5C57" w:rsidRPr="007765E3" w:rsidRDefault="006C5C57" w:rsidP="006C5C57">
            <w:pPr>
              <w:rPr>
                <w:sz w:val="20"/>
                <w:szCs w:val="20"/>
                <w:lang w:val="fr-CA"/>
              </w:rPr>
            </w:pPr>
            <w:r w:rsidRPr="007765E3">
              <w:rPr>
                <w:sz w:val="20"/>
                <w:szCs w:val="20"/>
                <w:lang w:val="fr-CA"/>
              </w:rPr>
              <w:t>Cour d’appel du Québec (Montréal)</w:t>
            </w:r>
          </w:p>
          <w:p w:rsidR="006C5C57" w:rsidRPr="007765E3" w:rsidRDefault="006C5C57" w:rsidP="006C5C57">
            <w:pPr>
              <w:rPr>
                <w:sz w:val="20"/>
                <w:szCs w:val="20"/>
                <w:lang w:val="fr-CA"/>
              </w:rPr>
            </w:pPr>
            <w:r w:rsidRPr="007765E3">
              <w:rPr>
                <w:sz w:val="20"/>
                <w:szCs w:val="20"/>
                <w:lang w:val="fr-CA"/>
              </w:rPr>
              <w:t xml:space="preserve">(Les juges Hilton, </w:t>
            </w:r>
            <w:proofErr w:type="spellStart"/>
            <w:r w:rsidRPr="007765E3">
              <w:rPr>
                <w:sz w:val="20"/>
                <w:szCs w:val="20"/>
                <w:lang w:val="fr-CA"/>
              </w:rPr>
              <w:t>Kasirer</w:t>
            </w:r>
            <w:proofErr w:type="spellEnd"/>
            <w:r w:rsidRPr="007765E3">
              <w:rPr>
                <w:sz w:val="20"/>
                <w:szCs w:val="20"/>
                <w:lang w:val="fr-CA"/>
              </w:rPr>
              <w:t xml:space="preserve"> et Wagner)</w:t>
            </w:r>
          </w:p>
          <w:p w:rsidR="006C5C57" w:rsidRPr="007765E3" w:rsidRDefault="007765E3" w:rsidP="006C5C57">
            <w:pPr>
              <w:rPr>
                <w:sz w:val="20"/>
                <w:szCs w:val="20"/>
              </w:rPr>
            </w:pPr>
            <w:hyperlink r:id="rId20" w:history="1">
              <w:r w:rsidR="006C5C57" w:rsidRPr="007765E3">
                <w:rPr>
                  <w:rStyle w:val="Hyperlink"/>
                  <w:sz w:val="20"/>
                  <w:szCs w:val="20"/>
                </w:rPr>
                <w:t>2012 QCCA 1378</w:t>
              </w:r>
            </w:hyperlink>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6C5C57" w:rsidRPr="007765E3" w:rsidRDefault="006C5C57" w:rsidP="006C5C57">
            <w:pPr>
              <w:jc w:val="both"/>
              <w:rPr>
                <w:sz w:val="20"/>
                <w:szCs w:val="20"/>
                <w:lang w:val="fr-CA"/>
              </w:rPr>
            </w:pPr>
            <w:r w:rsidRPr="007765E3">
              <w:rPr>
                <w:sz w:val="20"/>
                <w:szCs w:val="20"/>
                <w:lang w:val="fr-CA"/>
              </w:rPr>
              <w:t>Demande de révision judiciaire relativement à l’arrêté d’extradition accueillie en partie et dossier renvoyé au ministre de la Justice du Canada.</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4410" w:type="dxa"/>
            <w:gridSpan w:val="2"/>
          </w:tcPr>
          <w:p w:rsidR="006C5C57" w:rsidRPr="007765E3" w:rsidRDefault="006C5C57" w:rsidP="006C5C57">
            <w:pPr>
              <w:rPr>
                <w:sz w:val="20"/>
                <w:szCs w:val="20"/>
                <w:lang w:val="fr-CA"/>
              </w:rPr>
            </w:pPr>
            <w:r w:rsidRPr="007765E3">
              <w:rPr>
                <w:sz w:val="20"/>
                <w:szCs w:val="20"/>
                <w:lang w:val="fr-CA"/>
              </w:rPr>
              <w:t>Le 7 janvier 2014</w:t>
            </w:r>
          </w:p>
          <w:p w:rsidR="006C5C57" w:rsidRPr="007765E3" w:rsidRDefault="006C5C57" w:rsidP="006C5C57">
            <w:pPr>
              <w:rPr>
                <w:sz w:val="20"/>
                <w:szCs w:val="20"/>
                <w:lang w:val="fr-CA"/>
              </w:rPr>
            </w:pPr>
            <w:r w:rsidRPr="007765E3">
              <w:rPr>
                <w:sz w:val="20"/>
                <w:szCs w:val="20"/>
                <w:lang w:val="fr-CA"/>
              </w:rPr>
              <w:t>Le ministre de la Justice du Canada</w:t>
            </w:r>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6C5C57" w:rsidRPr="007765E3" w:rsidRDefault="006C5C57" w:rsidP="006C5C57">
            <w:pPr>
              <w:rPr>
                <w:sz w:val="20"/>
                <w:szCs w:val="20"/>
              </w:rPr>
            </w:pPr>
            <w:proofErr w:type="spellStart"/>
            <w:r w:rsidRPr="007765E3">
              <w:rPr>
                <w:sz w:val="20"/>
                <w:szCs w:val="20"/>
              </w:rPr>
              <w:t>Nouvel</w:t>
            </w:r>
            <w:proofErr w:type="spellEnd"/>
            <w:r w:rsidRPr="007765E3">
              <w:rPr>
                <w:sz w:val="20"/>
                <w:szCs w:val="20"/>
              </w:rPr>
              <w:t xml:space="preserve"> </w:t>
            </w:r>
            <w:proofErr w:type="spellStart"/>
            <w:r w:rsidRPr="007765E3">
              <w:rPr>
                <w:sz w:val="20"/>
                <w:szCs w:val="20"/>
              </w:rPr>
              <w:t>arrêté</w:t>
            </w:r>
            <w:proofErr w:type="spellEnd"/>
            <w:r w:rsidRPr="007765E3">
              <w:rPr>
                <w:sz w:val="20"/>
                <w:szCs w:val="20"/>
              </w:rPr>
              <w:t xml:space="preserve"> </w:t>
            </w:r>
            <w:proofErr w:type="spellStart"/>
            <w:r w:rsidRPr="007765E3">
              <w:rPr>
                <w:sz w:val="20"/>
                <w:szCs w:val="20"/>
              </w:rPr>
              <w:t>d’extradition</w:t>
            </w:r>
            <w:proofErr w:type="spellEnd"/>
            <w:r w:rsidRPr="007765E3">
              <w:rPr>
                <w:sz w:val="20"/>
                <w:szCs w:val="20"/>
              </w:rPr>
              <w:t>.</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4410" w:type="dxa"/>
            <w:gridSpan w:val="2"/>
          </w:tcPr>
          <w:p w:rsidR="006C5C57" w:rsidRPr="007765E3" w:rsidRDefault="006C5C57" w:rsidP="006C5C57">
            <w:pPr>
              <w:rPr>
                <w:sz w:val="20"/>
                <w:szCs w:val="20"/>
                <w:lang w:val="fr-CA"/>
              </w:rPr>
            </w:pPr>
            <w:r w:rsidRPr="007765E3">
              <w:rPr>
                <w:sz w:val="20"/>
                <w:szCs w:val="20"/>
                <w:lang w:val="fr-CA"/>
              </w:rPr>
              <w:t>Le 26 novembre 2015</w:t>
            </w:r>
          </w:p>
          <w:p w:rsidR="006C5C57" w:rsidRPr="007765E3" w:rsidRDefault="006C5C57" w:rsidP="006C5C57">
            <w:pPr>
              <w:rPr>
                <w:sz w:val="20"/>
                <w:szCs w:val="20"/>
                <w:lang w:val="fr-CA"/>
              </w:rPr>
            </w:pPr>
            <w:r w:rsidRPr="007765E3">
              <w:rPr>
                <w:sz w:val="20"/>
                <w:szCs w:val="20"/>
                <w:lang w:val="fr-CA"/>
              </w:rPr>
              <w:t>Cour d’appel du Québec (Montréal)</w:t>
            </w:r>
          </w:p>
          <w:p w:rsidR="006C5C57" w:rsidRPr="007765E3" w:rsidRDefault="006C5C57" w:rsidP="006C5C57">
            <w:pPr>
              <w:rPr>
                <w:sz w:val="20"/>
                <w:szCs w:val="20"/>
                <w:lang w:val="fr-CA"/>
              </w:rPr>
            </w:pPr>
            <w:r w:rsidRPr="007765E3">
              <w:rPr>
                <w:sz w:val="20"/>
                <w:szCs w:val="20"/>
                <w:lang w:val="fr-CA"/>
              </w:rPr>
              <w:t xml:space="preserve">(Les juges Pelletier, </w:t>
            </w:r>
            <w:proofErr w:type="spellStart"/>
            <w:r w:rsidRPr="007765E3">
              <w:rPr>
                <w:sz w:val="20"/>
                <w:szCs w:val="20"/>
                <w:lang w:val="fr-CA"/>
              </w:rPr>
              <w:t>Vauclair</w:t>
            </w:r>
            <w:proofErr w:type="spellEnd"/>
            <w:r w:rsidRPr="007765E3">
              <w:rPr>
                <w:sz w:val="20"/>
                <w:szCs w:val="20"/>
                <w:lang w:val="fr-CA"/>
              </w:rPr>
              <w:t xml:space="preserve"> et </w:t>
            </w:r>
            <w:proofErr w:type="spellStart"/>
            <w:r w:rsidRPr="007765E3">
              <w:rPr>
                <w:sz w:val="20"/>
                <w:szCs w:val="20"/>
                <w:lang w:val="fr-CA"/>
              </w:rPr>
              <w:t>Hogue</w:t>
            </w:r>
            <w:proofErr w:type="spellEnd"/>
            <w:r w:rsidRPr="007765E3">
              <w:rPr>
                <w:sz w:val="20"/>
                <w:szCs w:val="20"/>
                <w:lang w:val="fr-CA"/>
              </w:rPr>
              <w:t>)</w:t>
            </w:r>
          </w:p>
          <w:p w:rsidR="006C5C57" w:rsidRPr="007765E3" w:rsidRDefault="007765E3" w:rsidP="006C5C57">
            <w:pPr>
              <w:rPr>
                <w:sz w:val="20"/>
                <w:szCs w:val="20"/>
              </w:rPr>
            </w:pPr>
            <w:hyperlink r:id="rId21" w:history="1">
              <w:r w:rsidR="006C5C57" w:rsidRPr="007765E3">
                <w:rPr>
                  <w:rStyle w:val="Hyperlink"/>
                  <w:sz w:val="20"/>
                  <w:szCs w:val="20"/>
                </w:rPr>
                <w:t>2015 QCCA 1970</w:t>
              </w:r>
            </w:hyperlink>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6C5C57" w:rsidRPr="007765E3" w:rsidRDefault="006C5C57" w:rsidP="006C5C57">
            <w:pPr>
              <w:rPr>
                <w:sz w:val="20"/>
                <w:szCs w:val="20"/>
                <w:lang w:val="fr-CA"/>
              </w:rPr>
            </w:pPr>
            <w:r w:rsidRPr="007765E3">
              <w:rPr>
                <w:sz w:val="20"/>
                <w:szCs w:val="20"/>
                <w:lang w:val="fr-CA"/>
              </w:rPr>
              <w:t>Deuxième demande de révision rejetée.</w:t>
            </w:r>
          </w:p>
          <w:p w:rsidR="00901382" w:rsidRPr="007765E3" w:rsidRDefault="00901382" w:rsidP="00A7356B">
            <w:pPr>
              <w:pStyle w:val="SCCShortJudgment"/>
              <w:ind w:firstLine="0"/>
              <w:rPr>
                <w:rFonts w:cs="Times New Roman"/>
                <w:szCs w:val="20"/>
                <w:u w:val="single"/>
                <w:lang w:val="fr-CA"/>
              </w:rPr>
            </w:pPr>
          </w:p>
        </w:tc>
      </w:tr>
      <w:tr w:rsidR="006C5C57" w:rsidRPr="007765E3" w:rsidTr="00A7356B">
        <w:trPr>
          <w:cantSplit/>
        </w:trPr>
        <w:tc>
          <w:tcPr>
            <w:tcW w:w="4410" w:type="dxa"/>
            <w:gridSpan w:val="2"/>
          </w:tcPr>
          <w:p w:rsidR="006C5C57" w:rsidRPr="007765E3" w:rsidRDefault="006C5C57" w:rsidP="006C5C57">
            <w:pPr>
              <w:rPr>
                <w:sz w:val="20"/>
                <w:szCs w:val="20"/>
                <w:lang w:val="fr-CA"/>
              </w:rPr>
            </w:pPr>
            <w:r w:rsidRPr="007765E3">
              <w:rPr>
                <w:sz w:val="20"/>
                <w:szCs w:val="20"/>
                <w:lang w:val="fr-CA"/>
              </w:rPr>
              <w:lastRenderedPageBreak/>
              <w:t>Le 25 février 2016</w:t>
            </w:r>
          </w:p>
          <w:p w:rsidR="006C5C57" w:rsidRPr="007765E3" w:rsidRDefault="006C5C57" w:rsidP="006C5C57">
            <w:pPr>
              <w:rPr>
                <w:sz w:val="20"/>
                <w:szCs w:val="20"/>
                <w:lang w:val="fr-CA"/>
              </w:rPr>
            </w:pPr>
            <w:r w:rsidRPr="007765E3">
              <w:rPr>
                <w:sz w:val="20"/>
                <w:szCs w:val="20"/>
                <w:lang w:val="fr-CA"/>
              </w:rPr>
              <w:t>Cour suprême du Canada</w:t>
            </w:r>
          </w:p>
        </w:tc>
        <w:tc>
          <w:tcPr>
            <w:tcW w:w="630" w:type="dxa"/>
          </w:tcPr>
          <w:p w:rsidR="006C5C57" w:rsidRPr="007765E3" w:rsidRDefault="006C5C57" w:rsidP="00A7356B">
            <w:pPr>
              <w:pStyle w:val="SCCShortJudgment"/>
              <w:ind w:firstLine="0"/>
              <w:rPr>
                <w:rFonts w:cs="Times New Roman"/>
                <w:szCs w:val="20"/>
                <w:u w:val="single"/>
                <w:lang w:val="fr-CA"/>
              </w:rPr>
            </w:pPr>
          </w:p>
        </w:tc>
        <w:tc>
          <w:tcPr>
            <w:tcW w:w="4536" w:type="dxa"/>
          </w:tcPr>
          <w:p w:rsidR="006C5C57" w:rsidRPr="007765E3" w:rsidRDefault="006C5C57" w:rsidP="00A7356B">
            <w:pPr>
              <w:pStyle w:val="SCCShortJudgment"/>
              <w:ind w:firstLine="0"/>
              <w:rPr>
                <w:rFonts w:cs="Times New Roman"/>
                <w:szCs w:val="20"/>
                <w:u w:val="single"/>
                <w:lang w:val="fr-CA"/>
              </w:rPr>
            </w:pPr>
            <w:r w:rsidRPr="007765E3">
              <w:rPr>
                <w:szCs w:val="20"/>
                <w:lang w:val="fr-CA"/>
              </w:rPr>
              <w:t>Demande d’autorisation d’appel déposée ainsi que requête pour prorogation du délai pour signifier et déposer une demande d’autorisation d’appel.</w:t>
            </w:r>
          </w:p>
        </w:tc>
      </w:tr>
    </w:tbl>
    <w:p w:rsidR="00901382" w:rsidRPr="007765E3" w:rsidRDefault="007765E3" w:rsidP="000E2959">
      <w:pPr>
        <w:rPr>
          <w:sz w:val="20"/>
          <w:szCs w:val="20"/>
          <w:lang w:val="fr-CA"/>
        </w:rPr>
      </w:pPr>
      <w:r w:rsidRPr="007765E3">
        <w:rPr>
          <w:rFonts w:cs="Times New Roman"/>
          <w:szCs w:val="20"/>
          <w:lang w:val="fr-CA"/>
        </w:rPr>
        <w:pict>
          <v:rect id="_x0000_i1043" style="width:2in;height:1pt" o:hrpct="0" o:hralign="center" o:hrstd="t" o:hrnoshade="t" o:hr="t" fillcolor="black [3213]" stroked="f"/>
        </w:pict>
      </w:r>
    </w:p>
    <w:p w:rsidR="00901382" w:rsidRPr="007765E3" w:rsidRDefault="00901382"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01382" w:rsidRPr="007765E3" w:rsidTr="00A7356B">
        <w:trPr>
          <w:cantSplit/>
        </w:trPr>
        <w:tc>
          <w:tcPr>
            <w:tcW w:w="1458" w:type="dxa"/>
          </w:tcPr>
          <w:p w:rsidR="00901382" w:rsidRPr="007765E3" w:rsidRDefault="00127038" w:rsidP="00A7356B">
            <w:pPr>
              <w:jc w:val="both"/>
              <w:rPr>
                <w:rFonts w:cs="Times New Roman"/>
                <w:sz w:val="20"/>
                <w:szCs w:val="20"/>
              </w:rPr>
            </w:pPr>
            <w:r w:rsidRPr="007765E3">
              <w:rPr>
                <w:rStyle w:val="SCCFileNumberChar"/>
                <w:sz w:val="20"/>
                <w:szCs w:val="20"/>
              </w:rPr>
              <w:t>36983</w:t>
            </w:r>
          </w:p>
          <w:p w:rsidR="00901382" w:rsidRPr="007765E3" w:rsidRDefault="00901382" w:rsidP="00A7356B">
            <w:pPr>
              <w:jc w:val="both"/>
              <w:rPr>
                <w:rFonts w:cs="Times New Roman"/>
                <w:b/>
                <w:sz w:val="20"/>
                <w:szCs w:val="20"/>
              </w:rPr>
            </w:pPr>
          </w:p>
        </w:tc>
        <w:tc>
          <w:tcPr>
            <w:tcW w:w="8118" w:type="dxa"/>
            <w:gridSpan w:val="3"/>
          </w:tcPr>
          <w:p w:rsidR="00901382" w:rsidRPr="007765E3" w:rsidRDefault="00864D71" w:rsidP="00A7356B">
            <w:pPr>
              <w:jc w:val="both"/>
              <w:rPr>
                <w:rFonts w:cs="Times New Roman"/>
                <w:sz w:val="20"/>
                <w:szCs w:val="20"/>
              </w:rPr>
            </w:pPr>
            <w:r w:rsidRPr="007765E3">
              <w:rPr>
                <w:b/>
                <w:sz w:val="20"/>
                <w:szCs w:val="20"/>
                <w:u w:val="single"/>
              </w:rPr>
              <w:t>Williams Lake Indian Band v. Her Majesty the Queen in Right of Canada as represented by the Minister of Aboriginal Affairs and Northern Development Canada</w:t>
            </w:r>
            <w:r w:rsidRPr="007765E3">
              <w:rPr>
                <w:rFonts w:cs="Times New Roman"/>
                <w:sz w:val="20"/>
                <w:szCs w:val="20"/>
              </w:rPr>
              <w:t xml:space="preserve"> </w:t>
            </w:r>
            <w:r w:rsidR="00901382" w:rsidRPr="007765E3">
              <w:rPr>
                <w:rFonts w:cs="Times New Roman"/>
                <w:sz w:val="20"/>
                <w:szCs w:val="20"/>
              </w:rPr>
              <w:t>(</w:t>
            </w:r>
            <w:r w:rsidRPr="007765E3">
              <w:rPr>
                <w:rFonts w:cs="Times New Roman"/>
                <w:sz w:val="20"/>
                <w:szCs w:val="20"/>
              </w:rPr>
              <w:t>F.C</w:t>
            </w:r>
            <w:r w:rsidR="00901382" w:rsidRPr="007765E3">
              <w:rPr>
                <w:rFonts w:cs="Times New Roman"/>
                <w:sz w:val="20"/>
                <w:szCs w:val="20"/>
              </w:rPr>
              <w:t>.) (Civil) (By Leave)</w:t>
            </w:r>
          </w:p>
          <w:p w:rsidR="00901382" w:rsidRPr="007765E3" w:rsidRDefault="00901382" w:rsidP="00A7356B">
            <w:pPr>
              <w:jc w:val="both"/>
              <w:rPr>
                <w:rFonts w:cs="Times New Roman"/>
                <w:sz w:val="20"/>
                <w:szCs w:val="20"/>
              </w:rPr>
            </w:pPr>
          </w:p>
        </w:tc>
      </w:tr>
      <w:tr w:rsidR="00901382" w:rsidRPr="007765E3" w:rsidTr="00A7356B">
        <w:trPr>
          <w:cantSplit/>
        </w:trPr>
        <w:tc>
          <w:tcPr>
            <w:tcW w:w="1458" w:type="dxa"/>
          </w:tcPr>
          <w:p w:rsidR="00901382" w:rsidRPr="007765E3" w:rsidRDefault="00901382" w:rsidP="00A7356B">
            <w:pPr>
              <w:jc w:val="both"/>
              <w:rPr>
                <w:rFonts w:cs="Times New Roman"/>
                <w:sz w:val="20"/>
                <w:szCs w:val="20"/>
              </w:rPr>
            </w:pPr>
            <w:r w:rsidRPr="007765E3">
              <w:rPr>
                <w:rFonts w:cs="Times New Roman"/>
                <w:sz w:val="20"/>
                <w:szCs w:val="20"/>
              </w:rPr>
              <w:t>Coram :</w:t>
            </w:r>
          </w:p>
        </w:tc>
        <w:tc>
          <w:tcPr>
            <w:tcW w:w="8118" w:type="dxa"/>
            <w:gridSpan w:val="3"/>
          </w:tcPr>
          <w:p w:rsidR="00901382" w:rsidRPr="007765E3" w:rsidRDefault="00864D71" w:rsidP="00A7356B">
            <w:pPr>
              <w:jc w:val="both"/>
              <w:rPr>
                <w:sz w:val="20"/>
                <w:szCs w:val="20"/>
                <w:u w:val="single"/>
              </w:rPr>
            </w:pPr>
            <w:proofErr w:type="spellStart"/>
            <w:r w:rsidRPr="007765E3">
              <w:rPr>
                <w:sz w:val="20"/>
                <w:szCs w:val="20"/>
                <w:u w:val="single"/>
              </w:rPr>
              <w:t>Moldaver</w:t>
            </w:r>
            <w:proofErr w:type="spellEnd"/>
            <w:r w:rsidRPr="007765E3">
              <w:rPr>
                <w:sz w:val="20"/>
                <w:szCs w:val="20"/>
                <w:u w:val="single"/>
              </w:rPr>
              <w:t xml:space="preserve">, </w:t>
            </w:r>
            <w:proofErr w:type="spellStart"/>
            <w:r w:rsidRPr="007765E3">
              <w:rPr>
                <w:sz w:val="20"/>
                <w:szCs w:val="20"/>
                <w:u w:val="single"/>
              </w:rPr>
              <w:t>Côté</w:t>
            </w:r>
            <w:proofErr w:type="spellEnd"/>
            <w:r w:rsidRPr="007765E3">
              <w:rPr>
                <w:sz w:val="20"/>
                <w:szCs w:val="20"/>
                <w:u w:val="single"/>
              </w:rPr>
              <w:t xml:space="preserve"> and Brown JJ.</w:t>
            </w:r>
          </w:p>
          <w:p w:rsidR="00864D71" w:rsidRPr="007765E3" w:rsidRDefault="00864D71" w:rsidP="00A7356B">
            <w:pPr>
              <w:jc w:val="both"/>
              <w:rPr>
                <w:rFonts w:cs="Times New Roman"/>
                <w:sz w:val="20"/>
                <w:szCs w:val="20"/>
                <w:u w:val="single"/>
              </w:rPr>
            </w:pPr>
          </w:p>
        </w:tc>
      </w:tr>
      <w:tr w:rsidR="00901382" w:rsidRPr="007765E3" w:rsidTr="00864D71">
        <w:tc>
          <w:tcPr>
            <w:tcW w:w="9576" w:type="dxa"/>
            <w:gridSpan w:val="4"/>
          </w:tcPr>
          <w:p w:rsidR="00901382" w:rsidRPr="007765E3" w:rsidRDefault="00901382" w:rsidP="00A7356B">
            <w:pPr>
              <w:pStyle w:val="SCCShortJudgment"/>
              <w:ind w:firstLine="0"/>
              <w:rPr>
                <w:szCs w:val="20"/>
              </w:rPr>
            </w:pPr>
            <w:r w:rsidRPr="007765E3">
              <w:rPr>
                <w:rFonts w:cs="Times New Roman"/>
                <w:szCs w:val="20"/>
              </w:rPr>
              <w:tab/>
            </w:r>
            <w:r w:rsidR="00864D71" w:rsidRPr="007765E3">
              <w:rPr>
                <w:szCs w:val="20"/>
              </w:rPr>
              <w:t>The application for leave to appeal from the judgment of the Federal Court of Appeal, Number A-168-14, 2016 FCA 63, dated February 29, 2016, is granted with costs in the cause.</w:t>
            </w:r>
          </w:p>
          <w:p w:rsidR="00864D71" w:rsidRPr="007765E3" w:rsidRDefault="00864D71" w:rsidP="00A7356B">
            <w:pPr>
              <w:pStyle w:val="SCCShortJudgment"/>
              <w:ind w:firstLine="0"/>
              <w:rPr>
                <w:rFonts w:cs="Times New Roman"/>
                <w:szCs w:val="20"/>
              </w:rPr>
            </w:pPr>
          </w:p>
          <w:p w:rsidR="00901382" w:rsidRPr="007765E3" w:rsidRDefault="00901382" w:rsidP="00A7356B">
            <w:pPr>
              <w:pStyle w:val="SCCShortJudgment"/>
              <w:ind w:firstLine="0"/>
              <w:rPr>
                <w:szCs w:val="20"/>
                <w:lang w:val="fr-CA"/>
              </w:rPr>
            </w:pPr>
            <w:r w:rsidRPr="007765E3">
              <w:rPr>
                <w:rFonts w:cs="Times New Roman"/>
                <w:szCs w:val="20"/>
              </w:rPr>
              <w:tab/>
            </w:r>
            <w:r w:rsidR="00864D71" w:rsidRPr="007765E3">
              <w:rPr>
                <w:szCs w:val="20"/>
                <w:lang w:val="fr-CA"/>
              </w:rPr>
              <w:t xml:space="preserve">La demande d’autorisation d’appel de l’arrêt de la Cour d’appel fédérale, numéro A-168-14, 2016 FCA 63, daté du 29 février 2016, est accueillie avec dépens suivant l’issue de la cause. </w:t>
            </w:r>
          </w:p>
          <w:p w:rsidR="00076FD9" w:rsidRPr="007765E3" w:rsidRDefault="00076FD9" w:rsidP="00A7356B">
            <w:pPr>
              <w:pStyle w:val="SCCShortJudgment"/>
              <w:ind w:firstLine="0"/>
              <w:rPr>
                <w:rFonts w:cs="Times New Roman"/>
                <w:szCs w:val="20"/>
                <w:lang w:val="fr-CA"/>
              </w:rPr>
            </w:pPr>
          </w:p>
        </w:tc>
      </w:tr>
      <w:tr w:rsidR="00901382" w:rsidRPr="007765E3" w:rsidTr="00A7356B">
        <w:trPr>
          <w:cantSplit/>
        </w:trPr>
        <w:tc>
          <w:tcPr>
            <w:tcW w:w="9576" w:type="dxa"/>
            <w:gridSpan w:val="4"/>
          </w:tcPr>
          <w:p w:rsidR="00901382" w:rsidRPr="007765E3" w:rsidRDefault="00901382" w:rsidP="00A7356B">
            <w:pPr>
              <w:pStyle w:val="SCCShortJudgment"/>
              <w:ind w:firstLine="0"/>
              <w:rPr>
                <w:rFonts w:cs="Times New Roman"/>
                <w:szCs w:val="20"/>
                <w:u w:val="single"/>
                <w:lang w:val="fr-CA"/>
              </w:rPr>
            </w:pPr>
            <w:r w:rsidRPr="007765E3">
              <w:rPr>
                <w:rFonts w:cs="Times New Roman"/>
                <w:szCs w:val="20"/>
                <w:u w:val="single"/>
                <w:lang w:val="fr-CA"/>
              </w:rPr>
              <w:t>CASE SUMMARY</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901382" w:rsidRPr="007765E3" w:rsidRDefault="00864D71" w:rsidP="00A7356B">
            <w:pPr>
              <w:pStyle w:val="SCCShortJudgment"/>
              <w:ind w:firstLine="0"/>
              <w:rPr>
                <w:szCs w:val="20"/>
              </w:rPr>
            </w:pPr>
            <w:r w:rsidRPr="007765E3">
              <w:rPr>
                <w:szCs w:val="20"/>
              </w:rPr>
              <w:t xml:space="preserve">Aboriginal law – Crown – Fiduciary duty – Indian reserves – Administrative law – Boards and tribunals – Specific Claims tribunal – Tribunal finding federal Crown in breach of post-Confederation fiduciary obligations, and liable for colony’s pre-Confederation breaches, in respect of reserve creation – Court of Appeal setting aside Tribunal decision as unreasonable and substituting its own decision, dismissing claim – Whether Court of Appeal applied appropriate standard and scope of review of Tribunal decisions under </w:t>
            </w:r>
            <w:r w:rsidRPr="007765E3">
              <w:rPr>
                <w:i/>
                <w:szCs w:val="20"/>
              </w:rPr>
              <w:t xml:space="preserve">Specific Claims Tribunal Act </w:t>
            </w:r>
            <w:r w:rsidRPr="007765E3">
              <w:rPr>
                <w:szCs w:val="20"/>
              </w:rPr>
              <w:t xml:space="preserve">– Whether Court of Appeal erred in reassessing, reweighing and reinterpreting evidence, failing to respect </w:t>
            </w:r>
            <w:r w:rsidRPr="007765E3">
              <w:rPr>
                <w:i/>
                <w:szCs w:val="20"/>
              </w:rPr>
              <w:t>Act</w:t>
            </w:r>
            <w:r w:rsidRPr="007765E3">
              <w:rPr>
                <w:szCs w:val="20"/>
              </w:rPr>
              <w:t xml:space="preserve">’s bifurcation of claim validity and compensation issues, and substituting its decision for that of Tribunal – Whether Crown as fiduciary may remedy earlier breaches of fiduciary duties through subsequent unilateral actions – </w:t>
            </w:r>
            <w:r w:rsidRPr="007765E3">
              <w:rPr>
                <w:i/>
                <w:szCs w:val="20"/>
              </w:rPr>
              <w:t>British Columbia Terms of Union</w:t>
            </w:r>
            <w:r w:rsidRPr="007765E3">
              <w:rPr>
                <w:szCs w:val="20"/>
              </w:rPr>
              <w:t xml:space="preserve">, R.S.C. 1985, App. II, No. 10 – </w:t>
            </w:r>
            <w:r w:rsidRPr="007765E3">
              <w:rPr>
                <w:i/>
                <w:szCs w:val="20"/>
              </w:rPr>
              <w:t>Specific Claims Tribunal Act</w:t>
            </w:r>
            <w:r w:rsidRPr="007765E3">
              <w:rPr>
                <w:szCs w:val="20"/>
              </w:rPr>
              <w:t>, S.C. 2008, c. 22.</w:t>
            </w:r>
          </w:p>
          <w:p w:rsidR="00864D71" w:rsidRPr="007765E3" w:rsidRDefault="00864D71" w:rsidP="00A7356B">
            <w:pPr>
              <w:pStyle w:val="SCCShortJudgment"/>
              <w:ind w:firstLine="0"/>
              <w:rPr>
                <w:rFonts w:cs="Times New Roman"/>
                <w:szCs w:val="20"/>
              </w:rPr>
            </w:pPr>
          </w:p>
        </w:tc>
      </w:tr>
      <w:tr w:rsidR="00901382" w:rsidRPr="007765E3" w:rsidTr="00A7356B">
        <w:trPr>
          <w:cantSplit/>
        </w:trPr>
        <w:tc>
          <w:tcPr>
            <w:tcW w:w="9576" w:type="dxa"/>
            <w:gridSpan w:val="4"/>
          </w:tcPr>
          <w:p w:rsidR="00864D71" w:rsidRPr="007765E3" w:rsidRDefault="00864D71" w:rsidP="00864D71">
            <w:pPr>
              <w:jc w:val="both"/>
              <w:rPr>
                <w:sz w:val="20"/>
                <w:szCs w:val="20"/>
              </w:rPr>
            </w:pPr>
            <w:r w:rsidRPr="007765E3">
              <w:rPr>
                <w:sz w:val="20"/>
                <w:szCs w:val="20"/>
              </w:rPr>
              <w:t xml:space="preserve">Williams Lake Indian Band filed a specific claim against Canada with the Specific Claims Tribunal, pursuant to the federal </w:t>
            </w:r>
            <w:r w:rsidRPr="007765E3">
              <w:rPr>
                <w:i/>
                <w:sz w:val="20"/>
                <w:szCs w:val="20"/>
              </w:rPr>
              <w:t>Specific Claims Tribunal Act</w:t>
            </w:r>
            <w:r w:rsidRPr="007765E3">
              <w:rPr>
                <w:sz w:val="20"/>
                <w:szCs w:val="20"/>
              </w:rPr>
              <w:t>,</w:t>
            </w:r>
            <w:r w:rsidRPr="007765E3">
              <w:rPr>
                <w:i/>
                <w:sz w:val="20"/>
                <w:szCs w:val="20"/>
              </w:rPr>
              <w:t xml:space="preserve"> </w:t>
            </w:r>
            <w:r w:rsidRPr="007765E3">
              <w:rPr>
                <w:sz w:val="20"/>
                <w:szCs w:val="20"/>
              </w:rPr>
              <w:t>based on: 1) the alleged failure of the pre-Confederation colony of British Columbia to act in the Band’s best interests by protecting their lands; and 2) the alleged failure of Canada to create reserves for the Band, following B.C.’s entry into Confederation in 1871. The claim involves two lots totalling nearly 2,000 acres. The claim alleges that B.C. failed to meet its legal obligation to prevent settlers from pre-empting lands on these two lots, and that Canada failed to meet its legal obligations to create reserves for the Band once B.C. entered Confederation in 1871. Reserve lands were eventually set aside for Williams Lake as reserves, in 1881; although the amount of land (over 4,000 acres) exceeded the area covered by the two lots, the lands in question were different than those in the original claim.</w:t>
            </w:r>
          </w:p>
          <w:p w:rsidR="00901382" w:rsidRPr="007765E3" w:rsidRDefault="00901382" w:rsidP="00A7356B">
            <w:pPr>
              <w:pStyle w:val="SCCShortJudgment"/>
              <w:ind w:firstLine="0"/>
              <w:rPr>
                <w:rFonts w:cs="Times New Roman"/>
                <w:szCs w:val="20"/>
              </w:rPr>
            </w:pPr>
          </w:p>
        </w:tc>
      </w:tr>
      <w:tr w:rsidR="00901382" w:rsidRPr="007765E3" w:rsidTr="00A7356B">
        <w:trPr>
          <w:cantSplit/>
        </w:trPr>
        <w:tc>
          <w:tcPr>
            <w:tcW w:w="9576" w:type="dxa"/>
            <w:gridSpan w:val="4"/>
          </w:tcPr>
          <w:p w:rsidR="00864D71" w:rsidRPr="007765E3" w:rsidRDefault="00864D71" w:rsidP="00864D71">
            <w:pPr>
              <w:jc w:val="both"/>
              <w:rPr>
                <w:sz w:val="20"/>
                <w:szCs w:val="20"/>
              </w:rPr>
            </w:pPr>
            <w:r w:rsidRPr="007765E3">
              <w:rPr>
                <w:sz w:val="20"/>
                <w:szCs w:val="20"/>
              </w:rPr>
              <w:t xml:space="preserve">The claim was bifurcated into validity and compensation (if necessary) phases. The Specific Claims Tribunal determined that Williams Lake had established the validity of the claim against the federal Crown: there were pre-emptive purchases of the lands by settlers, in contravention of colonial policy and law; such contraventions constituted a breach of a legal obligation, pursuant to colonial legislation pertaining to reserved lands; B.C. failed to act honourably and was in breach of its fiduciary duties at common law, by failing to put the Indian interest in settlement lands ahead of settlers’ interests; Canada was liable for B.C.’s pre-Confederation breaches of legislation and fiduciary duty, pursuant to the </w:t>
            </w:r>
            <w:r w:rsidRPr="007765E3">
              <w:rPr>
                <w:i/>
                <w:sz w:val="20"/>
                <w:szCs w:val="20"/>
              </w:rPr>
              <w:t>Act</w:t>
            </w:r>
            <w:r w:rsidRPr="007765E3">
              <w:rPr>
                <w:sz w:val="20"/>
                <w:szCs w:val="20"/>
              </w:rPr>
              <w:t>; and Canada also breached its post-Confederation fiduciary duties by failing to provide reserve lands to Williams Lake. The Federal Court of Appeal allowed the Crown’s application for judicial review, concluding that Canada’s post-Confederation actions remedied any potential earlier fiduciary breaches by B.C. and fulfilled any fiduciary duty owed by Canada. The Court of Appeal concluded that Canada did not breach any post-Confederation legal obligation to Williams Lake, and was not liable for any breaches of pre-Confederation legal obligations by B.C. By way of remedy, the specific claim was dismissed.</w:t>
            </w:r>
          </w:p>
          <w:p w:rsidR="00901382" w:rsidRPr="007765E3" w:rsidRDefault="00901382" w:rsidP="00A7356B">
            <w:pPr>
              <w:pStyle w:val="SCCShortJudgment"/>
              <w:ind w:firstLine="0"/>
              <w:rPr>
                <w:rFonts w:cs="Times New Roman"/>
                <w:szCs w:val="20"/>
              </w:rPr>
            </w:pPr>
          </w:p>
        </w:tc>
      </w:tr>
      <w:tr w:rsidR="00901382" w:rsidRPr="007765E3" w:rsidTr="00A7356B">
        <w:trPr>
          <w:cantSplit/>
        </w:trPr>
        <w:tc>
          <w:tcPr>
            <w:tcW w:w="4410" w:type="dxa"/>
            <w:gridSpan w:val="2"/>
          </w:tcPr>
          <w:p w:rsidR="00864D71" w:rsidRPr="007765E3" w:rsidRDefault="00864D71" w:rsidP="00864D71">
            <w:pPr>
              <w:rPr>
                <w:sz w:val="20"/>
                <w:szCs w:val="20"/>
              </w:rPr>
            </w:pPr>
            <w:r w:rsidRPr="007765E3">
              <w:rPr>
                <w:sz w:val="20"/>
                <w:szCs w:val="20"/>
              </w:rPr>
              <w:lastRenderedPageBreak/>
              <w:t>February 28, 2014</w:t>
            </w:r>
          </w:p>
          <w:p w:rsidR="00864D71" w:rsidRPr="007765E3" w:rsidRDefault="00864D71" w:rsidP="00864D71">
            <w:pPr>
              <w:rPr>
                <w:sz w:val="20"/>
                <w:szCs w:val="20"/>
              </w:rPr>
            </w:pPr>
            <w:r w:rsidRPr="007765E3">
              <w:rPr>
                <w:sz w:val="20"/>
                <w:szCs w:val="20"/>
              </w:rPr>
              <w:t>Specific Claims Tribunal</w:t>
            </w:r>
          </w:p>
          <w:p w:rsidR="00864D71" w:rsidRPr="007765E3" w:rsidRDefault="00864D71" w:rsidP="00864D71">
            <w:pPr>
              <w:rPr>
                <w:sz w:val="20"/>
                <w:szCs w:val="20"/>
              </w:rPr>
            </w:pPr>
            <w:r w:rsidRPr="007765E3">
              <w:rPr>
                <w:sz w:val="20"/>
                <w:szCs w:val="20"/>
              </w:rPr>
              <w:t>(Slade J.)</w:t>
            </w:r>
          </w:p>
          <w:p w:rsidR="00864D71" w:rsidRPr="007765E3" w:rsidRDefault="007765E3" w:rsidP="00864D71">
            <w:pPr>
              <w:rPr>
                <w:sz w:val="20"/>
                <w:szCs w:val="20"/>
              </w:rPr>
            </w:pPr>
            <w:hyperlink r:id="rId22" w:history="1">
              <w:r w:rsidR="00864D71" w:rsidRPr="007765E3">
                <w:rPr>
                  <w:rStyle w:val="Hyperlink"/>
                  <w:sz w:val="20"/>
                  <w:szCs w:val="20"/>
                </w:rPr>
                <w:t>SCT-7004-11</w:t>
              </w:r>
            </w:hyperlink>
          </w:p>
          <w:p w:rsidR="00901382" w:rsidRPr="007765E3" w:rsidRDefault="00901382" w:rsidP="00A7356B">
            <w:pPr>
              <w:jc w:val="both"/>
              <w:rPr>
                <w:rFonts w:cs="Times New Roman"/>
                <w:sz w:val="20"/>
                <w:szCs w:val="20"/>
              </w:rPr>
            </w:pPr>
          </w:p>
        </w:tc>
        <w:tc>
          <w:tcPr>
            <w:tcW w:w="630" w:type="dxa"/>
          </w:tcPr>
          <w:p w:rsidR="00901382" w:rsidRPr="007765E3" w:rsidRDefault="00901382" w:rsidP="00A7356B">
            <w:pPr>
              <w:pStyle w:val="SCCShortJudgment"/>
              <w:ind w:firstLine="0"/>
              <w:rPr>
                <w:rFonts w:cs="Times New Roman"/>
                <w:szCs w:val="20"/>
              </w:rPr>
            </w:pPr>
          </w:p>
        </w:tc>
        <w:tc>
          <w:tcPr>
            <w:tcW w:w="4536" w:type="dxa"/>
          </w:tcPr>
          <w:p w:rsidR="00864D71" w:rsidRPr="007765E3" w:rsidRDefault="00864D71" w:rsidP="00864D71">
            <w:pPr>
              <w:rPr>
                <w:sz w:val="20"/>
                <w:szCs w:val="20"/>
              </w:rPr>
            </w:pPr>
            <w:r w:rsidRPr="007765E3">
              <w:rPr>
                <w:sz w:val="20"/>
                <w:szCs w:val="20"/>
              </w:rPr>
              <w:t xml:space="preserve">Validity of specific claim established </w:t>
            </w:r>
          </w:p>
          <w:p w:rsidR="00901382" w:rsidRPr="007765E3" w:rsidRDefault="00901382" w:rsidP="00A7356B">
            <w:pPr>
              <w:jc w:val="both"/>
              <w:rPr>
                <w:rFonts w:cs="Times New Roman"/>
                <w:sz w:val="20"/>
                <w:szCs w:val="20"/>
              </w:rPr>
            </w:pPr>
          </w:p>
        </w:tc>
      </w:tr>
      <w:tr w:rsidR="00901382" w:rsidRPr="007765E3" w:rsidTr="00A7356B">
        <w:trPr>
          <w:cantSplit/>
        </w:trPr>
        <w:tc>
          <w:tcPr>
            <w:tcW w:w="4410" w:type="dxa"/>
            <w:gridSpan w:val="2"/>
          </w:tcPr>
          <w:p w:rsidR="00864D71" w:rsidRPr="007765E3" w:rsidRDefault="00864D71" w:rsidP="00864D71">
            <w:pPr>
              <w:rPr>
                <w:sz w:val="20"/>
                <w:szCs w:val="20"/>
              </w:rPr>
            </w:pPr>
            <w:r w:rsidRPr="007765E3">
              <w:rPr>
                <w:sz w:val="20"/>
                <w:szCs w:val="20"/>
              </w:rPr>
              <w:t>February 29, 2016</w:t>
            </w:r>
          </w:p>
          <w:p w:rsidR="00864D71" w:rsidRPr="007765E3" w:rsidRDefault="00864D71" w:rsidP="00864D71">
            <w:pPr>
              <w:rPr>
                <w:sz w:val="20"/>
                <w:szCs w:val="20"/>
              </w:rPr>
            </w:pPr>
            <w:r w:rsidRPr="007765E3">
              <w:rPr>
                <w:sz w:val="20"/>
                <w:szCs w:val="20"/>
              </w:rPr>
              <w:t>Federal Court of Appeal</w:t>
            </w:r>
          </w:p>
          <w:p w:rsidR="00864D71" w:rsidRPr="007765E3" w:rsidRDefault="00864D71" w:rsidP="00864D71">
            <w:pPr>
              <w:rPr>
                <w:sz w:val="20"/>
                <w:szCs w:val="20"/>
              </w:rPr>
            </w:pPr>
            <w:r w:rsidRPr="007765E3">
              <w:rPr>
                <w:sz w:val="20"/>
                <w:szCs w:val="20"/>
              </w:rPr>
              <w:t xml:space="preserve">(Gauthier, </w:t>
            </w:r>
            <w:proofErr w:type="spellStart"/>
            <w:r w:rsidRPr="007765E3">
              <w:rPr>
                <w:sz w:val="20"/>
                <w:szCs w:val="20"/>
              </w:rPr>
              <w:t>Ryer</w:t>
            </w:r>
            <w:proofErr w:type="spellEnd"/>
            <w:r w:rsidRPr="007765E3">
              <w:rPr>
                <w:sz w:val="20"/>
                <w:szCs w:val="20"/>
              </w:rPr>
              <w:t xml:space="preserve"> and Near JJ.A.)</w:t>
            </w:r>
          </w:p>
          <w:p w:rsidR="00864D71" w:rsidRPr="007765E3" w:rsidRDefault="007765E3" w:rsidP="00864D71">
            <w:pPr>
              <w:rPr>
                <w:sz w:val="20"/>
                <w:szCs w:val="20"/>
              </w:rPr>
            </w:pPr>
            <w:hyperlink r:id="rId23" w:history="1">
              <w:r w:rsidR="00864D71" w:rsidRPr="007765E3">
                <w:rPr>
                  <w:rStyle w:val="Hyperlink"/>
                  <w:sz w:val="20"/>
                  <w:szCs w:val="20"/>
                </w:rPr>
                <w:t>2016 FCA 63</w:t>
              </w:r>
            </w:hyperlink>
            <w:r w:rsidR="00864D71" w:rsidRPr="007765E3">
              <w:rPr>
                <w:sz w:val="20"/>
                <w:szCs w:val="20"/>
              </w:rPr>
              <w:t xml:space="preserve"> </w:t>
            </w:r>
          </w:p>
          <w:p w:rsidR="00901382" w:rsidRPr="007765E3" w:rsidRDefault="00901382" w:rsidP="00A7356B">
            <w:pPr>
              <w:jc w:val="both"/>
              <w:rPr>
                <w:rFonts w:cs="Times New Roman"/>
                <w:sz w:val="20"/>
                <w:szCs w:val="20"/>
              </w:rPr>
            </w:pPr>
          </w:p>
        </w:tc>
        <w:tc>
          <w:tcPr>
            <w:tcW w:w="630" w:type="dxa"/>
          </w:tcPr>
          <w:p w:rsidR="00901382" w:rsidRPr="007765E3" w:rsidRDefault="00901382" w:rsidP="00A7356B">
            <w:pPr>
              <w:pStyle w:val="SCCShortJudgment"/>
              <w:ind w:firstLine="0"/>
              <w:rPr>
                <w:rFonts w:cs="Times New Roman"/>
                <w:szCs w:val="20"/>
              </w:rPr>
            </w:pPr>
          </w:p>
        </w:tc>
        <w:tc>
          <w:tcPr>
            <w:tcW w:w="4536" w:type="dxa"/>
          </w:tcPr>
          <w:p w:rsidR="00901382" w:rsidRPr="007765E3" w:rsidRDefault="00864D71" w:rsidP="00A7356B">
            <w:pPr>
              <w:jc w:val="both"/>
              <w:rPr>
                <w:rFonts w:cs="Times New Roman"/>
                <w:sz w:val="20"/>
                <w:szCs w:val="20"/>
              </w:rPr>
            </w:pPr>
            <w:r w:rsidRPr="007765E3">
              <w:rPr>
                <w:sz w:val="20"/>
                <w:szCs w:val="20"/>
              </w:rPr>
              <w:t>Crown’s application for judicial review allowed; specific claim dismissed</w:t>
            </w:r>
          </w:p>
        </w:tc>
      </w:tr>
      <w:tr w:rsidR="00901382" w:rsidRPr="007765E3" w:rsidTr="00A7356B">
        <w:trPr>
          <w:cantSplit/>
        </w:trPr>
        <w:tc>
          <w:tcPr>
            <w:tcW w:w="4410" w:type="dxa"/>
            <w:gridSpan w:val="2"/>
          </w:tcPr>
          <w:p w:rsidR="00864D71" w:rsidRPr="007765E3" w:rsidRDefault="00864D71" w:rsidP="00864D71">
            <w:pPr>
              <w:rPr>
                <w:sz w:val="20"/>
                <w:szCs w:val="20"/>
              </w:rPr>
            </w:pPr>
            <w:r w:rsidRPr="007765E3">
              <w:rPr>
                <w:sz w:val="20"/>
                <w:szCs w:val="20"/>
              </w:rPr>
              <w:t>April 28, 2016</w:t>
            </w:r>
          </w:p>
          <w:p w:rsidR="00901382" w:rsidRPr="007765E3" w:rsidRDefault="00864D71" w:rsidP="00864D71">
            <w:pPr>
              <w:jc w:val="both"/>
              <w:rPr>
                <w:rFonts w:cs="Times New Roman"/>
                <w:sz w:val="20"/>
                <w:szCs w:val="20"/>
              </w:rPr>
            </w:pPr>
            <w:r w:rsidRPr="007765E3">
              <w:rPr>
                <w:sz w:val="20"/>
                <w:szCs w:val="20"/>
              </w:rPr>
              <w:t>Supreme Court of Canada</w:t>
            </w:r>
          </w:p>
        </w:tc>
        <w:tc>
          <w:tcPr>
            <w:tcW w:w="630" w:type="dxa"/>
          </w:tcPr>
          <w:p w:rsidR="00901382" w:rsidRPr="007765E3" w:rsidRDefault="00901382" w:rsidP="00A7356B">
            <w:pPr>
              <w:pStyle w:val="SCCShortJudgment"/>
              <w:ind w:firstLine="0"/>
              <w:rPr>
                <w:rFonts w:cs="Times New Roman"/>
                <w:szCs w:val="20"/>
              </w:rPr>
            </w:pPr>
          </w:p>
        </w:tc>
        <w:tc>
          <w:tcPr>
            <w:tcW w:w="4536" w:type="dxa"/>
          </w:tcPr>
          <w:p w:rsidR="00901382" w:rsidRPr="007765E3" w:rsidRDefault="00864D71" w:rsidP="00A7356B">
            <w:pPr>
              <w:jc w:val="both"/>
              <w:rPr>
                <w:rFonts w:cs="Times New Roman"/>
                <w:sz w:val="20"/>
                <w:szCs w:val="20"/>
              </w:rPr>
            </w:pPr>
            <w:r w:rsidRPr="007765E3">
              <w:rPr>
                <w:sz w:val="20"/>
                <w:szCs w:val="20"/>
              </w:rPr>
              <w:t>Application for leave to appeal filed</w:t>
            </w:r>
          </w:p>
        </w:tc>
      </w:tr>
      <w:tr w:rsidR="00901382" w:rsidRPr="007765E3" w:rsidTr="00A7356B">
        <w:trPr>
          <w:cantSplit/>
        </w:trPr>
        <w:tc>
          <w:tcPr>
            <w:tcW w:w="9576" w:type="dxa"/>
            <w:gridSpan w:val="4"/>
          </w:tcPr>
          <w:p w:rsidR="00901382" w:rsidRPr="007765E3" w:rsidRDefault="007765E3" w:rsidP="00A7356B">
            <w:pPr>
              <w:pStyle w:val="SCCShortJudgment"/>
              <w:ind w:firstLine="0"/>
              <w:rPr>
                <w:rFonts w:cs="Times New Roman"/>
                <w:szCs w:val="20"/>
                <w:lang w:val="fr-CA"/>
              </w:rPr>
            </w:pPr>
            <w:r w:rsidRPr="007765E3">
              <w:rPr>
                <w:rFonts w:cs="Times New Roman"/>
                <w:szCs w:val="20"/>
                <w:lang w:val="fr-CA"/>
              </w:rPr>
              <w:pict>
                <v:rect id="_x0000_i1044" style="width:2in;height:1pt" o:hrpct="0" o:hralign="center" o:hrstd="t" o:hrnoshade="t" o:hr="t" fillcolor="black [3213]" stroked="f"/>
              </w:pict>
            </w:r>
          </w:p>
          <w:p w:rsidR="00901382" w:rsidRPr="007765E3" w:rsidRDefault="00901382" w:rsidP="00A7356B">
            <w:pPr>
              <w:pStyle w:val="SCCShortJudgment"/>
              <w:ind w:firstLine="0"/>
              <w:rPr>
                <w:rFonts w:cs="Times New Roman"/>
                <w:szCs w:val="20"/>
                <w:lang w:val="fr-CA"/>
              </w:rPr>
            </w:pPr>
          </w:p>
        </w:tc>
      </w:tr>
      <w:tr w:rsidR="00901382" w:rsidRPr="007765E3" w:rsidTr="00A7356B">
        <w:trPr>
          <w:cantSplit/>
        </w:trPr>
        <w:tc>
          <w:tcPr>
            <w:tcW w:w="9576" w:type="dxa"/>
            <w:gridSpan w:val="4"/>
          </w:tcPr>
          <w:p w:rsidR="00901382" w:rsidRPr="007765E3" w:rsidRDefault="00901382" w:rsidP="00A7356B">
            <w:pPr>
              <w:pStyle w:val="SCCShortJudgment"/>
              <w:ind w:firstLine="0"/>
              <w:rPr>
                <w:rFonts w:cs="Times New Roman"/>
                <w:szCs w:val="20"/>
                <w:u w:val="single"/>
                <w:lang w:val="fr-CA"/>
              </w:rPr>
            </w:pPr>
            <w:r w:rsidRPr="007765E3">
              <w:rPr>
                <w:rFonts w:cs="Times New Roman"/>
                <w:szCs w:val="20"/>
                <w:u w:val="single"/>
                <w:lang w:val="fr-CA"/>
              </w:rPr>
              <w:t>RÉSUMÉ DE L’AFFAIRE </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901382" w:rsidRPr="007765E3" w:rsidRDefault="00864D71" w:rsidP="00A7356B">
            <w:pPr>
              <w:pStyle w:val="SCCShortJudgment"/>
              <w:ind w:firstLine="0"/>
              <w:rPr>
                <w:szCs w:val="20"/>
                <w:lang w:val="fr-CA"/>
              </w:rPr>
            </w:pPr>
            <w:r w:rsidRPr="007765E3">
              <w:rPr>
                <w:szCs w:val="20"/>
                <w:lang w:val="fr-CA"/>
              </w:rPr>
              <w:t xml:space="preserve">Droit des Autochtones – Couronne – Obligation fiduciaire – Réserves indiennes – Droit administratif – Organismes et tribunaux administratifs – Tribunal des revendications particulières – Le Tribunal a conclu que la Couronne fédérale avait manqué à des obligations fiduciaires postérieures à la Confédération et qu’elle était responsable de manquements de la colonie antérieurs à la Confédération en ce qui concerne la création de réserves – La Cour d’appel a annulé la décision du Tribunal, concluant qu’elle était déraisonnable, et y a substitué sa propre décision de rejeter la revendication – La Cour d’appel a-t-elle appliqué la bonne norme de contrôle des décisions du Tribunal en application de la </w:t>
            </w:r>
            <w:r w:rsidRPr="007765E3">
              <w:rPr>
                <w:i/>
                <w:szCs w:val="20"/>
                <w:lang w:val="fr-CA"/>
              </w:rPr>
              <w:t>Loi sur le Tribunal des revendications particulières</w:t>
            </w:r>
            <w:r w:rsidRPr="007765E3">
              <w:rPr>
                <w:szCs w:val="20"/>
                <w:lang w:val="fr-CA"/>
              </w:rPr>
              <w:t>?</w:t>
            </w:r>
            <w:r w:rsidRPr="007765E3">
              <w:rPr>
                <w:i/>
                <w:szCs w:val="20"/>
                <w:lang w:val="fr-CA"/>
              </w:rPr>
              <w:t xml:space="preserve"> </w:t>
            </w:r>
            <w:r w:rsidRPr="007765E3">
              <w:rPr>
                <w:szCs w:val="20"/>
                <w:lang w:val="fr-CA"/>
              </w:rPr>
              <w:t xml:space="preserve">– La Cour d’appel a-t-elle eu tort d’apprécier de nouveau, de soupeser de nouveau et de réinterpréter la preuve, de ne pas avoir scindé, conformément à la </w:t>
            </w:r>
            <w:r w:rsidRPr="007765E3">
              <w:rPr>
                <w:i/>
                <w:szCs w:val="20"/>
                <w:lang w:val="fr-CA"/>
              </w:rPr>
              <w:t>Loi</w:t>
            </w:r>
            <w:r w:rsidRPr="007765E3">
              <w:rPr>
                <w:szCs w:val="20"/>
                <w:lang w:val="fr-CA"/>
              </w:rPr>
              <w:t xml:space="preserve">, les questions de la validité de la revendication et de l’indemnisation et de substituer sa décision à celle du Tribunal? – La Couronne, en sa qualité de fiduciaire, peut-elle remédier à des manquements aux obligations fiduciaires antérieurs par des actes unilatéraux subséquents? – </w:t>
            </w:r>
            <w:r w:rsidRPr="007765E3">
              <w:rPr>
                <w:i/>
                <w:szCs w:val="20"/>
                <w:lang w:val="fr-CA"/>
              </w:rPr>
              <w:t>Conditions de l’adhésion de la Colombie-Britannique</w:t>
            </w:r>
            <w:r w:rsidRPr="007765E3">
              <w:rPr>
                <w:szCs w:val="20"/>
                <w:lang w:val="fr-CA"/>
              </w:rPr>
              <w:t xml:space="preserve">, L.R.C. 1985, </w:t>
            </w:r>
            <w:proofErr w:type="spellStart"/>
            <w:r w:rsidRPr="007765E3">
              <w:rPr>
                <w:szCs w:val="20"/>
                <w:lang w:val="fr-CA"/>
              </w:rPr>
              <w:t>app</w:t>
            </w:r>
            <w:proofErr w:type="spellEnd"/>
            <w:r w:rsidRPr="007765E3">
              <w:rPr>
                <w:szCs w:val="20"/>
                <w:lang w:val="fr-CA"/>
              </w:rPr>
              <w:t>. II, n</w:t>
            </w:r>
            <w:r w:rsidRPr="007765E3">
              <w:rPr>
                <w:szCs w:val="20"/>
                <w:vertAlign w:val="superscript"/>
                <w:lang w:val="fr-CA"/>
              </w:rPr>
              <w:t>o</w:t>
            </w:r>
            <w:r w:rsidRPr="007765E3">
              <w:rPr>
                <w:szCs w:val="20"/>
                <w:lang w:val="fr-CA"/>
              </w:rPr>
              <w:t xml:space="preserve"> 10 – </w:t>
            </w:r>
            <w:r w:rsidRPr="007765E3">
              <w:rPr>
                <w:i/>
                <w:szCs w:val="20"/>
                <w:lang w:val="fr-CA"/>
              </w:rPr>
              <w:t>Loi sur le Tribunal des revendications particulières</w:t>
            </w:r>
            <w:r w:rsidRPr="007765E3">
              <w:rPr>
                <w:szCs w:val="20"/>
                <w:lang w:val="fr-CA"/>
              </w:rPr>
              <w:t>, L.C. 2008, ch. 22.</w:t>
            </w:r>
          </w:p>
          <w:p w:rsidR="00864D71" w:rsidRPr="007765E3" w:rsidRDefault="00864D71"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864D71" w:rsidRPr="007765E3" w:rsidRDefault="00864D71" w:rsidP="00864D71">
            <w:pPr>
              <w:jc w:val="both"/>
              <w:rPr>
                <w:sz w:val="20"/>
                <w:szCs w:val="20"/>
                <w:lang w:val="fr-CA"/>
              </w:rPr>
            </w:pPr>
            <w:r w:rsidRPr="007765E3">
              <w:rPr>
                <w:sz w:val="20"/>
                <w:szCs w:val="20"/>
                <w:lang w:val="fr-CA"/>
              </w:rPr>
              <w:t xml:space="preserve">La Bande indienne de Williams Lake a déposé une revendication particulière contre le Canada au Tribunal des revendications particulières en application de la </w:t>
            </w:r>
            <w:r w:rsidRPr="007765E3">
              <w:rPr>
                <w:i/>
                <w:sz w:val="20"/>
                <w:szCs w:val="20"/>
                <w:lang w:val="fr-CA"/>
              </w:rPr>
              <w:t xml:space="preserve">Loi sur le Tribunal des revendications particulières </w:t>
            </w:r>
            <w:r w:rsidRPr="007765E3">
              <w:rPr>
                <w:sz w:val="20"/>
                <w:szCs w:val="20"/>
                <w:lang w:val="fr-CA"/>
              </w:rPr>
              <w:t>(fédérale) sur le fondement de ce qui suit : 1) l’omission présumée de la colonie de la Colombie-Britannique antérieure à la Confédération d’avoir agi au mieux des intérêts de la Bande en protégeant leurs terres; 2) l’omission présumée du Canada d’avoir créé des réserves pour la Bande, après l’adhésion de la Colombie-Britannique à la Confédération en 1871. La revendication porte sur deux lots totalisant presque 2 000 acres. Dans la revendication, il est allégué que la Colombie-Britannique avait manqué à son obligation légale d’empêcher les colons d’acquérir par préemption les terres sur ces deux lots et que le Canada avait manqué à ses obligations légales de créer des réserves pour la Bande après que la Colombie-Britannique a adhéré à la Confédération en 1871. En 1881, des terres de réserve ont fini par être attribuées à la Bande de Williams Lake; même si la superficie des terres en question (plus de 4 000 acres) dépassait la superficie des deux lots, il ne s’agissait pas des mêmes terres que celles visées par la revendication initiale.</w:t>
            </w:r>
          </w:p>
          <w:p w:rsidR="00901382" w:rsidRPr="007765E3" w:rsidRDefault="00901382" w:rsidP="00A7356B">
            <w:pPr>
              <w:jc w:val="both"/>
              <w:rPr>
                <w:rFonts w:cs="Times New Roman"/>
                <w:sz w:val="20"/>
                <w:szCs w:val="20"/>
                <w:u w:val="single"/>
                <w:lang w:val="fr-CA"/>
              </w:rPr>
            </w:pPr>
          </w:p>
        </w:tc>
      </w:tr>
      <w:tr w:rsidR="00901382" w:rsidRPr="007765E3" w:rsidTr="006C5C57">
        <w:tc>
          <w:tcPr>
            <w:tcW w:w="9576" w:type="dxa"/>
            <w:gridSpan w:val="4"/>
          </w:tcPr>
          <w:p w:rsidR="00864D71" w:rsidRPr="007765E3" w:rsidRDefault="00864D71" w:rsidP="00864D71">
            <w:pPr>
              <w:jc w:val="both"/>
              <w:rPr>
                <w:sz w:val="20"/>
                <w:szCs w:val="20"/>
                <w:lang w:val="fr-CA"/>
              </w:rPr>
            </w:pPr>
            <w:r w:rsidRPr="007765E3">
              <w:rPr>
                <w:sz w:val="20"/>
                <w:szCs w:val="20"/>
                <w:lang w:val="fr-CA"/>
              </w:rPr>
              <w:t xml:space="preserve">La revendication a été scindée et a été instruite en deux phases : la validité et l’indemnisation (si nécessaire). Le Tribunal des revendications particulières a conclu que la Bande de Williams Lake avait établi la validité de la revendication contre la Couronne fédérale : il y avait eu des achats par préemption de terres par des colons, en contravention des politiques et des lois coloniales; ces contraventions constituaient un manquement à une obligation légale, au regard des lois coloniales relatives aux terres réservées; la Colombie-Britannique avait omis d’agir honorablement et avait manqué à ses obligations fiduciaires de </w:t>
            </w:r>
            <w:proofErr w:type="spellStart"/>
            <w:r w:rsidRPr="007765E3">
              <w:rPr>
                <w:sz w:val="20"/>
                <w:szCs w:val="20"/>
                <w:lang w:val="fr-CA"/>
              </w:rPr>
              <w:t>common</w:t>
            </w:r>
            <w:proofErr w:type="spellEnd"/>
            <w:r w:rsidRPr="007765E3">
              <w:rPr>
                <w:sz w:val="20"/>
                <w:szCs w:val="20"/>
                <w:lang w:val="fr-CA"/>
              </w:rPr>
              <w:t xml:space="preserve"> </w:t>
            </w:r>
            <w:proofErr w:type="spellStart"/>
            <w:r w:rsidRPr="007765E3">
              <w:rPr>
                <w:sz w:val="20"/>
                <w:szCs w:val="20"/>
                <w:lang w:val="fr-CA"/>
              </w:rPr>
              <w:t>law</w:t>
            </w:r>
            <w:proofErr w:type="spellEnd"/>
            <w:r w:rsidRPr="007765E3">
              <w:rPr>
                <w:sz w:val="20"/>
                <w:szCs w:val="20"/>
                <w:lang w:val="fr-CA"/>
              </w:rPr>
              <w:t xml:space="preserve">, en omettant de placer les intérêts des Indiens dans les terres visées par règlement avant ceux des colons; le Canada était responsable à l’égard des manquements de la Colombie-Britannique aux lois et à son obligation fiduciaire antérieurs à la Confédération, en application de la </w:t>
            </w:r>
            <w:r w:rsidRPr="007765E3">
              <w:rPr>
                <w:i/>
                <w:sz w:val="20"/>
                <w:szCs w:val="20"/>
                <w:lang w:val="fr-CA"/>
              </w:rPr>
              <w:t>Loi</w:t>
            </w:r>
            <w:r w:rsidRPr="007765E3">
              <w:rPr>
                <w:sz w:val="20"/>
                <w:szCs w:val="20"/>
                <w:lang w:val="fr-CA"/>
              </w:rPr>
              <w:t xml:space="preserve">; et le Canada avait également manqué à ses obligations fiduciaires postérieures à la Confédération en omettant de fournir des terres de réserve à la Bande de Williams Lake. La Cour d’appel fédérale a accueilli la demande de la Couronne en contrôle judiciaire, concluant que les actions du Canada postérieures à la Confédération avaient remédié aux éventuels manquements </w:t>
            </w:r>
            <w:r w:rsidRPr="007765E3">
              <w:rPr>
                <w:sz w:val="20"/>
                <w:szCs w:val="20"/>
                <w:lang w:val="fr-CA"/>
              </w:rPr>
              <w:lastRenderedPageBreak/>
              <w:t>antérieurs par la Colombie-Britannique à l’obligation fiduciaire et avaient satisfait aux obligations fiduciaires du Canada, le cas échéant. La Cour d’appel a conclu que le Canada n’avait pas manqué aucune obligation légale postérieure à la Confédération envers la Bande de Williams Lake, et qu’il n’était pas responsable à l'égard de manquements aux obligations légales par la Colombie-Britannique antérieurs à la Confédération. À titre de réparation, la revendication particulière a été rejetée.</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4410" w:type="dxa"/>
            <w:gridSpan w:val="2"/>
          </w:tcPr>
          <w:p w:rsidR="00864D71" w:rsidRPr="007765E3" w:rsidRDefault="00864D71" w:rsidP="00864D71">
            <w:pPr>
              <w:rPr>
                <w:sz w:val="20"/>
                <w:szCs w:val="20"/>
                <w:lang w:val="fr-CA"/>
              </w:rPr>
            </w:pPr>
            <w:r w:rsidRPr="007765E3">
              <w:rPr>
                <w:sz w:val="20"/>
                <w:szCs w:val="20"/>
                <w:lang w:val="fr-CA"/>
              </w:rPr>
              <w:lastRenderedPageBreak/>
              <w:t>28 février 2014</w:t>
            </w:r>
          </w:p>
          <w:p w:rsidR="00864D71" w:rsidRPr="007765E3" w:rsidRDefault="00864D71" w:rsidP="00864D71">
            <w:pPr>
              <w:rPr>
                <w:sz w:val="20"/>
                <w:szCs w:val="20"/>
                <w:lang w:val="fr-CA"/>
              </w:rPr>
            </w:pPr>
            <w:r w:rsidRPr="007765E3">
              <w:rPr>
                <w:sz w:val="20"/>
                <w:szCs w:val="20"/>
                <w:lang w:val="fr-CA"/>
              </w:rPr>
              <w:t>Tribunal des revendications particulières</w:t>
            </w:r>
          </w:p>
          <w:p w:rsidR="00864D71" w:rsidRPr="007765E3" w:rsidRDefault="00864D71" w:rsidP="00864D71">
            <w:pPr>
              <w:rPr>
                <w:sz w:val="20"/>
                <w:szCs w:val="20"/>
                <w:lang w:val="fr-CA"/>
              </w:rPr>
            </w:pPr>
            <w:r w:rsidRPr="007765E3">
              <w:rPr>
                <w:sz w:val="20"/>
                <w:szCs w:val="20"/>
                <w:lang w:val="fr-CA"/>
              </w:rPr>
              <w:t xml:space="preserve">(Juge </w:t>
            </w:r>
            <w:proofErr w:type="spellStart"/>
            <w:r w:rsidRPr="007765E3">
              <w:rPr>
                <w:sz w:val="20"/>
                <w:szCs w:val="20"/>
                <w:lang w:val="fr-CA"/>
              </w:rPr>
              <w:t>Slade</w:t>
            </w:r>
            <w:proofErr w:type="spellEnd"/>
            <w:r w:rsidRPr="007765E3">
              <w:rPr>
                <w:sz w:val="20"/>
                <w:szCs w:val="20"/>
                <w:lang w:val="fr-CA"/>
              </w:rPr>
              <w:t>)</w:t>
            </w:r>
          </w:p>
          <w:p w:rsidR="00864D71" w:rsidRPr="007765E3" w:rsidRDefault="007765E3" w:rsidP="00864D71">
            <w:pPr>
              <w:rPr>
                <w:sz w:val="20"/>
                <w:szCs w:val="20"/>
                <w:lang w:val="fr-CA"/>
              </w:rPr>
            </w:pPr>
            <w:hyperlink r:id="rId24" w:history="1">
              <w:r w:rsidR="00864D71" w:rsidRPr="007765E3">
                <w:rPr>
                  <w:rStyle w:val="Hyperlink"/>
                  <w:sz w:val="20"/>
                  <w:szCs w:val="20"/>
                  <w:lang w:val="fr-CA"/>
                </w:rPr>
                <w:t>SCT-7004-11</w:t>
              </w:r>
            </w:hyperlink>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864D71" w:rsidRPr="007765E3" w:rsidRDefault="00864D71" w:rsidP="00864D71">
            <w:pPr>
              <w:jc w:val="both"/>
              <w:rPr>
                <w:sz w:val="20"/>
                <w:szCs w:val="20"/>
                <w:lang w:val="fr-CA"/>
              </w:rPr>
            </w:pPr>
            <w:r w:rsidRPr="007765E3">
              <w:rPr>
                <w:sz w:val="20"/>
                <w:szCs w:val="20"/>
                <w:lang w:val="fr-CA"/>
              </w:rPr>
              <w:t>Établissement de la validité de la revendication particulière</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4410" w:type="dxa"/>
            <w:gridSpan w:val="2"/>
          </w:tcPr>
          <w:p w:rsidR="00864D71" w:rsidRPr="007765E3" w:rsidRDefault="00864D71" w:rsidP="00864D71">
            <w:pPr>
              <w:rPr>
                <w:sz w:val="20"/>
                <w:szCs w:val="20"/>
                <w:lang w:val="fr-CA"/>
              </w:rPr>
            </w:pPr>
            <w:r w:rsidRPr="007765E3">
              <w:rPr>
                <w:sz w:val="20"/>
                <w:szCs w:val="20"/>
                <w:lang w:val="fr-CA"/>
              </w:rPr>
              <w:t>29 février 2016</w:t>
            </w:r>
          </w:p>
          <w:p w:rsidR="00864D71" w:rsidRPr="007765E3" w:rsidRDefault="00864D71" w:rsidP="00864D71">
            <w:pPr>
              <w:rPr>
                <w:sz w:val="20"/>
                <w:szCs w:val="20"/>
                <w:lang w:val="fr-CA"/>
              </w:rPr>
            </w:pPr>
            <w:r w:rsidRPr="007765E3">
              <w:rPr>
                <w:sz w:val="20"/>
                <w:szCs w:val="20"/>
                <w:lang w:val="fr-CA"/>
              </w:rPr>
              <w:t>Cour d’appel fédérale</w:t>
            </w:r>
          </w:p>
          <w:p w:rsidR="00864D71" w:rsidRPr="007765E3" w:rsidRDefault="00864D71" w:rsidP="00864D71">
            <w:pPr>
              <w:rPr>
                <w:sz w:val="20"/>
                <w:szCs w:val="20"/>
                <w:lang w:val="fr-CA"/>
              </w:rPr>
            </w:pPr>
            <w:r w:rsidRPr="007765E3">
              <w:rPr>
                <w:sz w:val="20"/>
                <w:szCs w:val="20"/>
                <w:lang w:val="fr-CA"/>
              </w:rPr>
              <w:t xml:space="preserve">(Juges Gauthier, </w:t>
            </w:r>
            <w:proofErr w:type="spellStart"/>
            <w:r w:rsidRPr="007765E3">
              <w:rPr>
                <w:sz w:val="20"/>
                <w:szCs w:val="20"/>
                <w:lang w:val="fr-CA"/>
              </w:rPr>
              <w:t>Ryer</w:t>
            </w:r>
            <w:proofErr w:type="spellEnd"/>
            <w:r w:rsidRPr="007765E3">
              <w:rPr>
                <w:sz w:val="20"/>
                <w:szCs w:val="20"/>
                <w:lang w:val="fr-CA"/>
              </w:rPr>
              <w:t xml:space="preserve"> et Near)</w:t>
            </w:r>
          </w:p>
          <w:p w:rsidR="00864D71" w:rsidRPr="007765E3" w:rsidRDefault="007765E3" w:rsidP="00864D71">
            <w:pPr>
              <w:rPr>
                <w:sz w:val="20"/>
                <w:szCs w:val="20"/>
                <w:lang w:val="fr-CA"/>
              </w:rPr>
            </w:pPr>
            <w:hyperlink r:id="rId25" w:history="1">
              <w:r w:rsidR="00864D71" w:rsidRPr="007765E3">
                <w:rPr>
                  <w:rStyle w:val="Hyperlink"/>
                  <w:sz w:val="20"/>
                  <w:szCs w:val="20"/>
                  <w:lang w:val="fr-CA"/>
                </w:rPr>
                <w:t>2016 FCA 63</w:t>
              </w:r>
            </w:hyperlink>
            <w:r w:rsidR="00864D71" w:rsidRPr="007765E3">
              <w:rPr>
                <w:sz w:val="20"/>
                <w:szCs w:val="20"/>
                <w:lang w:val="fr-CA"/>
              </w:rPr>
              <w:t xml:space="preserve"> </w:t>
            </w:r>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901382" w:rsidRPr="007765E3" w:rsidRDefault="00864D71" w:rsidP="00A7356B">
            <w:pPr>
              <w:pStyle w:val="SCCShortJudgment"/>
              <w:ind w:firstLine="0"/>
              <w:rPr>
                <w:rFonts w:cs="Times New Roman"/>
                <w:szCs w:val="20"/>
                <w:u w:val="single"/>
                <w:lang w:val="fr-CA"/>
              </w:rPr>
            </w:pPr>
            <w:r w:rsidRPr="007765E3">
              <w:rPr>
                <w:szCs w:val="20"/>
                <w:lang w:val="fr-CA"/>
              </w:rPr>
              <w:t>Arrêt accueillant la demande de la Couronne en contrôle judiciaire; rejet de la revendication particulière</w:t>
            </w:r>
          </w:p>
        </w:tc>
      </w:tr>
      <w:tr w:rsidR="00864D71" w:rsidRPr="007765E3" w:rsidTr="00A7356B">
        <w:trPr>
          <w:cantSplit/>
        </w:trPr>
        <w:tc>
          <w:tcPr>
            <w:tcW w:w="4410" w:type="dxa"/>
            <w:gridSpan w:val="2"/>
          </w:tcPr>
          <w:p w:rsidR="00864D71" w:rsidRPr="007765E3" w:rsidRDefault="00864D71" w:rsidP="00864D71">
            <w:pPr>
              <w:rPr>
                <w:sz w:val="20"/>
                <w:szCs w:val="20"/>
                <w:lang w:val="fr-CA"/>
              </w:rPr>
            </w:pPr>
            <w:r w:rsidRPr="007765E3">
              <w:rPr>
                <w:sz w:val="20"/>
                <w:szCs w:val="20"/>
                <w:lang w:val="fr-CA"/>
              </w:rPr>
              <w:t>28 avril 2016</w:t>
            </w:r>
          </w:p>
          <w:p w:rsidR="00864D71" w:rsidRPr="007765E3" w:rsidRDefault="00864D71" w:rsidP="00864D71">
            <w:pPr>
              <w:pStyle w:val="SCCShortJudgment"/>
              <w:ind w:firstLine="0"/>
              <w:rPr>
                <w:rFonts w:cs="Times New Roman"/>
                <w:szCs w:val="20"/>
                <w:u w:val="single"/>
                <w:lang w:val="fr-CA"/>
              </w:rPr>
            </w:pPr>
            <w:r w:rsidRPr="007765E3">
              <w:rPr>
                <w:szCs w:val="20"/>
                <w:lang w:val="fr-CA"/>
              </w:rPr>
              <w:t>Cour suprême du Canada</w:t>
            </w:r>
          </w:p>
        </w:tc>
        <w:tc>
          <w:tcPr>
            <w:tcW w:w="630" w:type="dxa"/>
          </w:tcPr>
          <w:p w:rsidR="00864D71" w:rsidRPr="007765E3" w:rsidRDefault="00864D71" w:rsidP="00864D71">
            <w:pPr>
              <w:pStyle w:val="SCCShortJudgment"/>
              <w:ind w:firstLine="0"/>
              <w:rPr>
                <w:rFonts w:cs="Times New Roman"/>
                <w:szCs w:val="20"/>
                <w:u w:val="single"/>
                <w:lang w:val="fr-CA"/>
              </w:rPr>
            </w:pPr>
          </w:p>
        </w:tc>
        <w:tc>
          <w:tcPr>
            <w:tcW w:w="4536" w:type="dxa"/>
          </w:tcPr>
          <w:p w:rsidR="00864D71" w:rsidRPr="007765E3" w:rsidRDefault="00864D71" w:rsidP="00864D71">
            <w:pPr>
              <w:rPr>
                <w:sz w:val="20"/>
                <w:szCs w:val="20"/>
                <w:lang w:val="fr-CA"/>
              </w:rPr>
            </w:pPr>
            <w:r w:rsidRPr="007765E3">
              <w:rPr>
                <w:sz w:val="20"/>
                <w:szCs w:val="20"/>
                <w:lang w:val="fr-CA"/>
              </w:rPr>
              <w:t>Dépôt de la demande d’autorisation d’appel</w:t>
            </w:r>
          </w:p>
        </w:tc>
      </w:tr>
    </w:tbl>
    <w:p w:rsidR="00901382" w:rsidRPr="007765E3" w:rsidRDefault="007765E3" w:rsidP="000E2959">
      <w:pPr>
        <w:rPr>
          <w:sz w:val="20"/>
          <w:szCs w:val="20"/>
          <w:lang w:val="fr-CA"/>
        </w:rPr>
      </w:pPr>
      <w:r w:rsidRPr="007765E3">
        <w:rPr>
          <w:rFonts w:cs="Times New Roman"/>
          <w:szCs w:val="20"/>
          <w:lang w:val="fr-CA"/>
        </w:rPr>
        <w:pict>
          <v:rect id="_x0000_i1045" style="width:2in;height:1pt" o:hrpct="0" o:hralign="center" o:hrstd="t" o:hrnoshade="t" o:hr="t" fillcolor="black [3213]" stroked="f"/>
        </w:pict>
      </w:r>
    </w:p>
    <w:p w:rsidR="00901382" w:rsidRPr="007765E3" w:rsidRDefault="00901382"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01382" w:rsidRPr="007765E3" w:rsidTr="00A7356B">
        <w:trPr>
          <w:cantSplit/>
        </w:trPr>
        <w:tc>
          <w:tcPr>
            <w:tcW w:w="1458" w:type="dxa"/>
          </w:tcPr>
          <w:p w:rsidR="00901382" w:rsidRPr="007765E3" w:rsidRDefault="00127038" w:rsidP="00A7356B">
            <w:pPr>
              <w:jc w:val="both"/>
              <w:rPr>
                <w:rFonts w:cs="Times New Roman"/>
                <w:sz w:val="20"/>
                <w:szCs w:val="20"/>
              </w:rPr>
            </w:pPr>
            <w:r w:rsidRPr="007765E3">
              <w:rPr>
                <w:rStyle w:val="SCCFileNumberChar"/>
                <w:sz w:val="20"/>
                <w:szCs w:val="20"/>
              </w:rPr>
              <w:t>37023</w:t>
            </w:r>
          </w:p>
          <w:p w:rsidR="00901382" w:rsidRPr="007765E3" w:rsidRDefault="00901382" w:rsidP="00A7356B">
            <w:pPr>
              <w:jc w:val="both"/>
              <w:rPr>
                <w:rFonts w:cs="Times New Roman"/>
                <w:b/>
                <w:sz w:val="20"/>
                <w:szCs w:val="20"/>
              </w:rPr>
            </w:pPr>
          </w:p>
        </w:tc>
        <w:tc>
          <w:tcPr>
            <w:tcW w:w="8118" w:type="dxa"/>
            <w:gridSpan w:val="3"/>
          </w:tcPr>
          <w:p w:rsidR="00901382" w:rsidRPr="007765E3" w:rsidRDefault="00BA2F2E" w:rsidP="00A7356B">
            <w:pPr>
              <w:jc w:val="both"/>
              <w:rPr>
                <w:rFonts w:cs="Times New Roman"/>
                <w:sz w:val="20"/>
                <w:szCs w:val="20"/>
              </w:rPr>
            </w:pPr>
            <w:proofErr w:type="spellStart"/>
            <w:r w:rsidRPr="007765E3">
              <w:rPr>
                <w:b/>
                <w:sz w:val="20"/>
                <w:szCs w:val="20"/>
                <w:u w:val="single"/>
              </w:rPr>
              <w:t>Zigang</w:t>
            </w:r>
            <w:proofErr w:type="spellEnd"/>
            <w:r w:rsidRPr="007765E3">
              <w:rPr>
                <w:b/>
                <w:sz w:val="20"/>
                <w:szCs w:val="20"/>
                <w:u w:val="single"/>
              </w:rPr>
              <w:t xml:space="preserve"> Ren and Hart Fibre Trade Company Ltd. v. Shan </w:t>
            </w:r>
            <w:proofErr w:type="spellStart"/>
            <w:r w:rsidRPr="007765E3">
              <w:rPr>
                <w:b/>
                <w:sz w:val="20"/>
                <w:szCs w:val="20"/>
                <w:u w:val="single"/>
              </w:rPr>
              <w:t>Jin</w:t>
            </w:r>
            <w:proofErr w:type="spellEnd"/>
            <w:r w:rsidRPr="007765E3">
              <w:rPr>
                <w:rFonts w:cs="Times New Roman"/>
                <w:sz w:val="20"/>
                <w:szCs w:val="20"/>
              </w:rPr>
              <w:t xml:space="preserve"> </w:t>
            </w:r>
            <w:r w:rsidR="00901382" w:rsidRPr="007765E3">
              <w:rPr>
                <w:rFonts w:cs="Times New Roman"/>
                <w:sz w:val="20"/>
                <w:szCs w:val="20"/>
              </w:rPr>
              <w:t>(</w:t>
            </w:r>
            <w:r w:rsidRPr="007765E3">
              <w:rPr>
                <w:rFonts w:cs="Times New Roman"/>
                <w:sz w:val="20"/>
                <w:szCs w:val="20"/>
              </w:rPr>
              <w:t>Alta</w:t>
            </w:r>
            <w:r w:rsidR="00901382" w:rsidRPr="007765E3">
              <w:rPr>
                <w:rFonts w:cs="Times New Roman"/>
                <w:sz w:val="20"/>
                <w:szCs w:val="20"/>
              </w:rPr>
              <w:t>.) (Civil) (By Leave)</w:t>
            </w:r>
          </w:p>
          <w:p w:rsidR="00901382" w:rsidRPr="007765E3" w:rsidRDefault="00901382" w:rsidP="00A7356B">
            <w:pPr>
              <w:jc w:val="both"/>
              <w:rPr>
                <w:rFonts w:cs="Times New Roman"/>
                <w:sz w:val="20"/>
                <w:szCs w:val="20"/>
              </w:rPr>
            </w:pPr>
          </w:p>
        </w:tc>
      </w:tr>
      <w:tr w:rsidR="00901382" w:rsidRPr="007765E3" w:rsidTr="00A7356B">
        <w:trPr>
          <w:cantSplit/>
        </w:trPr>
        <w:tc>
          <w:tcPr>
            <w:tcW w:w="1458" w:type="dxa"/>
          </w:tcPr>
          <w:p w:rsidR="00901382" w:rsidRPr="007765E3" w:rsidRDefault="00901382" w:rsidP="00A7356B">
            <w:pPr>
              <w:jc w:val="both"/>
              <w:rPr>
                <w:rFonts w:cs="Times New Roman"/>
                <w:sz w:val="20"/>
                <w:szCs w:val="20"/>
              </w:rPr>
            </w:pPr>
            <w:r w:rsidRPr="007765E3">
              <w:rPr>
                <w:rFonts w:cs="Times New Roman"/>
                <w:sz w:val="20"/>
                <w:szCs w:val="20"/>
              </w:rPr>
              <w:t>Coram :</w:t>
            </w:r>
          </w:p>
        </w:tc>
        <w:tc>
          <w:tcPr>
            <w:tcW w:w="8118" w:type="dxa"/>
            <w:gridSpan w:val="3"/>
          </w:tcPr>
          <w:p w:rsidR="00901382" w:rsidRPr="007765E3" w:rsidRDefault="00BA2F2E" w:rsidP="00A7356B">
            <w:pPr>
              <w:jc w:val="both"/>
              <w:rPr>
                <w:sz w:val="20"/>
                <w:szCs w:val="20"/>
                <w:u w:val="single"/>
              </w:rPr>
            </w:pPr>
            <w:proofErr w:type="spellStart"/>
            <w:r w:rsidRPr="007765E3">
              <w:rPr>
                <w:sz w:val="20"/>
                <w:szCs w:val="20"/>
                <w:u w:val="single"/>
              </w:rPr>
              <w:t>Moldaver</w:t>
            </w:r>
            <w:proofErr w:type="spellEnd"/>
            <w:r w:rsidRPr="007765E3">
              <w:rPr>
                <w:sz w:val="20"/>
                <w:szCs w:val="20"/>
                <w:u w:val="single"/>
              </w:rPr>
              <w:t xml:space="preserve">, </w:t>
            </w:r>
            <w:proofErr w:type="spellStart"/>
            <w:r w:rsidRPr="007765E3">
              <w:rPr>
                <w:sz w:val="20"/>
                <w:szCs w:val="20"/>
                <w:u w:val="single"/>
              </w:rPr>
              <w:t>Côté</w:t>
            </w:r>
            <w:proofErr w:type="spellEnd"/>
            <w:r w:rsidRPr="007765E3">
              <w:rPr>
                <w:sz w:val="20"/>
                <w:szCs w:val="20"/>
                <w:u w:val="single"/>
              </w:rPr>
              <w:t xml:space="preserve"> and Brown JJ.</w:t>
            </w:r>
          </w:p>
          <w:p w:rsidR="00BA2F2E" w:rsidRPr="007765E3" w:rsidRDefault="00BA2F2E" w:rsidP="00A7356B">
            <w:pPr>
              <w:jc w:val="both"/>
              <w:rPr>
                <w:rFonts w:cs="Times New Roman"/>
                <w:sz w:val="20"/>
                <w:szCs w:val="20"/>
                <w:u w:val="single"/>
              </w:rPr>
            </w:pPr>
          </w:p>
        </w:tc>
      </w:tr>
      <w:tr w:rsidR="00901382" w:rsidRPr="007765E3" w:rsidTr="00A7356B">
        <w:trPr>
          <w:cantSplit/>
        </w:trPr>
        <w:tc>
          <w:tcPr>
            <w:tcW w:w="9576" w:type="dxa"/>
            <w:gridSpan w:val="4"/>
          </w:tcPr>
          <w:p w:rsidR="00901382" w:rsidRPr="007765E3" w:rsidRDefault="00BA2F2E" w:rsidP="00BA2F2E">
            <w:pPr>
              <w:pStyle w:val="SCCShortJudgment"/>
              <w:ind w:firstLine="0"/>
              <w:rPr>
                <w:rFonts w:cs="Times New Roman"/>
                <w:szCs w:val="20"/>
              </w:rPr>
            </w:pPr>
            <w:r w:rsidRPr="007765E3">
              <w:rPr>
                <w:szCs w:val="20"/>
              </w:rPr>
              <w:tab/>
              <w:t>The application for leave to appeal from the judgment of the</w:t>
            </w:r>
            <w:bookmarkStart w:id="2" w:name="BM_1_"/>
            <w:bookmarkEnd w:id="2"/>
            <w:r w:rsidRPr="007765E3">
              <w:rPr>
                <w:szCs w:val="20"/>
              </w:rPr>
              <w:t xml:space="preserve"> Court of Appeal of Alberta (Edmonton), Number 1503-0063-AC, 2016 ABCA 80, dated March 22, 2016, is dismissed without costs.</w:t>
            </w:r>
          </w:p>
          <w:p w:rsidR="00901382" w:rsidRPr="007765E3" w:rsidRDefault="00901382" w:rsidP="00A7356B">
            <w:pPr>
              <w:pStyle w:val="SCCShortJudgment"/>
              <w:ind w:firstLine="0"/>
              <w:rPr>
                <w:rFonts w:cs="Times New Roman"/>
                <w:szCs w:val="20"/>
              </w:rPr>
            </w:pPr>
          </w:p>
          <w:p w:rsidR="00901382" w:rsidRPr="007765E3" w:rsidRDefault="00901382" w:rsidP="00A7356B">
            <w:pPr>
              <w:pStyle w:val="SCCShortJudgment"/>
              <w:ind w:firstLine="0"/>
              <w:rPr>
                <w:rFonts w:cs="Times New Roman"/>
                <w:szCs w:val="20"/>
                <w:lang w:val="fr-CA"/>
              </w:rPr>
            </w:pPr>
            <w:r w:rsidRPr="007765E3">
              <w:rPr>
                <w:rFonts w:cs="Times New Roman"/>
                <w:szCs w:val="20"/>
              </w:rPr>
              <w:tab/>
            </w:r>
            <w:r w:rsidR="00BA2F2E" w:rsidRPr="007765E3">
              <w:rPr>
                <w:szCs w:val="20"/>
                <w:lang w:val="fr-CA"/>
              </w:rPr>
              <w:t>La demande d’autorisation d’appel de l’arrêt de la Cour d’appel de l’Alberta (Edmonton), numéro 1503-0063-AC, 2016 ABCA 80, daté du 22 mars 2016, est rejetée sans dépens.</w:t>
            </w:r>
          </w:p>
          <w:p w:rsidR="00901382" w:rsidRPr="007765E3" w:rsidRDefault="00901382" w:rsidP="00A7356B">
            <w:pPr>
              <w:pStyle w:val="SCCShortJudgment"/>
              <w:ind w:firstLine="0"/>
              <w:rPr>
                <w:rFonts w:cs="Times New Roman"/>
                <w:szCs w:val="20"/>
                <w:lang w:val="fr-CA"/>
              </w:rPr>
            </w:pPr>
          </w:p>
        </w:tc>
      </w:tr>
      <w:tr w:rsidR="00901382" w:rsidRPr="007765E3" w:rsidTr="00A7356B">
        <w:trPr>
          <w:cantSplit/>
        </w:trPr>
        <w:tc>
          <w:tcPr>
            <w:tcW w:w="9576" w:type="dxa"/>
            <w:gridSpan w:val="4"/>
          </w:tcPr>
          <w:p w:rsidR="00901382" w:rsidRPr="007765E3" w:rsidRDefault="00901382" w:rsidP="00A7356B">
            <w:pPr>
              <w:pStyle w:val="SCCShortJudgment"/>
              <w:ind w:firstLine="0"/>
              <w:rPr>
                <w:rFonts w:cs="Times New Roman"/>
                <w:szCs w:val="20"/>
                <w:u w:val="single"/>
                <w:lang w:val="fr-CA"/>
              </w:rPr>
            </w:pPr>
            <w:r w:rsidRPr="007765E3">
              <w:rPr>
                <w:rFonts w:cs="Times New Roman"/>
                <w:szCs w:val="20"/>
                <w:u w:val="single"/>
                <w:lang w:val="fr-CA"/>
              </w:rPr>
              <w:t>CASE SUMMARY</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901382" w:rsidRPr="007765E3" w:rsidRDefault="00BA2F2E" w:rsidP="00A7356B">
            <w:pPr>
              <w:pStyle w:val="SCCShortJudgment"/>
              <w:ind w:firstLine="0"/>
              <w:rPr>
                <w:szCs w:val="20"/>
              </w:rPr>
            </w:pPr>
            <w:r w:rsidRPr="007765E3">
              <w:rPr>
                <w:szCs w:val="20"/>
              </w:rPr>
              <w:t>Contracts – Unjust enrichment – Whether Court of Appeal erred in upholding trial judge’s finding of joint and several liability for return of investment plus pre-judgment interest on basis of monetary restitution for unjust enrichment.</w:t>
            </w:r>
          </w:p>
          <w:p w:rsidR="00BA2F2E" w:rsidRPr="007765E3" w:rsidRDefault="00BA2F2E" w:rsidP="00A7356B">
            <w:pPr>
              <w:pStyle w:val="SCCShortJudgment"/>
              <w:ind w:firstLine="0"/>
              <w:rPr>
                <w:rFonts w:cs="Times New Roman"/>
                <w:szCs w:val="20"/>
              </w:rPr>
            </w:pPr>
          </w:p>
        </w:tc>
      </w:tr>
      <w:tr w:rsidR="00901382" w:rsidRPr="007765E3" w:rsidTr="00A7356B">
        <w:trPr>
          <w:cantSplit/>
        </w:trPr>
        <w:tc>
          <w:tcPr>
            <w:tcW w:w="9576" w:type="dxa"/>
            <w:gridSpan w:val="4"/>
          </w:tcPr>
          <w:p w:rsidR="00BA2F2E" w:rsidRPr="007765E3" w:rsidRDefault="00BA2F2E" w:rsidP="00BA2F2E">
            <w:pPr>
              <w:jc w:val="both"/>
              <w:rPr>
                <w:sz w:val="20"/>
                <w:szCs w:val="20"/>
              </w:rPr>
            </w:pPr>
            <w:r w:rsidRPr="007765E3">
              <w:rPr>
                <w:sz w:val="20"/>
                <w:szCs w:val="20"/>
              </w:rPr>
              <w:t xml:space="preserve">In 2006, </w:t>
            </w:r>
            <w:proofErr w:type="spellStart"/>
            <w:r w:rsidRPr="007765E3">
              <w:rPr>
                <w:sz w:val="20"/>
                <w:szCs w:val="20"/>
              </w:rPr>
              <w:t>Zigang</w:t>
            </w:r>
            <w:proofErr w:type="spellEnd"/>
            <w:r w:rsidRPr="007765E3">
              <w:rPr>
                <w:sz w:val="20"/>
                <w:szCs w:val="20"/>
              </w:rPr>
              <w:t xml:space="preserve"> Ren went to China seeking investors for his Alberta-based hemp growing and processing business. On the basis of Mr. Ren’s promises, Shan </w:t>
            </w:r>
            <w:proofErr w:type="spellStart"/>
            <w:r w:rsidRPr="007765E3">
              <w:rPr>
                <w:sz w:val="20"/>
                <w:szCs w:val="20"/>
              </w:rPr>
              <w:t>Jin</w:t>
            </w:r>
            <w:proofErr w:type="spellEnd"/>
            <w:r w:rsidRPr="007765E3">
              <w:rPr>
                <w:sz w:val="20"/>
                <w:szCs w:val="20"/>
              </w:rPr>
              <w:t xml:space="preserve"> agreed to invest approximately $300,000 CDN for a controlling interest in the company. Mr. Ren never did identify other investors, and Mr. </w:t>
            </w:r>
            <w:proofErr w:type="spellStart"/>
            <w:r w:rsidRPr="007765E3">
              <w:rPr>
                <w:sz w:val="20"/>
                <w:szCs w:val="20"/>
              </w:rPr>
              <w:t>Jin’s</w:t>
            </w:r>
            <w:proofErr w:type="spellEnd"/>
            <w:r w:rsidRPr="007765E3">
              <w:rPr>
                <w:sz w:val="20"/>
                <w:szCs w:val="20"/>
              </w:rPr>
              <w:t xml:space="preserve"> shareholdings were never confirmed. By the spring of 2007, Mr. Ren had proposed to return Mr. </w:t>
            </w:r>
            <w:proofErr w:type="spellStart"/>
            <w:r w:rsidRPr="007765E3">
              <w:rPr>
                <w:sz w:val="20"/>
                <w:szCs w:val="20"/>
              </w:rPr>
              <w:t>Jin’s</w:t>
            </w:r>
            <w:proofErr w:type="spellEnd"/>
            <w:r w:rsidRPr="007765E3">
              <w:rPr>
                <w:sz w:val="20"/>
                <w:szCs w:val="20"/>
              </w:rPr>
              <w:t xml:space="preserve"> investment but only if Mr. </w:t>
            </w:r>
            <w:proofErr w:type="spellStart"/>
            <w:r w:rsidRPr="007765E3">
              <w:rPr>
                <w:sz w:val="20"/>
                <w:szCs w:val="20"/>
              </w:rPr>
              <w:t>Jin</w:t>
            </w:r>
            <w:proofErr w:type="spellEnd"/>
            <w:r w:rsidRPr="007765E3">
              <w:rPr>
                <w:sz w:val="20"/>
                <w:szCs w:val="20"/>
              </w:rPr>
              <w:t xml:space="preserve"> would guarantee that neither he nor any of his family members would be involved in any other hemp-related business in Canada or China. Mr. </w:t>
            </w:r>
            <w:proofErr w:type="spellStart"/>
            <w:r w:rsidRPr="007765E3">
              <w:rPr>
                <w:sz w:val="20"/>
                <w:szCs w:val="20"/>
              </w:rPr>
              <w:t>Jin</w:t>
            </w:r>
            <w:proofErr w:type="spellEnd"/>
            <w:r w:rsidRPr="007765E3">
              <w:rPr>
                <w:sz w:val="20"/>
                <w:szCs w:val="20"/>
              </w:rPr>
              <w:t xml:space="preserve"> refused those terms, and commenced an action to recover his investment monies.</w:t>
            </w:r>
          </w:p>
          <w:p w:rsidR="00901382" w:rsidRPr="007765E3" w:rsidRDefault="00901382" w:rsidP="00A7356B">
            <w:pPr>
              <w:pStyle w:val="SCCShortJudgment"/>
              <w:ind w:firstLine="0"/>
              <w:rPr>
                <w:rFonts w:cs="Times New Roman"/>
                <w:szCs w:val="20"/>
              </w:rPr>
            </w:pPr>
          </w:p>
        </w:tc>
      </w:tr>
      <w:tr w:rsidR="00901382" w:rsidRPr="007765E3" w:rsidTr="00A7356B">
        <w:trPr>
          <w:cantSplit/>
        </w:trPr>
        <w:tc>
          <w:tcPr>
            <w:tcW w:w="9576" w:type="dxa"/>
            <w:gridSpan w:val="4"/>
          </w:tcPr>
          <w:p w:rsidR="00BA2F2E" w:rsidRPr="007765E3" w:rsidRDefault="00BA2F2E" w:rsidP="00BA2F2E">
            <w:pPr>
              <w:jc w:val="both"/>
              <w:rPr>
                <w:sz w:val="20"/>
                <w:szCs w:val="20"/>
              </w:rPr>
            </w:pPr>
            <w:r w:rsidRPr="007765E3">
              <w:rPr>
                <w:sz w:val="20"/>
                <w:szCs w:val="20"/>
              </w:rPr>
              <w:t>The Alberta Court of Queen’s Bench allowed Mr. </w:t>
            </w:r>
            <w:proofErr w:type="spellStart"/>
            <w:r w:rsidRPr="007765E3">
              <w:rPr>
                <w:sz w:val="20"/>
                <w:szCs w:val="20"/>
              </w:rPr>
              <w:t>Jin’s</w:t>
            </w:r>
            <w:proofErr w:type="spellEnd"/>
            <w:r w:rsidRPr="007765E3">
              <w:rPr>
                <w:sz w:val="20"/>
                <w:szCs w:val="20"/>
              </w:rPr>
              <w:t xml:space="preserve"> action in unjust enrichment. The trial judge found Mr. Ren and Hart Fibre Trade Company jointly and severally liable for the return of approximately $300,000, plus pre-judgment interest, representing Mr. </w:t>
            </w:r>
            <w:proofErr w:type="spellStart"/>
            <w:r w:rsidRPr="007765E3">
              <w:rPr>
                <w:sz w:val="20"/>
                <w:szCs w:val="20"/>
              </w:rPr>
              <w:t>Jin’s</w:t>
            </w:r>
            <w:proofErr w:type="spellEnd"/>
            <w:r w:rsidRPr="007765E3">
              <w:rPr>
                <w:sz w:val="20"/>
                <w:szCs w:val="20"/>
              </w:rPr>
              <w:t xml:space="preserve"> investment in Hart Fibre that was never confirmed. The Alberta Court of Appeal unanimously dismissed the appeal, finding the trial judge had made no reviewable errors.</w:t>
            </w:r>
          </w:p>
          <w:p w:rsidR="00901382" w:rsidRPr="007765E3" w:rsidRDefault="00901382" w:rsidP="00A7356B">
            <w:pPr>
              <w:pStyle w:val="SCCShortJudgment"/>
              <w:ind w:firstLine="0"/>
              <w:rPr>
                <w:rFonts w:cs="Times New Roman"/>
                <w:szCs w:val="20"/>
              </w:rPr>
            </w:pPr>
          </w:p>
        </w:tc>
      </w:tr>
      <w:tr w:rsidR="00901382" w:rsidRPr="007765E3" w:rsidTr="00A7356B">
        <w:trPr>
          <w:cantSplit/>
        </w:trPr>
        <w:tc>
          <w:tcPr>
            <w:tcW w:w="4410" w:type="dxa"/>
            <w:gridSpan w:val="2"/>
          </w:tcPr>
          <w:p w:rsidR="00BA2F2E" w:rsidRPr="007765E3" w:rsidRDefault="00BA2F2E" w:rsidP="00BA2F2E">
            <w:pPr>
              <w:rPr>
                <w:sz w:val="20"/>
                <w:szCs w:val="20"/>
              </w:rPr>
            </w:pPr>
            <w:r w:rsidRPr="007765E3">
              <w:rPr>
                <w:sz w:val="20"/>
                <w:szCs w:val="20"/>
              </w:rPr>
              <w:lastRenderedPageBreak/>
              <w:t>February 13, 2015</w:t>
            </w:r>
          </w:p>
          <w:p w:rsidR="00BA2F2E" w:rsidRPr="007765E3" w:rsidRDefault="00BA2F2E" w:rsidP="00BA2F2E">
            <w:pPr>
              <w:rPr>
                <w:sz w:val="20"/>
                <w:szCs w:val="20"/>
              </w:rPr>
            </w:pPr>
            <w:r w:rsidRPr="007765E3">
              <w:rPr>
                <w:sz w:val="20"/>
                <w:szCs w:val="20"/>
              </w:rPr>
              <w:t>Court of Queen’s Bench of Alberta</w:t>
            </w:r>
          </w:p>
          <w:p w:rsidR="00BA2F2E" w:rsidRPr="007765E3" w:rsidRDefault="00BA2F2E" w:rsidP="00BA2F2E">
            <w:pPr>
              <w:rPr>
                <w:sz w:val="20"/>
                <w:szCs w:val="20"/>
              </w:rPr>
            </w:pPr>
            <w:r w:rsidRPr="007765E3">
              <w:rPr>
                <w:sz w:val="20"/>
                <w:szCs w:val="20"/>
              </w:rPr>
              <w:t>(</w:t>
            </w:r>
            <w:proofErr w:type="spellStart"/>
            <w:r w:rsidRPr="007765E3">
              <w:rPr>
                <w:sz w:val="20"/>
                <w:szCs w:val="20"/>
              </w:rPr>
              <w:t>Michalyshyn</w:t>
            </w:r>
            <w:proofErr w:type="spellEnd"/>
            <w:r w:rsidRPr="007765E3">
              <w:rPr>
                <w:sz w:val="20"/>
                <w:szCs w:val="20"/>
              </w:rPr>
              <w:t xml:space="preserve"> J.)</w:t>
            </w:r>
          </w:p>
          <w:p w:rsidR="00BA2F2E" w:rsidRPr="007765E3" w:rsidRDefault="007765E3" w:rsidP="00BA2F2E">
            <w:pPr>
              <w:rPr>
                <w:sz w:val="20"/>
                <w:szCs w:val="20"/>
              </w:rPr>
            </w:pPr>
            <w:hyperlink r:id="rId26" w:history="1">
              <w:r w:rsidR="00BA2F2E" w:rsidRPr="007765E3">
                <w:rPr>
                  <w:rStyle w:val="Hyperlink"/>
                  <w:sz w:val="20"/>
                  <w:szCs w:val="20"/>
                </w:rPr>
                <w:t>2015 ABQB 115</w:t>
              </w:r>
            </w:hyperlink>
            <w:r w:rsidR="00BA2F2E" w:rsidRPr="007765E3">
              <w:rPr>
                <w:sz w:val="20"/>
                <w:szCs w:val="20"/>
              </w:rPr>
              <w:t xml:space="preserve"> </w:t>
            </w:r>
          </w:p>
          <w:p w:rsidR="00901382" w:rsidRPr="007765E3" w:rsidRDefault="00901382" w:rsidP="00A7356B">
            <w:pPr>
              <w:jc w:val="both"/>
              <w:rPr>
                <w:rFonts w:cs="Times New Roman"/>
                <w:sz w:val="20"/>
                <w:szCs w:val="20"/>
              </w:rPr>
            </w:pPr>
          </w:p>
        </w:tc>
        <w:tc>
          <w:tcPr>
            <w:tcW w:w="630" w:type="dxa"/>
          </w:tcPr>
          <w:p w:rsidR="00901382" w:rsidRPr="007765E3" w:rsidRDefault="00901382" w:rsidP="00A7356B">
            <w:pPr>
              <w:pStyle w:val="SCCShortJudgment"/>
              <w:ind w:firstLine="0"/>
              <w:rPr>
                <w:rFonts w:cs="Times New Roman"/>
                <w:szCs w:val="20"/>
              </w:rPr>
            </w:pPr>
          </w:p>
        </w:tc>
        <w:tc>
          <w:tcPr>
            <w:tcW w:w="4536" w:type="dxa"/>
          </w:tcPr>
          <w:p w:rsidR="00BA2F2E" w:rsidRPr="007765E3" w:rsidRDefault="00BA2F2E" w:rsidP="00BA2F2E">
            <w:pPr>
              <w:jc w:val="both"/>
              <w:rPr>
                <w:sz w:val="20"/>
                <w:szCs w:val="20"/>
              </w:rPr>
            </w:pPr>
            <w:r w:rsidRPr="007765E3">
              <w:rPr>
                <w:sz w:val="20"/>
                <w:szCs w:val="20"/>
              </w:rPr>
              <w:t>Respondent’s action for unjust enrichment, allowed. Applicants found jointly and severally liable for return of approximately $300,000, plus pre-judgment interest.</w:t>
            </w:r>
          </w:p>
          <w:p w:rsidR="00901382" w:rsidRPr="007765E3" w:rsidRDefault="00901382" w:rsidP="00A7356B">
            <w:pPr>
              <w:jc w:val="both"/>
              <w:rPr>
                <w:rFonts w:cs="Times New Roman"/>
                <w:sz w:val="20"/>
                <w:szCs w:val="20"/>
              </w:rPr>
            </w:pPr>
          </w:p>
        </w:tc>
      </w:tr>
      <w:tr w:rsidR="00901382" w:rsidRPr="007765E3" w:rsidTr="00A7356B">
        <w:trPr>
          <w:cantSplit/>
        </w:trPr>
        <w:tc>
          <w:tcPr>
            <w:tcW w:w="4410" w:type="dxa"/>
            <w:gridSpan w:val="2"/>
          </w:tcPr>
          <w:p w:rsidR="00BA2F2E" w:rsidRPr="007765E3" w:rsidRDefault="00BA2F2E" w:rsidP="00BA2F2E">
            <w:pPr>
              <w:rPr>
                <w:sz w:val="20"/>
                <w:szCs w:val="20"/>
              </w:rPr>
            </w:pPr>
            <w:r w:rsidRPr="007765E3">
              <w:rPr>
                <w:sz w:val="20"/>
                <w:szCs w:val="20"/>
              </w:rPr>
              <w:t>March 22, 2016</w:t>
            </w:r>
          </w:p>
          <w:p w:rsidR="00BA2F2E" w:rsidRPr="007765E3" w:rsidRDefault="00BA2F2E" w:rsidP="00BA2F2E">
            <w:pPr>
              <w:rPr>
                <w:sz w:val="20"/>
                <w:szCs w:val="20"/>
              </w:rPr>
            </w:pPr>
            <w:r w:rsidRPr="007765E3">
              <w:rPr>
                <w:sz w:val="20"/>
                <w:szCs w:val="20"/>
              </w:rPr>
              <w:t>Court of Appeal of Alberta (Edmonton)</w:t>
            </w:r>
          </w:p>
          <w:p w:rsidR="00BA2F2E" w:rsidRPr="007765E3" w:rsidRDefault="00BA2F2E" w:rsidP="00BA2F2E">
            <w:pPr>
              <w:rPr>
                <w:sz w:val="20"/>
                <w:szCs w:val="20"/>
              </w:rPr>
            </w:pPr>
            <w:r w:rsidRPr="007765E3">
              <w:rPr>
                <w:sz w:val="20"/>
                <w:szCs w:val="20"/>
              </w:rPr>
              <w:t>(Berger, Veldhuis and Schutz JJ.A.)</w:t>
            </w:r>
          </w:p>
          <w:p w:rsidR="00BA2F2E" w:rsidRPr="007765E3" w:rsidRDefault="007765E3" w:rsidP="00BA2F2E">
            <w:pPr>
              <w:rPr>
                <w:sz w:val="20"/>
                <w:szCs w:val="20"/>
              </w:rPr>
            </w:pPr>
            <w:hyperlink r:id="rId27" w:history="1">
              <w:r w:rsidR="00BA2F2E" w:rsidRPr="007765E3">
                <w:rPr>
                  <w:rStyle w:val="Hyperlink"/>
                  <w:sz w:val="20"/>
                  <w:szCs w:val="20"/>
                </w:rPr>
                <w:t>2016 ABCA 80</w:t>
              </w:r>
            </w:hyperlink>
          </w:p>
          <w:p w:rsidR="00901382" w:rsidRPr="007765E3" w:rsidRDefault="00901382" w:rsidP="00A7356B">
            <w:pPr>
              <w:jc w:val="both"/>
              <w:rPr>
                <w:rFonts w:cs="Times New Roman"/>
                <w:sz w:val="20"/>
                <w:szCs w:val="20"/>
              </w:rPr>
            </w:pPr>
          </w:p>
        </w:tc>
        <w:tc>
          <w:tcPr>
            <w:tcW w:w="630" w:type="dxa"/>
          </w:tcPr>
          <w:p w:rsidR="00901382" w:rsidRPr="007765E3" w:rsidRDefault="00901382" w:rsidP="00A7356B">
            <w:pPr>
              <w:pStyle w:val="SCCShortJudgment"/>
              <w:ind w:firstLine="0"/>
              <w:rPr>
                <w:rFonts w:cs="Times New Roman"/>
                <w:szCs w:val="20"/>
              </w:rPr>
            </w:pPr>
          </w:p>
        </w:tc>
        <w:tc>
          <w:tcPr>
            <w:tcW w:w="4536" w:type="dxa"/>
          </w:tcPr>
          <w:p w:rsidR="00BA2F2E" w:rsidRPr="007765E3" w:rsidRDefault="00BA2F2E" w:rsidP="00BA2F2E">
            <w:pPr>
              <w:rPr>
                <w:sz w:val="20"/>
                <w:szCs w:val="20"/>
              </w:rPr>
            </w:pPr>
            <w:r w:rsidRPr="007765E3">
              <w:rPr>
                <w:sz w:val="20"/>
                <w:szCs w:val="20"/>
              </w:rPr>
              <w:t>Applicants’ appeal, dismissed.</w:t>
            </w:r>
          </w:p>
          <w:p w:rsidR="00901382" w:rsidRPr="007765E3" w:rsidRDefault="00901382" w:rsidP="00A7356B">
            <w:pPr>
              <w:jc w:val="both"/>
              <w:rPr>
                <w:rFonts w:cs="Times New Roman"/>
                <w:sz w:val="20"/>
                <w:szCs w:val="20"/>
              </w:rPr>
            </w:pPr>
          </w:p>
        </w:tc>
      </w:tr>
      <w:tr w:rsidR="00901382" w:rsidRPr="007765E3" w:rsidTr="00A7356B">
        <w:trPr>
          <w:cantSplit/>
        </w:trPr>
        <w:tc>
          <w:tcPr>
            <w:tcW w:w="4410" w:type="dxa"/>
            <w:gridSpan w:val="2"/>
          </w:tcPr>
          <w:p w:rsidR="00BA2F2E" w:rsidRPr="007765E3" w:rsidRDefault="00BA2F2E" w:rsidP="00BA2F2E">
            <w:pPr>
              <w:rPr>
                <w:sz w:val="20"/>
                <w:szCs w:val="20"/>
              </w:rPr>
            </w:pPr>
            <w:r w:rsidRPr="007765E3">
              <w:rPr>
                <w:sz w:val="20"/>
                <w:szCs w:val="20"/>
              </w:rPr>
              <w:t>May 19, 2016</w:t>
            </w:r>
          </w:p>
          <w:p w:rsidR="00901382" w:rsidRPr="007765E3" w:rsidRDefault="00BA2F2E" w:rsidP="00BA2F2E">
            <w:pPr>
              <w:jc w:val="both"/>
              <w:rPr>
                <w:rFonts w:cs="Times New Roman"/>
                <w:sz w:val="20"/>
                <w:szCs w:val="20"/>
              </w:rPr>
            </w:pPr>
            <w:r w:rsidRPr="007765E3">
              <w:rPr>
                <w:sz w:val="20"/>
                <w:szCs w:val="20"/>
              </w:rPr>
              <w:t>Supreme Court of Canada</w:t>
            </w:r>
          </w:p>
        </w:tc>
        <w:tc>
          <w:tcPr>
            <w:tcW w:w="630" w:type="dxa"/>
          </w:tcPr>
          <w:p w:rsidR="00901382" w:rsidRPr="007765E3" w:rsidRDefault="00901382" w:rsidP="00A7356B">
            <w:pPr>
              <w:pStyle w:val="SCCShortJudgment"/>
              <w:ind w:firstLine="0"/>
              <w:rPr>
                <w:rFonts w:cs="Times New Roman"/>
                <w:szCs w:val="20"/>
              </w:rPr>
            </w:pPr>
          </w:p>
        </w:tc>
        <w:tc>
          <w:tcPr>
            <w:tcW w:w="4536" w:type="dxa"/>
          </w:tcPr>
          <w:p w:rsidR="00BA2F2E" w:rsidRPr="007765E3" w:rsidRDefault="00BA2F2E" w:rsidP="00BA2F2E">
            <w:pPr>
              <w:rPr>
                <w:sz w:val="20"/>
                <w:szCs w:val="20"/>
              </w:rPr>
            </w:pPr>
            <w:r w:rsidRPr="007765E3">
              <w:rPr>
                <w:sz w:val="20"/>
                <w:szCs w:val="20"/>
              </w:rPr>
              <w:t>Application for leave to appeal, filed.</w:t>
            </w:r>
          </w:p>
          <w:p w:rsidR="00901382" w:rsidRPr="007765E3" w:rsidRDefault="00901382" w:rsidP="00A7356B">
            <w:pPr>
              <w:jc w:val="both"/>
              <w:rPr>
                <w:rFonts w:cs="Times New Roman"/>
                <w:sz w:val="20"/>
                <w:szCs w:val="20"/>
              </w:rPr>
            </w:pPr>
          </w:p>
        </w:tc>
      </w:tr>
      <w:tr w:rsidR="00901382" w:rsidRPr="007765E3" w:rsidTr="00A7356B">
        <w:trPr>
          <w:cantSplit/>
        </w:trPr>
        <w:tc>
          <w:tcPr>
            <w:tcW w:w="9576" w:type="dxa"/>
            <w:gridSpan w:val="4"/>
          </w:tcPr>
          <w:p w:rsidR="00901382" w:rsidRPr="007765E3" w:rsidRDefault="007765E3" w:rsidP="00A7356B">
            <w:pPr>
              <w:pStyle w:val="SCCShortJudgment"/>
              <w:ind w:firstLine="0"/>
              <w:rPr>
                <w:rFonts w:cs="Times New Roman"/>
                <w:szCs w:val="20"/>
                <w:lang w:val="fr-CA"/>
              </w:rPr>
            </w:pPr>
            <w:r w:rsidRPr="007765E3">
              <w:rPr>
                <w:rFonts w:cs="Times New Roman"/>
                <w:szCs w:val="20"/>
                <w:lang w:val="fr-CA"/>
              </w:rPr>
              <w:pict>
                <v:rect id="_x0000_i1046" style="width:2in;height:1pt" o:hrpct="0" o:hralign="center" o:hrstd="t" o:hrnoshade="t" o:hr="t" fillcolor="black [3213]" stroked="f"/>
              </w:pict>
            </w:r>
          </w:p>
          <w:p w:rsidR="00901382" w:rsidRPr="007765E3" w:rsidRDefault="00901382" w:rsidP="00A7356B">
            <w:pPr>
              <w:pStyle w:val="SCCShortJudgment"/>
              <w:ind w:firstLine="0"/>
              <w:rPr>
                <w:rFonts w:cs="Times New Roman"/>
                <w:szCs w:val="20"/>
                <w:lang w:val="fr-CA"/>
              </w:rPr>
            </w:pPr>
          </w:p>
        </w:tc>
      </w:tr>
      <w:tr w:rsidR="00901382" w:rsidRPr="007765E3" w:rsidTr="00A7356B">
        <w:trPr>
          <w:cantSplit/>
        </w:trPr>
        <w:tc>
          <w:tcPr>
            <w:tcW w:w="9576" w:type="dxa"/>
            <w:gridSpan w:val="4"/>
          </w:tcPr>
          <w:p w:rsidR="00901382" w:rsidRPr="007765E3" w:rsidRDefault="00901382" w:rsidP="00A7356B">
            <w:pPr>
              <w:pStyle w:val="SCCShortJudgment"/>
              <w:ind w:firstLine="0"/>
              <w:rPr>
                <w:rFonts w:cs="Times New Roman"/>
                <w:szCs w:val="20"/>
                <w:u w:val="single"/>
                <w:lang w:val="fr-CA"/>
              </w:rPr>
            </w:pPr>
            <w:r w:rsidRPr="007765E3">
              <w:rPr>
                <w:rFonts w:cs="Times New Roman"/>
                <w:szCs w:val="20"/>
                <w:u w:val="single"/>
                <w:lang w:val="fr-CA"/>
              </w:rPr>
              <w:t>RÉSUMÉ DE L’AFFAIRE </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901382" w:rsidRPr="007765E3" w:rsidRDefault="00BA2F2E" w:rsidP="00A7356B">
            <w:pPr>
              <w:pStyle w:val="SCCShortJudgment"/>
              <w:ind w:firstLine="0"/>
              <w:rPr>
                <w:szCs w:val="20"/>
                <w:lang w:val="fr-CA"/>
              </w:rPr>
            </w:pPr>
            <w:r w:rsidRPr="007765E3">
              <w:rPr>
                <w:szCs w:val="20"/>
                <w:lang w:val="fr-CA"/>
              </w:rPr>
              <w:t>Contrats – Enrichissement injustifié – La Cour d’appel a-t-elle eu tort de confirmer la conclusion du juge de première instance selon laquelle les demandeurs étaient solidairement responsables du remboursement de l’investissement plus les intérêts antérieurs au jugement sur le fondement de la restitution pécuniaire pour enrichissement injustifié?</w:t>
            </w:r>
          </w:p>
          <w:p w:rsidR="00BA2F2E" w:rsidRPr="007765E3" w:rsidRDefault="00BA2F2E" w:rsidP="00A7356B">
            <w:pPr>
              <w:pStyle w:val="SCCShortJudgment"/>
              <w:ind w:firstLine="0"/>
              <w:rPr>
                <w:rFonts w:cs="Times New Roman"/>
                <w:szCs w:val="20"/>
                <w:u w:val="single"/>
                <w:lang w:val="fr-CA"/>
              </w:rPr>
            </w:pPr>
          </w:p>
        </w:tc>
      </w:tr>
      <w:tr w:rsidR="00901382" w:rsidRPr="007765E3" w:rsidTr="00A7356B">
        <w:trPr>
          <w:cantSplit/>
        </w:trPr>
        <w:tc>
          <w:tcPr>
            <w:tcW w:w="9576" w:type="dxa"/>
            <w:gridSpan w:val="4"/>
          </w:tcPr>
          <w:p w:rsidR="00901382" w:rsidRPr="007765E3" w:rsidRDefault="00BA2F2E" w:rsidP="00A7356B">
            <w:pPr>
              <w:jc w:val="both"/>
              <w:rPr>
                <w:sz w:val="20"/>
                <w:szCs w:val="20"/>
                <w:lang w:val="fr-CA"/>
              </w:rPr>
            </w:pPr>
            <w:r w:rsidRPr="007765E3">
              <w:rPr>
                <w:sz w:val="20"/>
                <w:szCs w:val="20"/>
                <w:lang w:val="fr-CA"/>
              </w:rPr>
              <w:t xml:space="preserve">En 2006, </w:t>
            </w:r>
            <w:proofErr w:type="spellStart"/>
            <w:r w:rsidRPr="007765E3">
              <w:rPr>
                <w:sz w:val="20"/>
                <w:szCs w:val="20"/>
                <w:lang w:val="fr-CA"/>
              </w:rPr>
              <w:t>Zigang</w:t>
            </w:r>
            <w:proofErr w:type="spellEnd"/>
            <w:r w:rsidRPr="007765E3">
              <w:rPr>
                <w:sz w:val="20"/>
                <w:szCs w:val="20"/>
                <w:lang w:val="fr-CA"/>
              </w:rPr>
              <w:t xml:space="preserve"> </w:t>
            </w:r>
            <w:proofErr w:type="spellStart"/>
            <w:r w:rsidRPr="007765E3">
              <w:rPr>
                <w:sz w:val="20"/>
                <w:szCs w:val="20"/>
                <w:lang w:val="fr-CA"/>
              </w:rPr>
              <w:t>Ren</w:t>
            </w:r>
            <w:proofErr w:type="spellEnd"/>
            <w:r w:rsidRPr="007765E3">
              <w:rPr>
                <w:sz w:val="20"/>
                <w:szCs w:val="20"/>
                <w:lang w:val="fr-CA"/>
              </w:rPr>
              <w:t xml:space="preserve"> s’est rendu en Chine à la recherche d’investisseurs pour son entreprise de culture et de traitement du chanvre, dont le siège se trouvait en Alberta. S’appuyant sur les promesses de M. </w:t>
            </w:r>
            <w:proofErr w:type="spellStart"/>
            <w:r w:rsidRPr="007765E3">
              <w:rPr>
                <w:sz w:val="20"/>
                <w:szCs w:val="20"/>
                <w:lang w:val="fr-CA"/>
              </w:rPr>
              <w:t>Ren</w:t>
            </w:r>
            <w:proofErr w:type="spellEnd"/>
            <w:r w:rsidRPr="007765E3">
              <w:rPr>
                <w:sz w:val="20"/>
                <w:szCs w:val="20"/>
                <w:lang w:val="fr-CA"/>
              </w:rPr>
              <w:t>, M. Shan Jin a accepté d’investir environ 300 000 $CAN pour une participation majoritaire dans la compagnie. Monsieur </w:t>
            </w:r>
            <w:proofErr w:type="spellStart"/>
            <w:r w:rsidRPr="007765E3">
              <w:rPr>
                <w:sz w:val="20"/>
                <w:szCs w:val="20"/>
                <w:lang w:val="fr-CA"/>
              </w:rPr>
              <w:t>Ren</w:t>
            </w:r>
            <w:proofErr w:type="spellEnd"/>
            <w:r w:rsidRPr="007765E3">
              <w:rPr>
                <w:sz w:val="20"/>
                <w:szCs w:val="20"/>
                <w:lang w:val="fr-CA"/>
              </w:rPr>
              <w:t xml:space="preserve"> n’a jamais identifié les autres investisseurs et la participation de M. Jin n’a jamais été confirmée. Au printemps 2007, M. </w:t>
            </w:r>
            <w:proofErr w:type="spellStart"/>
            <w:r w:rsidRPr="007765E3">
              <w:rPr>
                <w:sz w:val="20"/>
                <w:szCs w:val="20"/>
                <w:lang w:val="fr-CA"/>
              </w:rPr>
              <w:t>Ren</w:t>
            </w:r>
            <w:proofErr w:type="spellEnd"/>
            <w:r w:rsidRPr="007765E3">
              <w:rPr>
                <w:sz w:val="20"/>
                <w:szCs w:val="20"/>
                <w:lang w:val="fr-CA"/>
              </w:rPr>
              <w:t xml:space="preserve"> a proposé de remettre l’investissement de M. Jin à la condition que M. Jin garantisse que ni lui ni aucun membre de sa famille ne participent à d’autres entreprises liées au chanvre au Canada ou en Chine. Monsieur Jin a refusé ces conditions et a intenté une action en recouvrement des sommes qu’il avait investies.</w:t>
            </w:r>
          </w:p>
          <w:p w:rsidR="00BA2F2E" w:rsidRPr="007765E3" w:rsidRDefault="00BA2F2E" w:rsidP="00A7356B">
            <w:pPr>
              <w:jc w:val="both"/>
              <w:rPr>
                <w:rFonts w:cs="Times New Roman"/>
                <w:sz w:val="20"/>
                <w:szCs w:val="20"/>
                <w:u w:val="single"/>
                <w:lang w:val="fr-CA"/>
              </w:rPr>
            </w:pPr>
          </w:p>
        </w:tc>
      </w:tr>
      <w:tr w:rsidR="00901382" w:rsidRPr="007765E3" w:rsidTr="00A7356B">
        <w:trPr>
          <w:cantSplit/>
        </w:trPr>
        <w:tc>
          <w:tcPr>
            <w:tcW w:w="9576" w:type="dxa"/>
            <w:gridSpan w:val="4"/>
          </w:tcPr>
          <w:p w:rsidR="00BA2F2E" w:rsidRPr="007765E3" w:rsidRDefault="00BA2F2E" w:rsidP="00BA2F2E">
            <w:pPr>
              <w:jc w:val="both"/>
              <w:rPr>
                <w:sz w:val="20"/>
                <w:szCs w:val="20"/>
                <w:lang w:val="fr-CA"/>
              </w:rPr>
            </w:pPr>
            <w:r w:rsidRPr="007765E3">
              <w:rPr>
                <w:sz w:val="20"/>
                <w:szCs w:val="20"/>
                <w:lang w:val="fr-CA"/>
              </w:rPr>
              <w:t>La Cour du Banc de la Reine de l’Alberta a accueilli l’action de M. Jin en enrichissement injustifié. Le juge de première instance a conclu que M. </w:t>
            </w:r>
            <w:proofErr w:type="spellStart"/>
            <w:r w:rsidRPr="007765E3">
              <w:rPr>
                <w:sz w:val="20"/>
                <w:szCs w:val="20"/>
                <w:lang w:val="fr-CA"/>
              </w:rPr>
              <w:t>Ren</w:t>
            </w:r>
            <w:proofErr w:type="spellEnd"/>
            <w:r w:rsidRPr="007765E3">
              <w:rPr>
                <w:sz w:val="20"/>
                <w:szCs w:val="20"/>
                <w:lang w:val="fr-CA"/>
              </w:rPr>
              <w:t xml:space="preserve"> et Hart Fibre Trade </w:t>
            </w:r>
            <w:proofErr w:type="spellStart"/>
            <w:r w:rsidRPr="007765E3">
              <w:rPr>
                <w:sz w:val="20"/>
                <w:szCs w:val="20"/>
                <w:lang w:val="fr-CA"/>
              </w:rPr>
              <w:t>Company</w:t>
            </w:r>
            <w:proofErr w:type="spellEnd"/>
            <w:r w:rsidRPr="007765E3">
              <w:rPr>
                <w:sz w:val="20"/>
                <w:szCs w:val="20"/>
                <w:lang w:val="fr-CA"/>
              </w:rPr>
              <w:t xml:space="preserve"> étaient solidairement responsables du remboursement d’environ 300 000 $, plus les intérêts antérieurs au jugement, ce qui représentait l’investissement de M. Jin dans Hart Fibre qui n’a jamais été confirmé. La Cour d’appel de l’Alberta a rejeté l’appel à l’unanimité, concluant que le juge de première instance n’avait commis aucune erreur susceptible de révision.</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4410" w:type="dxa"/>
            <w:gridSpan w:val="2"/>
          </w:tcPr>
          <w:p w:rsidR="00BA2F2E" w:rsidRPr="007765E3" w:rsidRDefault="00BA2F2E" w:rsidP="00BA2F2E">
            <w:pPr>
              <w:rPr>
                <w:sz w:val="20"/>
                <w:szCs w:val="20"/>
                <w:lang w:val="fr-CA"/>
              </w:rPr>
            </w:pPr>
            <w:r w:rsidRPr="007765E3">
              <w:rPr>
                <w:sz w:val="20"/>
                <w:szCs w:val="20"/>
                <w:lang w:val="fr-CA"/>
              </w:rPr>
              <w:t>13 février 2015</w:t>
            </w:r>
          </w:p>
          <w:p w:rsidR="00BA2F2E" w:rsidRPr="007765E3" w:rsidRDefault="00BA2F2E" w:rsidP="00BA2F2E">
            <w:pPr>
              <w:rPr>
                <w:sz w:val="20"/>
                <w:szCs w:val="20"/>
                <w:lang w:val="fr-CA"/>
              </w:rPr>
            </w:pPr>
            <w:r w:rsidRPr="007765E3">
              <w:rPr>
                <w:sz w:val="20"/>
                <w:szCs w:val="20"/>
                <w:lang w:val="fr-CA"/>
              </w:rPr>
              <w:t xml:space="preserve">Cour du Banc de la Reine de l’Alberta </w:t>
            </w:r>
          </w:p>
          <w:p w:rsidR="00BA2F2E" w:rsidRPr="007765E3" w:rsidRDefault="00BA2F2E" w:rsidP="00BA2F2E">
            <w:pPr>
              <w:rPr>
                <w:sz w:val="20"/>
                <w:szCs w:val="20"/>
                <w:lang w:val="fr-CA"/>
              </w:rPr>
            </w:pPr>
            <w:r w:rsidRPr="007765E3">
              <w:rPr>
                <w:sz w:val="20"/>
                <w:szCs w:val="20"/>
                <w:lang w:val="fr-CA"/>
              </w:rPr>
              <w:t xml:space="preserve">(Juge </w:t>
            </w:r>
            <w:proofErr w:type="spellStart"/>
            <w:r w:rsidRPr="007765E3">
              <w:rPr>
                <w:sz w:val="20"/>
                <w:szCs w:val="20"/>
                <w:lang w:val="fr-CA"/>
              </w:rPr>
              <w:t>Michalyshyn</w:t>
            </w:r>
            <w:proofErr w:type="spellEnd"/>
            <w:r w:rsidRPr="007765E3">
              <w:rPr>
                <w:sz w:val="20"/>
                <w:szCs w:val="20"/>
                <w:lang w:val="fr-CA"/>
              </w:rPr>
              <w:t>)</w:t>
            </w:r>
          </w:p>
          <w:p w:rsidR="00BA2F2E" w:rsidRPr="007765E3" w:rsidRDefault="007765E3" w:rsidP="00BA2F2E">
            <w:pPr>
              <w:rPr>
                <w:sz w:val="20"/>
                <w:szCs w:val="20"/>
                <w:lang w:val="fr-CA"/>
              </w:rPr>
            </w:pPr>
            <w:hyperlink r:id="rId28" w:history="1">
              <w:r w:rsidR="00BA2F2E" w:rsidRPr="007765E3">
                <w:rPr>
                  <w:rStyle w:val="Hyperlink"/>
                  <w:sz w:val="20"/>
                  <w:szCs w:val="20"/>
                  <w:lang w:val="fr-CA"/>
                </w:rPr>
                <w:t>2015 ABQB 115</w:t>
              </w:r>
            </w:hyperlink>
            <w:r w:rsidR="00BA2F2E" w:rsidRPr="007765E3">
              <w:rPr>
                <w:sz w:val="20"/>
                <w:szCs w:val="20"/>
                <w:lang w:val="fr-CA"/>
              </w:rPr>
              <w:t xml:space="preserve"> </w:t>
            </w:r>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BA2F2E" w:rsidRPr="007765E3" w:rsidRDefault="00BA2F2E" w:rsidP="00BA2F2E">
            <w:pPr>
              <w:jc w:val="both"/>
              <w:rPr>
                <w:sz w:val="20"/>
                <w:szCs w:val="20"/>
                <w:lang w:val="fr-CA"/>
              </w:rPr>
            </w:pPr>
            <w:r w:rsidRPr="007765E3">
              <w:rPr>
                <w:sz w:val="20"/>
                <w:szCs w:val="20"/>
                <w:lang w:val="fr-CA"/>
              </w:rPr>
              <w:t>Jugement accueillant l’action de l’intimé en n’enrichissement injustifié et concluant que les demandeurs étaient solidairement responsables du remboursement d’environ 300 000 $ plus les intérêts antérieurs au jugement.</w:t>
            </w:r>
          </w:p>
          <w:p w:rsidR="00901382" w:rsidRPr="007765E3" w:rsidRDefault="00901382" w:rsidP="00A7356B">
            <w:pPr>
              <w:pStyle w:val="SCCShortJudgment"/>
              <w:ind w:firstLine="0"/>
              <w:rPr>
                <w:rFonts w:cs="Times New Roman"/>
                <w:szCs w:val="20"/>
                <w:u w:val="single"/>
                <w:lang w:val="fr-CA"/>
              </w:rPr>
            </w:pPr>
          </w:p>
        </w:tc>
      </w:tr>
      <w:tr w:rsidR="00901382" w:rsidRPr="007765E3" w:rsidTr="00A7356B">
        <w:trPr>
          <w:cantSplit/>
        </w:trPr>
        <w:tc>
          <w:tcPr>
            <w:tcW w:w="4410" w:type="dxa"/>
            <w:gridSpan w:val="2"/>
          </w:tcPr>
          <w:p w:rsidR="00BA2F2E" w:rsidRPr="007765E3" w:rsidRDefault="00BA2F2E" w:rsidP="00BA2F2E">
            <w:pPr>
              <w:rPr>
                <w:sz w:val="20"/>
                <w:szCs w:val="20"/>
                <w:lang w:val="fr-CA"/>
              </w:rPr>
            </w:pPr>
            <w:r w:rsidRPr="007765E3">
              <w:rPr>
                <w:sz w:val="20"/>
                <w:szCs w:val="20"/>
                <w:lang w:val="fr-CA"/>
              </w:rPr>
              <w:t>22 mars 2016</w:t>
            </w:r>
          </w:p>
          <w:p w:rsidR="00BA2F2E" w:rsidRPr="007765E3" w:rsidRDefault="00BA2F2E" w:rsidP="00BA2F2E">
            <w:pPr>
              <w:rPr>
                <w:sz w:val="20"/>
                <w:szCs w:val="20"/>
                <w:lang w:val="fr-CA"/>
              </w:rPr>
            </w:pPr>
            <w:r w:rsidRPr="007765E3">
              <w:rPr>
                <w:sz w:val="20"/>
                <w:szCs w:val="20"/>
                <w:lang w:val="fr-CA"/>
              </w:rPr>
              <w:t>Cour d’appel de l’Alberta (Edmonton)</w:t>
            </w:r>
          </w:p>
          <w:p w:rsidR="00BA2F2E" w:rsidRPr="007765E3" w:rsidRDefault="00BA2F2E" w:rsidP="00BA2F2E">
            <w:pPr>
              <w:rPr>
                <w:sz w:val="20"/>
                <w:szCs w:val="20"/>
                <w:lang w:val="fr-CA"/>
              </w:rPr>
            </w:pPr>
            <w:r w:rsidRPr="007765E3">
              <w:rPr>
                <w:sz w:val="20"/>
                <w:szCs w:val="20"/>
                <w:lang w:val="fr-CA"/>
              </w:rPr>
              <w:t>(Juges Berger, Veldhuis et Schutz)</w:t>
            </w:r>
          </w:p>
          <w:p w:rsidR="00BA2F2E" w:rsidRPr="007765E3" w:rsidRDefault="007765E3" w:rsidP="00BA2F2E">
            <w:pPr>
              <w:rPr>
                <w:sz w:val="20"/>
                <w:szCs w:val="20"/>
                <w:lang w:val="fr-CA"/>
              </w:rPr>
            </w:pPr>
            <w:hyperlink r:id="rId29" w:history="1">
              <w:r w:rsidR="00BA2F2E" w:rsidRPr="007765E3">
                <w:rPr>
                  <w:rStyle w:val="Hyperlink"/>
                  <w:sz w:val="20"/>
                  <w:szCs w:val="20"/>
                  <w:lang w:val="fr-CA"/>
                </w:rPr>
                <w:t>2016 ABCA 80</w:t>
              </w:r>
            </w:hyperlink>
          </w:p>
          <w:p w:rsidR="00901382" w:rsidRPr="007765E3" w:rsidRDefault="00901382" w:rsidP="00A7356B">
            <w:pPr>
              <w:pStyle w:val="SCCShortJudgment"/>
              <w:ind w:firstLine="0"/>
              <w:rPr>
                <w:rFonts w:cs="Times New Roman"/>
                <w:szCs w:val="20"/>
                <w:u w:val="single"/>
                <w:lang w:val="fr-CA"/>
              </w:rPr>
            </w:pP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901382" w:rsidRPr="007765E3" w:rsidRDefault="00BA2F2E" w:rsidP="00A7356B">
            <w:pPr>
              <w:pStyle w:val="SCCShortJudgment"/>
              <w:ind w:firstLine="0"/>
              <w:rPr>
                <w:rFonts w:cs="Times New Roman"/>
                <w:szCs w:val="20"/>
                <w:u w:val="single"/>
                <w:lang w:val="fr-CA"/>
              </w:rPr>
            </w:pPr>
            <w:r w:rsidRPr="007765E3">
              <w:rPr>
                <w:szCs w:val="20"/>
                <w:lang w:val="fr-CA"/>
              </w:rPr>
              <w:t>Rejet de l’appel des demandeurs.</w:t>
            </w:r>
          </w:p>
        </w:tc>
      </w:tr>
      <w:tr w:rsidR="00901382" w:rsidRPr="007765E3" w:rsidTr="00A7356B">
        <w:trPr>
          <w:cantSplit/>
        </w:trPr>
        <w:tc>
          <w:tcPr>
            <w:tcW w:w="4410" w:type="dxa"/>
            <w:gridSpan w:val="2"/>
          </w:tcPr>
          <w:p w:rsidR="00BA2F2E" w:rsidRPr="007765E3" w:rsidRDefault="00BA2F2E" w:rsidP="00BA2F2E">
            <w:pPr>
              <w:rPr>
                <w:sz w:val="20"/>
                <w:szCs w:val="20"/>
                <w:lang w:val="fr-CA"/>
              </w:rPr>
            </w:pPr>
            <w:r w:rsidRPr="007765E3">
              <w:rPr>
                <w:sz w:val="20"/>
                <w:szCs w:val="20"/>
                <w:lang w:val="fr-CA"/>
              </w:rPr>
              <w:t>19 mai 2016</w:t>
            </w:r>
          </w:p>
          <w:p w:rsidR="00901382" w:rsidRPr="007765E3" w:rsidRDefault="00BA2F2E" w:rsidP="00BA2F2E">
            <w:pPr>
              <w:pStyle w:val="SCCShortJudgment"/>
              <w:ind w:firstLine="0"/>
              <w:rPr>
                <w:rFonts w:cs="Times New Roman"/>
                <w:szCs w:val="20"/>
                <w:u w:val="single"/>
                <w:lang w:val="fr-CA"/>
              </w:rPr>
            </w:pPr>
            <w:r w:rsidRPr="007765E3">
              <w:rPr>
                <w:szCs w:val="20"/>
                <w:lang w:val="fr-CA"/>
              </w:rPr>
              <w:t>Cour suprême du Canada</w:t>
            </w:r>
          </w:p>
        </w:tc>
        <w:tc>
          <w:tcPr>
            <w:tcW w:w="630" w:type="dxa"/>
          </w:tcPr>
          <w:p w:rsidR="00901382" w:rsidRPr="007765E3" w:rsidRDefault="00901382" w:rsidP="00A7356B">
            <w:pPr>
              <w:pStyle w:val="SCCShortJudgment"/>
              <w:ind w:firstLine="0"/>
              <w:rPr>
                <w:rFonts w:cs="Times New Roman"/>
                <w:szCs w:val="20"/>
                <w:u w:val="single"/>
                <w:lang w:val="fr-CA"/>
              </w:rPr>
            </w:pPr>
          </w:p>
        </w:tc>
        <w:tc>
          <w:tcPr>
            <w:tcW w:w="4536" w:type="dxa"/>
          </w:tcPr>
          <w:p w:rsidR="00BA2F2E" w:rsidRPr="007765E3" w:rsidRDefault="00BA2F2E" w:rsidP="00BA2F2E">
            <w:pPr>
              <w:rPr>
                <w:sz w:val="20"/>
                <w:szCs w:val="20"/>
                <w:lang w:val="fr-CA"/>
              </w:rPr>
            </w:pPr>
            <w:r w:rsidRPr="007765E3">
              <w:rPr>
                <w:sz w:val="20"/>
                <w:szCs w:val="20"/>
                <w:lang w:val="fr-CA"/>
              </w:rPr>
              <w:t>Dépôt de la demande d’autorisation d’appel.</w:t>
            </w:r>
          </w:p>
          <w:p w:rsidR="00901382" w:rsidRPr="007765E3" w:rsidRDefault="00901382" w:rsidP="00A7356B">
            <w:pPr>
              <w:pStyle w:val="SCCShortJudgment"/>
              <w:ind w:firstLine="0"/>
              <w:rPr>
                <w:rFonts w:cs="Times New Roman"/>
                <w:szCs w:val="20"/>
                <w:u w:val="single"/>
                <w:lang w:val="fr-CA"/>
              </w:rPr>
            </w:pPr>
          </w:p>
        </w:tc>
      </w:tr>
    </w:tbl>
    <w:p w:rsidR="00901382" w:rsidRPr="007765E3" w:rsidRDefault="007765E3" w:rsidP="000E2959">
      <w:pPr>
        <w:rPr>
          <w:sz w:val="20"/>
          <w:szCs w:val="20"/>
        </w:rPr>
      </w:pPr>
      <w:r w:rsidRPr="007765E3">
        <w:rPr>
          <w:rFonts w:cs="Times New Roman"/>
          <w:szCs w:val="20"/>
          <w:lang w:val="fr-CA"/>
        </w:rPr>
        <w:pict>
          <v:rect id="_x0000_i1047" style="width:2in;height:1pt" o:hrpct="0" o:hralign="center" o:hrstd="t" o:hrnoshade="t" o:hr="t" fillcolor="black [3213]" stroked="f"/>
        </w:pict>
      </w:r>
    </w:p>
    <w:p w:rsidR="00901382" w:rsidRPr="007765E3" w:rsidRDefault="00901382" w:rsidP="000E2959">
      <w:pPr>
        <w:rPr>
          <w:sz w:val="20"/>
          <w:szCs w:val="20"/>
        </w:rPr>
      </w:pPr>
    </w:p>
    <w:p w:rsidR="006F2B7E" w:rsidRPr="007765E3" w:rsidRDefault="006F2B7E">
      <w:r w:rsidRPr="007765E3">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lastRenderedPageBreak/>
              <w:t>37025</w:t>
            </w:r>
          </w:p>
          <w:p w:rsidR="00127038" w:rsidRPr="007765E3" w:rsidRDefault="00127038" w:rsidP="00070F74">
            <w:pPr>
              <w:jc w:val="both"/>
              <w:rPr>
                <w:rFonts w:cs="Times New Roman"/>
                <w:b/>
                <w:sz w:val="20"/>
                <w:szCs w:val="20"/>
              </w:rPr>
            </w:pPr>
          </w:p>
        </w:tc>
        <w:tc>
          <w:tcPr>
            <w:tcW w:w="8118" w:type="dxa"/>
            <w:gridSpan w:val="3"/>
          </w:tcPr>
          <w:p w:rsidR="00127038" w:rsidRPr="007765E3" w:rsidRDefault="00A30C1A" w:rsidP="00070F74">
            <w:pPr>
              <w:jc w:val="both"/>
              <w:rPr>
                <w:rFonts w:cs="Times New Roman"/>
                <w:sz w:val="20"/>
                <w:szCs w:val="20"/>
              </w:rPr>
            </w:pPr>
            <w:r w:rsidRPr="007765E3">
              <w:rPr>
                <w:b/>
                <w:sz w:val="20"/>
                <w:szCs w:val="20"/>
                <w:u w:val="single"/>
              </w:rPr>
              <w:t>Conserve Oil 1st Corporation v. Alberta Treasury Branches</w:t>
            </w:r>
            <w:r w:rsidRPr="007765E3">
              <w:rPr>
                <w:rFonts w:cs="Times New Roman"/>
                <w:sz w:val="20"/>
                <w:szCs w:val="20"/>
              </w:rPr>
              <w:t xml:space="preserve"> </w:t>
            </w:r>
            <w:r w:rsidR="00127038" w:rsidRPr="007765E3">
              <w:rPr>
                <w:rFonts w:cs="Times New Roman"/>
                <w:sz w:val="20"/>
                <w:szCs w:val="20"/>
              </w:rPr>
              <w:t>(</w:t>
            </w:r>
            <w:r w:rsidRPr="007765E3">
              <w:rPr>
                <w:rFonts w:cs="Times New Roman"/>
                <w:sz w:val="20"/>
                <w:szCs w:val="20"/>
              </w:rPr>
              <w:t>Alta</w:t>
            </w:r>
            <w:r w:rsidR="00127038" w:rsidRPr="007765E3">
              <w:rPr>
                <w:rFonts w:cs="Times New Roman"/>
                <w:sz w:val="20"/>
                <w:szCs w:val="20"/>
              </w:rPr>
              <w:t>.) (Civil)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A30C1A" w:rsidP="00070F74">
            <w:pPr>
              <w:jc w:val="both"/>
              <w:rPr>
                <w:sz w:val="20"/>
                <w:szCs w:val="20"/>
                <w:u w:val="single"/>
              </w:rPr>
            </w:pPr>
            <w:proofErr w:type="spellStart"/>
            <w:r w:rsidRPr="007765E3">
              <w:rPr>
                <w:sz w:val="20"/>
                <w:szCs w:val="20"/>
                <w:u w:val="single"/>
              </w:rPr>
              <w:t>Abella</w:t>
            </w:r>
            <w:proofErr w:type="spellEnd"/>
            <w:r w:rsidRPr="007765E3">
              <w:rPr>
                <w:sz w:val="20"/>
                <w:szCs w:val="20"/>
                <w:u w:val="single"/>
              </w:rPr>
              <w:t xml:space="preserve">, </w:t>
            </w:r>
            <w:proofErr w:type="spellStart"/>
            <w:r w:rsidRPr="007765E3">
              <w:rPr>
                <w:sz w:val="20"/>
                <w:szCs w:val="20"/>
                <w:u w:val="single"/>
              </w:rPr>
              <w:t>Karakatsanis</w:t>
            </w:r>
            <w:proofErr w:type="spellEnd"/>
            <w:r w:rsidRPr="007765E3">
              <w:rPr>
                <w:sz w:val="20"/>
                <w:szCs w:val="20"/>
                <w:u w:val="single"/>
              </w:rPr>
              <w:t xml:space="preserve"> and Brown JJ.</w:t>
            </w:r>
          </w:p>
          <w:p w:rsidR="00A30C1A" w:rsidRPr="007765E3" w:rsidRDefault="00A30C1A" w:rsidP="00070F74">
            <w:pPr>
              <w:jc w:val="both"/>
              <w:rPr>
                <w:rFonts w:cs="Times New Roman"/>
                <w:sz w:val="20"/>
                <w:szCs w:val="20"/>
                <w:u w:val="single"/>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rPr>
            </w:pPr>
            <w:r w:rsidRPr="007765E3">
              <w:rPr>
                <w:rFonts w:cs="Times New Roman"/>
                <w:szCs w:val="20"/>
              </w:rPr>
              <w:tab/>
            </w:r>
            <w:r w:rsidR="00A30C1A" w:rsidRPr="007765E3">
              <w:rPr>
                <w:szCs w:val="20"/>
              </w:rPr>
              <w:t>The application for leave to appeal from the judgment of the Court of Appeal of Alberta (Calgary), Number 1601-0023-AC, 2016 ABCA 87, dated March 31, 2016, is dismissed with costs.</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rFonts w:cs="Times New Roman"/>
                <w:szCs w:val="20"/>
                <w:lang w:val="fr-CA"/>
              </w:rPr>
            </w:pPr>
            <w:r w:rsidRPr="007765E3">
              <w:rPr>
                <w:rFonts w:cs="Times New Roman"/>
                <w:szCs w:val="20"/>
              </w:rPr>
              <w:tab/>
            </w:r>
            <w:r w:rsidR="00A30C1A" w:rsidRPr="007765E3">
              <w:rPr>
                <w:szCs w:val="20"/>
                <w:lang w:val="fr-CA"/>
              </w:rPr>
              <w:t xml:space="preserve">La demande d’autorisation d’appel de l’arrêt de la </w:t>
            </w:r>
            <w:r w:rsidR="00A30C1A" w:rsidRPr="007765E3">
              <w:rPr>
                <w:szCs w:val="20"/>
                <w:lang w:val="fr-FR"/>
              </w:rPr>
              <w:t>Cour d’appel de l’Alberta (Calgary)</w:t>
            </w:r>
            <w:r w:rsidR="00A30C1A" w:rsidRPr="007765E3">
              <w:rPr>
                <w:szCs w:val="20"/>
                <w:lang w:val="fr-CA"/>
              </w:rPr>
              <w:t xml:space="preserve">, numéro </w:t>
            </w:r>
            <w:r w:rsidR="00A30C1A" w:rsidRPr="007765E3">
              <w:rPr>
                <w:szCs w:val="20"/>
                <w:lang w:val="fr-FR"/>
              </w:rPr>
              <w:t>1601-0023-AC, 2016 ABCA 87</w:t>
            </w:r>
            <w:r w:rsidR="00A30C1A" w:rsidRPr="007765E3">
              <w:rPr>
                <w:szCs w:val="20"/>
                <w:lang w:val="fr-CA"/>
              </w:rPr>
              <w:t xml:space="preserve">, daté du </w:t>
            </w:r>
            <w:r w:rsidR="00A30C1A" w:rsidRPr="007765E3">
              <w:rPr>
                <w:szCs w:val="20"/>
                <w:lang w:val="fr-FR"/>
              </w:rPr>
              <w:t>31 mars 2016</w:t>
            </w:r>
            <w:r w:rsidR="00A30C1A" w:rsidRPr="007765E3">
              <w:rPr>
                <w:szCs w:val="20"/>
                <w:lang w:val="fr-CA"/>
              </w:rPr>
              <w:t>, est rejetée avec dépens.</w: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A30C1A" w:rsidP="00070F74">
            <w:pPr>
              <w:pStyle w:val="SCCShortJudgment"/>
              <w:ind w:firstLine="0"/>
              <w:rPr>
                <w:szCs w:val="20"/>
              </w:rPr>
            </w:pPr>
            <w:r w:rsidRPr="007765E3">
              <w:rPr>
                <w:szCs w:val="20"/>
              </w:rPr>
              <w:t xml:space="preserve">Bankruptcy and insolvency – Procedure – Appeals – Leave to appeal – Old general partners guaranteeing credit facilities granted by respondent to now dissolved entities – Successors to old general partners amalgamating under applicant – Respondent obtaining receivership order with respect to successors and adding applicant to receivership proceedings – Whether the various formulations of the test for leave to appeal pursuant to section 193(e) of the </w:t>
            </w:r>
            <w:r w:rsidRPr="007765E3">
              <w:rPr>
                <w:i/>
                <w:szCs w:val="20"/>
              </w:rPr>
              <w:t>Bankruptcy and Insolvency Act</w:t>
            </w:r>
            <w:r w:rsidRPr="007765E3">
              <w:rPr>
                <w:szCs w:val="20"/>
              </w:rPr>
              <w:t>, R.S.C. 1985, c. B-3, should be reconciled to a single, consistent test.</w:t>
            </w:r>
          </w:p>
          <w:p w:rsidR="00A30C1A" w:rsidRPr="007765E3" w:rsidRDefault="00A30C1A" w:rsidP="00070F74">
            <w:pPr>
              <w:pStyle w:val="SCCShortJudgment"/>
              <w:ind w:firstLine="0"/>
              <w:rPr>
                <w:rFonts w:cs="Times New Roman"/>
                <w:szCs w:val="20"/>
              </w:rPr>
            </w:pPr>
          </w:p>
        </w:tc>
      </w:tr>
      <w:tr w:rsidR="00127038" w:rsidRPr="007765E3" w:rsidTr="00070F74">
        <w:trPr>
          <w:cantSplit/>
        </w:trPr>
        <w:tc>
          <w:tcPr>
            <w:tcW w:w="9576" w:type="dxa"/>
            <w:gridSpan w:val="4"/>
          </w:tcPr>
          <w:p w:rsidR="00A30C1A" w:rsidRPr="007765E3" w:rsidRDefault="00A30C1A" w:rsidP="00A30C1A">
            <w:pPr>
              <w:jc w:val="both"/>
              <w:rPr>
                <w:sz w:val="20"/>
                <w:szCs w:val="20"/>
              </w:rPr>
            </w:pPr>
            <w:r w:rsidRPr="007765E3">
              <w:rPr>
                <w:sz w:val="20"/>
                <w:szCs w:val="20"/>
              </w:rPr>
              <w:t>The applicant Conserve Oil 1</w:t>
            </w:r>
            <w:r w:rsidRPr="007765E3">
              <w:rPr>
                <w:sz w:val="20"/>
                <w:szCs w:val="20"/>
                <w:vertAlign w:val="superscript"/>
              </w:rPr>
              <w:t>st</w:t>
            </w:r>
            <w:r w:rsidRPr="007765E3">
              <w:rPr>
                <w:sz w:val="20"/>
                <w:szCs w:val="20"/>
              </w:rPr>
              <w:t xml:space="preserve"> Corporation (“</w:t>
            </w:r>
            <w:proofErr w:type="spellStart"/>
            <w:r w:rsidRPr="007765E3">
              <w:rPr>
                <w:sz w:val="20"/>
                <w:szCs w:val="20"/>
              </w:rPr>
              <w:t>Amalco</w:t>
            </w:r>
            <w:proofErr w:type="spellEnd"/>
            <w:r w:rsidRPr="007765E3">
              <w:rPr>
                <w:sz w:val="20"/>
                <w:szCs w:val="20"/>
              </w:rPr>
              <w:t xml:space="preserve">”) is the amalgamation successor of several old general partners. The old general partners acted as guarantors of credit facilities that the respondent Alberta Treasury Branches (“ATB”) had granted to other related entities in the partnership. Subsequently, those other related entities attempted to restructure. As a result, all of their assets and liabilities were transferred to a new limited partnership, COGI Limited Partnership (“COGI LP”), and Canadian Oil &amp; Gas International Inc. (“COGI GP”) became the general partner of COGI LP. The related entities were dissolved, their credit facilities were repaid and cancelled, and COGI LP assumed their obligations and liabilities and entered into a new credit facility with ATB. ATB did not request that the old general partners or </w:t>
            </w:r>
            <w:proofErr w:type="spellStart"/>
            <w:r w:rsidRPr="007765E3">
              <w:rPr>
                <w:sz w:val="20"/>
                <w:szCs w:val="20"/>
              </w:rPr>
              <w:t>Amalco</w:t>
            </w:r>
            <w:proofErr w:type="spellEnd"/>
            <w:r w:rsidRPr="007765E3">
              <w:rPr>
                <w:sz w:val="20"/>
                <w:szCs w:val="20"/>
              </w:rPr>
              <w:t xml:space="preserve"> provide security for the new credit facility, nor did ATB ask them to acknowledge that the old guarantees secured the new debt. </w:t>
            </w:r>
            <w:proofErr w:type="spellStart"/>
            <w:r w:rsidRPr="007765E3">
              <w:rPr>
                <w:sz w:val="20"/>
                <w:szCs w:val="20"/>
              </w:rPr>
              <w:t>Amalco</w:t>
            </w:r>
            <w:proofErr w:type="spellEnd"/>
            <w:r w:rsidRPr="007765E3">
              <w:rPr>
                <w:sz w:val="20"/>
                <w:szCs w:val="20"/>
              </w:rPr>
              <w:t>, created soon thereafter, has no direct contractual relationship with ATB.</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9576" w:type="dxa"/>
            <w:gridSpan w:val="4"/>
          </w:tcPr>
          <w:p w:rsidR="00127038" w:rsidRPr="007765E3" w:rsidRDefault="00A30C1A" w:rsidP="00070F74">
            <w:pPr>
              <w:pStyle w:val="SCCShortJudgment"/>
              <w:ind w:firstLine="0"/>
              <w:rPr>
                <w:szCs w:val="20"/>
              </w:rPr>
            </w:pPr>
            <w:r w:rsidRPr="007765E3">
              <w:rPr>
                <w:szCs w:val="20"/>
              </w:rPr>
              <w:t xml:space="preserve">The restructuring was unsuccessful, and ATB applied for and obtained a receivership order with respect to COGI LP, COGI GP and Conserve Oil Group Inc. ATB then sought a second receivership order adding </w:t>
            </w:r>
            <w:proofErr w:type="spellStart"/>
            <w:r w:rsidRPr="007765E3">
              <w:rPr>
                <w:szCs w:val="20"/>
              </w:rPr>
              <w:t>Amalco</w:t>
            </w:r>
            <w:proofErr w:type="spellEnd"/>
            <w:r w:rsidRPr="007765E3">
              <w:rPr>
                <w:szCs w:val="20"/>
              </w:rPr>
              <w:t xml:space="preserve"> to the receivership proceedings.</w:t>
            </w:r>
          </w:p>
          <w:p w:rsidR="00070F74" w:rsidRPr="007765E3" w:rsidRDefault="00070F74" w:rsidP="00070F74">
            <w:pPr>
              <w:pStyle w:val="SCCShortJudgment"/>
              <w:ind w:firstLine="0"/>
              <w:rPr>
                <w:rFonts w:cs="Times New Roman"/>
                <w:szCs w:val="20"/>
              </w:rPr>
            </w:pPr>
          </w:p>
        </w:tc>
      </w:tr>
      <w:tr w:rsidR="00127038" w:rsidRPr="007765E3" w:rsidTr="00070F74">
        <w:trPr>
          <w:cantSplit/>
        </w:trPr>
        <w:tc>
          <w:tcPr>
            <w:tcW w:w="4410" w:type="dxa"/>
            <w:gridSpan w:val="2"/>
          </w:tcPr>
          <w:p w:rsidR="00070F74" w:rsidRPr="007765E3" w:rsidRDefault="00070F74" w:rsidP="00070F74">
            <w:pPr>
              <w:rPr>
                <w:sz w:val="20"/>
                <w:szCs w:val="20"/>
              </w:rPr>
            </w:pPr>
            <w:r w:rsidRPr="007765E3">
              <w:rPr>
                <w:sz w:val="20"/>
                <w:szCs w:val="20"/>
              </w:rPr>
              <w:t>January 6, 2016</w:t>
            </w:r>
          </w:p>
          <w:p w:rsidR="00070F74" w:rsidRPr="007765E3" w:rsidRDefault="00070F74" w:rsidP="00070F74">
            <w:pPr>
              <w:rPr>
                <w:sz w:val="20"/>
                <w:szCs w:val="20"/>
              </w:rPr>
            </w:pPr>
            <w:r w:rsidRPr="007765E3">
              <w:rPr>
                <w:sz w:val="20"/>
                <w:szCs w:val="20"/>
              </w:rPr>
              <w:t>Court of Queen’s Bench of Alberta</w:t>
            </w:r>
          </w:p>
          <w:p w:rsidR="00070F74" w:rsidRPr="007765E3" w:rsidRDefault="00070F74" w:rsidP="00070F74">
            <w:pPr>
              <w:rPr>
                <w:sz w:val="20"/>
                <w:szCs w:val="20"/>
              </w:rPr>
            </w:pPr>
            <w:r w:rsidRPr="007765E3">
              <w:rPr>
                <w:sz w:val="20"/>
                <w:szCs w:val="20"/>
              </w:rPr>
              <w:t>(Horner J.)</w:t>
            </w:r>
          </w:p>
          <w:p w:rsidR="00070F74" w:rsidRPr="007765E3" w:rsidRDefault="00070F74" w:rsidP="00070F74">
            <w:pPr>
              <w:rPr>
                <w:sz w:val="20"/>
                <w:szCs w:val="20"/>
              </w:rPr>
            </w:pPr>
            <w:r w:rsidRPr="007765E3">
              <w:rPr>
                <w:sz w:val="20"/>
                <w:szCs w:val="20"/>
              </w:rPr>
              <w:t>Court File No. 1501-12220</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070F74" w:rsidRPr="007765E3" w:rsidRDefault="00070F74" w:rsidP="00070F74">
            <w:pPr>
              <w:rPr>
                <w:sz w:val="20"/>
                <w:szCs w:val="20"/>
              </w:rPr>
            </w:pPr>
            <w:r w:rsidRPr="007765E3">
              <w:rPr>
                <w:sz w:val="20"/>
                <w:szCs w:val="20"/>
              </w:rPr>
              <w:t>Receivership order granted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070F74" w:rsidRPr="007765E3" w:rsidRDefault="00070F74" w:rsidP="00070F74">
            <w:pPr>
              <w:rPr>
                <w:sz w:val="20"/>
                <w:szCs w:val="20"/>
              </w:rPr>
            </w:pPr>
            <w:r w:rsidRPr="007765E3">
              <w:rPr>
                <w:sz w:val="20"/>
                <w:szCs w:val="20"/>
              </w:rPr>
              <w:t>March 31, 2016</w:t>
            </w:r>
          </w:p>
          <w:p w:rsidR="00070F74" w:rsidRPr="007765E3" w:rsidRDefault="00070F74" w:rsidP="00070F74">
            <w:pPr>
              <w:rPr>
                <w:sz w:val="20"/>
                <w:szCs w:val="20"/>
              </w:rPr>
            </w:pPr>
            <w:r w:rsidRPr="007765E3">
              <w:rPr>
                <w:sz w:val="20"/>
                <w:szCs w:val="20"/>
              </w:rPr>
              <w:t>Court of Appeal of Alberta (Calgary)</w:t>
            </w:r>
          </w:p>
          <w:p w:rsidR="00070F74" w:rsidRPr="007765E3" w:rsidRDefault="00070F74" w:rsidP="00070F74">
            <w:pPr>
              <w:rPr>
                <w:sz w:val="20"/>
                <w:szCs w:val="20"/>
              </w:rPr>
            </w:pPr>
            <w:r w:rsidRPr="007765E3">
              <w:rPr>
                <w:sz w:val="20"/>
                <w:szCs w:val="20"/>
              </w:rPr>
              <w:t>(</w:t>
            </w:r>
            <w:proofErr w:type="spellStart"/>
            <w:r w:rsidRPr="007765E3">
              <w:rPr>
                <w:sz w:val="20"/>
                <w:szCs w:val="20"/>
              </w:rPr>
              <w:t>Rowbotham</w:t>
            </w:r>
            <w:proofErr w:type="spellEnd"/>
            <w:r w:rsidRPr="007765E3">
              <w:rPr>
                <w:sz w:val="20"/>
                <w:szCs w:val="20"/>
              </w:rPr>
              <w:t xml:space="preserve"> J. A.)</w:t>
            </w:r>
          </w:p>
          <w:p w:rsidR="00070F74" w:rsidRPr="007765E3" w:rsidRDefault="007765E3" w:rsidP="00070F74">
            <w:pPr>
              <w:rPr>
                <w:sz w:val="20"/>
                <w:szCs w:val="20"/>
              </w:rPr>
            </w:pPr>
            <w:hyperlink r:id="rId30" w:history="1">
              <w:r w:rsidR="00070F74" w:rsidRPr="007765E3">
                <w:rPr>
                  <w:rStyle w:val="Hyperlink"/>
                  <w:sz w:val="20"/>
                  <w:szCs w:val="20"/>
                </w:rPr>
                <w:t>2016 ABCA 87</w:t>
              </w:r>
            </w:hyperlink>
            <w:r w:rsidR="00070F74" w:rsidRPr="007765E3">
              <w:rPr>
                <w:sz w:val="20"/>
                <w:szCs w:val="20"/>
              </w:rPr>
              <w:t xml:space="preserve"> </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070F74" w:rsidRPr="007765E3" w:rsidRDefault="00070F74" w:rsidP="00070F74">
            <w:pPr>
              <w:rPr>
                <w:sz w:val="20"/>
                <w:szCs w:val="20"/>
              </w:rPr>
            </w:pPr>
            <w:r w:rsidRPr="007765E3">
              <w:rPr>
                <w:sz w:val="20"/>
                <w:szCs w:val="20"/>
              </w:rPr>
              <w:t xml:space="preserve">Application for leave to appeal dismissed </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070F74" w:rsidRPr="007765E3" w:rsidRDefault="00070F74" w:rsidP="00070F74">
            <w:pPr>
              <w:rPr>
                <w:sz w:val="20"/>
                <w:szCs w:val="20"/>
              </w:rPr>
            </w:pPr>
            <w:r w:rsidRPr="007765E3">
              <w:rPr>
                <w:sz w:val="20"/>
                <w:szCs w:val="20"/>
              </w:rPr>
              <w:t>May 26, 2016</w:t>
            </w:r>
          </w:p>
          <w:p w:rsidR="00070F74" w:rsidRPr="007765E3" w:rsidRDefault="00070F74" w:rsidP="00070F74">
            <w:pPr>
              <w:rPr>
                <w:sz w:val="20"/>
                <w:szCs w:val="20"/>
              </w:rPr>
            </w:pPr>
            <w:r w:rsidRPr="007765E3">
              <w:rPr>
                <w:sz w:val="20"/>
                <w:szCs w:val="20"/>
              </w:rPr>
              <w:t>Supreme Court of Canada</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070F74" w:rsidRPr="007765E3" w:rsidRDefault="00070F74" w:rsidP="00070F74">
            <w:pPr>
              <w:rPr>
                <w:sz w:val="20"/>
                <w:szCs w:val="20"/>
              </w:rPr>
            </w:pPr>
            <w:r w:rsidRPr="007765E3">
              <w:rPr>
                <w:sz w:val="20"/>
                <w:szCs w:val="20"/>
              </w:rPr>
              <w:t>Application for leave to appeal filed</w:t>
            </w:r>
          </w:p>
          <w:p w:rsidR="00127038" w:rsidRPr="007765E3" w:rsidRDefault="00127038" w:rsidP="00070F74">
            <w:pPr>
              <w:jc w:val="both"/>
              <w:rPr>
                <w:rFonts w:cs="Times New Roman"/>
                <w:sz w:val="20"/>
                <w:szCs w:val="20"/>
              </w:rPr>
            </w:pP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48"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bl>
    <w:p w:rsidR="00B03D90" w:rsidRPr="007765E3" w:rsidRDefault="00B03D90">
      <w:r w:rsidRPr="007765E3">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27038" w:rsidRPr="007765E3" w:rsidTr="00070F74">
        <w:trPr>
          <w:cantSplit/>
        </w:trPr>
        <w:tc>
          <w:tcPr>
            <w:tcW w:w="9576" w:type="dxa"/>
            <w:gridSpan w:val="3"/>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lastRenderedPageBreak/>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3"/>
          </w:tcPr>
          <w:p w:rsidR="00127038" w:rsidRPr="007765E3" w:rsidRDefault="00070F74" w:rsidP="00070F74">
            <w:pPr>
              <w:pStyle w:val="SCCShortJudgment"/>
              <w:ind w:firstLine="0"/>
              <w:rPr>
                <w:szCs w:val="20"/>
                <w:lang w:val="fr-CA"/>
              </w:rPr>
            </w:pPr>
            <w:r w:rsidRPr="007765E3">
              <w:rPr>
                <w:szCs w:val="20"/>
                <w:lang w:val="fr-CA"/>
              </w:rPr>
              <w:t>Faillite et insolvabilité – Procédure – Appels – Autorisation d’appel – Anciens commandités garantissant les facilités de crédit accordées par l’intimée à des entités maintenant dissoutes – Fusion des successeurs des anciens commandités pour former la demanderesse – Intimée obtenant une ordonnance de mise sous séquestre à l’égard des successeurs et ajoutant la demanderesse aux procédures de mise sous séquestre – Les diverses formulations du critère d’autorisation d’un appel aux termes de l’al. 193</w:t>
            </w:r>
            <w:r w:rsidRPr="007765E3">
              <w:rPr>
                <w:i/>
                <w:szCs w:val="20"/>
                <w:lang w:val="fr-CA"/>
              </w:rPr>
              <w:t>e</w:t>
            </w:r>
            <w:r w:rsidRPr="007765E3">
              <w:rPr>
                <w:szCs w:val="20"/>
                <w:lang w:val="fr-CA"/>
              </w:rPr>
              <w:t xml:space="preserve">) de la </w:t>
            </w:r>
            <w:r w:rsidRPr="007765E3">
              <w:rPr>
                <w:i/>
                <w:szCs w:val="20"/>
                <w:lang w:val="fr-CA"/>
              </w:rPr>
              <w:t>Loi sur la faillite et l’insolvabilité</w:t>
            </w:r>
            <w:r w:rsidRPr="007765E3">
              <w:rPr>
                <w:szCs w:val="20"/>
                <w:lang w:val="fr-CA"/>
              </w:rPr>
              <w:t>, L.R.C. 1985, c. B-3, doivent-elles être conciliées pour ne former qu’un seul critère cohérent?</w:t>
            </w:r>
          </w:p>
          <w:p w:rsidR="00070F74" w:rsidRPr="007765E3" w:rsidRDefault="00070F74"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3"/>
          </w:tcPr>
          <w:p w:rsidR="00070F74" w:rsidRPr="007765E3" w:rsidRDefault="00070F74" w:rsidP="00070F74">
            <w:pPr>
              <w:jc w:val="both"/>
              <w:rPr>
                <w:sz w:val="20"/>
                <w:szCs w:val="20"/>
                <w:lang w:val="fr-CA"/>
              </w:rPr>
            </w:pPr>
            <w:r w:rsidRPr="007765E3">
              <w:rPr>
                <w:sz w:val="20"/>
                <w:szCs w:val="20"/>
                <w:lang w:val="fr-CA"/>
              </w:rPr>
              <w:t xml:space="preserve">La demanderesse Conserve </w:t>
            </w:r>
            <w:proofErr w:type="spellStart"/>
            <w:r w:rsidRPr="007765E3">
              <w:rPr>
                <w:sz w:val="20"/>
                <w:szCs w:val="20"/>
                <w:lang w:val="fr-CA"/>
              </w:rPr>
              <w:t>Oil</w:t>
            </w:r>
            <w:proofErr w:type="spellEnd"/>
            <w:r w:rsidRPr="007765E3">
              <w:rPr>
                <w:sz w:val="20"/>
                <w:szCs w:val="20"/>
                <w:lang w:val="fr-CA"/>
              </w:rPr>
              <w:t xml:space="preserve"> 1</w:t>
            </w:r>
            <w:r w:rsidRPr="007765E3">
              <w:rPr>
                <w:sz w:val="20"/>
                <w:szCs w:val="20"/>
                <w:vertAlign w:val="superscript"/>
                <w:lang w:val="fr-CA"/>
              </w:rPr>
              <w:t>st</w:t>
            </w:r>
            <w:r w:rsidRPr="007765E3">
              <w:rPr>
                <w:sz w:val="20"/>
                <w:szCs w:val="20"/>
                <w:lang w:val="fr-CA"/>
              </w:rPr>
              <w:t xml:space="preserve"> Corporation (« </w:t>
            </w:r>
            <w:proofErr w:type="spellStart"/>
            <w:r w:rsidRPr="007765E3">
              <w:rPr>
                <w:sz w:val="20"/>
                <w:szCs w:val="20"/>
                <w:lang w:val="fr-CA"/>
              </w:rPr>
              <w:t>Amalco</w:t>
            </w:r>
            <w:proofErr w:type="spellEnd"/>
            <w:r w:rsidRPr="007765E3">
              <w:rPr>
                <w:sz w:val="20"/>
                <w:szCs w:val="20"/>
                <w:lang w:val="fr-CA"/>
              </w:rPr>
              <w:t xml:space="preserve"> ») est issue de la fusion de plusieurs anciens commandités. Ces derniers ont garanti des facilités de crédit que l’intimée Alberta </w:t>
            </w:r>
            <w:proofErr w:type="spellStart"/>
            <w:r w:rsidRPr="007765E3">
              <w:rPr>
                <w:sz w:val="20"/>
                <w:szCs w:val="20"/>
                <w:lang w:val="fr-CA"/>
              </w:rPr>
              <w:t>Treasury</w:t>
            </w:r>
            <w:proofErr w:type="spellEnd"/>
            <w:r w:rsidRPr="007765E3">
              <w:rPr>
                <w:sz w:val="20"/>
                <w:szCs w:val="20"/>
                <w:lang w:val="fr-CA"/>
              </w:rPr>
              <w:t xml:space="preserve"> Branches (« ATB ») avait accordées à d’autres entités connexes à la société en commandite. Subséquemment, ces autres entités connexes ont tenté de se réorganiser. En conséquence, tout leur actif et leur passif a été transféré à une nouvelle société en commandite, COGI Limited </w:t>
            </w:r>
            <w:proofErr w:type="spellStart"/>
            <w:r w:rsidRPr="007765E3">
              <w:rPr>
                <w:sz w:val="20"/>
                <w:szCs w:val="20"/>
                <w:lang w:val="fr-CA"/>
              </w:rPr>
              <w:t>Partnership</w:t>
            </w:r>
            <w:proofErr w:type="spellEnd"/>
            <w:r w:rsidRPr="007765E3">
              <w:rPr>
                <w:sz w:val="20"/>
                <w:szCs w:val="20"/>
                <w:lang w:val="fr-CA"/>
              </w:rPr>
              <w:t xml:space="preserve"> (« COGI LP »), et Canadian </w:t>
            </w:r>
            <w:proofErr w:type="spellStart"/>
            <w:r w:rsidRPr="007765E3">
              <w:rPr>
                <w:sz w:val="20"/>
                <w:szCs w:val="20"/>
                <w:lang w:val="fr-CA"/>
              </w:rPr>
              <w:t>Oil</w:t>
            </w:r>
            <w:proofErr w:type="spellEnd"/>
            <w:r w:rsidRPr="007765E3">
              <w:rPr>
                <w:sz w:val="20"/>
                <w:szCs w:val="20"/>
                <w:lang w:val="fr-CA"/>
              </w:rPr>
              <w:t xml:space="preserve"> &amp; </w:t>
            </w:r>
            <w:proofErr w:type="spellStart"/>
            <w:r w:rsidRPr="007765E3">
              <w:rPr>
                <w:sz w:val="20"/>
                <w:szCs w:val="20"/>
                <w:lang w:val="fr-CA"/>
              </w:rPr>
              <w:t>Gas</w:t>
            </w:r>
            <w:proofErr w:type="spellEnd"/>
            <w:r w:rsidRPr="007765E3">
              <w:rPr>
                <w:sz w:val="20"/>
                <w:szCs w:val="20"/>
                <w:lang w:val="fr-CA"/>
              </w:rPr>
              <w:t xml:space="preserve"> International Inc. (« COGI GP ») est devenue la commanditée de COGI LP. Les entités connexes ont été dissoutes, leurs facilités de crédit ont été remboursées et annulées, et COGI LP a assumé leurs obligations et leurs passifs et a obtenu une autre facilité de crédit auprès de ATB. ATB n’a pas demandé que les anciens commandités ou </w:t>
            </w:r>
            <w:proofErr w:type="spellStart"/>
            <w:r w:rsidRPr="007765E3">
              <w:rPr>
                <w:sz w:val="20"/>
                <w:szCs w:val="20"/>
                <w:lang w:val="fr-CA"/>
              </w:rPr>
              <w:t>Amalco</w:t>
            </w:r>
            <w:proofErr w:type="spellEnd"/>
            <w:r w:rsidRPr="007765E3">
              <w:rPr>
                <w:sz w:val="20"/>
                <w:szCs w:val="20"/>
                <w:lang w:val="fr-CA"/>
              </w:rPr>
              <w:t xml:space="preserve"> fournissent une garantie pour la nouvelle facilité de crédit, et elle ne leur a pas demandé de reconnaître que les anciennes garanties étaient maintenues à l’égard de la nouvelle dette. </w:t>
            </w:r>
            <w:proofErr w:type="spellStart"/>
            <w:r w:rsidRPr="007765E3">
              <w:rPr>
                <w:sz w:val="20"/>
                <w:szCs w:val="20"/>
                <w:lang w:val="fr-CA"/>
              </w:rPr>
              <w:t>Amalco</w:t>
            </w:r>
            <w:proofErr w:type="spellEnd"/>
            <w:r w:rsidRPr="007765E3">
              <w:rPr>
                <w:sz w:val="20"/>
                <w:szCs w:val="20"/>
                <w:lang w:val="fr-CA"/>
              </w:rPr>
              <w:t>, créée peu après, n’est aucunement liée par contrat à ATB.</w:t>
            </w:r>
          </w:p>
          <w:p w:rsidR="00127038" w:rsidRPr="007765E3" w:rsidRDefault="00127038" w:rsidP="00070F74">
            <w:pPr>
              <w:jc w:val="both"/>
              <w:rPr>
                <w:rFonts w:cs="Times New Roman"/>
                <w:sz w:val="20"/>
                <w:szCs w:val="20"/>
                <w:u w:val="single"/>
                <w:lang w:val="fr-CA"/>
              </w:rPr>
            </w:pPr>
          </w:p>
        </w:tc>
      </w:tr>
      <w:tr w:rsidR="00127038" w:rsidRPr="007765E3" w:rsidTr="00070F74">
        <w:tc>
          <w:tcPr>
            <w:tcW w:w="9576" w:type="dxa"/>
            <w:gridSpan w:val="3"/>
          </w:tcPr>
          <w:p w:rsidR="00127038" w:rsidRPr="007765E3" w:rsidRDefault="00070F74" w:rsidP="00070F74">
            <w:pPr>
              <w:pStyle w:val="SCCShortJudgment"/>
              <w:ind w:firstLine="0"/>
              <w:rPr>
                <w:szCs w:val="20"/>
                <w:lang w:val="fr-CA"/>
              </w:rPr>
            </w:pPr>
            <w:r w:rsidRPr="007765E3">
              <w:rPr>
                <w:szCs w:val="20"/>
                <w:lang w:val="fr-CA"/>
              </w:rPr>
              <w:t xml:space="preserve">La réorganisation a échoué, et ATB a demandé et obtenu une ordonnance de mise sous séquestre à l’égard de COGI LP, COGI GP et Conserve </w:t>
            </w:r>
            <w:proofErr w:type="spellStart"/>
            <w:r w:rsidRPr="007765E3">
              <w:rPr>
                <w:szCs w:val="20"/>
                <w:lang w:val="fr-CA"/>
              </w:rPr>
              <w:t>Oil</w:t>
            </w:r>
            <w:proofErr w:type="spellEnd"/>
            <w:r w:rsidRPr="007765E3">
              <w:rPr>
                <w:szCs w:val="20"/>
                <w:lang w:val="fr-CA"/>
              </w:rPr>
              <w:t xml:space="preserve"> Group Inc. ATB a alors demandé une seconde ordonnance de mise sous séquestre en ajoutant </w:t>
            </w:r>
            <w:proofErr w:type="spellStart"/>
            <w:r w:rsidRPr="007765E3">
              <w:rPr>
                <w:szCs w:val="20"/>
                <w:lang w:val="fr-CA"/>
              </w:rPr>
              <w:t>Amalco</w:t>
            </w:r>
            <w:proofErr w:type="spellEnd"/>
            <w:r w:rsidRPr="007765E3">
              <w:rPr>
                <w:szCs w:val="20"/>
                <w:lang w:val="fr-CA"/>
              </w:rPr>
              <w:t xml:space="preserve"> aux procédures de mise sous séquestre.</w:t>
            </w:r>
          </w:p>
          <w:p w:rsidR="00070F74" w:rsidRPr="007765E3" w:rsidRDefault="00070F74" w:rsidP="00070F74">
            <w:pPr>
              <w:pStyle w:val="SCCShortJudgment"/>
              <w:ind w:firstLine="0"/>
              <w:rPr>
                <w:rFonts w:cs="Times New Roman"/>
                <w:szCs w:val="20"/>
                <w:u w:val="single"/>
                <w:lang w:val="fr-CA"/>
              </w:rPr>
            </w:pPr>
          </w:p>
        </w:tc>
      </w:tr>
      <w:tr w:rsidR="00127038" w:rsidRPr="007765E3" w:rsidTr="00070F74">
        <w:trPr>
          <w:cantSplit/>
        </w:trPr>
        <w:tc>
          <w:tcPr>
            <w:tcW w:w="4410" w:type="dxa"/>
          </w:tcPr>
          <w:p w:rsidR="00070F74" w:rsidRPr="007765E3" w:rsidRDefault="00070F74" w:rsidP="00070F74">
            <w:pPr>
              <w:rPr>
                <w:sz w:val="20"/>
                <w:szCs w:val="20"/>
                <w:lang w:val="fr-CA"/>
              </w:rPr>
            </w:pPr>
            <w:r w:rsidRPr="007765E3">
              <w:rPr>
                <w:sz w:val="20"/>
                <w:szCs w:val="20"/>
                <w:lang w:val="fr-CA"/>
              </w:rPr>
              <w:t>6 janvier 2016</w:t>
            </w:r>
          </w:p>
          <w:p w:rsidR="00070F74" w:rsidRPr="007765E3" w:rsidRDefault="00070F74" w:rsidP="00070F74">
            <w:pPr>
              <w:rPr>
                <w:sz w:val="20"/>
                <w:szCs w:val="20"/>
                <w:lang w:val="fr-CA"/>
              </w:rPr>
            </w:pPr>
            <w:r w:rsidRPr="007765E3">
              <w:rPr>
                <w:sz w:val="20"/>
                <w:szCs w:val="20"/>
                <w:lang w:val="fr-CA"/>
              </w:rPr>
              <w:t>Cour du Banc de la Reine de l’Alberta</w:t>
            </w:r>
          </w:p>
          <w:p w:rsidR="00070F74" w:rsidRPr="007765E3" w:rsidRDefault="00070F74" w:rsidP="00070F74">
            <w:pPr>
              <w:rPr>
                <w:sz w:val="20"/>
                <w:szCs w:val="20"/>
              </w:rPr>
            </w:pPr>
            <w:r w:rsidRPr="007765E3">
              <w:rPr>
                <w:sz w:val="20"/>
                <w:szCs w:val="20"/>
              </w:rPr>
              <w:t>(</w:t>
            </w:r>
            <w:proofErr w:type="spellStart"/>
            <w:r w:rsidRPr="007765E3">
              <w:rPr>
                <w:sz w:val="20"/>
                <w:szCs w:val="20"/>
              </w:rPr>
              <w:t>Juge</w:t>
            </w:r>
            <w:proofErr w:type="spellEnd"/>
            <w:r w:rsidRPr="007765E3">
              <w:rPr>
                <w:sz w:val="20"/>
                <w:szCs w:val="20"/>
              </w:rPr>
              <w:t xml:space="preserve"> Horner)</w:t>
            </w:r>
          </w:p>
          <w:p w:rsidR="00070F74" w:rsidRPr="007765E3" w:rsidRDefault="00070F74" w:rsidP="00070F74">
            <w:pPr>
              <w:rPr>
                <w:sz w:val="20"/>
                <w:szCs w:val="20"/>
              </w:rPr>
            </w:pPr>
            <w:r w:rsidRPr="007765E3">
              <w:rPr>
                <w:sz w:val="20"/>
                <w:szCs w:val="20"/>
              </w:rPr>
              <w:t xml:space="preserve">No. du </w:t>
            </w:r>
            <w:proofErr w:type="spellStart"/>
            <w:r w:rsidRPr="007765E3">
              <w:rPr>
                <w:sz w:val="20"/>
                <w:szCs w:val="20"/>
              </w:rPr>
              <w:t>greffe</w:t>
            </w:r>
            <w:proofErr w:type="spellEnd"/>
            <w:r w:rsidRPr="007765E3">
              <w:rPr>
                <w:sz w:val="20"/>
                <w:szCs w:val="20"/>
              </w:rPr>
              <w:t xml:space="preserve"> 1501-12220</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070F74" w:rsidRPr="007765E3" w:rsidRDefault="00070F74" w:rsidP="00070F74">
            <w:pPr>
              <w:rPr>
                <w:sz w:val="20"/>
                <w:szCs w:val="20"/>
                <w:lang w:val="fr-CA"/>
              </w:rPr>
            </w:pPr>
            <w:r w:rsidRPr="007765E3">
              <w:rPr>
                <w:sz w:val="20"/>
                <w:szCs w:val="20"/>
                <w:lang w:val="fr-CA"/>
              </w:rPr>
              <w:t>Ordonnance de mise sous séquestre accordée</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tcPr>
          <w:p w:rsidR="00070F74" w:rsidRPr="007765E3" w:rsidRDefault="00070F74" w:rsidP="00070F74">
            <w:pPr>
              <w:rPr>
                <w:sz w:val="20"/>
                <w:szCs w:val="20"/>
                <w:lang w:val="fr-CA"/>
              </w:rPr>
            </w:pPr>
            <w:r w:rsidRPr="007765E3">
              <w:rPr>
                <w:sz w:val="20"/>
                <w:szCs w:val="20"/>
                <w:lang w:val="fr-CA"/>
              </w:rPr>
              <w:t>31 mars 2016</w:t>
            </w:r>
          </w:p>
          <w:p w:rsidR="00070F74" w:rsidRPr="007765E3" w:rsidRDefault="00070F74" w:rsidP="00070F74">
            <w:pPr>
              <w:rPr>
                <w:sz w:val="20"/>
                <w:szCs w:val="20"/>
                <w:lang w:val="fr-CA"/>
              </w:rPr>
            </w:pPr>
            <w:r w:rsidRPr="007765E3">
              <w:rPr>
                <w:sz w:val="20"/>
                <w:szCs w:val="20"/>
                <w:lang w:val="fr-CA"/>
              </w:rPr>
              <w:t>Cour d’appel de l’Alberta (Calgary)</w:t>
            </w:r>
          </w:p>
          <w:p w:rsidR="00070F74" w:rsidRPr="007765E3" w:rsidRDefault="00070F74" w:rsidP="00070F74">
            <w:pPr>
              <w:rPr>
                <w:sz w:val="20"/>
                <w:szCs w:val="20"/>
              </w:rPr>
            </w:pPr>
            <w:r w:rsidRPr="007765E3">
              <w:rPr>
                <w:sz w:val="20"/>
                <w:szCs w:val="20"/>
              </w:rPr>
              <w:t>(</w:t>
            </w:r>
            <w:proofErr w:type="spellStart"/>
            <w:r w:rsidRPr="007765E3">
              <w:rPr>
                <w:sz w:val="20"/>
                <w:szCs w:val="20"/>
              </w:rPr>
              <w:t>Juge</w:t>
            </w:r>
            <w:proofErr w:type="spellEnd"/>
            <w:r w:rsidRPr="007765E3">
              <w:rPr>
                <w:sz w:val="20"/>
                <w:szCs w:val="20"/>
              </w:rPr>
              <w:t xml:space="preserve"> </w:t>
            </w:r>
            <w:proofErr w:type="spellStart"/>
            <w:r w:rsidRPr="007765E3">
              <w:rPr>
                <w:sz w:val="20"/>
                <w:szCs w:val="20"/>
              </w:rPr>
              <w:t>Rowbotham</w:t>
            </w:r>
            <w:proofErr w:type="spellEnd"/>
            <w:r w:rsidRPr="007765E3">
              <w:rPr>
                <w:sz w:val="20"/>
                <w:szCs w:val="20"/>
              </w:rPr>
              <w:t>)</w:t>
            </w:r>
          </w:p>
          <w:p w:rsidR="00070F74" w:rsidRPr="007765E3" w:rsidRDefault="007765E3" w:rsidP="00070F74">
            <w:pPr>
              <w:rPr>
                <w:sz w:val="20"/>
                <w:szCs w:val="20"/>
              </w:rPr>
            </w:pPr>
            <w:hyperlink r:id="rId31" w:history="1">
              <w:r w:rsidR="00070F74" w:rsidRPr="007765E3">
                <w:rPr>
                  <w:rStyle w:val="Hyperlink"/>
                  <w:sz w:val="20"/>
                  <w:szCs w:val="20"/>
                </w:rPr>
                <w:t>2016 ABCA 87</w:t>
              </w:r>
            </w:hyperlink>
            <w:r w:rsidR="00070F74" w:rsidRPr="007765E3">
              <w:rPr>
                <w:sz w:val="20"/>
                <w:szCs w:val="20"/>
              </w:rPr>
              <w:t xml:space="preserve"> </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070F74" w:rsidRPr="007765E3" w:rsidRDefault="00070F74" w:rsidP="00070F74">
            <w:pPr>
              <w:rPr>
                <w:sz w:val="20"/>
                <w:szCs w:val="20"/>
              </w:rPr>
            </w:pPr>
            <w:proofErr w:type="spellStart"/>
            <w:r w:rsidRPr="007765E3">
              <w:rPr>
                <w:sz w:val="20"/>
                <w:szCs w:val="20"/>
              </w:rPr>
              <w:t>Demande</w:t>
            </w:r>
            <w:proofErr w:type="spellEnd"/>
            <w:r w:rsidRPr="007765E3">
              <w:rPr>
                <w:sz w:val="20"/>
                <w:szCs w:val="20"/>
              </w:rPr>
              <w:t xml:space="preserve"> </w:t>
            </w:r>
            <w:proofErr w:type="spellStart"/>
            <w:r w:rsidRPr="007765E3">
              <w:rPr>
                <w:sz w:val="20"/>
                <w:szCs w:val="20"/>
              </w:rPr>
              <w:t>d’autorisation</w:t>
            </w:r>
            <w:proofErr w:type="spellEnd"/>
            <w:r w:rsidRPr="007765E3">
              <w:rPr>
                <w:sz w:val="20"/>
                <w:szCs w:val="20"/>
              </w:rPr>
              <w:t xml:space="preserve"> </w:t>
            </w:r>
            <w:proofErr w:type="spellStart"/>
            <w:r w:rsidRPr="007765E3">
              <w:rPr>
                <w:sz w:val="20"/>
                <w:szCs w:val="20"/>
              </w:rPr>
              <w:t>d’appel</w:t>
            </w:r>
            <w:proofErr w:type="spellEnd"/>
            <w:r w:rsidRPr="007765E3">
              <w:rPr>
                <w:sz w:val="20"/>
                <w:szCs w:val="20"/>
              </w:rPr>
              <w:t xml:space="preserve"> </w:t>
            </w:r>
            <w:proofErr w:type="spellStart"/>
            <w:r w:rsidRPr="007765E3">
              <w:rPr>
                <w:sz w:val="20"/>
                <w:szCs w:val="20"/>
              </w:rPr>
              <w:t>refusée</w:t>
            </w:r>
            <w:proofErr w:type="spellEnd"/>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tcPr>
          <w:p w:rsidR="00070F74" w:rsidRPr="007765E3" w:rsidRDefault="00070F74" w:rsidP="00070F74">
            <w:pPr>
              <w:rPr>
                <w:sz w:val="20"/>
                <w:szCs w:val="20"/>
              </w:rPr>
            </w:pPr>
            <w:r w:rsidRPr="007765E3">
              <w:rPr>
                <w:sz w:val="20"/>
                <w:szCs w:val="20"/>
              </w:rPr>
              <w:t xml:space="preserve">26 </w:t>
            </w:r>
            <w:proofErr w:type="spellStart"/>
            <w:r w:rsidRPr="007765E3">
              <w:rPr>
                <w:sz w:val="20"/>
                <w:szCs w:val="20"/>
              </w:rPr>
              <w:t>mai</w:t>
            </w:r>
            <w:proofErr w:type="spellEnd"/>
            <w:r w:rsidRPr="007765E3">
              <w:rPr>
                <w:sz w:val="20"/>
                <w:szCs w:val="20"/>
              </w:rPr>
              <w:t xml:space="preserve"> 2016</w:t>
            </w:r>
          </w:p>
          <w:p w:rsidR="00070F74" w:rsidRPr="007765E3" w:rsidRDefault="00070F74" w:rsidP="00070F74">
            <w:pPr>
              <w:rPr>
                <w:sz w:val="20"/>
                <w:szCs w:val="20"/>
              </w:rPr>
            </w:pPr>
            <w:r w:rsidRPr="007765E3">
              <w:rPr>
                <w:sz w:val="20"/>
                <w:szCs w:val="20"/>
                <w:lang w:val="fr-CA"/>
              </w:rPr>
              <w:t>Cour suprême du Canada</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070F74" w:rsidRPr="007765E3" w:rsidRDefault="00070F74" w:rsidP="00070F74">
            <w:pPr>
              <w:rPr>
                <w:sz w:val="20"/>
                <w:szCs w:val="20"/>
              </w:rPr>
            </w:pPr>
            <w:r w:rsidRPr="007765E3">
              <w:rPr>
                <w:sz w:val="20"/>
                <w:szCs w:val="20"/>
                <w:lang w:val="fr-CA"/>
              </w:rPr>
              <w:t>Demande d’autorisation d’appel déposée</w:t>
            </w:r>
          </w:p>
          <w:p w:rsidR="00127038" w:rsidRPr="007765E3" w:rsidRDefault="00127038" w:rsidP="00070F74">
            <w:pPr>
              <w:pStyle w:val="SCCShortJudgment"/>
              <w:ind w:firstLine="0"/>
              <w:rPr>
                <w:rFonts w:cs="Times New Roman"/>
                <w:szCs w:val="20"/>
                <w:u w:val="single"/>
                <w:lang w:val="fr-CA"/>
              </w:rPr>
            </w:pPr>
          </w:p>
        </w:tc>
      </w:tr>
    </w:tbl>
    <w:p w:rsidR="00901382" w:rsidRPr="007765E3" w:rsidRDefault="007765E3" w:rsidP="000E2959">
      <w:pPr>
        <w:rPr>
          <w:sz w:val="20"/>
          <w:szCs w:val="20"/>
        </w:rPr>
      </w:pPr>
      <w:r w:rsidRPr="007765E3">
        <w:rPr>
          <w:rFonts w:cs="Times New Roman"/>
          <w:szCs w:val="20"/>
          <w:lang w:val="fr-CA"/>
        </w:rPr>
        <w:pict>
          <v:rect id="_x0000_i1049" style="width:2in;height:1pt" o:hrpct="0" o:hralign="center" o:hrstd="t" o:hrnoshade="t" o:hr="t" fillcolor="black [3213]" stroked="f"/>
        </w:pict>
      </w:r>
    </w:p>
    <w:p w:rsidR="00901382" w:rsidRPr="007765E3" w:rsidRDefault="00901382"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37026</w:t>
            </w:r>
          </w:p>
          <w:p w:rsidR="00127038" w:rsidRPr="007765E3" w:rsidRDefault="00127038" w:rsidP="00070F74">
            <w:pPr>
              <w:jc w:val="both"/>
              <w:rPr>
                <w:rFonts w:cs="Times New Roman"/>
                <w:b/>
                <w:sz w:val="20"/>
                <w:szCs w:val="20"/>
              </w:rPr>
            </w:pPr>
          </w:p>
        </w:tc>
        <w:tc>
          <w:tcPr>
            <w:tcW w:w="8118" w:type="dxa"/>
          </w:tcPr>
          <w:p w:rsidR="00127038" w:rsidRPr="007765E3" w:rsidRDefault="00B03D90" w:rsidP="00070F74">
            <w:pPr>
              <w:jc w:val="both"/>
              <w:rPr>
                <w:rFonts w:cs="Times New Roman"/>
                <w:sz w:val="20"/>
                <w:szCs w:val="20"/>
              </w:rPr>
            </w:pPr>
            <w:r w:rsidRPr="007765E3">
              <w:rPr>
                <w:b/>
                <w:sz w:val="20"/>
                <w:szCs w:val="20"/>
                <w:u w:val="single"/>
              </w:rPr>
              <w:t>Steven Paul Boone v. Her Majesty the Queen</w:t>
            </w:r>
            <w:r w:rsidRPr="007765E3">
              <w:rPr>
                <w:rFonts w:cs="Times New Roman"/>
                <w:sz w:val="20"/>
                <w:szCs w:val="20"/>
              </w:rPr>
              <w:t xml:space="preserve"> </w:t>
            </w:r>
            <w:r w:rsidR="00127038" w:rsidRPr="007765E3">
              <w:rPr>
                <w:rFonts w:cs="Times New Roman"/>
                <w:sz w:val="20"/>
                <w:szCs w:val="20"/>
              </w:rPr>
              <w:t>(Ont.) (C</w:t>
            </w:r>
            <w:r w:rsidRPr="007765E3">
              <w:rPr>
                <w:rFonts w:cs="Times New Roman"/>
                <w:sz w:val="20"/>
                <w:szCs w:val="20"/>
              </w:rPr>
              <w:t>rim.</w:t>
            </w:r>
            <w:r w:rsidR="00127038" w:rsidRPr="007765E3">
              <w:rPr>
                <w:rFonts w:cs="Times New Roman"/>
                <w:sz w:val="20"/>
                <w:szCs w:val="20"/>
              </w:rPr>
              <w:t>)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tcPr>
          <w:p w:rsidR="00127038" w:rsidRPr="007765E3" w:rsidRDefault="00127038" w:rsidP="00070F74">
            <w:pPr>
              <w:jc w:val="both"/>
              <w:rPr>
                <w:rStyle w:val="SCCCoramChar"/>
                <w:sz w:val="20"/>
                <w:szCs w:val="20"/>
                <w:lang w:val="en-US"/>
              </w:rPr>
            </w:pPr>
            <w:proofErr w:type="spellStart"/>
            <w:r w:rsidRPr="007765E3">
              <w:rPr>
                <w:rStyle w:val="SCCCoramChar"/>
                <w:sz w:val="20"/>
                <w:szCs w:val="20"/>
                <w:lang w:val="en-US"/>
              </w:rPr>
              <w:t>McLachlin</w:t>
            </w:r>
            <w:proofErr w:type="spellEnd"/>
            <w:r w:rsidRPr="007765E3">
              <w:rPr>
                <w:rStyle w:val="SCCCoramChar"/>
                <w:sz w:val="20"/>
                <w:szCs w:val="20"/>
                <w:lang w:val="en-US"/>
              </w:rPr>
              <w:t xml:space="preserve"> C.J. and </w:t>
            </w:r>
            <w:proofErr w:type="spellStart"/>
            <w:r w:rsidRPr="007765E3">
              <w:rPr>
                <w:rStyle w:val="SCCCoramChar"/>
                <w:sz w:val="20"/>
                <w:szCs w:val="20"/>
                <w:lang w:val="en-US"/>
              </w:rPr>
              <w:t>Moldaver</w:t>
            </w:r>
            <w:proofErr w:type="spellEnd"/>
            <w:r w:rsidRPr="007765E3">
              <w:rPr>
                <w:rStyle w:val="SCCCoramChar"/>
                <w:sz w:val="20"/>
                <w:szCs w:val="20"/>
                <w:lang w:val="en-US"/>
              </w:rPr>
              <w:t xml:space="preserve"> and </w:t>
            </w:r>
            <w:proofErr w:type="spellStart"/>
            <w:r w:rsidRPr="007765E3">
              <w:rPr>
                <w:rStyle w:val="SCCCoramChar"/>
                <w:sz w:val="20"/>
                <w:szCs w:val="20"/>
                <w:lang w:val="en-US"/>
              </w:rPr>
              <w:t>Gascon</w:t>
            </w:r>
            <w:proofErr w:type="spellEnd"/>
            <w:r w:rsidRPr="007765E3">
              <w:rPr>
                <w:rStyle w:val="SCCCoramChar"/>
                <w:sz w:val="20"/>
                <w:szCs w:val="20"/>
                <w:lang w:val="en-US"/>
              </w:rPr>
              <w:t xml:space="preserve"> JJ.</w:t>
            </w:r>
          </w:p>
          <w:p w:rsidR="00127038" w:rsidRPr="007765E3" w:rsidRDefault="00127038" w:rsidP="00070F74">
            <w:pPr>
              <w:jc w:val="both"/>
              <w:rPr>
                <w:rFonts w:cs="Times New Roman"/>
                <w:sz w:val="20"/>
                <w:szCs w:val="20"/>
                <w:u w:val="single"/>
              </w:rPr>
            </w:pPr>
          </w:p>
        </w:tc>
      </w:tr>
      <w:tr w:rsidR="00127038" w:rsidRPr="007765E3" w:rsidTr="00070F74">
        <w:trPr>
          <w:cantSplit/>
        </w:trPr>
        <w:tc>
          <w:tcPr>
            <w:tcW w:w="9576" w:type="dxa"/>
            <w:gridSpan w:val="2"/>
          </w:tcPr>
          <w:p w:rsidR="00127038" w:rsidRPr="007765E3" w:rsidRDefault="00127038" w:rsidP="00070F74">
            <w:pPr>
              <w:pStyle w:val="SCCShortJudgment"/>
              <w:ind w:firstLine="0"/>
              <w:rPr>
                <w:rFonts w:cs="Times New Roman"/>
                <w:szCs w:val="20"/>
              </w:rPr>
            </w:pPr>
            <w:r w:rsidRPr="007765E3">
              <w:rPr>
                <w:rFonts w:cs="Times New Roman"/>
                <w:szCs w:val="20"/>
              </w:rPr>
              <w:tab/>
            </w:r>
            <w:r w:rsidR="00B03D90" w:rsidRPr="007765E3">
              <w:rPr>
                <w:szCs w:val="20"/>
              </w:rPr>
              <w:t>The application for leave to appeal from the judgment of the Court of Appeal for Ontario, Number C59417, 2016 ONCA 227, dated March 29, 2016, is dismissed.</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rFonts w:cs="Times New Roman"/>
                <w:szCs w:val="20"/>
                <w:lang w:val="fr-CA"/>
              </w:rPr>
            </w:pPr>
            <w:r w:rsidRPr="007765E3">
              <w:rPr>
                <w:rFonts w:cs="Times New Roman"/>
                <w:szCs w:val="20"/>
              </w:rPr>
              <w:tab/>
            </w:r>
            <w:r w:rsidR="00B03D90" w:rsidRPr="007765E3">
              <w:rPr>
                <w:szCs w:val="20"/>
                <w:lang w:val="fr-CA"/>
              </w:rPr>
              <w:t xml:space="preserve">La demande d’autorisation d’appel de l’arrêt de la </w:t>
            </w:r>
            <w:r w:rsidR="00B03D90" w:rsidRPr="007765E3">
              <w:rPr>
                <w:szCs w:val="20"/>
                <w:lang w:val="fr-FR"/>
              </w:rPr>
              <w:t>Cour d’appel de l’Ontario</w:t>
            </w:r>
            <w:r w:rsidR="00B03D90" w:rsidRPr="007765E3">
              <w:rPr>
                <w:szCs w:val="20"/>
                <w:lang w:val="fr-CA"/>
              </w:rPr>
              <w:t xml:space="preserve">, numéro </w:t>
            </w:r>
            <w:r w:rsidR="00B03D90" w:rsidRPr="007765E3">
              <w:rPr>
                <w:szCs w:val="20"/>
                <w:lang w:val="fr-FR"/>
              </w:rPr>
              <w:t>C59417, 2016 ONCA 227</w:t>
            </w:r>
            <w:r w:rsidR="00B03D90" w:rsidRPr="007765E3">
              <w:rPr>
                <w:szCs w:val="20"/>
                <w:lang w:val="fr-CA"/>
              </w:rPr>
              <w:t xml:space="preserve">, daté du </w:t>
            </w:r>
            <w:r w:rsidR="00B03D90" w:rsidRPr="007765E3">
              <w:rPr>
                <w:szCs w:val="20"/>
                <w:lang w:val="fr-FR"/>
              </w:rPr>
              <w:t>29 mars 2016</w:t>
            </w:r>
            <w:r w:rsidR="00B03D90" w:rsidRPr="007765E3">
              <w:rPr>
                <w:szCs w:val="20"/>
                <w:lang w:val="fr-CA"/>
              </w:rPr>
              <w:t>, est rejet</w:t>
            </w:r>
            <w:r w:rsidR="00B03D90" w:rsidRPr="007765E3">
              <w:rPr>
                <w:rFonts w:cs="Times New Roman"/>
                <w:szCs w:val="20"/>
                <w:lang w:val="fr-CA"/>
              </w:rPr>
              <w:t>é</w:t>
            </w:r>
            <w:r w:rsidR="00B03D90" w:rsidRPr="007765E3">
              <w:rPr>
                <w:szCs w:val="20"/>
                <w:lang w:val="fr-CA"/>
              </w:rPr>
              <w:t>e.</w:t>
            </w:r>
          </w:p>
          <w:p w:rsidR="00127038" w:rsidRPr="007765E3" w:rsidRDefault="00127038" w:rsidP="00070F74">
            <w:pPr>
              <w:pStyle w:val="SCCShortJudgment"/>
              <w:ind w:firstLine="0"/>
              <w:rPr>
                <w:rFonts w:cs="Times New Roman"/>
                <w:szCs w:val="20"/>
                <w:lang w:val="fr-CA"/>
              </w:rPr>
            </w:pPr>
          </w:p>
        </w:tc>
      </w:tr>
    </w:tbl>
    <w:p w:rsidR="0078692F" w:rsidRPr="007765E3" w:rsidRDefault="0078692F">
      <w:pPr>
        <w:rPr>
          <w:lang w:val="fr-CA"/>
        </w:rPr>
      </w:pPr>
      <w:r w:rsidRPr="007765E3">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27038" w:rsidRPr="007765E3" w:rsidTr="00070F74">
        <w:trPr>
          <w:cantSplit/>
        </w:trPr>
        <w:tc>
          <w:tcPr>
            <w:tcW w:w="9576" w:type="dxa"/>
            <w:gridSpan w:val="3"/>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lastRenderedPageBreak/>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3"/>
          </w:tcPr>
          <w:p w:rsidR="00B03D90" w:rsidRPr="007765E3" w:rsidRDefault="00B03D90" w:rsidP="00B03D90">
            <w:pPr>
              <w:pStyle w:val="SCCBanSummary"/>
              <w:rPr>
                <w:sz w:val="20"/>
                <w:szCs w:val="20"/>
              </w:rPr>
            </w:pPr>
            <w:r w:rsidRPr="007765E3">
              <w:rPr>
                <w:sz w:val="20"/>
                <w:szCs w:val="20"/>
              </w:rPr>
              <w:t>(Publication ban in case)</w:t>
            </w:r>
          </w:p>
          <w:p w:rsidR="00B03D90" w:rsidRPr="007765E3" w:rsidRDefault="00B03D90" w:rsidP="00B03D90">
            <w:pPr>
              <w:rPr>
                <w:sz w:val="20"/>
                <w:szCs w:val="20"/>
              </w:rPr>
            </w:pPr>
          </w:p>
          <w:p w:rsidR="00127038" w:rsidRPr="007765E3" w:rsidRDefault="00B03D90" w:rsidP="00B03D90">
            <w:pPr>
              <w:pStyle w:val="SCCShortJudgment"/>
              <w:ind w:firstLine="0"/>
              <w:rPr>
                <w:szCs w:val="20"/>
                <w:lang w:val="en-US"/>
              </w:rPr>
            </w:pPr>
            <w:r w:rsidRPr="007765E3">
              <w:rPr>
                <w:szCs w:val="20"/>
              </w:rPr>
              <w:t xml:space="preserve">Criminal law – Offences – Elements of offence – Aggravated assault – Evidence – Complainant’s sexual activity – </w:t>
            </w:r>
            <w:r w:rsidRPr="007765E3">
              <w:rPr>
                <w:color w:val="000000"/>
                <w:szCs w:val="20"/>
                <w:lang w:val="en-US"/>
              </w:rPr>
              <w:t xml:space="preserve">In cases of aggravated sexual assault for non-disclosure of an HIV-positive status, what is the relevance of evidence of the complainant’s </w:t>
            </w:r>
            <w:r w:rsidRPr="007765E3">
              <w:rPr>
                <w:szCs w:val="20"/>
                <w:lang w:val="en-US"/>
              </w:rPr>
              <w:t xml:space="preserve">recklessness or willful blindness in his or her sexual conduct to the </w:t>
            </w:r>
            <w:r w:rsidRPr="007765E3">
              <w:rPr>
                <w:color w:val="000000"/>
                <w:szCs w:val="20"/>
                <w:lang w:val="en-US"/>
              </w:rPr>
              <w:t>issue of proof that the complainant would not have consented to the sexual activity in question had he or she known that the accused was HIV-positive – U</w:t>
            </w:r>
            <w:r w:rsidRPr="007765E3">
              <w:rPr>
                <w:szCs w:val="20"/>
                <w:lang w:val="en-US"/>
              </w:rPr>
              <w:t xml:space="preserve">nder s. 276 of the </w:t>
            </w:r>
            <w:r w:rsidRPr="007765E3">
              <w:rPr>
                <w:i/>
                <w:iCs/>
                <w:szCs w:val="20"/>
                <w:lang w:val="en-US"/>
              </w:rPr>
              <w:t>Criminal Code</w:t>
            </w:r>
            <w:r w:rsidRPr="007765E3">
              <w:rPr>
                <w:color w:val="000000"/>
                <w:szCs w:val="20"/>
                <w:lang w:val="en-US"/>
              </w:rPr>
              <w:t>, what</w:t>
            </w:r>
            <w:r w:rsidRPr="007765E3">
              <w:rPr>
                <w:szCs w:val="20"/>
                <w:lang w:val="en-US"/>
              </w:rPr>
              <w:t xml:space="preserve"> is the relevance and admissibility of evidence of the complainant’s risk-taking behavior in a sexual context?</w:t>
            </w:r>
          </w:p>
          <w:p w:rsidR="00B03D90" w:rsidRPr="007765E3" w:rsidRDefault="00B03D90" w:rsidP="00B03D90">
            <w:pPr>
              <w:pStyle w:val="SCCShortJudgment"/>
              <w:ind w:firstLine="0"/>
              <w:rPr>
                <w:rFonts w:cs="Times New Roman"/>
                <w:szCs w:val="20"/>
              </w:rPr>
            </w:pPr>
          </w:p>
        </w:tc>
      </w:tr>
      <w:tr w:rsidR="00127038" w:rsidRPr="007765E3" w:rsidTr="00070F74">
        <w:trPr>
          <w:cantSplit/>
        </w:trPr>
        <w:tc>
          <w:tcPr>
            <w:tcW w:w="9576" w:type="dxa"/>
            <w:gridSpan w:val="3"/>
          </w:tcPr>
          <w:p w:rsidR="00B03D90" w:rsidRPr="007765E3" w:rsidRDefault="00B03D90" w:rsidP="00B03D90">
            <w:pPr>
              <w:jc w:val="both"/>
              <w:rPr>
                <w:sz w:val="20"/>
                <w:szCs w:val="20"/>
              </w:rPr>
            </w:pPr>
            <w:r w:rsidRPr="007765E3">
              <w:rPr>
                <w:sz w:val="20"/>
                <w:szCs w:val="20"/>
              </w:rPr>
              <w:t xml:space="preserve">Mr. Boone and a co-accused failed to disclose that they were HIV-positive before a group sexual encounter with two male complainants that included unprotected anal intercourse. Both complainants knew that one of them had syphilis but neither disclosed this to Mr. Boone or his co-accused.  The accused were charged with aggravated sexual assault. The complainants testified at trial that they would not have consented to the sexual activity had the accused disclosed that they were HIV-positive. Defence counsel were allowed to cross-examine the complainants in regards to </w:t>
            </w:r>
            <w:r w:rsidRPr="007765E3">
              <w:rPr>
                <w:iCs/>
                <w:color w:val="000000"/>
                <w:sz w:val="20"/>
                <w:szCs w:val="20"/>
                <w:lang w:val="en-US"/>
              </w:rPr>
              <w:t>casual, unprotected sexual acts</w:t>
            </w:r>
            <w:r w:rsidRPr="007765E3">
              <w:rPr>
                <w:color w:val="000000"/>
                <w:sz w:val="20"/>
                <w:szCs w:val="20"/>
                <w:lang w:val="en-US"/>
              </w:rPr>
              <w:t xml:space="preserve"> on other occasions </w:t>
            </w:r>
            <w:r w:rsidRPr="007765E3">
              <w:rPr>
                <w:iCs/>
                <w:color w:val="000000"/>
                <w:sz w:val="20"/>
                <w:szCs w:val="20"/>
                <w:lang w:val="en-US"/>
              </w:rPr>
              <w:t>with each other and with strangers, including group sex with others of unknown HIV-status.</w:t>
            </w:r>
            <w:r w:rsidRPr="007765E3">
              <w:rPr>
                <w:sz w:val="20"/>
                <w:szCs w:val="20"/>
              </w:rPr>
              <w:t xml:space="preserve"> A jury convicted Mr. Boone on two counts of aggravated sexual assault. The Court of Appeal dismissed an appeal.</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4410" w:type="dxa"/>
          </w:tcPr>
          <w:p w:rsidR="00B03D90" w:rsidRPr="007765E3" w:rsidRDefault="00B03D90" w:rsidP="00B03D90">
            <w:pPr>
              <w:rPr>
                <w:sz w:val="20"/>
                <w:szCs w:val="20"/>
              </w:rPr>
            </w:pPr>
            <w:r w:rsidRPr="007765E3">
              <w:rPr>
                <w:sz w:val="20"/>
                <w:szCs w:val="20"/>
              </w:rPr>
              <w:t>December 19, 2012</w:t>
            </w:r>
          </w:p>
          <w:p w:rsidR="00B03D90" w:rsidRPr="007765E3" w:rsidRDefault="00B03D90" w:rsidP="00B03D90">
            <w:pPr>
              <w:rPr>
                <w:sz w:val="20"/>
                <w:szCs w:val="20"/>
              </w:rPr>
            </w:pPr>
            <w:r w:rsidRPr="007765E3">
              <w:rPr>
                <w:sz w:val="20"/>
                <w:szCs w:val="20"/>
              </w:rPr>
              <w:t>Ontario Superior Court of Justice</w:t>
            </w:r>
          </w:p>
          <w:p w:rsidR="00B03D90" w:rsidRPr="007765E3" w:rsidRDefault="00B03D90" w:rsidP="00B03D90">
            <w:pPr>
              <w:rPr>
                <w:sz w:val="20"/>
                <w:szCs w:val="20"/>
              </w:rPr>
            </w:pPr>
            <w:r w:rsidRPr="007765E3">
              <w:rPr>
                <w:sz w:val="20"/>
                <w:szCs w:val="20"/>
              </w:rPr>
              <w:t>(Gordon J.)</w:t>
            </w:r>
          </w:p>
          <w:p w:rsidR="00B03D90" w:rsidRPr="007765E3" w:rsidRDefault="00B03D90" w:rsidP="00B03D90">
            <w:pPr>
              <w:rPr>
                <w:sz w:val="20"/>
                <w:szCs w:val="20"/>
              </w:rPr>
            </w:pPr>
            <w:r w:rsidRPr="007765E3">
              <w:rPr>
                <w:sz w:val="20"/>
                <w:szCs w:val="20"/>
              </w:rPr>
              <w:t>(Unreported)</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B03D90" w:rsidRPr="007765E3" w:rsidRDefault="00B03D90" w:rsidP="00B03D90">
            <w:pPr>
              <w:jc w:val="both"/>
              <w:rPr>
                <w:sz w:val="20"/>
                <w:szCs w:val="20"/>
              </w:rPr>
            </w:pPr>
            <w:r w:rsidRPr="007765E3">
              <w:rPr>
                <w:sz w:val="20"/>
                <w:szCs w:val="20"/>
              </w:rPr>
              <w:t>Conviction by jury on two counts of aggravated sexual assault</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tcPr>
          <w:p w:rsidR="00B03D90" w:rsidRPr="007765E3" w:rsidRDefault="00B03D90" w:rsidP="00B03D90">
            <w:pPr>
              <w:rPr>
                <w:sz w:val="20"/>
                <w:szCs w:val="20"/>
              </w:rPr>
            </w:pPr>
            <w:r w:rsidRPr="007765E3">
              <w:rPr>
                <w:sz w:val="20"/>
                <w:szCs w:val="20"/>
              </w:rPr>
              <w:t>March 29, 2016</w:t>
            </w:r>
          </w:p>
          <w:p w:rsidR="00B03D90" w:rsidRPr="007765E3" w:rsidRDefault="00B03D90" w:rsidP="00B03D90">
            <w:pPr>
              <w:rPr>
                <w:sz w:val="20"/>
                <w:szCs w:val="20"/>
              </w:rPr>
            </w:pPr>
            <w:r w:rsidRPr="007765E3">
              <w:rPr>
                <w:sz w:val="20"/>
                <w:szCs w:val="20"/>
              </w:rPr>
              <w:t>Court of Appeal for Ontario</w:t>
            </w:r>
          </w:p>
          <w:p w:rsidR="00B03D90" w:rsidRPr="007765E3" w:rsidRDefault="00B03D90" w:rsidP="00B03D90">
            <w:pPr>
              <w:rPr>
                <w:sz w:val="20"/>
                <w:szCs w:val="20"/>
              </w:rPr>
            </w:pPr>
            <w:r w:rsidRPr="007765E3">
              <w:rPr>
                <w:sz w:val="20"/>
                <w:szCs w:val="20"/>
              </w:rPr>
              <w:t xml:space="preserve">(Sharpe, </w:t>
            </w:r>
            <w:proofErr w:type="spellStart"/>
            <w:r w:rsidRPr="007765E3">
              <w:rPr>
                <w:sz w:val="20"/>
                <w:szCs w:val="20"/>
              </w:rPr>
              <w:t>Benotto</w:t>
            </w:r>
            <w:proofErr w:type="spellEnd"/>
            <w:r w:rsidRPr="007765E3">
              <w:rPr>
                <w:sz w:val="20"/>
                <w:szCs w:val="20"/>
              </w:rPr>
              <w:t xml:space="preserve">, </w:t>
            </w:r>
            <w:proofErr w:type="spellStart"/>
            <w:r w:rsidRPr="007765E3">
              <w:rPr>
                <w:sz w:val="20"/>
                <w:szCs w:val="20"/>
              </w:rPr>
              <w:t>Huscroft</w:t>
            </w:r>
            <w:proofErr w:type="spellEnd"/>
            <w:r w:rsidRPr="007765E3">
              <w:rPr>
                <w:sz w:val="20"/>
                <w:szCs w:val="20"/>
              </w:rPr>
              <w:t xml:space="preserve"> JJ.A.)</w:t>
            </w:r>
          </w:p>
          <w:p w:rsidR="00B03D90" w:rsidRPr="007765E3" w:rsidRDefault="00B03D90" w:rsidP="00B03D90">
            <w:pPr>
              <w:rPr>
                <w:sz w:val="20"/>
                <w:szCs w:val="20"/>
              </w:rPr>
            </w:pPr>
            <w:r w:rsidRPr="007765E3">
              <w:rPr>
                <w:sz w:val="20"/>
                <w:szCs w:val="20"/>
              </w:rPr>
              <w:t xml:space="preserve">C59417; </w:t>
            </w:r>
            <w:hyperlink r:id="rId32" w:history="1">
              <w:r w:rsidRPr="007765E3">
                <w:rPr>
                  <w:rStyle w:val="Hyperlink"/>
                  <w:sz w:val="20"/>
                  <w:szCs w:val="20"/>
                </w:rPr>
                <w:t>2016 ONCA 227</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B03D90" w:rsidRPr="007765E3" w:rsidRDefault="00B03D90" w:rsidP="00B03D90">
            <w:pPr>
              <w:rPr>
                <w:sz w:val="20"/>
                <w:szCs w:val="20"/>
              </w:rPr>
            </w:pPr>
            <w:r w:rsidRPr="007765E3">
              <w:rPr>
                <w:sz w:val="20"/>
                <w:szCs w:val="20"/>
              </w:rPr>
              <w:t>Appeal dismissed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tcPr>
          <w:p w:rsidR="00B03D90" w:rsidRPr="007765E3" w:rsidRDefault="00B03D90" w:rsidP="00B03D90">
            <w:pPr>
              <w:rPr>
                <w:sz w:val="20"/>
                <w:szCs w:val="20"/>
              </w:rPr>
            </w:pPr>
            <w:r w:rsidRPr="007765E3">
              <w:rPr>
                <w:sz w:val="20"/>
                <w:szCs w:val="20"/>
              </w:rPr>
              <w:t>May 30, 2016</w:t>
            </w:r>
          </w:p>
          <w:p w:rsidR="00127038" w:rsidRPr="007765E3" w:rsidRDefault="00B03D90" w:rsidP="00B03D90">
            <w:pPr>
              <w:jc w:val="both"/>
              <w:rPr>
                <w:rFonts w:cs="Times New Roman"/>
                <w:sz w:val="20"/>
                <w:szCs w:val="20"/>
              </w:rPr>
            </w:pPr>
            <w:r w:rsidRPr="007765E3">
              <w:rPr>
                <w:sz w:val="20"/>
                <w:szCs w:val="20"/>
              </w:rPr>
              <w:t>Supreme Court of Canada</w:t>
            </w:r>
          </w:p>
        </w:tc>
        <w:tc>
          <w:tcPr>
            <w:tcW w:w="630" w:type="dxa"/>
          </w:tcPr>
          <w:p w:rsidR="00127038" w:rsidRPr="007765E3" w:rsidRDefault="00127038" w:rsidP="00070F74">
            <w:pPr>
              <w:pStyle w:val="SCCShortJudgment"/>
              <w:ind w:firstLine="0"/>
              <w:rPr>
                <w:rFonts w:cs="Times New Roman"/>
                <w:szCs w:val="20"/>
              </w:rPr>
            </w:pPr>
          </w:p>
        </w:tc>
        <w:tc>
          <w:tcPr>
            <w:tcW w:w="4536" w:type="dxa"/>
          </w:tcPr>
          <w:p w:rsidR="00B03D90" w:rsidRPr="007765E3" w:rsidRDefault="00B03D90" w:rsidP="00070F74">
            <w:pPr>
              <w:jc w:val="both"/>
              <w:rPr>
                <w:rFonts w:cs="Times New Roman"/>
                <w:sz w:val="20"/>
                <w:szCs w:val="20"/>
              </w:rPr>
            </w:pPr>
            <w:r w:rsidRPr="007765E3">
              <w:rPr>
                <w:sz w:val="20"/>
                <w:szCs w:val="20"/>
              </w:rPr>
              <w:t>Application for leave to appeal filed</w:t>
            </w:r>
          </w:p>
          <w:p w:rsidR="00127038" w:rsidRPr="007765E3" w:rsidRDefault="00127038" w:rsidP="00B03D90">
            <w:pPr>
              <w:ind w:firstLine="720"/>
              <w:rPr>
                <w:rFonts w:cs="Times New Roman"/>
                <w:sz w:val="20"/>
                <w:szCs w:val="20"/>
              </w:rPr>
            </w:pPr>
          </w:p>
        </w:tc>
      </w:tr>
      <w:tr w:rsidR="00127038" w:rsidRPr="007765E3" w:rsidTr="00070F74">
        <w:trPr>
          <w:cantSplit/>
        </w:trPr>
        <w:tc>
          <w:tcPr>
            <w:tcW w:w="9576" w:type="dxa"/>
            <w:gridSpan w:val="3"/>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50"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3"/>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3"/>
          </w:tcPr>
          <w:p w:rsidR="00B03D90" w:rsidRPr="007765E3" w:rsidRDefault="00B03D90" w:rsidP="00B03D90">
            <w:pPr>
              <w:pStyle w:val="SCCBanSummary"/>
              <w:rPr>
                <w:sz w:val="20"/>
                <w:szCs w:val="20"/>
                <w:lang w:val="fr-CA"/>
              </w:rPr>
            </w:pPr>
            <w:r w:rsidRPr="007765E3">
              <w:rPr>
                <w:sz w:val="20"/>
                <w:szCs w:val="20"/>
                <w:lang w:val="fr-CA"/>
              </w:rPr>
              <w:t>(Ordonnance de non-publication dans le dossier)</w:t>
            </w:r>
          </w:p>
          <w:p w:rsidR="00B03D90" w:rsidRPr="007765E3" w:rsidRDefault="00B03D90" w:rsidP="00B03D90">
            <w:pPr>
              <w:rPr>
                <w:sz w:val="20"/>
                <w:szCs w:val="20"/>
                <w:lang w:val="fr-CA"/>
              </w:rPr>
            </w:pPr>
          </w:p>
          <w:p w:rsidR="00B03D90" w:rsidRPr="007765E3" w:rsidRDefault="00B03D90" w:rsidP="00B03D90">
            <w:pPr>
              <w:jc w:val="both"/>
              <w:rPr>
                <w:sz w:val="20"/>
                <w:szCs w:val="20"/>
                <w:lang w:val="fr-CA"/>
              </w:rPr>
            </w:pPr>
            <w:r w:rsidRPr="007765E3">
              <w:rPr>
                <w:sz w:val="20"/>
                <w:szCs w:val="20"/>
                <w:lang w:val="fr-CA"/>
              </w:rPr>
              <w:t xml:space="preserve">Droit criminel – Infractions – Éléments de l’infraction – Voies de fait graves – Preuve – Activité sexuelle du plaignant – Dans les cas d’agression sexuelle grave découlant de l’omission de l’accusé d’avoir révélé sa séropositivité, quelle est la pertinence de la preuve de l’insouciance ou de l’aveuglement volontaire du plaignant dans son comportement sexuel pour la question de la preuve que celui-ci n’aurait pas consenti à l’activité sexuelle en cause s’il avait su que l’accusé était séropositif? </w:t>
            </w:r>
            <w:r w:rsidRPr="007765E3">
              <w:rPr>
                <w:color w:val="000000"/>
                <w:sz w:val="20"/>
                <w:szCs w:val="20"/>
                <w:lang w:val="fr-CA"/>
              </w:rPr>
              <w:t xml:space="preserve">– Dans le contexte de l’application de l’art. 276 du </w:t>
            </w:r>
            <w:r w:rsidRPr="007765E3">
              <w:rPr>
                <w:i/>
                <w:color w:val="000000"/>
                <w:sz w:val="20"/>
                <w:szCs w:val="20"/>
                <w:lang w:val="fr-CA"/>
              </w:rPr>
              <w:t>Code criminel</w:t>
            </w:r>
            <w:r w:rsidRPr="007765E3">
              <w:rPr>
                <w:color w:val="000000"/>
                <w:sz w:val="20"/>
                <w:szCs w:val="20"/>
                <w:lang w:val="fr-CA"/>
              </w:rPr>
              <w:t>, quelle est la pertinence et l’admissibilité de la preuve du comportement à risque du plaignant dans un contexte de nature sexuelle?</w:t>
            </w:r>
          </w:p>
          <w:p w:rsidR="00127038" w:rsidRPr="007765E3" w:rsidRDefault="00127038" w:rsidP="00070F74">
            <w:pPr>
              <w:pStyle w:val="SCCShortJudgment"/>
              <w:ind w:firstLine="0"/>
              <w:rPr>
                <w:rFonts w:cs="Times New Roman"/>
                <w:szCs w:val="20"/>
                <w:u w:val="single"/>
                <w:lang w:val="fr-CA"/>
              </w:rPr>
            </w:pPr>
          </w:p>
        </w:tc>
      </w:tr>
      <w:tr w:rsidR="00127038" w:rsidRPr="007765E3" w:rsidTr="00B03D90">
        <w:tc>
          <w:tcPr>
            <w:tcW w:w="9576" w:type="dxa"/>
            <w:gridSpan w:val="3"/>
          </w:tcPr>
          <w:p w:rsidR="00127038" w:rsidRPr="007765E3" w:rsidRDefault="00B03D90" w:rsidP="00070F74">
            <w:pPr>
              <w:jc w:val="both"/>
              <w:rPr>
                <w:sz w:val="20"/>
                <w:szCs w:val="20"/>
                <w:lang w:val="fr-CA"/>
              </w:rPr>
            </w:pPr>
            <w:r w:rsidRPr="007765E3">
              <w:rPr>
                <w:sz w:val="20"/>
                <w:szCs w:val="20"/>
                <w:lang w:val="fr-CA"/>
              </w:rPr>
              <w:t xml:space="preserve">Monsieur Boone et un coaccusé ont omis de révéler qu’ils étaient séropositifs avant une activité sexuelle de groupe avec les deux hommes plaignants, activité lors de laquelle ils ont eu des relations sexuelles anales non protégées. Les deux plaignants savaient que l’un d’entre eux était atteint de syphilis et ni l’un ni l’autre ne l’a révélé à M. Boone ou à son coaccusé. Ces deux derniers ont été accusés d’agression sexuelle grave. Les plaignants ont affirmé lors du procès qu’ils n’auraient pas consenti à l’activité sexuelle si les accusés avaient révélé leur séropositivité. Les avocats de la défense ont été autorisés à contre-interroger les plaignants quant à des activités sexuelles occasionnelles non protégées auxquelles ils s’étaient adonnés à d’autres occasions ensemble et avec des étrangers, y compris dans le contexte </w:t>
            </w:r>
            <w:r w:rsidRPr="007765E3">
              <w:rPr>
                <w:sz w:val="20"/>
                <w:szCs w:val="20"/>
                <w:lang w:val="fr-CA"/>
              </w:rPr>
              <w:lastRenderedPageBreak/>
              <w:t>d’activités sexuelles de groupe avec d’autres personnes dont ils ne savaient pas si elles étaient séropositives. Un jury a déclaré M. Boone coupable de deux chefs d’agression sexuelle grave. La Cour d’appel a rejeté l’appel.</w:t>
            </w:r>
          </w:p>
          <w:p w:rsidR="00B03D90" w:rsidRPr="007765E3" w:rsidRDefault="00B03D90" w:rsidP="00070F74">
            <w:pPr>
              <w:jc w:val="both"/>
              <w:rPr>
                <w:rFonts w:cs="Times New Roman"/>
                <w:sz w:val="20"/>
                <w:szCs w:val="20"/>
                <w:u w:val="single"/>
                <w:lang w:val="fr-CA"/>
              </w:rPr>
            </w:pPr>
          </w:p>
        </w:tc>
      </w:tr>
      <w:tr w:rsidR="00127038" w:rsidRPr="007765E3" w:rsidTr="00070F74">
        <w:trPr>
          <w:cantSplit/>
        </w:trPr>
        <w:tc>
          <w:tcPr>
            <w:tcW w:w="4410" w:type="dxa"/>
          </w:tcPr>
          <w:p w:rsidR="00B03D90" w:rsidRPr="007765E3" w:rsidRDefault="00B03D90" w:rsidP="00B03D90">
            <w:pPr>
              <w:rPr>
                <w:sz w:val="20"/>
                <w:szCs w:val="20"/>
                <w:lang w:val="fr-CA"/>
              </w:rPr>
            </w:pPr>
            <w:r w:rsidRPr="007765E3">
              <w:rPr>
                <w:sz w:val="20"/>
                <w:szCs w:val="20"/>
                <w:lang w:val="fr-CA"/>
              </w:rPr>
              <w:lastRenderedPageBreak/>
              <w:t>19 décembre 2012</w:t>
            </w:r>
          </w:p>
          <w:p w:rsidR="00B03D90" w:rsidRPr="007765E3" w:rsidRDefault="00B03D90" w:rsidP="00B03D90">
            <w:pPr>
              <w:rPr>
                <w:sz w:val="20"/>
                <w:szCs w:val="20"/>
                <w:lang w:val="fr-CA"/>
              </w:rPr>
            </w:pPr>
            <w:r w:rsidRPr="007765E3">
              <w:rPr>
                <w:sz w:val="20"/>
                <w:szCs w:val="20"/>
                <w:lang w:val="fr-CA"/>
              </w:rPr>
              <w:t xml:space="preserve">Cour supérieure de justice de l’Ontario </w:t>
            </w:r>
          </w:p>
          <w:p w:rsidR="00B03D90" w:rsidRPr="007765E3" w:rsidRDefault="00B03D90" w:rsidP="00B03D90">
            <w:pPr>
              <w:rPr>
                <w:sz w:val="20"/>
                <w:szCs w:val="20"/>
              </w:rPr>
            </w:pPr>
            <w:r w:rsidRPr="007765E3">
              <w:rPr>
                <w:sz w:val="20"/>
                <w:szCs w:val="20"/>
              </w:rPr>
              <w:t>(</w:t>
            </w:r>
            <w:proofErr w:type="spellStart"/>
            <w:r w:rsidRPr="007765E3">
              <w:rPr>
                <w:sz w:val="20"/>
                <w:szCs w:val="20"/>
              </w:rPr>
              <w:t>Juge</w:t>
            </w:r>
            <w:proofErr w:type="spellEnd"/>
            <w:r w:rsidRPr="007765E3">
              <w:rPr>
                <w:sz w:val="20"/>
                <w:szCs w:val="20"/>
              </w:rPr>
              <w:t xml:space="preserve"> Gordon)</w:t>
            </w:r>
          </w:p>
          <w:p w:rsidR="00B03D90" w:rsidRPr="007765E3" w:rsidRDefault="00B03D90" w:rsidP="00B03D90">
            <w:pPr>
              <w:rPr>
                <w:sz w:val="20"/>
                <w:szCs w:val="20"/>
              </w:rPr>
            </w:pPr>
            <w:r w:rsidRPr="007765E3">
              <w:rPr>
                <w:sz w:val="20"/>
                <w:szCs w:val="20"/>
              </w:rPr>
              <w:t xml:space="preserve">(Non </w:t>
            </w:r>
            <w:proofErr w:type="spellStart"/>
            <w:r w:rsidRPr="007765E3">
              <w:rPr>
                <w:sz w:val="20"/>
                <w:szCs w:val="20"/>
              </w:rPr>
              <w:t>publiée</w:t>
            </w:r>
            <w:proofErr w:type="spellEnd"/>
            <w:r w:rsidRPr="007765E3">
              <w:rPr>
                <w:sz w:val="20"/>
                <w:szCs w:val="20"/>
              </w:rPr>
              <w:t>)</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B03D90" w:rsidRPr="007765E3" w:rsidRDefault="00B03D90" w:rsidP="00B03D90">
            <w:pPr>
              <w:jc w:val="both"/>
              <w:rPr>
                <w:sz w:val="20"/>
                <w:szCs w:val="20"/>
                <w:lang w:val="fr-CA"/>
              </w:rPr>
            </w:pPr>
            <w:r w:rsidRPr="007765E3">
              <w:rPr>
                <w:sz w:val="20"/>
                <w:szCs w:val="20"/>
                <w:lang w:val="fr-CA"/>
              </w:rPr>
              <w:t>Demandeur déclaré coupable par un jury de deux chefs d’agression sexuelle grave</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tcPr>
          <w:p w:rsidR="00B03D90" w:rsidRPr="007765E3" w:rsidRDefault="00B03D90" w:rsidP="00B03D90">
            <w:pPr>
              <w:rPr>
                <w:sz w:val="20"/>
                <w:szCs w:val="20"/>
                <w:lang w:val="fr-CA"/>
              </w:rPr>
            </w:pPr>
            <w:r w:rsidRPr="007765E3">
              <w:rPr>
                <w:sz w:val="20"/>
                <w:szCs w:val="20"/>
                <w:lang w:val="fr-CA"/>
              </w:rPr>
              <w:t>29 mars 2016</w:t>
            </w:r>
          </w:p>
          <w:p w:rsidR="00B03D90" w:rsidRPr="007765E3" w:rsidRDefault="00B03D90" w:rsidP="00B03D90">
            <w:pPr>
              <w:rPr>
                <w:sz w:val="20"/>
                <w:szCs w:val="20"/>
                <w:lang w:val="fr-CA"/>
              </w:rPr>
            </w:pPr>
            <w:r w:rsidRPr="007765E3">
              <w:rPr>
                <w:sz w:val="20"/>
                <w:szCs w:val="20"/>
                <w:lang w:val="fr-CA"/>
              </w:rPr>
              <w:t>Cour d’appel de l’Ontario</w:t>
            </w:r>
          </w:p>
          <w:p w:rsidR="00B03D90" w:rsidRPr="007765E3" w:rsidRDefault="00B03D90" w:rsidP="00B03D90">
            <w:pPr>
              <w:rPr>
                <w:sz w:val="20"/>
                <w:szCs w:val="20"/>
                <w:lang w:val="fr-CA"/>
              </w:rPr>
            </w:pPr>
            <w:r w:rsidRPr="007765E3">
              <w:rPr>
                <w:sz w:val="20"/>
                <w:szCs w:val="20"/>
                <w:lang w:val="fr-CA"/>
              </w:rPr>
              <w:t xml:space="preserve">(Juges Sharpe, </w:t>
            </w:r>
            <w:proofErr w:type="spellStart"/>
            <w:r w:rsidRPr="007765E3">
              <w:rPr>
                <w:sz w:val="20"/>
                <w:szCs w:val="20"/>
                <w:lang w:val="fr-CA"/>
              </w:rPr>
              <w:t>Benotto</w:t>
            </w:r>
            <w:proofErr w:type="spellEnd"/>
            <w:r w:rsidRPr="007765E3">
              <w:rPr>
                <w:sz w:val="20"/>
                <w:szCs w:val="20"/>
                <w:lang w:val="fr-CA"/>
              </w:rPr>
              <w:t xml:space="preserve">, </w:t>
            </w:r>
            <w:proofErr w:type="spellStart"/>
            <w:r w:rsidRPr="007765E3">
              <w:rPr>
                <w:sz w:val="20"/>
                <w:szCs w:val="20"/>
                <w:lang w:val="fr-CA"/>
              </w:rPr>
              <w:t>Huscroft</w:t>
            </w:r>
            <w:proofErr w:type="spellEnd"/>
            <w:r w:rsidRPr="007765E3">
              <w:rPr>
                <w:sz w:val="20"/>
                <w:szCs w:val="20"/>
                <w:lang w:val="fr-CA"/>
              </w:rPr>
              <w:t>)</w:t>
            </w:r>
          </w:p>
          <w:p w:rsidR="00B03D90" w:rsidRPr="007765E3" w:rsidRDefault="00B03D90" w:rsidP="00B03D90">
            <w:pPr>
              <w:rPr>
                <w:sz w:val="20"/>
                <w:szCs w:val="20"/>
              </w:rPr>
            </w:pPr>
            <w:r w:rsidRPr="007765E3">
              <w:rPr>
                <w:sz w:val="20"/>
                <w:szCs w:val="20"/>
              </w:rPr>
              <w:t xml:space="preserve">C59417; </w:t>
            </w:r>
            <w:hyperlink r:id="rId33" w:history="1">
              <w:r w:rsidRPr="007765E3">
                <w:rPr>
                  <w:rStyle w:val="Hyperlink"/>
                  <w:sz w:val="20"/>
                  <w:szCs w:val="20"/>
                </w:rPr>
                <w:t>2016 ONCA 227</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B03D90" w:rsidRPr="007765E3" w:rsidRDefault="00B03D90" w:rsidP="00B03D90">
            <w:pPr>
              <w:rPr>
                <w:sz w:val="20"/>
                <w:szCs w:val="20"/>
              </w:rPr>
            </w:pPr>
            <w:r w:rsidRPr="007765E3">
              <w:rPr>
                <w:sz w:val="20"/>
                <w:szCs w:val="20"/>
              </w:rPr>
              <w:t xml:space="preserve">Appel </w:t>
            </w:r>
            <w:proofErr w:type="spellStart"/>
            <w:r w:rsidRPr="007765E3">
              <w:rPr>
                <w:sz w:val="20"/>
                <w:szCs w:val="20"/>
              </w:rPr>
              <w:t>rejeté</w:t>
            </w:r>
            <w:proofErr w:type="spellEnd"/>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tcPr>
          <w:p w:rsidR="00B03D90" w:rsidRPr="007765E3" w:rsidRDefault="00B03D90" w:rsidP="00B03D90">
            <w:pPr>
              <w:rPr>
                <w:sz w:val="20"/>
                <w:szCs w:val="20"/>
                <w:lang w:val="fr-CA"/>
              </w:rPr>
            </w:pPr>
            <w:r w:rsidRPr="007765E3">
              <w:rPr>
                <w:sz w:val="20"/>
                <w:szCs w:val="20"/>
                <w:lang w:val="fr-CA"/>
              </w:rPr>
              <w:t>30 mai 2016</w:t>
            </w:r>
          </w:p>
          <w:p w:rsidR="00127038" w:rsidRPr="007765E3" w:rsidRDefault="00B03D90" w:rsidP="00B03D90">
            <w:pPr>
              <w:pStyle w:val="SCCShortJudgment"/>
              <w:ind w:firstLine="0"/>
              <w:rPr>
                <w:rFonts w:cs="Times New Roman"/>
                <w:szCs w:val="20"/>
                <w:u w:val="single"/>
                <w:lang w:val="fr-CA"/>
              </w:rPr>
            </w:pPr>
            <w:r w:rsidRPr="007765E3">
              <w:rPr>
                <w:szCs w:val="20"/>
                <w:lang w:val="fr-CA"/>
              </w:rPr>
              <w:t>Cour suprême du Canada</w:t>
            </w: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B03D90" w:rsidP="00070F74">
            <w:pPr>
              <w:pStyle w:val="SCCShortJudgment"/>
              <w:ind w:firstLine="0"/>
              <w:rPr>
                <w:rFonts w:cs="Times New Roman"/>
                <w:szCs w:val="20"/>
                <w:u w:val="single"/>
                <w:lang w:val="fr-CA"/>
              </w:rPr>
            </w:pPr>
            <w:proofErr w:type="spellStart"/>
            <w:r w:rsidRPr="007765E3">
              <w:rPr>
                <w:szCs w:val="20"/>
              </w:rPr>
              <w:t>Demande</w:t>
            </w:r>
            <w:proofErr w:type="spellEnd"/>
            <w:r w:rsidRPr="007765E3">
              <w:rPr>
                <w:szCs w:val="20"/>
              </w:rPr>
              <w:t xml:space="preserve"> </w:t>
            </w:r>
            <w:proofErr w:type="spellStart"/>
            <w:r w:rsidRPr="007765E3">
              <w:rPr>
                <w:szCs w:val="20"/>
              </w:rPr>
              <w:t>d’autorisation</w:t>
            </w:r>
            <w:proofErr w:type="spellEnd"/>
            <w:r w:rsidRPr="007765E3">
              <w:rPr>
                <w:szCs w:val="20"/>
              </w:rPr>
              <w:t xml:space="preserve"> </w:t>
            </w:r>
            <w:proofErr w:type="spellStart"/>
            <w:r w:rsidRPr="007765E3">
              <w:rPr>
                <w:szCs w:val="20"/>
              </w:rPr>
              <w:t>d’appel</w:t>
            </w:r>
            <w:proofErr w:type="spellEnd"/>
            <w:r w:rsidRPr="007765E3">
              <w:rPr>
                <w:szCs w:val="20"/>
              </w:rPr>
              <w:t xml:space="preserve"> </w:t>
            </w:r>
            <w:proofErr w:type="spellStart"/>
            <w:r w:rsidRPr="007765E3">
              <w:rPr>
                <w:szCs w:val="20"/>
              </w:rPr>
              <w:t>déposée</w:t>
            </w:r>
            <w:proofErr w:type="spellEnd"/>
          </w:p>
        </w:tc>
      </w:tr>
    </w:tbl>
    <w:p w:rsidR="000E2959" w:rsidRPr="007765E3" w:rsidRDefault="007765E3" w:rsidP="000E2959">
      <w:pPr>
        <w:rPr>
          <w:sz w:val="20"/>
          <w:szCs w:val="20"/>
        </w:rPr>
      </w:pPr>
      <w:r w:rsidRPr="007765E3">
        <w:rPr>
          <w:sz w:val="20"/>
          <w:szCs w:val="20"/>
          <w:lang w:val="fr-CA"/>
        </w:rPr>
        <w:pict>
          <v:rect id="_x0000_i1051" style="width:2in;height:1pt" o:hrpct="0" o:hralign="center" o:hrstd="t" o:hrnoshade="t" o:hr="t" fillcolor="black [3213]" stroked="f"/>
        </w:pict>
      </w:r>
    </w:p>
    <w:p w:rsidR="000E2959" w:rsidRPr="007765E3"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37031</w:t>
            </w:r>
          </w:p>
          <w:p w:rsidR="00127038" w:rsidRPr="007765E3" w:rsidRDefault="00127038" w:rsidP="00070F74">
            <w:pPr>
              <w:jc w:val="both"/>
              <w:rPr>
                <w:rFonts w:cs="Times New Roman"/>
                <w:b/>
                <w:sz w:val="20"/>
                <w:szCs w:val="20"/>
              </w:rPr>
            </w:pPr>
          </w:p>
        </w:tc>
        <w:tc>
          <w:tcPr>
            <w:tcW w:w="8118" w:type="dxa"/>
            <w:gridSpan w:val="3"/>
          </w:tcPr>
          <w:p w:rsidR="00127038" w:rsidRPr="007765E3" w:rsidRDefault="004C329F" w:rsidP="00070F74">
            <w:pPr>
              <w:jc w:val="both"/>
              <w:rPr>
                <w:rFonts w:cs="Times New Roman"/>
                <w:sz w:val="20"/>
                <w:szCs w:val="20"/>
              </w:rPr>
            </w:pPr>
            <w:r w:rsidRPr="007765E3">
              <w:rPr>
                <w:rStyle w:val="SCCLsocChar"/>
                <w:rFonts w:cs="Times New Roman"/>
                <w:sz w:val="20"/>
                <w:szCs w:val="20"/>
                <w:lang w:val="en-US"/>
              </w:rPr>
              <w:t>Benson Group Inc., carrying on business as The Benson Group Inc. v. John Howard</w:t>
            </w:r>
            <w:r w:rsidRPr="007765E3">
              <w:rPr>
                <w:rStyle w:val="SCCLsocChar"/>
                <w:rFonts w:cs="Times New Roman"/>
                <w:sz w:val="20"/>
                <w:szCs w:val="20"/>
                <w:u w:val="none"/>
                <w:lang w:val="en-US"/>
              </w:rPr>
              <w:t xml:space="preserve"> </w:t>
            </w:r>
            <w:r w:rsidR="00127038" w:rsidRPr="007765E3">
              <w:rPr>
                <w:rFonts w:cs="Times New Roman"/>
                <w:sz w:val="20"/>
                <w:szCs w:val="20"/>
              </w:rPr>
              <w:t>(Ont.) (Civil)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4C329F" w:rsidP="00070F74">
            <w:pPr>
              <w:jc w:val="both"/>
              <w:rPr>
                <w:rStyle w:val="SCCCoramChar"/>
                <w:sz w:val="20"/>
                <w:szCs w:val="20"/>
                <w:lang w:val="en-US"/>
              </w:rPr>
            </w:pPr>
            <w:proofErr w:type="spellStart"/>
            <w:r w:rsidRPr="007765E3">
              <w:rPr>
                <w:rStyle w:val="SCCCoramChar"/>
                <w:sz w:val="20"/>
                <w:szCs w:val="20"/>
                <w:lang w:val="en-US"/>
              </w:rPr>
              <w:t>Abella</w:t>
            </w:r>
            <w:proofErr w:type="spellEnd"/>
            <w:r w:rsidRPr="007765E3">
              <w:rPr>
                <w:rStyle w:val="SCCCoramChar"/>
                <w:sz w:val="20"/>
                <w:szCs w:val="20"/>
                <w:lang w:val="en-US"/>
              </w:rPr>
              <w:t xml:space="preserve">, </w:t>
            </w:r>
            <w:proofErr w:type="spellStart"/>
            <w:r w:rsidRPr="007765E3">
              <w:rPr>
                <w:rStyle w:val="SCCCoramChar"/>
                <w:sz w:val="20"/>
                <w:szCs w:val="20"/>
                <w:lang w:val="en-US"/>
              </w:rPr>
              <w:t>Karakatsanis</w:t>
            </w:r>
            <w:proofErr w:type="spellEnd"/>
            <w:r w:rsidRPr="007765E3">
              <w:rPr>
                <w:rStyle w:val="SCCCoramChar"/>
                <w:sz w:val="20"/>
                <w:szCs w:val="20"/>
                <w:lang w:val="en-US"/>
              </w:rPr>
              <w:t xml:space="preserve"> and Brown JJ.</w:t>
            </w:r>
          </w:p>
          <w:p w:rsidR="004C329F" w:rsidRPr="007765E3" w:rsidRDefault="004C329F" w:rsidP="00070F74">
            <w:pPr>
              <w:jc w:val="both"/>
              <w:rPr>
                <w:rFonts w:cs="Times New Roman"/>
                <w:sz w:val="20"/>
                <w:szCs w:val="20"/>
                <w:u w:val="single"/>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rPr>
            </w:pPr>
            <w:r w:rsidRPr="007765E3">
              <w:rPr>
                <w:rFonts w:cs="Times New Roman"/>
                <w:szCs w:val="20"/>
              </w:rPr>
              <w:tab/>
            </w:r>
            <w:r w:rsidR="004C329F" w:rsidRPr="007765E3">
              <w:rPr>
                <w:szCs w:val="20"/>
              </w:rPr>
              <w:t>The application for leave to appeal from the judgment of the Court of Appeal for Ontario, Number C60404, 2016 ONCA 256, dated April 8, 2016, is dismissed with costs.</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rFonts w:cs="Times New Roman"/>
                <w:szCs w:val="20"/>
                <w:lang w:val="fr-CA"/>
              </w:rPr>
            </w:pPr>
            <w:r w:rsidRPr="007765E3">
              <w:rPr>
                <w:rFonts w:cs="Times New Roman"/>
                <w:szCs w:val="20"/>
              </w:rPr>
              <w:tab/>
            </w:r>
            <w:r w:rsidR="004C329F" w:rsidRPr="007765E3">
              <w:rPr>
                <w:szCs w:val="20"/>
                <w:lang w:val="fr-CA"/>
              </w:rPr>
              <w:t xml:space="preserve">La demande d’autorisation d’appel de l’arrêt de la </w:t>
            </w:r>
            <w:r w:rsidR="004C329F" w:rsidRPr="007765E3">
              <w:rPr>
                <w:szCs w:val="20"/>
                <w:lang w:val="fr-FR"/>
              </w:rPr>
              <w:t>Cour d’appel de l’Ontario</w:t>
            </w:r>
            <w:r w:rsidR="004C329F" w:rsidRPr="007765E3">
              <w:rPr>
                <w:szCs w:val="20"/>
                <w:lang w:val="fr-CA"/>
              </w:rPr>
              <w:t xml:space="preserve">, numéro </w:t>
            </w:r>
            <w:r w:rsidR="004C329F" w:rsidRPr="007765E3">
              <w:rPr>
                <w:szCs w:val="20"/>
                <w:lang w:val="fr-FR"/>
              </w:rPr>
              <w:t>C60404, 2016 ONCA 256</w:t>
            </w:r>
            <w:r w:rsidR="004C329F" w:rsidRPr="007765E3">
              <w:rPr>
                <w:szCs w:val="20"/>
                <w:lang w:val="fr-CA"/>
              </w:rPr>
              <w:t xml:space="preserve">, daté du </w:t>
            </w:r>
            <w:r w:rsidR="004C329F" w:rsidRPr="007765E3">
              <w:rPr>
                <w:szCs w:val="20"/>
                <w:lang w:val="fr-FR"/>
              </w:rPr>
              <w:t>8 avril 2016</w:t>
            </w:r>
            <w:r w:rsidR="004C329F" w:rsidRPr="007765E3">
              <w:rPr>
                <w:szCs w:val="20"/>
                <w:lang w:val="fr-CA"/>
              </w:rPr>
              <w:t>, est rejetée avec dépens.</w: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4C329F" w:rsidP="00070F74">
            <w:pPr>
              <w:pStyle w:val="SCCShortJudgment"/>
              <w:ind w:firstLine="0"/>
              <w:rPr>
                <w:szCs w:val="20"/>
              </w:rPr>
            </w:pPr>
            <w:r w:rsidRPr="007765E3">
              <w:rPr>
                <w:szCs w:val="20"/>
              </w:rPr>
              <w:t xml:space="preserve">Contracts – Breach – Remedies – Damages – Compensatory damages – Appeals – Standard of review –Where a fixed-term employment contract does not include an enforceable provision for early termination without cause is the employee entitled to payment of the unexpired portion of the contract on early termination – Alternatively, is the employee entitled to common law damages for wrongful dismissal – Are fixed-term contracts that do not have an enforceable termination clause subject to the common law notice presumption – In the alternative, if the common law notice presumption is found not to apply, should the principle that liquidated damages are not subject to a duty to mitigate be extended – When can a reviewing court determine that the interpretation of a fixed-term employment contract ought to be reviewed on a standard of correctness – What constitutes an “extricable error of law” in this context – Does considering a provision in isolation satisfy the threshold in </w:t>
            </w:r>
            <w:r w:rsidRPr="007765E3">
              <w:rPr>
                <w:i/>
                <w:szCs w:val="20"/>
              </w:rPr>
              <w:t>Sattva Capital Corp. v. Creston Moly Corp</w:t>
            </w:r>
            <w:r w:rsidRPr="007765E3">
              <w:rPr>
                <w:szCs w:val="20"/>
              </w:rPr>
              <w:t>., 2014 SCC 53, [2014] 2 S.C.R. 633, for identifying an extricable question of law.</w:t>
            </w:r>
          </w:p>
          <w:p w:rsidR="004C329F" w:rsidRPr="007765E3" w:rsidRDefault="004C329F" w:rsidP="00070F74">
            <w:pPr>
              <w:pStyle w:val="SCCShortJudgment"/>
              <w:ind w:firstLine="0"/>
              <w:rPr>
                <w:rFonts w:cs="Times New Roman"/>
                <w:szCs w:val="20"/>
              </w:rPr>
            </w:pPr>
          </w:p>
        </w:tc>
      </w:tr>
      <w:tr w:rsidR="00127038" w:rsidRPr="007765E3" w:rsidTr="00070F74">
        <w:trPr>
          <w:cantSplit/>
        </w:trPr>
        <w:tc>
          <w:tcPr>
            <w:tcW w:w="9576" w:type="dxa"/>
            <w:gridSpan w:val="4"/>
          </w:tcPr>
          <w:p w:rsidR="004C329F" w:rsidRPr="007765E3" w:rsidRDefault="004C329F" w:rsidP="004C329F">
            <w:pPr>
              <w:jc w:val="both"/>
              <w:rPr>
                <w:sz w:val="20"/>
                <w:szCs w:val="20"/>
              </w:rPr>
            </w:pPr>
            <w:r w:rsidRPr="007765E3">
              <w:rPr>
                <w:sz w:val="20"/>
                <w:szCs w:val="20"/>
              </w:rPr>
              <w:t xml:space="preserve">The respondent was employed as a manager at an automotive service centre in </w:t>
            </w:r>
            <w:proofErr w:type="spellStart"/>
            <w:r w:rsidRPr="007765E3">
              <w:rPr>
                <w:sz w:val="20"/>
                <w:szCs w:val="20"/>
              </w:rPr>
              <w:t>Bowmanville</w:t>
            </w:r>
            <w:proofErr w:type="spellEnd"/>
            <w:r w:rsidRPr="007765E3">
              <w:rPr>
                <w:sz w:val="20"/>
                <w:szCs w:val="20"/>
              </w:rPr>
              <w:t xml:space="preserve"> Ontario under an employment contract for a five year term. The applicant terminated the respondent after 23 months, without cause, and advised that the respondent would be paid effectively two weeks’ severance pay. The respondent brought an action for breach of contract seeking his compensation for the unexpired portion of his contract. </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9576" w:type="dxa"/>
            <w:gridSpan w:val="4"/>
          </w:tcPr>
          <w:p w:rsidR="004C329F" w:rsidRPr="007765E3" w:rsidRDefault="004C329F" w:rsidP="004C329F">
            <w:pPr>
              <w:jc w:val="both"/>
              <w:rPr>
                <w:sz w:val="20"/>
                <w:szCs w:val="20"/>
              </w:rPr>
            </w:pPr>
            <w:r w:rsidRPr="007765E3">
              <w:rPr>
                <w:sz w:val="20"/>
                <w:szCs w:val="20"/>
              </w:rPr>
              <w:t xml:space="preserve">The Ontario Superior Court of Justice determined as a question of law under Rule 21 that a termination clause in the employment contract was unenforceable. The Court granted the respondent’s motion for summary judgment, but awarded him common law damages in lieu of reasonable notice for wrongful dismissal, with the quantum to be determined at a mini trial. The Court of Appeal for Ontario allowed Mr. Howard’s appeal and declared that he was owed an amount equal to his salary and benefits to the end of the term of his employment contract. </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lastRenderedPageBreak/>
              <w:t>April 22, 2015</w:t>
            </w:r>
          </w:p>
          <w:p w:rsidR="004C329F" w:rsidRPr="007765E3" w:rsidRDefault="004C329F" w:rsidP="004C329F">
            <w:pPr>
              <w:rPr>
                <w:sz w:val="20"/>
                <w:szCs w:val="20"/>
              </w:rPr>
            </w:pPr>
            <w:r w:rsidRPr="007765E3">
              <w:rPr>
                <w:sz w:val="20"/>
                <w:szCs w:val="20"/>
              </w:rPr>
              <w:t>Ontario Superior Court of Justice</w:t>
            </w:r>
          </w:p>
          <w:p w:rsidR="004C329F" w:rsidRPr="007765E3" w:rsidRDefault="004C329F" w:rsidP="004C329F">
            <w:pPr>
              <w:rPr>
                <w:sz w:val="20"/>
                <w:szCs w:val="20"/>
              </w:rPr>
            </w:pPr>
            <w:r w:rsidRPr="007765E3">
              <w:rPr>
                <w:sz w:val="20"/>
                <w:szCs w:val="20"/>
              </w:rPr>
              <w:t>(</w:t>
            </w:r>
            <w:proofErr w:type="spellStart"/>
            <w:r w:rsidRPr="007765E3">
              <w:rPr>
                <w:sz w:val="20"/>
                <w:szCs w:val="20"/>
              </w:rPr>
              <w:t>MacKenzie</w:t>
            </w:r>
            <w:proofErr w:type="spellEnd"/>
            <w:r w:rsidRPr="007765E3">
              <w:rPr>
                <w:sz w:val="20"/>
                <w:szCs w:val="20"/>
              </w:rPr>
              <w:t xml:space="preserve"> J.)</w:t>
            </w:r>
          </w:p>
          <w:p w:rsidR="004C329F" w:rsidRPr="007765E3" w:rsidRDefault="007765E3" w:rsidP="004C329F">
            <w:pPr>
              <w:rPr>
                <w:sz w:val="20"/>
                <w:szCs w:val="20"/>
              </w:rPr>
            </w:pPr>
            <w:hyperlink r:id="rId34" w:history="1">
              <w:r w:rsidR="004C329F" w:rsidRPr="007765E3">
                <w:rPr>
                  <w:rStyle w:val="Hyperlink"/>
                  <w:sz w:val="20"/>
                  <w:szCs w:val="20"/>
                </w:rPr>
                <w:t>2015 ONSC 2638</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4C329F" w:rsidRPr="007765E3" w:rsidRDefault="004C329F" w:rsidP="004C329F">
            <w:pPr>
              <w:jc w:val="both"/>
              <w:rPr>
                <w:sz w:val="20"/>
                <w:szCs w:val="20"/>
              </w:rPr>
            </w:pPr>
            <w:r w:rsidRPr="007765E3">
              <w:rPr>
                <w:sz w:val="20"/>
                <w:szCs w:val="20"/>
              </w:rPr>
              <w:t xml:space="preserve">Contractual termination clause held unenforceable; Respondent granted summary judgment and entitled to common law damages in lieu of reasonable notice for wrongful dismissal </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April 8, 2016</w:t>
            </w:r>
          </w:p>
          <w:p w:rsidR="004C329F" w:rsidRPr="007765E3" w:rsidRDefault="004C329F" w:rsidP="004C329F">
            <w:pPr>
              <w:rPr>
                <w:sz w:val="20"/>
                <w:szCs w:val="20"/>
              </w:rPr>
            </w:pPr>
            <w:r w:rsidRPr="007765E3">
              <w:rPr>
                <w:sz w:val="20"/>
                <w:szCs w:val="20"/>
              </w:rPr>
              <w:t>Court of Appeal for Ontario</w:t>
            </w:r>
          </w:p>
          <w:p w:rsidR="004C329F" w:rsidRPr="007765E3" w:rsidRDefault="004C329F" w:rsidP="004C329F">
            <w:pPr>
              <w:rPr>
                <w:sz w:val="20"/>
                <w:szCs w:val="20"/>
              </w:rPr>
            </w:pPr>
            <w:r w:rsidRPr="007765E3">
              <w:rPr>
                <w:sz w:val="20"/>
                <w:szCs w:val="20"/>
              </w:rPr>
              <w:t xml:space="preserve">(Cronk, </w:t>
            </w:r>
            <w:proofErr w:type="spellStart"/>
            <w:r w:rsidRPr="007765E3">
              <w:rPr>
                <w:sz w:val="20"/>
                <w:szCs w:val="20"/>
              </w:rPr>
              <w:t>Pepall</w:t>
            </w:r>
            <w:proofErr w:type="spellEnd"/>
            <w:r w:rsidRPr="007765E3">
              <w:rPr>
                <w:sz w:val="20"/>
                <w:szCs w:val="20"/>
              </w:rPr>
              <w:t xml:space="preserve"> and Miller JJ.A.)</w:t>
            </w:r>
          </w:p>
          <w:p w:rsidR="004C329F" w:rsidRPr="007765E3" w:rsidRDefault="007765E3" w:rsidP="004C329F">
            <w:pPr>
              <w:rPr>
                <w:sz w:val="20"/>
                <w:szCs w:val="20"/>
              </w:rPr>
            </w:pPr>
            <w:hyperlink r:id="rId35" w:history="1">
              <w:r w:rsidR="004C329F" w:rsidRPr="007765E3">
                <w:rPr>
                  <w:rStyle w:val="Hyperlink"/>
                  <w:sz w:val="20"/>
                  <w:szCs w:val="20"/>
                </w:rPr>
                <w:t>2016 ONCA 256</w:t>
              </w:r>
            </w:hyperlink>
            <w:r w:rsidR="004C329F" w:rsidRPr="007765E3">
              <w:rPr>
                <w:sz w:val="20"/>
                <w:szCs w:val="20"/>
              </w:rPr>
              <w:t>; C60404</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4C329F" w:rsidRPr="007765E3" w:rsidRDefault="004C329F" w:rsidP="004C329F">
            <w:pPr>
              <w:jc w:val="both"/>
              <w:rPr>
                <w:sz w:val="20"/>
                <w:szCs w:val="20"/>
              </w:rPr>
            </w:pPr>
            <w:r w:rsidRPr="007765E3">
              <w:rPr>
                <w:sz w:val="20"/>
                <w:szCs w:val="20"/>
              </w:rPr>
              <w:t>Appeal allowed; respondent declared entitled to salary and benefits for unexpired term of the employment contract</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May 30, 2016</w:t>
            </w:r>
          </w:p>
          <w:p w:rsidR="00127038" w:rsidRPr="007765E3" w:rsidRDefault="004C329F" w:rsidP="004C329F">
            <w:pPr>
              <w:jc w:val="both"/>
              <w:rPr>
                <w:rFonts w:cs="Times New Roman"/>
                <w:sz w:val="20"/>
                <w:szCs w:val="20"/>
              </w:rPr>
            </w:pPr>
            <w:r w:rsidRPr="007765E3">
              <w:rPr>
                <w:sz w:val="20"/>
                <w:szCs w:val="20"/>
              </w:rPr>
              <w:t>Supreme Court of Canada</w:t>
            </w:r>
          </w:p>
        </w:tc>
        <w:tc>
          <w:tcPr>
            <w:tcW w:w="630" w:type="dxa"/>
          </w:tcPr>
          <w:p w:rsidR="00127038" w:rsidRPr="007765E3" w:rsidRDefault="00127038" w:rsidP="00070F74">
            <w:pPr>
              <w:pStyle w:val="SCCShortJudgment"/>
              <w:ind w:firstLine="0"/>
              <w:rPr>
                <w:rFonts w:cs="Times New Roman"/>
                <w:szCs w:val="20"/>
              </w:rPr>
            </w:pPr>
          </w:p>
        </w:tc>
        <w:tc>
          <w:tcPr>
            <w:tcW w:w="4536" w:type="dxa"/>
          </w:tcPr>
          <w:p w:rsidR="00127038" w:rsidRPr="007765E3" w:rsidRDefault="004C329F" w:rsidP="00070F74">
            <w:pPr>
              <w:jc w:val="both"/>
              <w:rPr>
                <w:rFonts w:cs="Times New Roman"/>
                <w:sz w:val="20"/>
                <w:szCs w:val="20"/>
              </w:rPr>
            </w:pPr>
            <w:r w:rsidRPr="007765E3">
              <w:rPr>
                <w:sz w:val="20"/>
                <w:szCs w:val="20"/>
              </w:rPr>
              <w:t>Application for leave to appeal filed</w:t>
            </w: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52"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4C329F" w:rsidP="00070F74">
            <w:pPr>
              <w:pStyle w:val="SCCShortJudgment"/>
              <w:ind w:firstLine="0"/>
              <w:rPr>
                <w:szCs w:val="20"/>
                <w:lang w:val="fr-CA"/>
              </w:rPr>
            </w:pPr>
            <w:r w:rsidRPr="007765E3">
              <w:rPr>
                <w:szCs w:val="20"/>
                <w:lang w:val="fr-CA"/>
              </w:rPr>
              <w:t xml:space="preserve">Contrats – Violation – Recours – Dommages-intérêts – Dommages-intérêts compensatoires – Appels – Norme de contrôle – Lorsqu’un contrat de travail à durée déterminée ne renferme aucune disposition exécutoire relative au congédiement anticipé non motivé, l’employé </w:t>
            </w:r>
            <w:proofErr w:type="spellStart"/>
            <w:r w:rsidRPr="007765E3">
              <w:rPr>
                <w:szCs w:val="20"/>
                <w:lang w:val="fr-CA"/>
              </w:rPr>
              <w:t>a-t-il</w:t>
            </w:r>
            <w:proofErr w:type="spellEnd"/>
            <w:r w:rsidRPr="007765E3">
              <w:rPr>
                <w:szCs w:val="20"/>
                <w:lang w:val="fr-CA"/>
              </w:rPr>
              <w:t xml:space="preserve"> droit au paiement au titre de la partie non expirée du contrat en cas de congédiement anticipé? – Subsidiairement, l’employé </w:t>
            </w:r>
            <w:proofErr w:type="spellStart"/>
            <w:r w:rsidRPr="007765E3">
              <w:rPr>
                <w:szCs w:val="20"/>
                <w:lang w:val="fr-CA"/>
              </w:rPr>
              <w:t>a-t-il</w:t>
            </w:r>
            <w:proofErr w:type="spellEnd"/>
            <w:r w:rsidRPr="007765E3">
              <w:rPr>
                <w:szCs w:val="20"/>
                <w:lang w:val="fr-CA"/>
              </w:rPr>
              <w:t xml:space="preserve"> droit à des dommages-intérêts reconnus en </w:t>
            </w:r>
            <w:proofErr w:type="spellStart"/>
            <w:r w:rsidRPr="007765E3">
              <w:rPr>
                <w:szCs w:val="20"/>
                <w:lang w:val="fr-CA"/>
              </w:rPr>
              <w:t>common</w:t>
            </w:r>
            <w:proofErr w:type="spellEnd"/>
            <w:r w:rsidRPr="007765E3">
              <w:rPr>
                <w:szCs w:val="20"/>
                <w:lang w:val="fr-CA"/>
              </w:rPr>
              <w:t xml:space="preserve"> </w:t>
            </w:r>
            <w:proofErr w:type="spellStart"/>
            <w:r w:rsidRPr="007765E3">
              <w:rPr>
                <w:szCs w:val="20"/>
                <w:lang w:val="fr-CA"/>
              </w:rPr>
              <w:t>law</w:t>
            </w:r>
            <w:proofErr w:type="spellEnd"/>
            <w:r w:rsidRPr="007765E3">
              <w:rPr>
                <w:szCs w:val="20"/>
                <w:lang w:val="fr-CA"/>
              </w:rPr>
              <w:t xml:space="preserve"> pour congédiement injustifié? – Les contrats à durée déterminée qui ne renferment aucune clause de congédiement exécutoire sont-ils soumis à la présomption de préavis reconnue en </w:t>
            </w:r>
            <w:proofErr w:type="spellStart"/>
            <w:r w:rsidRPr="007765E3">
              <w:rPr>
                <w:szCs w:val="20"/>
                <w:lang w:val="fr-CA"/>
              </w:rPr>
              <w:t>common</w:t>
            </w:r>
            <w:proofErr w:type="spellEnd"/>
            <w:r w:rsidRPr="007765E3">
              <w:rPr>
                <w:szCs w:val="20"/>
                <w:lang w:val="fr-CA"/>
              </w:rPr>
              <w:t xml:space="preserve"> </w:t>
            </w:r>
            <w:proofErr w:type="spellStart"/>
            <w:r w:rsidRPr="007765E3">
              <w:rPr>
                <w:szCs w:val="20"/>
                <w:lang w:val="fr-CA"/>
              </w:rPr>
              <w:t>law</w:t>
            </w:r>
            <w:proofErr w:type="spellEnd"/>
            <w:r w:rsidRPr="007765E3">
              <w:rPr>
                <w:szCs w:val="20"/>
                <w:lang w:val="fr-CA"/>
              </w:rPr>
              <w:t xml:space="preserve">? – Subsidiairement, s’il est statué que la présomption de préavis reconnue en </w:t>
            </w:r>
            <w:proofErr w:type="spellStart"/>
            <w:r w:rsidRPr="007765E3">
              <w:rPr>
                <w:szCs w:val="20"/>
                <w:lang w:val="fr-CA"/>
              </w:rPr>
              <w:t>common</w:t>
            </w:r>
            <w:proofErr w:type="spellEnd"/>
            <w:r w:rsidRPr="007765E3">
              <w:rPr>
                <w:szCs w:val="20"/>
                <w:lang w:val="fr-CA"/>
              </w:rPr>
              <w:t xml:space="preserve"> </w:t>
            </w:r>
            <w:proofErr w:type="spellStart"/>
            <w:r w:rsidRPr="007765E3">
              <w:rPr>
                <w:szCs w:val="20"/>
                <w:lang w:val="fr-CA"/>
              </w:rPr>
              <w:t>law</w:t>
            </w:r>
            <w:proofErr w:type="spellEnd"/>
            <w:r w:rsidRPr="007765E3">
              <w:rPr>
                <w:szCs w:val="20"/>
                <w:lang w:val="fr-CA"/>
              </w:rPr>
              <w:t xml:space="preserve"> ne s’applique pas, le principe voulant que les dommages-intérêts extrajudiciaires ne soient pas soumis à l’obligation de limiter le préjudice devrait-il être étendu? – Dans quelles situations une cour de révision peut-elle déterminer que l’interprétation d’un contrat de travail à durée déterminée devrait être contrôlée selon la norme de la décision correcte? – Que constitue dans ce contexte une erreur de droit susceptible d’être isolée? – L’examen d’une disposition isolément répond-il à la norme établie dans l’arrêt </w:t>
            </w:r>
            <w:r w:rsidRPr="007765E3">
              <w:rPr>
                <w:i/>
                <w:szCs w:val="20"/>
                <w:lang w:val="fr-CA"/>
              </w:rPr>
              <w:t>Sattva Capital Corp. c. Creston Moly Corp</w:t>
            </w:r>
            <w:r w:rsidRPr="007765E3">
              <w:rPr>
                <w:szCs w:val="20"/>
                <w:lang w:val="fr-CA"/>
              </w:rPr>
              <w:t>., 2014 CSC 53, [2014] 2 R.C.S. 633, pour dégager une pure question de droit?</w:t>
            </w:r>
          </w:p>
          <w:p w:rsidR="004C329F" w:rsidRPr="007765E3" w:rsidRDefault="004C329F"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4C329F" w:rsidRPr="007765E3" w:rsidRDefault="004C329F" w:rsidP="004C329F">
            <w:pPr>
              <w:jc w:val="both"/>
              <w:rPr>
                <w:sz w:val="20"/>
                <w:szCs w:val="20"/>
                <w:lang w:val="fr-CA"/>
              </w:rPr>
            </w:pPr>
            <w:r w:rsidRPr="007765E3">
              <w:rPr>
                <w:sz w:val="20"/>
                <w:szCs w:val="20"/>
                <w:lang w:val="fr-CA"/>
              </w:rPr>
              <w:t xml:space="preserve">L’intimé occupait un emploi de directeur d’un centre de service automobile à </w:t>
            </w:r>
            <w:proofErr w:type="spellStart"/>
            <w:r w:rsidRPr="007765E3">
              <w:rPr>
                <w:sz w:val="20"/>
                <w:szCs w:val="20"/>
                <w:lang w:val="fr-CA"/>
              </w:rPr>
              <w:t>Bowmanville</w:t>
            </w:r>
            <w:proofErr w:type="spellEnd"/>
            <w:r w:rsidRPr="007765E3">
              <w:rPr>
                <w:sz w:val="20"/>
                <w:szCs w:val="20"/>
                <w:lang w:val="fr-CA"/>
              </w:rPr>
              <w:t xml:space="preserve"> (Ontario) en vertu d’un contrat de travail d’une durée de cinq ans. La demanderesse a congédié l’intimé après 23 mois, sans motif, et a informé l’intimé qu’il serait verrait payer de fait une indemnité de départ de deux semaines. L’intimé a intenté une action en violation de contrat, sollicitant sa rémunération pour la partie non expirée de son contrat. </w:t>
            </w:r>
          </w:p>
          <w:p w:rsidR="00127038" w:rsidRPr="007765E3" w:rsidRDefault="00127038" w:rsidP="00070F74">
            <w:pPr>
              <w:jc w:val="both"/>
              <w:rPr>
                <w:rFonts w:cs="Times New Roman"/>
                <w:sz w:val="20"/>
                <w:szCs w:val="20"/>
                <w:u w:val="single"/>
                <w:lang w:val="fr-CA"/>
              </w:rPr>
            </w:pPr>
          </w:p>
        </w:tc>
      </w:tr>
      <w:tr w:rsidR="00127038" w:rsidRPr="007765E3" w:rsidTr="00070F74">
        <w:trPr>
          <w:cantSplit/>
        </w:trPr>
        <w:tc>
          <w:tcPr>
            <w:tcW w:w="9576" w:type="dxa"/>
            <w:gridSpan w:val="4"/>
          </w:tcPr>
          <w:p w:rsidR="004C329F" w:rsidRPr="007765E3" w:rsidRDefault="004C329F" w:rsidP="004C329F">
            <w:pPr>
              <w:jc w:val="both"/>
              <w:rPr>
                <w:sz w:val="20"/>
                <w:szCs w:val="20"/>
                <w:lang w:val="fr-CA"/>
              </w:rPr>
            </w:pPr>
            <w:r w:rsidRPr="007765E3">
              <w:rPr>
                <w:sz w:val="20"/>
                <w:szCs w:val="20"/>
                <w:lang w:val="fr-CA"/>
              </w:rPr>
              <w:t xml:space="preserve">La Cour supérieure de justice de l’Ontario a conclu, en tant que question de droit visée par la règle 21, qu’une clause de congédiement dans le contrat de travail était non exécutoire. La Cour a accueilli la motion de l’intimé en jugement sommaire, mais elle lui a accordé des dommages-intérêts reconnus en </w:t>
            </w:r>
            <w:proofErr w:type="spellStart"/>
            <w:r w:rsidRPr="007765E3">
              <w:rPr>
                <w:sz w:val="20"/>
                <w:szCs w:val="20"/>
                <w:lang w:val="fr-CA"/>
              </w:rPr>
              <w:t>common</w:t>
            </w:r>
            <w:proofErr w:type="spellEnd"/>
            <w:r w:rsidRPr="007765E3">
              <w:rPr>
                <w:sz w:val="20"/>
                <w:szCs w:val="20"/>
                <w:lang w:val="fr-CA"/>
              </w:rPr>
              <w:t xml:space="preserve"> </w:t>
            </w:r>
            <w:proofErr w:type="spellStart"/>
            <w:r w:rsidRPr="007765E3">
              <w:rPr>
                <w:sz w:val="20"/>
                <w:szCs w:val="20"/>
                <w:lang w:val="fr-CA"/>
              </w:rPr>
              <w:t>law</w:t>
            </w:r>
            <w:proofErr w:type="spellEnd"/>
            <w:r w:rsidRPr="007765E3">
              <w:rPr>
                <w:sz w:val="20"/>
                <w:szCs w:val="20"/>
                <w:lang w:val="fr-CA"/>
              </w:rPr>
              <w:t xml:space="preserve"> tenant lieu de préavis raisonnable pour congédiement injustifié, dont le montant devait être déterminé lors d’un mini-procès. La Cour d’appel de l’Ontario a accueilli l’appel de M. Howard et a déclaré qu’il avait droit au plein montant du salaire et des avantages sociaux qui lui auraient été payables pour la durée de son contrat d’emploi.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4C329F" w:rsidRPr="007765E3" w:rsidRDefault="004C329F" w:rsidP="004C329F">
            <w:pPr>
              <w:rPr>
                <w:sz w:val="20"/>
                <w:szCs w:val="20"/>
                <w:lang w:val="fr-CA"/>
              </w:rPr>
            </w:pPr>
            <w:r w:rsidRPr="007765E3">
              <w:rPr>
                <w:sz w:val="20"/>
                <w:szCs w:val="20"/>
                <w:lang w:val="fr-CA"/>
              </w:rPr>
              <w:t>22 avril 2015</w:t>
            </w:r>
          </w:p>
          <w:p w:rsidR="004C329F" w:rsidRPr="007765E3" w:rsidRDefault="004C329F" w:rsidP="004C329F">
            <w:pPr>
              <w:rPr>
                <w:sz w:val="20"/>
                <w:szCs w:val="20"/>
                <w:lang w:val="fr-CA"/>
              </w:rPr>
            </w:pPr>
            <w:r w:rsidRPr="007765E3">
              <w:rPr>
                <w:sz w:val="20"/>
                <w:szCs w:val="20"/>
                <w:lang w:val="fr-CA"/>
              </w:rPr>
              <w:t>Cour supérieure de justice de l’Ontario</w:t>
            </w:r>
          </w:p>
          <w:p w:rsidR="004C329F" w:rsidRPr="007765E3" w:rsidRDefault="004C329F" w:rsidP="004C329F">
            <w:pPr>
              <w:rPr>
                <w:sz w:val="20"/>
                <w:szCs w:val="20"/>
                <w:lang w:val="fr-CA"/>
              </w:rPr>
            </w:pPr>
            <w:r w:rsidRPr="007765E3">
              <w:rPr>
                <w:sz w:val="20"/>
                <w:szCs w:val="20"/>
                <w:lang w:val="fr-CA"/>
              </w:rPr>
              <w:t xml:space="preserve">(Juge </w:t>
            </w:r>
            <w:proofErr w:type="spellStart"/>
            <w:r w:rsidRPr="007765E3">
              <w:rPr>
                <w:sz w:val="20"/>
                <w:szCs w:val="20"/>
                <w:lang w:val="fr-CA"/>
              </w:rPr>
              <w:t>MacKenzie</w:t>
            </w:r>
            <w:proofErr w:type="spellEnd"/>
            <w:r w:rsidRPr="007765E3">
              <w:rPr>
                <w:sz w:val="20"/>
                <w:szCs w:val="20"/>
                <w:lang w:val="fr-CA"/>
              </w:rPr>
              <w:t>)</w:t>
            </w:r>
          </w:p>
          <w:p w:rsidR="004C329F" w:rsidRPr="007765E3" w:rsidRDefault="007765E3" w:rsidP="004C329F">
            <w:pPr>
              <w:rPr>
                <w:sz w:val="20"/>
                <w:szCs w:val="20"/>
                <w:lang w:val="fr-CA"/>
              </w:rPr>
            </w:pPr>
            <w:hyperlink r:id="rId36" w:history="1">
              <w:r w:rsidR="004C329F" w:rsidRPr="007765E3">
                <w:rPr>
                  <w:rStyle w:val="Hyperlink"/>
                  <w:sz w:val="20"/>
                  <w:szCs w:val="20"/>
                  <w:lang w:val="fr-CA"/>
                </w:rPr>
                <w:t>2015 ONSC 2638</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4C329F" w:rsidRPr="007765E3" w:rsidRDefault="004C329F" w:rsidP="004C329F">
            <w:pPr>
              <w:jc w:val="both"/>
              <w:rPr>
                <w:sz w:val="20"/>
                <w:szCs w:val="20"/>
                <w:lang w:val="fr-CA"/>
              </w:rPr>
            </w:pPr>
            <w:r w:rsidRPr="007765E3">
              <w:rPr>
                <w:sz w:val="20"/>
                <w:szCs w:val="20"/>
                <w:lang w:val="fr-CA"/>
              </w:rPr>
              <w:t xml:space="preserve">Jugement statuant que la clause de congédiement prévue dans le contrat était non exécutoire; jugement sommaire statuant que l’intimé a droit à des dommages-intérêts reconnus en </w:t>
            </w:r>
            <w:proofErr w:type="spellStart"/>
            <w:r w:rsidRPr="007765E3">
              <w:rPr>
                <w:sz w:val="20"/>
                <w:szCs w:val="20"/>
                <w:lang w:val="fr-CA"/>
              </w:rPr>
              <w:t>common</w:t>
            </w:r>
            <w:proofErr w:type="spellEnd"/>
            <w:r w:rsidRPr="007765E3">
              <w:rPr>
                <w:sz w:val="20"/>
                <w:szCs w:val="20"/>
                <w:lang w:val="fr-CA"/>
              </w:rPr>
              <w:t xml:space="preserve"> </w:t>
            </w:r>
            <w:proofErr w:type="spellStart"/>
            <w:r w:rsidRPr="007765E3">
              <w:rPr>
                <w:sz w:val="20"/>
                <w:szCs w:val="20"/>
                <w:lang w:val="fr-CA"/>
              </w:rPr>
              <w:t>law</w:t>
            </w:r>
            <w:proofErr w:type="spellEnd"/>
            <w:r w:rsidRPr="007765E3">
              <w:rPr>
                <w:sz w:val="20"/>
                <w:szCs w:val="20"/>
                <w:lang w:val="fr-CA"/>
              </w:rPr>
              <w:t xml:space="preserve"> tenant lieu d’un préavis raisonnable pour congédiement injustifié</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4C329F" w:rsidRPr="007765E3" w:rsidRDefault="004C329F" w:rsidP="004C329F">
            <w:pPr>
              <w:rPr>
                <w:sz w:val="20"/>
                <w:szCs w:val="20"/>
                <w:lang w:val="fr-CA"/>
              </w:rPr>
            </w:pPr>
            <w:r w:rsidRPr="007765E3">
              <w:rPr>
                <w:sz w:val="20"/>
                <w:szCs w:val="20"/>
                <w:lang w:val="fr-CA"/>
              </w:rPr>
              <w:t>8 avril 2016</w:t>
            </w:r>
          </w:p>
          <w:p w:rsidR="004C329F" w:rsidRPr="007765E3" w:rsidRDefault="004C329F" w:rsidP="004C329F">
            <w:pPr>
              <w:rPr>
                <w:sz w:val="20"/>
                <w:szCs w:val="20"/>
                <w:lang w:val="fr-CA"/>
              </w:rPr>
            </w:pPr>
            <w:r w:rsidRPr="007765E3">
              <w:rPr>
                <w:sz w:val="20"/>
                <w:szCs w:val="20"/>
                <w:lang w:val="fr-CA"/>
              </w:rPr>
              <w:t>Cour d’appel de l’Ontario</w:t>
            </w:r>
          </w:p>
          <w:p w:rsidR="004C329F" w:rsidRPr="007765E3" w:rsidRDefault="004C329F" w:rsidP="004C329F">
            <w:pPr>
              <w:rPr>
                <w:sz w:val="20"/>
                <w:szCs w:val="20"/>
                <w:lang w:val="fr-CA"/>
              </w:rPr>
            </w:pPr>
            <w:r w:rsidRPr="007765E3">
              <w:rPr>
                <w:sz w:val="20"/>
                <w:szCs w:val="20"/>
                <w:lang w:val="fr-CA"/>
              </w:rPr>
              <w:t xml:space="preserve">(Juges </w:t>
            </w:r>
            <w:proofErr w:type="spellStart"/>
            <w:r w:rsidRPr="007765E3">
              <w:rPr>
                <w:sz w:val="20"/>
                <w:szCs w:val="20"/>
                <w:lang w:val="fr-CA"/>
              </w:rPr>
              <w:t>Cronk</w:t>
            </w:r>
            <w:proofErr w:type="spellEnd"/>
            <w:r w:rsidRPr="007765E3">
              <w:rPr>
                <w:sz w:val="20"/>
                <w:szCs w:val="20"/>
                <w:lang w:val="fr-CA"/>
              </w:rPr>
              <w:t xml:space="preserve">, </w:t>
            </w:r>
            <w:proofErr w:type="spellStart"/>
            <w:r w:rsidRPr="007765E3">
              <w:rPr>
                <w:sz w:val="20"/>
                <w:szCs w:val="20"/>
                <w:lang w:val="fr-CA"/>
              </w:rPr>
              <w:t>Pepall</w:t>
            </w:r>
            <w:proofErr w:type="spellEnd"/>
            <w:r w:rsidRPr="007765E3">
              <w:rPr>
                <w:sz w:val="20"/>
                <w:szCs w:val="20"/>
                <w:lang w:val="fr-CA"/>
              </w:rPr>
              <w:t xml:space="preserve"> et Miller)</w:t>
            </w:r>
          </w:p>
          <w:p w:rsidR="004C329F" w:rsidRPr="007765E3" w:rsidRDefault="007765E3" w:rsidP="004C329F">
            <w:pPr>
              <w:rPr>
                <w:sz w:val="20"/>
                <w:szCs w:val="20"/>
                <w:lang w:val="fr-CA"/>
              </w:rPr>
            </w:pPr>
            <w:hyperlink r:id="rId37" w:history="1">
              <w:r w:rsidR="004C329F" w:rsidRPr="007765E3">
                <w:rPr>
                  <w:rStyle w:val="Hyperlink"/>
                  <w:sz w:val="20"/>
                  <w:szCs w:val="20"/>
                  <w:lang w:val="fr-CA"/>
                </w:rPr>
                <w:t>2016 ONCA 256</w:t>
              </w:r>
            </w:hyperlink>
            <w:r w:rsidR="004C329F" w:rsidRPr="007765E3">
              <w:rPr>
                <w:sz w:val="20"/>
                <w:szCs w:val="20"/>
                <w:lang w:val="fr-CA"/>
              </w:rPr>
              <w:t>; C60404</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4C329F" w:rsidRPr="007765E3" w:rsidRDefault="004C329F" w:rsidP="004C329F">
            <w:pPr>
              <w:jc w:val="both"/>
              <w:rPr>
                <w:sz w:val="20"/>
                <w:szCs w:val="20"/>
                <w:lang w:val="fr-CA"/>
              </w:rPr>
            </w:pPr>
            <w:r w:rsidRPr="007765E3">
              <w:rPr>
                <w:sz w:val="20"/>
                <w:szCs w:val="20"/>
                <w:lang w:val="fr-CA"/>
              </w:rPr>
              <w:t xml:space="preserve">Arrêt accueillant l’appel et déclarant que l’intimé a droit à son salaire et à ses avantages sociaux pour la partie non expirée du contrat de travail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4C329F" w:rsidRPr="007765E3" w:rsidRDefault="004C329F" w:rsidP="004C329F">
            <w:pPr>
              <w:rPr>
                <w:sz w:val="20"/>
                <w:szCs w:val="20"/>
                <w:lang w:val="fr-CA"/>
              </w:rPr>
            </w:pPr>
            <w:r w:rsidRPr="007765E3">
              <w:rPr>
                <w:sz w:val="20"/>
                <w:szCs w:val="20"/>
                <w:lang w:val="fr-CA"/>
              </w:rPr>
              <w:lastRenderedPageBreak/>
              <w:t>30 mai 2016</w:t>
            </w:r>
          </w:p>
          <w:p w:rsidR="00127038" w:rsidRPr="007765E3" w:rsidRDefault="004C329F" w:rsidP="004C329F">
            <w:pPr>
              <w:pStyle w:val="SCCShortJudgment"/>
              <w:ind w:firstLine="0"/>
              <w:rPr>
                <w:rFonts w:cs="Times New Roman"/>
                <w:szCs w:val="20"/>
                <w:u w:val="single"/>
                <w:lang w:val="fr-CA"/>
              </w:rPr>
            </w:pPr>
            <w:r w:rsidRPr="007765E3">
              <w:rPr>
                <w:szCs w:val="20"/>
                <w:lang w:val="fr-CA"/>
              </w:rPr>
              <w:t>Cour suprême du Canada</w:t>
            </w: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4C329F" w:rsidP="00070F74">
            <w:pPr>
              <w:pStyle w:val="SCCShortJudgment"/>
              <w:ind w:firstLine="0"/>
              <w:rPr>
                <w:rFonts w:cs="Times New Roman"/>
                <w:szCs w:val="20"/>
                <w:u w:val="single"/>
                <w:lang w:val="fr-CA"/>
              </w:rPr>
            </w:pPr>
            <w:r w:rsidRPr="007765E3">
              <w:rPr>
                <w:szCs w:val="20"/>
                <w:lang w:val="fr-CA"/>
              </w:rPr>
              <w:t>Dépôt de la demande d’autorisation d’appel</w:t>
            </w:r>
          </w:p>
        </w:tc>
      </w:tr>
    </w:tbl>
    <w:p w:rsidR="00127038" w:rsidRPr="007765E3" w:rsidRDefault="007765E3" w:rsidP="008D292F">
      <w:pPr>
        <w:rPr>
          <w:sz w:val="20"/>
          <w:szCs w:val="20"/>
          <w:lang w:val="fr-CA"/>
        </w:rPr>
      </w:pPr>
      <w:r w:rsidRPr="007765E3">
        <w:rPr>
          <w:rFonts w:cs="Times New Roman"/>
          <w:szCs w:val="20"/>
          <w:lang w:val="fr-CA"/>
        </w:rPr>
        <w:pict>
          <v:rect id="_x0000_i1053" style="width:2in;height:1pt" o:hrpct="0" o:hralign="center" o:hrstd="t" o:hrnoshade="t" o:hr="t" fillcolor="black [3213]" stroked="f"/>
        </w:pict>
      </w:r>
    </w:p>
    <w:p w:rsidR="00127038" w:rsidRPr="007765E3" w:rsidRDefault="0012703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37041</w:t>
            </w:r>
          </w:p>
          <w:p w:rsidR="00127038" w:rsidRPr="007765E3" w:rsidRDefault="00127038" w:rsidP="00070F74">
            <w:pPr>
              <w:jc w:val="both"/>
              <w:rPr>
                <w:rFonts w:cs="Times New Roman"/>
                <w:b/>
                <w:sz w:val="20"/>
                <w:szCs w:val="20"/>
              </w:rPr>
            </w:pPr>
          </w:p>
        </w:tc>
        <w:tc>
          <w:tcPr>
            <w:tcW w:w="8118" w:type="dxa"/>
            <w:gridSpan w:val="3"/>
          </w:tcPr>
          <w:p w:rsidR="00127038" w:rsidRPr="007765E3" w:rsidRDefault="006C5C57" w:rsidP="00070F74">
            <w:pPr>
              <w:jc w:val="both"/>
              <w:rPr>
                <w:rFonts w:cs="Times New Roman"/>
                <w:sz w:val="20"/>
                <w:szCs w:val="20"/>
              </w:rPr>
            </w:pPr>
            <w:r w:rsidRPr="007765E3">
              <w:rPr>
                <w:b/>
                <w:sz w:val="20"/>
                <w:szCs w:val="20"/>
                <w:u w:val="single"/>
              </w:rPr>
              <w:t xml:space="preserve">British Columbia Human Rights Tribunal v. Edward </w:t>
            </w:r>
            <w:proofErr w:type="spellStart"/>
            <w:r w:rsidRPr="007765E3">
              <w:rPr>
                <w:b/>
                <w:sz w:val="20"/>
                <w:szCs w:val="20"/>
                <w:u w:val="single"/>
              </w:rPr>
              <w:t>Schrenk</w:t>
            </w:r>
            <w:proofErr w:type="spellEnd"/>
            <w:r w:rsidRPr="007765E3">
              <w:rPr>
                <w:rFonts w:cs="Times New Roman"/>
                <w:sz w:val="20"/>
                <w:szCs w:val="20"/>
              </w:rPr>
              <w:t xml:space="preserve"> </w:t>
            </w:r>
            <w:r w:rsidR="00127038" w:rsidRPr="007765E3">
              <w:rPr>
                <w:rFonts w:cs="Times New Roman"/>
                <w:sz w:val="20"/>
                <w:szCs w:val="20"/>
              </w:rPr>
              <w:t>(</w:t>
            </w:r>
            <w:r w:rsidRPr="007765E3">
              <w:rPr>
                <w:rFonts w:cs="Times New Roman"/>
                <w:sz w:val="20"/>
                <w:szCs w:val="20"/>
              </w:rPr>
              <w:t>B.C</w:t>
            </w:r>
            <w:r w:rsidR="00127038" w:rsidRPr="007765E3">
              <w:rPr>
                <w:rFonts w:cs="Times New Roman"/>
                <w:sz w:val="20"/>
                <w:szCs w:val="20"/>
              </w:rPr>
              <w:t>.) (Civil)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6C5C57" w:rsidP="00070F74">
            <w:pPr>
              <w:jc w:val="both"/>
              <w:rPr>
                <w:sz w:val="20"/>
                <w:szCs w:val="20"/>
                <w:u w:val="single"/>
              </w:rPr>
            </w:pPr>
            <w:proofErr w:type="spellStart"/>
            <w:r w:rsidRPr="007765E3">
              <w:rPr>
                <w:sz w:val="20"/>
                <w:szCs w:val="20"/>
                <w:u w:val="single"/>
              </w:rPr>
              <w:t>Abella</w:t>
            </w:r>
            <w:proofErr w:type="spellEnd"/>
            <w:r w:rsidRPr="007765E3">
              <w:rPr>
                <w:sz w:val="20"/>
                <w:szCs w:val="20"/>
                <w:u w:val="single"/>
              </w:rPr>
              <w:t xml:space="preserve">, </w:t>
            </w:r>
            <w:proofErr w:type="spellStart"/>
            <w:r w:rsidRPr="007765E3">
              <w:rPr>
                <w:sz w:val="20"/>
                <w:szCs w:val="20"/>
                <w:u w:val="single"/>
              </w:rPr>
              <w:t>Karakatsanis</w:t>
            </w:r>
            <w:proofErr w:type="spellEnd"/>
            <w:r w:rsidRPr="007765E3">
              <w:rPr>
                <w:sz w:val="20"/>
                <w:szCs w:val="20"/>
                <w:u w:val="single"/>
              </w:rPr>
              <w:t xml:space="preserve"> and Brown JJ.</w:t>
            </w:r>
          </w:p>
          <w:p w:rsidR="006C5C57" w:rsidRPr="007765E3" w:rsidRDefault="006C5C57" w:rsidP="00070F74">
            <w:pPr>
              <w:jc w:val="both"/>
              <w:rPr>
                <w:rFonts w:cs="Times New Roman"/>
                <w:sz w:val="20"/>
                <w:szCs w:val="20"/>
                <w:u w:val="single"/>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rPr>
            </w:pPr>
            <w:r w:rsidRPr="007765E3">
              <w:rPr>
                <w:rFonts w:cs="Times New Roman"/>
                <w:szCs w:val="20"/>
              </w:rPr>
              <w:tab/>
            </w:r>
            <w:r w:rsidR="006C5C57" w:rsidRPr="007765E3">
              <w:rPr>
                <w:szCs w:val="20"/>
              </w:rPr>
              <w:t>The application for leave to appeal from the judgment of the Court of Appeal for British Columbia (Vancouver), Number CA42989, 2016 BCCA 146, dated April 5, 2016, is granted with costs in the cause.</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szCs w:val="20"/>
                <w:lang w:val="fr-CA"/>
              </w:rPr>
            </w:pPr>
            <w:r w:rsidRPr="007765E3">
              <w:rPr>
                <w:rFonts w:cs="Times New Roman"/>
                <w:szCs w:val="20"/>
              </w:rPr>
              <w:tab/>
            </w:r>
            <w:r w:rsidR="006C5C57" w:rsidRPr="007765E3">
              <w:rPr>
                <w:szCs w:val="20"/>
                <w:lang w:val="fr-CA"/>
              </w:rPr>
              <w:t xml:space="preserve">La demande d’autorisation d’appel de l’arrêt de la </w:t>
            </w:r>
            <w:r w:rsidR="006C5C57" w:rsidRPr="007765E3">
              <w:rPr>
                <w:szCs w:val="20"/>
                <w:lang w:val="fr-FR"/>
              </w:rPr>
              <w:t>Cour d’appel de la Colombie-Britannique (Vancouver)</w:t>
            </w:r>
            <w:r w:rsidR="006C5C57" w:rsidRPr="007765E3">
              <w:rPr>
                <w:szCs w:val="20"/>
                <w:lang w:val="fr-CA"/>
              </w:rPr>
              <w:t xml:space="preserve">, numéro </w:t>
            </w:r>
            <w:r w:rsidR="006C5C57" w:rsidRPr="007765E3">
              <w:rPr>
                <w:szCs w:val="20"/>
                <w:lang w:val="fr-FR"/>
              </w:rPr>
              <w:t>CA42989, 2016 BCCA 146</w:t>
            </w:r>
            <w:r w:rsidR="006C5C57" w:rsidRPr="007765E3">
              <w:rPr>
                <w:szCs w:val="20"/>
                <w:lang w:val="fr-CA"/>
              </w:rPr>
              <w:t xml:space="preserve">, daté du </w:t>
            </w:r>
            <w:r w:rsidR="006C5C57" w:rsidRPr="007765E3">
              <w:rPr>
                <w:szCs w:val="20"/>
                <w:lang w:val="fr-FR"/>
              </w:rPr>
              <w:t>5 avril 2016</w:t>
            </w:r>
            <w:r w:rsidR="006C5C57" w:rsidRPr="007765E3">
              <w:rPr>
                <w:szCs w:val="20"/>
                <w:lang w:val="fr-CA"/>
              </w:rPr>
              <w:t xml:space="preserve">, est accueillie avec dépens suivant l’issue de la cause. </w:t>
            </w:r>
          </w:p>
          <w:p w:rsidR="006C5C57" w:rsidRPr="007765E3" w:rsidRDefault="006C5C57"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6C5C57" w:rsidRPr="007765E3" w:rsidRDefault="006C5C57" w:rsidP="006C5C57">
            <w:pPr>
              <w:jc w:val="both"/>
              <w:rPr>
                <w:sz w:val="20"/>
                <w:szCs w:val="20"/>
              </w:rPr>
            </w:pPr>
            <w:r w:rsidRPr="007765E3">
              <w:rPr>
                <w:sz w:val="20"/>
                <w:szCs w:val="20"/>
              </w:rPr>
              <w:t>Human rights – Discrimination – Employment – Boards and tribunals – Jurisdiction – Complainant filing complaint with Human Rights Tribunal arguing discrimination based on place of origin, religion and sexual orientation – Whether</w:t>
            </w:r>
            <w:r w:rsidRPr="007765E3">
              <w:rPr>
                <w:sz w:val="20"/>
                <w:szCs w:val="20"/>
                <w:lang w:val="en-US"/>
              </w:rPr>
              <w:t xml:space="preserve"> an employee’s protection from discrimination in the workplace is restricted to specific relationships marked by economic power imbalance – </w:t>
            </w:r>
            <w:r w:rsidRPr="007765E3">
              <w:rPr>
                <w:i/>
                <w:iCs/>
                <w:sz w:val="20"/>
                <w:szCs w:val="20"/>
              </w:rPr>
              <w:t>Human Rights Code</w:t>
            </w:r>
            <w:r w:rsidRPr="007765E3">
              <w:rPr>
                <w:sz w:val="20"/>
                <w:szCs w:val="20"/>
              </w:rPr>
              <w:t xml:space="preserve">, R.S.B.C. 1996, c. 210, ss. 1, 13(1), 27(1).  </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9576" w:type="dxa"/>
            <w:gridSpan w:val="4"/>
          </w:tcPr>
          <w:p w:rsidR="006C5C57" w:rsidRPr="007765E3" w:rsidRDefault="006C5C57" w:rsidP="006C5C57">
            <w:pPr>
              <w:jc w:val="both"/>
              <w:rPr>
                <w:sz w:val="20"/>
                <w:szCs w:val="20"/>
              </w:rPr>
            </w:pPr>
            <w:r w:rsidRPr="007765E3">
              <w:rPr>
                <w:sz w:val="20"/>
                <w:szCs w:val="20"/>
              </w:rPr>
              <w:t>The applicant Mr. </w:t>
            </w:r>
            <w:proofErr w:type="spellStart"/>
            <w:r w:rsidRPr="007765E3">
              <w:rPr>
                <w:rFonts w:ascii="Arial (W1)" w:hAnsi="Arial (W1)"/>
                <w:sz w:val="20"/>
                <w:szCs w:val="20"/>
              </w:rPr>
              <w:t>Sheikhzadeh-Mashgoul</w:t>
            </w:r>
            <w:proofErr w:type="spellEnd"/>
            <w:r w:rsidRPr="007765E3">
              <w:rPr>
                <w:rFonts w:ascii="Arial (W1)" w:hAnsi="Arial (W1)"/>
                <w:sz w:val="20"/>
                <w:szCs w:val="20"/>
              </w:rPr>
              <w:t xml:space="preserve"> (“Mr. </w:t>
            </w:r>
            <w:proofErr w:type="spellStart"/>
            <w:r w:rsidRPr="007765E3">
              <w:rPr>
                <w:rFonts w:ascii="Arial (W1)" w:hAnsi="Arial (W1)"/>
                <w:sz w:val="20"/>
                <w:szCs w:val="20"/>
              </w:rPr>
              <w:t>Mashgoul</w:t>
            </w:r>
            <w:proofErr w:type="spellEnd"/>
            <w:r w:rsidRPr="007765E3">
              <w:rPr>
                <w:rFonts w:ascii="Arial (W1)" w:hAnsi="Arial (W1)"/>
                <w:sz w:val="20"/>
                <w:szCs w:val="20"/>
              </w:rPr>
              <w:t xml:space="preserve">”) is a civil engineer who represented </w:t>
            </w:r>
            <w:r w:rsidRPr="007765E3">
              <w:rPr>
                <w:sz w:val="20"/>
                <w:szCs w:val="20"/>
              </w:rPr>
              <w:t xml:space="preserve">a </w:t>
            </w:r>
            <w:r w:rsidRPr="007765E3">
              <w:rPr>
                <w:rFonts w:ascii="Arial (W1)" w:hAnsi="Arial (W1)"/>
                <w:sz w:val="20"/>
                <w:szCs w:val="20"/>
              </w:rPr>
              <w:t xml:space="preserve">consulting engineering firm on a road improvement project. In that capacity, he supervised work of a construction company where the respondent </w:t>
            </w:r>
            <w:r w:rsidRPr="007765E3">
              <w:rPr>
                <w:sz w:val="20"/>
                <w:szCs w:val="20"/>
              </w:rPr>
              <w:t>Mr. </w:t>
            </w:r>
            <w:proofErr w:type="spellStart"/>
            <w:r w:rsidRPr="007765E3">
              <w:rPr>
                <w:sz w:val="20"/>
                <w:szCs w:val="20"/>
              </w:rPr>
              <w:t>Schrenk</w:t>
            </w:r>
            <w:proofErr w:type="spellEnd"/>
            <w:r w:rsidRPr="007765E3">
              <w:rPr>
                <w:sz w:val="20"/>
                <w:szCs w:val="20"/>
              </w:rPr>
              <w:t xml:space="preserve"> </w:t>
            </w:r>
            <w:r w:rsidRPr="007765E3">
              <w:rPr>
                <w:rFonts w:ascii="Arial (W1)" w:hAnsi="Arial (W1)"/>
                <w:sz w:val="20"/>
                <w:szCs w:val="20"/>
              </w:rPr>
              <w:t>worked as foreman. While working on the project, Mr. </w:t>
            </w:r>
            <w:proofErr w:type="spellStart"/>
            <w:r w:rsidRPr="007765E3">
              <w:rPr>
                <w:rFonts w:ascii="Arial (W1)" w:hAnsi="Arial (W1)"/>
                <w:sz w:val="20"/>
                <w:szCs w:val="20"/>
              </w:rPr>
              <w:t>Schrenk</w:t>
            </w:r>
            <w:proofErr w:type="spellEnd"/>
            <w:r w:rsidRPr="007765E3">
              <w:rPr>
                <w:rFonts w:ascii="Arial (W1)" w:hAnsi="Arial (W1)"/>
                <w:sz w:val="20"/>
                <w:szCs w:val="20"/>
              </w:rPr>
              <w:t xml:space="preserve"> </w:t>
            </w:r>
            <w:r w:rsidRPr="007765E3">
              <w:rPr>
                <w:sz w:val="20"/>
                <w:szCs w:val="20"/>
              </w:rPr>
              <w:t>made derogatory statements to Mr. </w:t>
            </w:r>
            <w:proofErr w:type="spellStart"/>
            <w:r w:rsidRPr="007765E3">
              <w:rPr>
                <w:sz w:val="20"/>
                <w:szCs w:val="20"/>
              </w:rPr>
              <w:t>Mashgoul</w:t>
            </w:r>
            <w:proofErr w:type="spellEnd"/>
            <w:r w:rsidRPr="007765E3">
              <w:rPr>
                <w:sz w:val="20"/>
                <w:szCs w:val="20"/>
              </w:rPr>
              <w:t xml:space="preserve"> and others with respect to Mr. </w:t>
            </w:r>
            <w:proofErr w:type="spellStart"/>
            <w:r w:rsidRPr="007765E3">
              <w:rPr>
                <w:sz w:val="20"/>
                <w:szCs w:val="20"/>
              </w:rPr>
              <w:t>Mashgoul’s</w:t>
            </w:r>
            <w:proofErr w:type="spellEnd"/>
            <w:r w:rsidRPr="007765E3">
              <w:rPr>
                <w:sz w:val="20"/>
                <w:szCs w:val="20"/>
              </w:rPr>
              <w:t xml:space="preserve"> place of origin, religion and sexual orientation and sent him derogatory emails. Mr. </w:t>
            </w:r>
            <w:proofErr w:type="spellStart"/>
            <w:r w:rsidRPr="007765E3">
              <w:rPr>
                <w:sz w:val="20"/>
                <w:szCs w:val="20"/>
              </w:rPr>
              <w:t>Mashgoul’s</w:t>
            </w:r>
            <w:proofErr w:type="spellEnd"/>
            <w:r w:rsidRPr="007765E3">
              <w:rPr>
                <w:sz w:val="20"/>
                <w:szCs w:val="20"/>
              </w:rPr>
              <w:t xml:space="preserve"> employer complained to Mr. </w:t>
            </w:r>
            <w:proofErr w:type="spellStart"/>
            <w:r w:rsidRPr="007765E3">
              <w:rPr>
                <w:sz w:val="20"/>
                <w:szCs w:val="20"/>
              </w:rPr>
              <w:t>Schrenk’s</w:t>
            </w:r>
            <w:proofErr w:type="spellEnd"/>
            <w:r w:rsidRPr="007765E3">
              <w:rPr>
                <w:sz w:val="20"/>
                <w:szCs w:val="20"/>
              </w:rPr>
              <w:t xml:space="preserve"> employer, and Mr. </w:t>
            </w:r>
            <w:proofErr w:type="spellStart"/>
            <w:r w:rsidRPr="007765E3">
              <w:rPr>
                <w:sz w:val="20"/>
                <w:szCs w:val="20"/>
              </w:rPr>
              <w:t>Schrenk’s</w:t>
            </w:r>
            <w:proofErr w:type="spellEnd"/>
            <w:r w:rsidRPr="007765E3">
              <w:rPr>
                <w:sz w:val="20"/>
                <w:szCs w:val="20"/>
              </w:rPr>
              <w:t xml:space="preserve"> employment was terminated. </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9576" w:type="dxa"/>
            <w:gridSpan w:val="4"/>
          </w:tcPr>
          <w:p w:rsidR="006C5C57" w:rsidRPr="007765E3" w:rsidRDefault="006C5C57" w:rsidP="006C5C57">
            <w:pPr>
              <w:jc w:val="both"/>
              <w:rPr>
                <w:sz w:val="20"/>
                <w:szCs w:val="20"/>
              </w:rPr>
            </w:pPr>
            <w:r w:rsidRPr="007765E3">
              <w:rPr>
                <w:sz w:val="20"/>
                <w:szCs w:val="20"/>
              </w:rPr>
              <w:t>Mr. </w:t>
            </w:r>
            <w:proofErr w:type="spellStart"/>
            <w:r w:rsidRPr="007765E3">
              <w:rPr>
                <w:sz w:val="20"/>
                <w:szCs w:val="20"/>
              </w:rPr>
              <w:t>Mashgoul</w:t>
            </w:r>
            <w:proofErr w:type="spellEnd"/>
            <w:r w:rsidRPr="007765E3">
              <w:rPr>
                <w:sz w:val="20"/>
                <w:szCs w:val="20"/>
              </w:rPr>
              <w:t xml:space="preserve"> filed a complaint with the British Columbia Human Rights Tribunal (“Tribunal”)</w:t>
            </w:r>
            <w:r w:rsidRPr="007765E3">
              <w:rPr>
                <w:rFonts w:ascii="Arial (W1)" w:hAnsi="Arial (W1)"/>
                <w:sz w:val="20"/>
                <w:szCs w:val="20"/>
              </w:rPr>
              <w:t xml:space="preserve"> </w:t>
            </w:r>
            <w:r w:rsidRPr="007765E3">
              <w:rPr>
                <w:sz w:val="20"/>
                <w:szCs w:val="20"/>
              </w:rPr>
              <w:t>alleging discrimination with respect to employment by Mr. </w:t>
            </w:r>
            <w:proofErr w:type="spellStart"/>
            <w:r w:rsidRPr="007765E3">
              <w:rPr>
                <w:sz w:val="20"/>
                <w:szCs w:val="20"/>
              </w:rPr>
              <w:t>Schrenk</w:t>
            </w:r>
            <w:proofErr w:type="spellEnd"/>
            <w:r w:rsidRPr="007765E3">
              <w:rPr>
                <w:sz w:val="20"/>
                <w:szCs w:val="20"/>
              </w:rPr>
              <w:t>. He also alleged that the conduct was permitted or tolerated by Mr. </w:t>
            </w:r>
            <w:proofErr w:type="spellStart"/>
            <w:r w:rsidRPr="007765E3">
              <w:rPr>
                <w:sz w:val="20"/>
                <w:szCs w:val="20"/>
              </w:rPr>
              <w:t>Schrenk’s</w:t>
            </w:r>
            <w:proofErr w:type="spellEnd"/>
            <w:r w:rsidRPr="007765E3">
              <w:rPr>
                <w:sz w:val="20"/>
                <w:szCs w:val="20"/>
              </w:rPr>
              <w:t xml:space="preserve"> employer and the owner of the project. </w:t>
            </w:r>
          </w:p>
          <w:p w:rsidR="00127038" w:rsidRPr="007765E3" w:rsidRDefault="00127038" w:rsidP="00070F74">
            <w:pPr>
              <w:pStyle w:val="SCCShortJudgment"/>
              <w:ind w:firstLine="0"/>
              <w:rPr>
                <w:rFonts w:cs="Times New Roman"/>
                <w:szCs w:val="20"/>
              </w:rPr>
            </w:pPr>
          </w:p>
        </w:tc>
      </w:tr>
      <w:tr w:rsidR="006C5C57" w:rsidRPr="007765E3" w:rsidTr="00070F74">
        <w:trPr>
          <w:cantSplit/>
        </w:trPr>
        <w:tc>
          <w:tcPr>
            <w:tcW w:w="9576" w:type="dxa"/>
            <w:gridSpan w:val="4"/>
          </w:tcPr>
          <w:p w:rsidR="006C5C57" w:rsidRPr="007765E3" w:rsidRDefault="006C5C57" w:rsidP="000E6D1D">
            <w:pPr>
              <w:jc w:val="both"/>
              <w:rPr>
                <w:sz w:val="20"/>
                <w:szCs w:val="20"/>
              </w:rPr>
            </w:pPr>
            <w:r w:rsidRPr="007765E3">
              <w:rPr>
                <w:sz w:val="20"/>
                <w:szCs w:val="20"/>
              </w:rPr>
              <w:t>Mr. </w:t>
            </w:r>
            <w:proofErr w:type="spellStart"/>
            <w:r w:rsidRPr="007765E3">
              <w:rPr>
                <w:sz w:val="20"/>
                <w:szCs w:val="20"/>
              </w:rPr>
              <w:t>Schrenk</w:t>
            </w:r>
            <w:proofErr w:type="spellEnd"/>
            <w:r w:rsidRPr="007765E3">
              <w:rPr>
                <w:sz w:val="20"/>
                <w:szCs w:val="20"/>
              </w:rPr>
              <w:t xml:space="preserve"> and his employer brought an application to dismiss the complaint pursuant to s. 27(1) of the Code on the basis that the complaint was not within the jurisdiction of the Tribunal. Mr. </w:t>
            </w:r>
            <w:proofErr w:type="spellStart"/>
            <w:r w:rsidRPr="007765E3">
              <w:rPr>
                <w:sz w:val="20"/>
                <w:szCs w:val="20"/>
              </w:rPr>
              <w:t>Schrenk</w:t>
            </w:r>
            <w:proofErr w:type="spellEnd"/>
            <w:r w:rsidRPr="007765E3">
              <w:rPr>
                <w:sz w:val="20"/>
                <w:szCs w:val="20"/>
              </w:rPr>
              <w:t xml:space="preserve"> submitted that the alleged conduct did not constitute “discrimination in employment” within the meaning of s. 13(1) of the Code because of the limited nexus between the conduct and employment.</w:t>
            </w:r>
          </w:p>
          <w:p w:rsidR="006C5C57" w:rsidRPr="007765E3" w:rsidRDefault="006C5C57" w:rsidP="006C5C57"/>
        </w:tc>
      </w:tr>
      <w:tr w:rsidR="00127038" w:rsidRPr="007765E3" w:rsidTr="00070F74">
        <w:trPr>
          <w:cantSplit/>
        </w:trPr>
        <w:tc>
          <w:tcPr>
            <w:tcW w:w="4410" w:type="dxa"/>
            <w:gridSpan w:val="2"/>
          </w:tcPr>
          <w:p w:rsidR="006C5C57" w:rsidRPr="007765E3" w:rsidRDefault="006C5C57" w:rsidP="006C5C57">
            <w:pPr>
              <w:rPr>
                <w:sz w:val="20"/>
                <w:szCs w:val="20"/>
              </w:rPr>
            </w:pPr>
            <w:r w:rsidRPr="007765E3">
              <w:rPr>
                <w:sz w:val="20"/>
                <w:szCs w:val="20"/>
              </w:rPr>
              <w:t>January 23, 2015</w:t>
            </w:r>
          </w:p>
          <w:p w:rsidR="006C5C57" w:rsidRPr="007765E3" w:rsidRDefault="006C5C57" w:rsidP="006C5C57">
            <w:pPr>
              <w:rPr>
                <w:sz w:val="20"/>
                <w:szCs w:val="20"/>
              </w:rPr>
            </w:pPr>
            <w:r w:rsidRPr="007765E3">
              <w:rPr>
                <w:sz w:val="20"/>
                <w:szCs w:val="20"/>
              </w:rPr>
              <w:t xml:space="preserve">British Columbia Human Rights Tribunal (Tribunal Member </w:t>
            </w:r>
            <w:proofErr w:type="spellStart"/>
            <w:r w:rsidRPr="007765E3">
              <w:rPr>
                <w:sz w:val="20"/>
                <w:szCs w:val="20"/>
              </w:rPr>
              <w:t>Rilkoff</w:t>
            </w:r>
            <w:proofErr w:type="spellEnd"/>
            <w:r w:rsidRPr="007765E3">
              <w:rPr>
                <w:sz w:val="20"/>
                <w:szCs w:val="20"/>
              </w:rPr>
              <w:t>)</w:t>
            </w:r>
          </w:p>
          <w:p w:rsidR="006C5C57" w:rsidRPr="007765E3" w:rsidRDefault="007765E3" w:rsidP="006C5C57">
            <w:pPr>
              <w:rPr>
                <w:sz w:val="20"/>
                <w:szCs w:val="20"/>
              </w:rPr>
            </w:pPr>
            <w:hyperlink r:id="rId38" w:history="1">
              <w:r w:rsidR="006C5C57" w:rsidRPr="007765E3">
                <w:rPr>
                  <w:rStyle w:val="Hyperlink"/>
                  <w:sz w:val="20"/>
                  <w:szCs w:val="20"/>
                </w:rPr>
                <w:t>2015 BCHRT 17</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6C5C57" w:rsidRPr="007765E3" w:rsidRDefault="006C5C57" w:rsidP="006C5C57">
            <w:pPr>
              <w:jc w:val="both"/>
              <w:rPr>
                <w:sz w:val="20"/>
                <w:szCs w:val="20"/>
              </w:rPr>
            </w:pPr>
            <w:r w:rsidRPr="007765E3">
              <w:rPr>
                <w:sz w:val="20"/>
                <w:szCs w:val="20"/>
              </w:rPr>
              <w:t>Application to dismiss complaint for want of jurisdiction dismissed, declaration by the British Columbia Human Rights Tribunal that it has jurisdiction over complaint</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6C5C57" w:rsidRPr="007765E3" w:rsidRDefault="006C5C57" w:rsidP="006C5C57">
            <w:pPr>
              <w:rPr>
                <w:sz w:val="20"/>
                <w:szCs w:val="20"/>
              </w:rPr>
            </w:pPr>
            <w:r w:rsidRPr="007765E3">
              <w:rPr>
                <w:sz w:val="20"/>
                <w:szCs w:val="20"/>
              </w:rPr>
              <w:t>July 17, 2015</w:t>
            </w:r>
          </w:p>
          <w:p w:rsidR="006C5C57" w:rsidRPr="007765E3" w:rsidRDefault="006C5C57" w:rsidP="006C5C57">
            <w:pPr>
              <w:rPr>
                <w:sz w:val="20"/>
                <w:szCs w:val="20"/>
              </w:rPr>
            </w:pPr>
            <w:r w:rsidRPr="007765E3">
              <w:rPr>
                <w:sz w:val="20"/>
                <w:szCs w:val="20"/>
              </w:rPr>
              <w:t>Supreme Court of British Columbia</w:t>
            </w:r>
          </w:p>
          <w:p w:rsidR="006C5C57" w:rsidRPr="007765E3" w:rsidRDefault="006C5C57" w:rsidP="006C5C57">
            <w:pPr>
              <w:rPr>
                <w:sz w:val="20"/>
                <w:szCs w:val="20"/>
              </w:rPr>
            </w:pPr>
            <w:r w:rsidRPr="007765E3">
              <w:rPr>
                <w:sz w:val="20"/>
                <w:szCs w:val="20"/>
              </w:rPr>
              <w:t>(Brown J.)</w:t>
            </w:r>
          </w:p>
          <w:p w:rsidR="006C5C57" w:rsidRPr="007765E3" w:rsidRDefault="007765E3" w:rsidP="006C5C57">
            <w:pPr>
              <w:rPr>
                <w:sz w:val="20"/>
                <w:szCs w:val="20"/>
              </w:rPr>
            </w:pPr>
            <w:hyperlink r:id="rId39" w:history="1">
              <w:r w:rsidR="006C5C57" w:rsidRPr="007765E3">
                <w:rPr>
                  <w:rStyle w:val="Hyperlink"/>
                  <w:sz w:val="20"/>
                  <w:szCs w:val="20"/>
                </w:rPr>
                <w:t>2015 BCSC 1342</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6C5C57" w:rsidRPr="007765E3" w:rsidRDefault="006C5C57" w:rsidP="006C5C57">
            <w:pPr>
              <w:rPr>
                <w:sz w:val="20"/>
                <w:szCs w:val="20"/>
              </w:rPr>
            </w:pPr>
            <w:r w:rsidRPr="007765E3">
              <w:rPr>
                <w:sz w:val="20"/>
                <w:szCs w:val="20"/>
              </w:rPr>
              <w:t xml:space="preserve">Petition for judicial review dismissed </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6C5C57" w:rsidRPr="007765E3" w:rsidRDefault="006C5C57" w:rsidP="006C5C57">
            <w:pPr>
              <w:rPr>
                <w:sz w:val="20"/>
                <w:szCs w:val="20"/>
              </w:rPr>
            </w:pPr>
            <w:r w:rsidRPr="007765E3">
              <w:rPr>
                <w:sz w:val="20"/>
                <w:szCs w:val="20"/>
              </w:rPr>
              <w:lastRenderedPageBreak/>
              <w:t>April 5, 2016</w:t>
            </w:r>
          </w:p>
          <w:p w:rsidR="006C5C57" w:rsidRPr="007765E3" w:rsidRDefault="006C5C57" w:rsidP="006C5C57">
            <w:pPr>
              <w:rPr>
                <w:sz w:val="20"/>
                <w:szCs w:val="20"/>
              </w:rPr>
            </w:pPr>
            <w:r w:rsidRPr="007765E3">
              <w:rPr>
                <w:sz w:val="20"/>
                <w:szCs w:val="20"/>
              </w:rPr>
              <w:t>Court of Appeal for British Columbia (Vancouver)</w:t>
            </w:r>
          </w:p>
          <w:p w:rsidR="006C5C57" w:rsidRPr="007765E3" w:rsidRDefault="006C5C57" w:rsidP="006C5C57">
            <w:pPr>
              <w:rPr>
                <w:sz w:val="20"/>
                <w:szCs w:val="20"/>
              </w:rPr>
            </w:pPr>
            <w:r w:rsidRPr="007765E3">
              <w:rPr>
                <w:sz w:val="20"/>
                <w:szCs w:val="20"/>
              </w:rPr>
              <w:t xml:space="preserve">(Mackenzie, </w:t>
            </w:r>
            <w:proofErr w:type="spellStart"/>
            <w:r w:rsidRPr="007765E3">
              <w:rPr>
                <w:sz w:val="20"/>
                <w:szCs w:val="20"/>
              </w:rPr>
              <w:t>Willcock</w:t>
            </w:r>
            <w:proofErr w:type="spellEnd"/>
            <w:r w:rsidRPr="007765E3">
              <w:rPr>
                <w:sz w:val="20"/>
                <w:szCs w:val="20"/>
              </w:rPr>
              <w:t xml:space="preserve"> and </w:t>
            </w:r>
            <w:proofErr w:type="spellStart"/>
            <w:r w:rsidRPr="007765E3">
              <w:rPr>
                <w:sz w:val="20"/>
                <w:szCs w:val="20"/>
              </w:rPr>
              <w:t>Fenlon</w:t>
            </w:r>
            <w:proofErr w:type="spellEnd"/>
            <w:r w:rsidRPr="007765E3">
              <w:rPr>
                <w:sz w:val="20"/>
                <w:szCs w:val="20"/>
              </w:rPr>
              <w:t xml:space="preserve"> JJ.A.)</w:t>
            </w:r>
          </w:p>
          <w:p w:rsidR="006C5C57" w:rsidRPr="007765E3" w:rsidRDefault="007765E3" w:rsidP="006C5C57">
            <w:pPr>
              <w:rPr>
                <w:sz w:val="20"/>
                <w:szCs w:val="20"/>
              </w:rPr>
            </w:pPr>
            <w:hyperlink r:id="rId40" w:history="1">
              <w:r w:rsidR="006C5C57" w:rsidRPr="007765E3">
                <w:rPr>
                  <w:rStyle w:val="Hyperlink"/>
                  <w:sz w:val="20"/>
                  <w:szCs w:val="20"/>
                </w:rPr>
                <w:t>2016 BCCA 146</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6C5C57" w:rsidRPr="007765E3" w:rsidRDefault="006C5C57" w:rsidP="006C5C57">
            <w:pPr>
              <w:rPr>
                <w:sz w:val="20"/>
                <w:szCs w:val="20"/>
              </w:rPr>
            </w:pPr>
            <w:r w:rsidRPr="007765E3">
              <w:rPr>
                <w:sz w:val="20"/>
                <w:szCs w:val="20"/>
              </w:rPr>
              <w:t>Appeal allowed, complaint dismissed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6C5C57" w:rsidRPr="007765E3" w:rsidRDefault="006C5C57" w:rsidP="006C5C57">
            <w:pPr>
              <w:rPr>
                <w:sz w:val="20"/>
                <w:szCs w:val="20"/>
              </w:rPr>
            </w:pPr>
            <w:r w:rsidRPr="007765E3">
              <w:rPr>
                <w:sz w:val="20"/>
                <w:szCs w:val="20"/>
              </w:rPr>
              <w:t>June 2, 2016</w:t>
            </w:r>
          </w:p>
          <w:p w:rsidR="00127038" w:rsidRPr="007765E3" w:rsidRDefault="006C5C57" w:rsidP="006C5C57">
            <w:pPr>
              <w:jc w:val="both"/>
              <w:rPr>
                <w:rFonts w:cs="Times New Roman"/>
                <w:sz w:val="20"/>
                <w:szCs w:val="20"/>
              </w:rPr>
            </w:pPr>
            <w:r w:rsidRPr="007765E3">
              <w:rPr>
                <w:sz w:val="20"/>
                <w:szCs w:val="20"/>
              </w:rPr>
              <w:t>Supreme Court of Canada</w:t>
            </w:r>
          </w:p>
        </w:tc>
        <w:tc>
          <w:tcPr>
            <w:tcW w:w="630" w:type="dxa"/>
          </w:tcPr>
          <w:p w:rsidR="00127038" w:rsidRPr="007765E3" w:rsidRDefault="00127038" w:rsidP="00070F74">
            <w:pPr>
              <w:jc w:val="both"/>
              <w:rPr>
                <w:rFonts w:cs="Times New Roman"/>
                <w:sz w:val="20"/>
                <w:szCs w:val="20"/>
              </w:rPr>
            </w:pPr>
          </w:p>
        </w:tc>
        <w:tc>
          <w:tcPr>
            <w:tcW w:w="4536" w:type="dxa"/>
          </w:tcPr>
          <w:p w:rsidR="00127038" w:rsidRPr="007765E3" w:rsidRDefault="006C5C57" w:rsidP="00070F74">
            <w:pPr>
              <w:jc w:val="both"/>
              <w:rPr>
                <w:rFonts w:cs="Times New Roman"/>
                <w:sz w:val="20"/>
                <w:szCs w:val="20"/>
              </w:rPr>
            </w:pPr>
            <w:r w:rsidRPr="007765E3">
              <w:rPr>
                <w:sz w:val="20"/>
                <w:szCs w:val="20"/>
              </w:rPr>
              <w:t>Application for leave to appeal filed</w:t>
            </w: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54"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6C5C57" w:rsidRPr="007765E3" w:rsidRDefault="006C5C57" w:rsidP="006C5C57">
            <w:pPr>
              <w:jc w:val="both"/>
              <w:rPr>
                <w:sz w:val="20"/>
                <w:szCs w:val="20"/>
                <w:lang w:val="fr-CA"/>
              </w:rPr>
            </w:pPr>
            <w:r w:rsidRPr="007765E3">
              <w:rPr>
                <w:sz w:val="20"/>
                <w:szCs w:val="20"/>
                <w:lang w:val="fr-CA"/>
              </w:rPr>
              <w:t xml:space="preserve">Droits de la personne – Discrimination – Emploi – Organismes et tribunaux administratifs – Compétence – Dépôt auprès du </w:t>
            </w:r>
            <w:proofErr w:type="spellStart"/>
            <w:r w:rsidRPr="007765E3">
              <w:rPr>
                <w:sz w:val="20"/>
                <w:szCs w:val="20"/>
                <w:lang w:val="fr-CA"/>
              </w:rPr>
              <w:t>Human</w:t>
            </w:r>
            <w:proofErr w:type="spellEnd"/>
            <w:r w:rsidRPr="007765E3">
              <w:rPr>
                <w:sz w:val="20"/>
                <w:szCs w:val="20"/>
                <w:lang w:val="fr-CA"/>
              </w:rPr>
              <w:t xml:space="preserve"> </w:t>
            </w:r>
            <w:proofErr w:type="spellStart"/>
            <w:r w:rsidRPr="007765E3">
              <w:rPr>
                <w:sz w:val="20"/>
                <w:szCs w:val="20"/>
                <w:lang w:val="fr-CA"/>
              </w:rPr>
              <w:t>Rights</w:t>
            </w:r>
            <w:proofErr w:type="spellEnd"/>
            <w:r w:rsidRPr="007765E3">
              <w:rPr>
                <w:sz w:val="20"/>
                <w:szCs w:val="20"/>
                <w:lang w:val="fr-CA"/>
              </w:rPr>
              <w:t xml:space="preserve"> Tribunal par le plaignant d’une plainte alléguant une discrimination fondée sur le lieu d’origine, la religion et l’orientation sexuelle – La protection contre la discrimination dont jouit un employé au travail est-elle restreinte aux relations particulières marquées par un déséquilibre sur le plan du pouvoir économique? – </w:t>
            </w:r>
            <w:proofErr w:type="spellStart"/>
            <w:r w:rsidRPr="007765E3">
              <w:rPr>
                <w:i/>
                <w:iCs/>
                <w:sz w:val="20"/>
                <w:szCs w:val="20"/>
                <w:lang w:val="fr-CA"/>
              </w:rPr>
              <w:t>Human</w:t>
            </w:r>
            <w:proofErr w:type="spellEnd"/>
            <w:r w:rsidRPr="007765E3">
              <w:rPr>
                <w:i/>
                <w:iCs/>
                <w:sz w:val="20"/>
                <w:szCs w:val="20"/>
                <w:lang w:val="fr-CA"/>
              </w:rPr>
              <w:t xml:space="preserve"> </w:t>
            </w:r>
            <w:proofErr w:type="spellStart"/>
            <w:r w:rsidRPr="007765E3">
              <w:rPr>
                <w:i/>
                <w:iCs/>
                <w:sz w:val="20"/>
                <w:szCs w:val="20"/>
                <w:lang w:val="fr-CA"/>
              </w:rPr>
              <w:t>Rights</w:t>
            </w:r>
            <w:proofErr w:type="spellEnd"/>
            <w:r w:rsidRPr="007765E3">
              <w:rPr>
                <w:i/>
                <w:iCs/>
                <w:sz w:val="20"/>
                <w:szCs w:val="20"/>
                <w:lang w:val="fr-CA"/>
              </w:rPr>
              <w:t xml:space="preserve"> Code</w:t>
            </w:r>
            <w:r w:rsidRPr="007765E3">
              <w:rPr>
                <w:sz w:val="20"/>
                <w:szCs w:val="20"/>
                <w:lang w:val="fr-CA"/>
              </w:rPr>
              <w:t xml:space="preserve">, R.S.B.C. 1996, c. 210, par. 1, 13(1), 27(1).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6C5C57" w:rsidRPr="007765E3" w:rsidRDefault="006C5C57" w:rsidP="006C5C57">
            <w:pPr>
              <w:jc w:val="both"/>
              <w:rPr>
                <w:sz w:val="20"/>
                <w:szCs w:val="20"/>
                <w:lang w:val="fr-CA"/>
              </w:rPr>
            </w:pPr>
            <w:r w:rsidRPr="007765E3">
              <w:rPr>
                <w:sz w:val="20"/>
                <w:szCs w:val="20"/>
                <w:lang w:val="fr-CA"/>
              </w:rPr>
              <w:t>Le demandeur, M. </w:t>
            </w:r>
            <w:proofErr w:type="spellStart"/>
            <w:r w:rsidRPr="007765E3">
              <w:rPr>
                <w:rFonts w:ascii="Arial (W1)" w:hAnsi="Arial (W1)"/>
                <w:sz w:val="20"/>
                <w:szCs w:val="20"/>
                <w:lang w:val="fr-CA"/>
              </w:rPr>
              <w:t>Sheikhzadeh-Mashgoul</w:t>
            </w:r>
            <w:proofErr w:type="spellEnd"/>
            <w:r w:rsidRPr="007765E3">
              <w:rPr>
                <w:rFonts w:ascii="Arial (W1)" w:hAnsi="Arial (W1)"/>
                <w:sz w:val="20"/>
                <w:szCs w:val="20"/>
                <w:lang w:val="fr-CA"/>
              </w:rPr>
              <w:t xml:space="preserve"> (« M. </w:t>
            </w:r>
            <w:proofErr w:type="spellStart"/>
            <w:r w:rsidRPr="007765E3">
              <w:rPr>
                <w:rFonts w:ascii="Arial (W1)" w:hAnsi="Arial (W1)"/>
                <w:sz w:val="20"/>
                <w:szCs w:val="20"/>
                <w:lang w:val="fr-CA"/>
              </w:rPr>
              <w:t>Mashgoul</w:t>
            </w:r>
            <w:proofErr w:type="spellEnd"/>
            <w:r w:rsidRPr="007765E3">
              <w:rPr>
                <w:rFonts w:ascii="Arial (W1)" w:hAnsi="Arial (W1)" w:hint="eastAsia"/>
                <w:sz w:val="20"/>
                <w:szCs w:val="20"/>
                <w:lang w:val="fr-CA"/>
              </w:rPr>
              <w:t> </w:t>
            </w:r>
            <w:r w:rsidRPr="007765E3">
              <w:rPr>
                <w:rFonts w:ascii="Arial (W1)" w:hAnsi="Arial (W1)"/>
                <w:sz w:val="20"/>
                <w:szCs w:val="20"/>
                <w:lang w:val="fr-CA"/>
              </w:rPr>
              <w:t>»), est un ingénieur civil qui représentait un cabinet de génie-conseil dans le cadre d’un projet de réfection d’une route. À ce titre, il supervisait le travail d’une entreprise de construction pour qui l’intimé, M.</w:t>
            </w:r>
            <w:r w:rsidRPr="007765E3">
              <w:rPr>
                <w:rFonts w:ascii="Arial (W1)" w:hAnsi="Arial (W1)" w:hint="eastAsia"/>
                <w:sz w:val="20"/>
                <w:szCs w:val="20"/>
                <w:lang w:val="fr-CA"/>
              </w:rPr>
              <w:t> </w:t>
            </w:r>
            <w:proofErr w:type="spellStart"/>
            <w:r w:rsidRPr="007765E3">
              <w:rPr>
                <w:rFonts w:ascii="Arial (W1)" w:hAnsi="Arial (W1)"/>
                <w:sz w:val="20"/>
                <w:szCs w:val="20"/>
                <w:lang w:val="fr-CA"/>
              </w:rPr>
              <w:t>Schrenk</w:t>
            </w:r>
            <w:proofErr w:type="spellEnd"/>
            <w:r w:rsidRPr="007765E3">
              <w:rPr>
                <w:rFonts w:ascii="Arial (W1)" w:hAnsi="Arial (W1)"/>
                <w:sz w:val="20"/>
                <w:szCs w:val="20"/>
                <w:lang w:val="fr-CA"/>
              </w:rPr>
              <w:t>, travaillait comme contremaître. Pendant qu’il travaillait sur le projet, ce dernier a tenu des propos dénigrants devant M.</w:t>
            </w:r>
            <w:r w:rsidRPr="007765E3">
              <w:rPr>
                <w:rFonts w:ascii="Arial (W1)" w:hAnsi="Arial (W1)" w:hint="eastAsia"/>
                <w:sz w:val="20"/>
                <w:szCs w:val="20"/>
                <w:lang w:val="fr-CA"/>
              </w:rPr>
              <w:t> </w:t>
            </w:r>
            <w:proofErr w:type="spellStart"/>
            <w:r w:rsidRPr="007765E3">
              <w:rPr>
                <w:rFonts w:ascii="Arial (W1)" w:hAnsi="Arial (W1)"/>
                <w:sz w:val="20"/>
                <w:szCs w:val="20"/>
                <w:lang w:val="fr-CA"/>
              </w:rPr>
              <w:t>Mashgoul</w:t>
            </w:r>
            <w:proofErr w:type="spellEnd"/>
            <w:r w:rsidRPr="007765E3">
              <w:rPr>
                <w:rFonts w:ascii="Arial (W1)" w:hAnsi="Arial (W1)"/>
                <w:sz w:val="20"/>
                <w:szCs w:val="20"/>
                <w:lang w:val="fr-CA"/>
              </w:rPr>
              <w:t xml:space="preserve"> et d’autres quant au pays d’origine de M.</w:t>
            </w:r>
            <w:r w:rsidRPr="007765E3">
              <w:rPr>
                <w:rFonts w:ascii="Arial (W1)" w:hAnsi="Arial (W1)" w:hint="eastAsia"/>
                <w:sz w:val="20"/>
                <w:szCs w:val="20"/>
                <w:lang w:val="fr-CA"/>
              </w:rPr>
              <w:t> </w:t>
            </w:r>
            <w:proofErr w:type="spellStart"/>
            <w:r w:rsidRPr="007765E3">
              <w:rPr>
                <w:rFonts w:ascii="Arial (W1)" w:hAnsi="Arial (W1)"/>
                <w:sz w:val="20"/>
                <w:szCs w:val="20"/>
                <w:lang w:val="fr-CA"/>
              </w:rPr>
              <w:t>Mashgoul</w:t>
            </w:r>
            <w:proofErr w:type="spellEnd"/>
            <w:r w:rsidRPr="007765E3">
              <w:rPr>
                <w:rFonts w:ascii="Arial (W1)" w:hAnsi="Arial (W1)"/>
                <w:sz w:val="20"/>
                <w:szCs w:val="20"/>
                <w:lang w:val="fr-CA"/>
              </w:rPr>
              <w:t>, à sa religion et à son orientation sexuelle. Il lui a aussi envoyé des courriels désobligeants. L’employeur de M.</w:t>
            </w:r>
            <w:r w:rsidRPr="007765E3">
              <w:rPr>
                <w:rFonts w:ascii="Arial (W1)" w:hAnsi="Arial (W1)" w:hint="eastAsia"/>
                <w:sz w:val="20"/>
                <w:szCs w:val="20"/>
                <w:lang w:val="fr-CA"/>
              </w:rPr>
              <w:t> </w:t>
            </w:r>
            <w:proofErr w:type="spellStart"/>
            <w:r w:rsidRPr="007765E3">
              <w:rPr>
                <w:rFonts w:ascii="Arial (W1)" w:hAnsi="Arial (W1)"/>
                <w:sz w:val="20"/>
                <w:szCs w:val="20"/>
                <w:lang w:val="fr-CA"/>
              </w:rPr>
              <w:t>Mashgoul</w:t>
            </w:r>
            <w:proofErr w:type="spellEnd"/>
            <w:r w:rsidRPr="007765E3">
              <w:rPr>
                <w:rFonts w:ascii="Arial (W1)" w:hAnsi="Arial (W1)"/>
                <w:sz w:val="20"/>
                <w:szCs w:val="20"/>
                <w:lang w:val="fr-CA"/>
              </w:rPr>
              <w:t xml:space="preserve"> s’est plaint auprès de l’employeur de M.</w:t>
            </w:r>
            <w:r w:rsidRPr="007765E3">
              <w:rPr>
                <w:rFonts w:ascii="Arial (W1)" w:hAnsi="Arial (W1)" w:hint="eastAsia"/>
                <w:sz w:val="20"/>
                <w:szCs w:val="20"/>
                <w:lang w:val="fr-CA"/>
              </w:rPr>
              <w:t> </w:t>
            </w:r>
            <w:proofErr w:type="spellStart"/>
            <w:r w:rsidRPr="007765E3">
              <w:rPr>
                <w:rFonts w:ascii="Arial (W1)" w:hAnsi="Arial (W1)"/>
                <w:sz w:val="20"/>
                <w:szCs w:val="20"/>
                <w:lang w:val="fr-CA"/>
              </w:rPr>
              <w:t>Schrenk</w:t>
            </w:r>
            <w:proofErr w:type="spellEnd"/>
            <w:r w:rsidRPr="007765E3">
              <w:rPr>
                <w:rFonts w:ascii="Arial (W1)" w:hAnsi="Arial (W1)"/>
                <w:sz w:val="20"/>
                <w:szCs w:val="20"/>
                <w:lang w:val="fr-CA"/>
              </w:rPr>
              <w:t xml:space="preserve"> et ce dernier a été congédié.</w:t>
            </w:r>
          </w:p>
          <w:p w:rsidR="00127038" w:rsidRPr="007765E3" w:rsidRDefault="00127038" w:rsidP="00070F74">
            <w:pPr>
              <w:jc w:val="both"/>
              <w:rPr>
                <w:rFonts w:cs="Times New Roman"/>
                <w:sz w:val="20"/>
                <w:szCs w:val="20"/>
                <w:u w:val="single"/>
                <w:lang w:val="fr-CA"/>
              </w:rPr>
            </w:pPr>
          </w:p>
        </w:tc>
      </w:tr>
      <w:tr w:rsidR="00127038" w:rsidRPr="007765E3" w:rsidTr="00070F74">
        <w:trPr>
          <w:cantSplit/>
        </w:trPr>
        <w:tc>
          <w:tcPr>
            <w:tcW w:w="9576" w:type="dxa"/>
            <w:gridSpan w:val="4"/>
          </w:tcPr>
          <w:p w:rsidR="006C5C57" w:rsidRPr="007765E3" w:rsidRDefault="006C5C57" w:rsidP="006C5C57">
            <w:pPr>
              <w:jc w:val="both"/>
              <w:rPr>
                <w:sz w:val="20"/>
                <w:szCs w:val="20"/>
                <w:lang w:val="fr-CA"/>
              </w:rPr>
            </w:pPr>
            <w:r w:rsidRPr="007765E3">
              <w:rPr>
                <w:sz w:val="20"/>
                <w:szCs w:val="20"/>
                <w:lang w:val="fr-CA"/>
              </w:rPr>
              <w:t xml:space="preserve">Monsieur </w:t>
            </w:r>
            <w:proofErr w:type="spellStart"/>
            <w:r w:rsidRPr="007765E3">
              <w:rPr>
                <w:sz w:val="20"/>
                <w:szCs w:val="20"/>
                <w:lang w:val="fr-CA"/>
              </w:rPr>
              <w:t>Mashgoul</w:t>
            </w:r>
            <w:proofErr w:type="spellEnd"/>
            <w:r w:rsidRPr="007765E3">
              <w:rPr>
                <w:sz w:val="20"/>
                <w:szCs w:val="20"/>
                <w:lang w:val="fr-CA"/>
              </w:rPr>
              <w:t xml:space="preserve"> a déposé une plainte auprès du  British Columbia </w:t>
            </w:r>
            <w:proofErr w:type="spellStart"/>
            <w:r w:rsidRPr="007765E3">
              <w:rPr>
                <w:sz w:val="20"/>
                <w:szCs w:val="20"/>
                <w:lang w:val="fr-CA"/>
              </w:rPr>
              <w:t>Human</w:t>
            </w:r>
            <w:proofErr w:type="spellEnd"/>
            <w:r w:rsidRPr="007765E3">
              <w:rPr>
                <w:sz w:val="20"/>
                <w:szCs w:val="20"/>
                <w:lang w:val="fr-CA"/>
              </w:rPr>
              <w:t xml:space="preserve"> </w:t>
            </w:r>
            <w:proofErr w:type="spellStart"/>
            <w:r w:rsidRPr="007765E3">
              <w:rPr>
                <w:sz w:val="20"/>
                <w:szCs w:val="20"/>
                <w:lang w:val="fr-CA"/>
              </w:rPr>
              <w:t>Rights</w:t>
            </w:r>
            <w:proofErr w:type="spellEnd"/>
            <w:r w:rsidRPr="007765E3">
              <w:rPr>
                <w:sz w:val="20"/>
                <w:szCs w:val="20"/>
                <w:lang w:val="fr-CA"/>
              </w:rPr>
              <w:t xml:space="preserve"> Tribunal (« Tribunal ») alléguant avoir fait l’objet de discrimination en lien avec son emploi de la part de M. </w:t>
            </w:r>
            <w:proofErr w:type="spellStart"/>
            <w:r w:rsidRPr="007765E3">
              <w:rPr>
                <w:sz w:val="20"/>
                <w:szCs w:val="20"/>
                <w:lang w:val="fr-CA"/>
              </w:rPr>
              <w:t>Schrenk</w:t>
            </w:r>
            <w:proofErr w:type="spellEnd"/>
            <w:r w:rsidRPr="007765E3">
              <w:rPr>
                <w:sz w:val="20"/>
                <w:szCs w:val="20"/>
                <w:lang w:val="fr-CA"/>
              </w:rPr>
              <w:t>. Il a aussi allégué que la conduite de M. </w:t>
            </w:r>
            <w:proofErr w:type="spellStart"/>
            <w:r w:rsidRPr="007765E3">
              <w:rPr>
                <w:sz w:val="20"/>
                <w:szCs w:val="20"/>
                <w:lang w:val="fr-CA"/>
              </w:rPr>
              <w:t>Schrenk</w:t>
            </w:r>
            <w:proofErr w:type="spellEnd"/>
            <w:r w:rsidRPr="007765E3">
              <w:rPr>
                <w:sz w:val="20"/>
                <w:szCs w:val="20"/>
                <w:lang w:val="fr-CA"/>
              </w:rPr>
              <w:t xml:space="preserve"> était autorisée ou tolérée par l’employeur de ce dernier ainsi que par le propriétaire du projet.</w:t>
            </w:r>
          </w:p>
          <w:p w:rsidR="00127038" w:rsidRPr="007765E3" w:rsidRDefault="00127038" w:rsidP="00070F74">
            <w:pPr>
              <w:pStyle w:val="SCCShortJudgment"/>
              <w:ind w:firstLine="0"/>
              <w:rPr>
                <w:rFonts w:cs="Times New Roman"/>
                <w:szCs w:val="20"/>
                <w:u w:val="single"/>
                <w:lang w:val="fr-CA"/>
              </w:rPr>
            </w:pPr>
          </w:p>
        </w:tc>
      </w:tr>
      <w:tr w:rsidR="006C5C57" w:rsidRPr="007765E3" w:rsidTr="00070F74">
        <w:trPr>
          <w:cantSplit/>
        </w:trPr>
        <w:tc>
          <w:tcPr>
            <w:tcW w:w="9576" w:type="dxa"/>
            <w:gridSpan w:val="4"/>
          </w:tcPr>
          <w:p w:rsidR="006C5C57" w:rsidRPr="007765E3" w:rsidRDefault="006C5C57" w:rsidP="006C5C57">
            <w:pPr>
              <w:jc w:val="both"/>
              <w:rPr>
                <w:sz w:val="20"/>
                <w:szCs w:val="20"/>
                <w:lang w:val="fr-CA"/>
              </w:rPr>
            </w:pPr>
            <w:r w:rsidRPr="007765E3">
              <w:rPr>
                <w:sz w:val="20"/>
                <w:szCs w:val="20"/>
                <w:lang w:val="fr-CA"/>
              </w:rPr>
              <w:t>M. </w:t>
            </w:r>
            <w:proofErr w:type="spellStart"/>
            <w:r w:rsidRPr="007765E3">
              <w:rPr>
                <w:sz w:val="20"/>
                <w:szCs w:val="20"/>
                <w:lang w:val="fr-CA"/>
              </w:rPr>
              <w:t>Schrenk</w:t>
            </w:r>
            <w:proofErr w:type="spellEnd"/>
            <w:r w:rsidRPr="007765E3">
              <w:rPr>
                <w:sz w:val="20"/>
                <w:szCs w:val="20"/>
                <w:lang w:val="fr-CA"/>
              </w:rPr>
              <w:t xml:space="preserve"> et son employeur ont demandé le rejet de la plainte en application du par. 27(1) du Code, faisant valoir que cette plainte ne relevait pas de la compétence du Tribunal. M. </w:t>
            </w:r>
            <w:proofErr w:type="spellStart"/>
            <w:r w:rsidRPr="007765E3">
              <w:rPr>
                <w:sz w:val="20"/>
                <w:szCs w:val="20"/>
                <w:lang w:val="fr-CA"/>
              </w:rPr>
              <w:t>Schrenk</w:t>
            </w:r>
            <w:proofErr w:type="spellEnd"/>
            <w:r w:rsidRPr="007765E3">
              <w:rPr>
                <w:sz w:val="20"/>
                <w:szCs w:val="20"/>
                <w:lang w:val="fr-CA"/>
              </w:rPr>
              <w:t xml:space="preserve"> a soutenu que la conduite alléguée ne constituait pas de la « discrimination en lien avec l’emploi » au sens où il faut l’entendre pour l’application du par. 13(1) du Code puisque le lien entre la conduite et l’emploi était trop ténu.</w:t>
            </w:r>
          </w:p>
          <w:p w:rsidR="006C5C57" w:rsidRPr="007765E3" w:rsidRDefault="006C5C57" w:rsidP="006C5C57">
            <w:pPr>
              <w:jc w:val="both"/>
              <w:rPr>
                <w:sz w:val="20"/>
                <w:szCs w:val="20"/>
                <w:lang w:val="fr-CA"/>
              </w:rPr>
            </w:pPr>
          </w:p>
        </w:tc>
      </w:tr>
      <w:tr w:rsidR="00127038" w:rsidRPr="007765E3" w:rsidTr="00070F74">
        <w:trPr>
          <w:cantSplit/>
        </w:trPr>
        <w:tc>
          <w:tcPr>
            <w:tcW w:w="4410" w:type="dxa"/>
            <w:gridSpan w:val="2"/>
          </w:tcPr>
          <w:p w:rsidR="006C5C57" w:rsidRPr="007765E3" w:rsidRDefault="006C5C57" w:rsidP="006C5C57">
            <w:pPr>
              <w:rPr>
                <w:sz w:val="20"/>
                <w:szCs w:val="20"/>
                <w:lang w:val="fr-CA"/>
              </w:rPr>
            </w:pPr>
            <w:r w:rsidRPr="007765E3">
              <w:rPr>
                <w:sz w:val="20"/>
                <w:szCs w:val="20"/>
                <w:lang w:val="fr-CA"/>
              </w:rPr>
              <w:t>23 janvier 2015</w:t>
            </w:r>
          </w:p>
          <w:p w:rsidR="006C5C57" w:rsidRPr="007765E3" w:rsidRDefault="006C5C57" w:rsidP="006C5C57">
            <w:pPr>
              <w:rPr>
                <w:sz w:val="20"/>
                <w:szCs w:val="20"/>
              </w:rPr>
            </w:pPr>
            <w:r w:rsidRPr="007765E3">
              <w:rPr>
                <w:sz w:val="20"/>
                <w:szCs w:val="20"/>
              </w:rPr>
              <w:t>British Columbia Human Rights Tribunal (</w:t>
            </w:r>
            <w:proofErr w:type="spellStart"/>
            <w:r w:rsidRPr="007765E3">
              <w:rPr>
                <w:sz w:val="20"/>
                <w:szCs w:val="20"/>
              </w:rPr>
              <w:t>Membre</w:t>
            </w:r>
            <w:proofErr w:type="spellEnd"/>
            <w:r w:rsidRPr="007765E3">
              <w:rPr>
                <w:sz w:val="20"/>
                <w:szCs w:val="20"/>
              </w:rPr>
              <w:t xml:space="preserve"> du Tribunal </w:t>
            </w:r>
            <w:proofErr w:type="spellStart"/>
            <w:r w:rsidRPr="007765E3">
              <w:rPr>
                <w:sz w:val="20"/>
                <w:szCs w:val="20"/>
              </w:rPr>
              <w:t>Rilkoff</w:t>
            </w:r>
            <w:proofErr w:type="spellEnd"/>
            <w:r w:rsidRPr="007765E3">
              <w:rPr>
                <w:sz w:val="20"/>
                <w:szCs w:val="20"/>
              </w:rPr>
              <w:t>)</w:t>
            </w:r>
          </w:p>
          <w:p w:rsidR="006C5C57" w:rsidRPr="007765E3" w:rsidRDefault="007765E3" w:rsidP="006C5C57">
            <w:pPr>
              <w:rPr>
                <w:sz w:val="20"/>
                <w:szCs w:val="20"/>
              </w:rPr>
            </w:pPr>
            <w:hyperlink r:id="rId41" w:history="1">
              <w:r w:rsidR="006C5C57" w:rsidRPr="007765E3">
                <w:rPr>
                  <w:rStyle w:val="Hyperlink"/>
                  <w:sz w:val="20"/>
                  <w:szCs w:val="20"/>
                </w:rPr>
                <w:t>2015 BCHRT 17</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6C5C57" w:rsidRPr="007765E3" w:rsidRDefault="006C5C57" w:rsidP="006C5C57">
            <w:pPr>
              <w:jc w:val="both"/>
              <w:rPr>
                <w:sz w:val="20"/>
                <w:szCs w:val="20"/>
                <w:lang w:val="fr-CA"/>
              </w:rPr>
            </w:pPr>
            <w:r w:rsidRPr="007765E3">
              <w:rPr>
                <w:sz w:val="20"/>
                <w:szCs w:val="20"/>
                <w:lang w:val="fr-CA"/>
              </w:rPr>
              <w:t xml:space="preserve">Demande visant le rejet de la plainte pour défaut de compétence rejetée, déclaration par le British Columbia </w:t>
            </w:r>
            <w:proofErr w:type="spellStart"/>
            <w:r w:rsidRPr="007765E3">
              <w:rPr>
                <w:sz w:val="20"/>
                <w:szCs w:val="20"/>
                <w:lang w:val="fr-CA"/>
              </w:rPr>
              <w:t>Human</w:t>
            </w:r>
            <w:proofErr w:type="spellEnd"/>
            <w:r w:rsidRPr="007765E3">
              <w:rPr>
                <w:sz w:val="20"/>
                <w:szCs w:val="20"/>
                <w:lang w:val="fr-CA"/>
              </w:rPr>
              <w:t xml:space="preserve"> </w:t>
            </w:r>
            <w:proofErr w:type="spellStart"/>
            <w:r w:rsidRPr="007765E3">
              <w:rPr>
                <w:sz w:val="20"/>
                <w:szCs w:val="20"/>
                <w:lang w:val="fr-CA"/>
              </w:rPr>
              <w:t>Rights</w:t>
            </w:r>
            <w:proofErr w:type="spellEnd"/>
            <w:r w:rsidRPr="007765E3">
              <w:rPr>
                <w:sz w:val="20"/>
                <w:szCs w:val="20"/>
                <w:lang w:val="fr-CA"/>
              </w:rPr>
              <w:t xml:space="preserve"> Tribunal qu’il a compétence pour se saisir de la plainte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6C5C57" w:rsidRPr="007765E3" w:rsidRDefault="006C5C57" w:rsidP="006C5C57">
            <w:pPr>
              <w:rPr>
                <w:sz w:val="20"/>
                <w:szCs w:val="20"/>
                <w:lang w:val="fr-CA"/>
              </w:rPr>
            </w:pPr>
            <w:r w:rsidRPr="007765E3">
              <w:rPr>
                <w:sz w:val="20"/>
                <w:szCs w:val="20"/>
                <w:lang w:val="fr-CA"/>
              </w:rPr>
              <w:t>17 juillet 2015</w:t>
            </w:r>
          </w:p>
          <w:p w:rsidR="006C5C57" w:rsidRPr="007765E3" w:rsidRDefault="006C5C57" w:rsidP="006C5C57">
            <w:pPr>
              <w:rPr>
                <w:sz w:val="20"/>
                <w:szCs w:val="20"/>
                <w:lang w:val="fr-CA"/>
              </w:rPr>
            </w:pPr>
            <w:r w:rsidRPr="007765E3">
              <w:rPr>
                <w:sz w:val="20"/>
                <w:szCs w:val="20"/>
                <w:lang w:val="fr-CA"/>
              </w:rPr>
              <w:t>Cour suprême de la Colombie-Britannique</w:t>
            </w:r>
          </w:p>
          <w:p w:rsidR="006C5C57" w:rsidRPr="007765E3" w:rsidRDefault="006C5C57" w:rsidP="006C5C57">
            <w:pPr>
              <w:rPr>
                <w:sz w:val="20"/>
                <w:szCs w:val="20"/>
              </w:rPr>
            </w:pPr>
            <w:r w:rsidRPr="007765E3">
              <w:rPr>
                <w:sz w:val="20"/>
                <w:szCs w:val="20"/>
              </w:rPr>
              <w:t>(</w:t>
            </w:r>
            <w:proofErr w:type="spellStart"/>
            <w:r w:rsidRPr="007765E3">
              <w:rPr>
                <w:sz w:val="20"/>
                <w:szCs w:val="20"/>
              </w:rPr>
              <w:t>Juge</w:t>
            </w:r>
            <w:proofErr w:type="spellEnd"/>
            <w:r w:rsidRPr="007765E3">
              <w:rPr>
                <w:sz w:val="20"/>
                <w:szCs w:val="20"/>
              </w:rPr>
              <w:t xml:space="preserve"> Brown.)</w:t>
            </w:r>
          </w:p>
          <w:p w:rsidR="006C5C57" w:rsidRPr="007765E3" w:rsidRDefault="007765E3" w:rsidP="006C5C57">
            <w:pPr>
              <w:rPr>
                <w:sz w:val="20"/>
                <w:szCs w:val="20"/>
              </w:rPr>
            </w:pPr>
            <w:hyperlink r:id="rId42" w:history="1">
              <w:r w:rsidR="006C5C57" w:rsidRPr="007765E3">
                <w:rPr>
                  <w:rStyle w:val="Hyperlink"/>
                  <w:sz w:val="20"/>
                  <w:szCs w:val="20"/>
                </w:rPr>
                <w:t>2015 BCSC 1342</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6C5C57" w:rsidP="00070F74">
            <w:pPr>
              <w:pStyle w:val="SCCShortJudgment"/>
              <w:ind w:firstLine="0"/>
              <w:rPr>
                <w:rFonts w:cs="Times New Roman"/>
                <w:szCs w:val="20"/>
                <w:u w:val="single"/>
                <w:lang w:val="fr-CA"/>
              </w:rPr>
            </w:pPr>
            <w:r w:rsidRPr="007765E3">
              <w:rPr>
                <w:szCs w:val="20"/>
                <w:lang w:val="fr-CA"/>
              </w:rPr>
              <w:t>Demande de contrôle judiciaire rejetée</w:t>
            </w:r>
          </w:p>
        </w:tc>
      </w:tr>
      <w:tr w:rsidR="00127038" w:rsidRPr="007765E3" w:rsidTr="00070F74">
        <w:trPr>
          <w:cantSplit/>
        </w:trPr>
        <w:tc>
          <w:tcPr>
            <w:tcW w:w="4410" w:type="dxa"/>
            <w:gridSpan w:val="2"/>
          </w:tcPr>
          <w:p w:rsidR="006C5C57" w:rsidRPr="007765E3" w:rsidRDefault="006C5C57" w:rsidP="006C5C57">
            <w:pPr>
              <w:rPr>
                <w:sz w:val="20"/>
                <w:szCs w:val="20"/>
                <w:lang w:val="fr-CA"/>
              </w:rPr>
            </w:pPr>
            <w:r w:rsidRPr="007765E3">
              <w:rPr>
                <w:sz w:val="20"/>
                <w:szCs w:val="20"/>
                <w:lang w:val="fr-CA"/>
              </w:rPr>
              <w:t>5 avril 2016</w:t>
            </w:r>
          </w:p>
          <w:p w:rsidR="006C5C57" w:rsidRPr="007765E3" w:rsidRDefault="006C5C57" w:rsidP="006C5C57">
            <w:pPr>
              <w:rPr>
                <w:sz w:val="20"/>
                <w:szCs w:val="20"/>
                <w:lang w:val="fr-CA"/>
              </w:rPr>
            </w:pPr>
            <w:r w:rsidRPr="007765E3">
              <w:rPr>
                <w:sz w:val="20"/>
                <w:szCs w:val="20"/>
                <w:lang w:val="fr-CA"/>
              </w:rPr>
              <w:t>Cour d’appel de la Colombie-Britannique (Vancouver)</w:t>
            </w:r>
          </w:p>
          <w:p w:rsidR="006C5C57" w:rsidRPr="007765E3" w:rsidRDefault="006C5C57" w:rsidP="006C5C57">
            <w:pPr>
              <w:rPr>
                <w:sz w:val="20"/>
                <w:szCs w:val="20"/>
                <w:lang w:val="fr-CA"/>
              </w:rPr>
            </w:pPr>
            <w:r w:rsidRPr="007765E3">
              <w:rPr>
                <w:sz w:val="20"/>
                <w:szCs w:val="20"/>
                <w:lang w:val="fr-CA"/>
              </w:rPr>
              <w:t xml:space="preserve">(Juges Mackenzie, </w:t>
            </w:r>
            <w:proofErr w:type="spellStart"/>
            <w:r w:rsidRPr="007765E3">
              <w:rPr>
                <w:sz w:val="20"/>
                <w:szCs w:val="20"/>
                <w:lang w:val="fr-CA"/>
              </w:rPr>
              <w:t>Willcock</w:t>
            </w:r>
            <w:proofErr w:type="spellEnd"/>
            <w:r w:rsidRPr="007765E3">
              <w:rPr>
                <w:sz w:val="20"/>
                <w:szCs w:val="20"/>
                <w:lang w:val="fr-CA"/>
              </w:rPr>
              <w:t xml:space="preserve"> et </w:t>
            </w:r>
            <w:proofErr w:type="spellStart"/>
            <w:r w:rsidRPr="007765E3">
              <w:rPr>
                <w:sz w:val="20"/>
                <w:szCs w:val="20"/>
                <w:lang w:val="fr-CA"/>
              </w:rPr>
              <w:t>Fenlon</w:t>
            </w:r>
            <w:proofErr w:type="spellEnd"/>
            <w:r w:rsidRPr="007765E3">
              <w:rPr>
                <w:sz w:val="20"/>
                <w:szCs w:val="20"/>
                <w:lang w:val="fr-CA"/>
              </w:rPr>
              <w:t>)</w:t>
            </w:r>
          </w:p>
          <w:p w:rsidR="006C5C57" w:rsidRPr="007765E3" w:rsidRDefault="007765E3" w:rsidP="006C5C57">
            <w:pPr>
              <w:rPr>
                <w:sz w:val="20"/>
                <w:szCs w:val="20"/>
              </w:rPr>
            </w:pPr>
            <w:hyperlink r:id="rId43" w:history="1">
              <w:r w:rsidR="006C5C57" w:rsidRPr="007765E3">
                <w:rPr>
                  <w:rStyle w:val="Hyperlink"/>
                  <w:sz w:val="20"/>
                  <w:szCs w:val="20"/>
                </w:rPr>
                <w:t>2016 BCCA 146</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6C5C57" w:rsidRPr="007765E3" w:rsidRDefault="006C5C57" w:rsidP="006C5C57">
            <w:pPr>
              <w:rPr>
                <w:sz w:val="20"/>
                <w:szCs w:val="20"/>
              </w:rPr>
            </w:pPr>
            <w:r w:rsidRPr="007765E3">
              <w:rPr>
                <w:sz w:val="20"/>
                <w:szCs w:val="20"/>
              </w:rPr>
              <w:t xml:space="preserve">Appel </w:t>
            </w:r>
            <w:proofErr w:type="spellStart"/>
            <w:r w:rsidRPr="007765E3">
              <w:rPr>
                <w:sz w:val="20"/>
                <w:szCs w:val="20"/>
              </w:rPr>
              <w:t>accueilli</w:t>
            </w:r>
            <w:proofErr w:type="spellEnd"/>
            <w:r w:rsidRPr="007765E3">
              <w:rPr>
                <w:sz w:val="20"/>
                <w:szCs w:val="20"/>
              </w:rPr>
              <w:t xml:space="preserve">, </w:t>
            </w:r>
            <w:proofErr w:type="spellStart"/>
            <w:r w:rsidRPr="007765E3">
              <w:rPr>
                <w:sz w:val="20"/>
                <w:szCs w:val="20"/>
              </w:rPr>
              <w:t>plainte</w:t>
            </w:r>
            <w:proofErr w:type="spellEnd"/>
            <w:r w:rsidRPr="007765E3">
              <w:rPr>
                <w:sz w:val="20"/>
                <w:szCs w:val="20"/>
              </w:rPr>
              <w:t xml:space="preserve"> </w:t>
            </w:r>
            <w:proofErr w:type="spellStart"/>
            <w:r w:rsidRPr="007765E3">
              <w:rPr>
                <w:sz w:val="20"/>
                <w:szCs w:val="20"/>
              </w:rPr>
              <w:t>rejetée</w:t>
            </w:r>
            <w:proofErr w:type="spellEnd"/>
          </w:p>
          <w:p w:rsidR="00127038" w:rsidRPr="007765E3" w:rsidRDefault="00127038" w:rsidP="00070F74">
            <w:pPr>
              <w:pStyle w:val="SCCShortJudgment"/>
              <w:ind w:firstLine="0"/>
              <w:rPr>
                <w:rFonts w:cs="Times New Roman"/>
                <w:szCs w:val="20"/>
                <w:u w:val="single"/>
                <w:lang w:val="fr-CA"/>
              </w:rPr>
            </w:pPr>
          </w:p>
        </w:tc>
      </w:tr>
    </w:tbl>
    <w:p w:rsidR="00B03D90" w:rsidRPr="007765E3" w:rsidRDefault="00B03D90">
      <w:r w:rsidRPr="007765E3">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27038" w:rsidRPr="007765E3" w:rsidTr="00070F74">
        <w:trPr>
          <w:cantSplit/>
        </w:trPr>
        <w:tc>
          <w:tcPr>
            <w:tcW w:w="4410" w:type="dxa"/>
          </w:tcPr>
          <w:p w:rsidR="006C5C57" w:rsidRPr="007765E3" w:rsidRDefault="006C5C57" w:rsidP="006C5C57">
            <w:pPr>
              <w:rPr>
                <w:sz w:val="20"/>
                <w:szCs w:val="20"/>
                <w:lang w:val="fr-CA"/>
              </w:rPr>
            </w:pPr>
            <w:r w:rsidRPr="007765E3">
              <w:rPr>
                <w:sz w:val="20"/>
                <w:szCs w:val="20"/>
                <w:lang w:val="fr-CA"/>
              </w:rPr>
              <w:lastRenderedPageBreak/>
              <w:t>2 juin 2016</w:t>
            </w:r>
          </w:p>
          <w:p w:rsidR="00127038" w:rsidRPr="007765E3" w:rsidRDefault="006C5C57" w:rsidP="006C5C57">
            <w:pPr>
              <w:pStyle w:val="SCCShortJudgment"/>
              <w:ind w:firstLine="0"/>
              <w:rPr>
                <w:rFonts w:cs="Times New Roman"/>
                <w:szCs w:val="20"/>
                <w:u w:val="single"/>
                <w:lang w:val="fr-CA"/>
              </w:rPr>
            </w:pPr>
            <w:r w:rsidRPr="007765E3">
              <w:rPr>
                <w:szCs w:val="20"/>
                <w:lang w:val="fr-CA"/>
              </w:rPr>
              <w:t>Cour suprême du Canada</w:t>
            </w: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6C5C57" w:rsidP="00070F74">
            <w:pPr>
              <w:pStyle w:val="SCCShortJudgment"/>
              <w:ind w:firstLine="0"/>
              <w:rPr>
                <w:rFonts w:cs="Times New Roman"/>
                <w:szCs w:val="20"/>
                <w:u w:val="single"/>
                <w:lang w:val="fr-CA"/>
              </w:rPr>
            </w:pPr>
            <w:r w:rsidRPr="007765E3">
              <w:rPr>
                <w:szCs w:val="20"/>
                <w:lang w:val="fr-CA"/>
              </w:rPr>
              <w:t>Demande d’autorisation d’appel déposée</w:t>
            </w:r>
          </w:p>
        </w:tc>
      </w:tr>
    </w:tbl>
    <w:p w:rsidR="00127038" w:rsidRPr="007765E3" w:rsidRDefault="007765E3" w:rsidP="008D292F">
      <w:pPr>
        <w:rPr>
          <w:sz w:val="20"/>
          <w:szCs w:val="20"/>
          <w:lang w:val="fr-CA"/>
        </w:rPr>
      </w:pPr>
      <w:r w:rsidRPr="007765E3">
        <w:rPr>
          <w:rFonts w:cs="Times New Roman"/>
          <w:szCs w:val="20"/>
          <w:lang w:val="fr-CA"/>
        </w:rPr>
        <w:pict>
          <v:rect id="_x0000_i1055" style="width:2in;height:1pt" o:hrpct="0" o:hralign="center" o:hrstd="t" o:hrnoshade="t" o:hr="t" fillcolor="black [3213]" stroked="f"/>
        </w:pict>
      </w:r>
    </w:p>
    <w:p w:rsidR="00127038" w:rsidRPr="007765E3" w:rsidRDefault="0012703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37058</w:t>
            </w:r>
          </w:p>
          <w:p w:rsidR="00127038" w:rsidRPr="007765E3" w:rsidRDefault="00127038" w:rsidP="00070F74">
            <w:pPr>
              <w:jc w:val="both"/>
              <w:rPr>
                <w:rFonts w:cs="Times New Roman"/>
                <w:b/>
                <w:sz w:val="20"/>
                <w:szCs w:val="20"/>
              </w:rPr>
            </w:pPr>
          </w:p>
        </w:tc>
        <w:tc>
          <w:tcPr>
            <w:tcW w:w="8118" w:type="dxa"/>
            <w:gridSpan w:val="3"/>
          </w:tcPr>
          <w:p w:rsidR="00127038" w:rsidRPr="007765E3" w:rsidRDefault="00ED012E" w:rsidP="00070F74">
            <w:pPr>
              <w:jc w:val="both"/>
              <w:rPr>
                <w:rFonts w:cs="Times New Roman"/>
                <w:sz w:val="20"/>
                <w:szCs w:val="20"/>
              </w:rPr>
            </w:pPr>
            <w:r w:rsidRPr="007765E3">
              <w:rPr>
                <w:b/>
                <w:sz w:val="20"/>
                <w:szCs w:val="20"/>
                <w:u w:val="single"/>
              </w:rPr>
              <w:t>Her Majesty the Queen v. Michael Chapman</w:t>
            </w:r>
            <w:r w:rsidRPr="007765E3">
              <w:rPr>
                <w:rFonts w:cs="Times New Roman"/>
                <w:sz w:val="20"/>
                <w:szCs w:val="20"/>
              </w:rPr>
              <w:t xml:space="preserve"> </w:t>
            </w:r>
            <w:r w:rsidR="00127038" w:rsidRPr="007765E3">
              <w:rPr>
                <w:rFonts w:cs="Times New Roman"/>
                <w:sz w:val="20"/>
                <w:szCs w:val="20"/>
              </w:rPr>
              <w:t>(Ont.) (Civil)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ED012E" w:rsidP="00070F74">
            <w:pPr>
              <w:jc w:val="both"/>
              <w:rPr>
                <w:rStyle w:val="SCCCoramChar"/>
                <w:sz w:val="20"/>
                <w:szCs w:val="20"/>
                <w:lang w:val="en-US"/>
              </w:rPr>
            </w:pPr>
            <w:proofErr w:type="spellStart"/>
            <w:r w:rsidRPr="007765E3">
              <w:rPr>
                <w:rStyle w:val="SCCCoramChar"/>
                <w:sz w:val="20"/>
                <w:szCs w:val="20"/>
                <w:lang w:val="en-US"/>
              </w:rPr>
              <w:t>Abella</w:t>
            </w:r>
            <w:proofErr w:type="spellEnd"/>
            <w:r w:rsidRPr="007765E3">
              <w:rPr>
                <w:rStyle w:val="SCCCoramChar"/>
                <w:sz w:val="20"/>
                <w:szCs w:val="20"/>
                <w:lang w:val="en-US"/>
              </w:rPr>
              <w:t xml:space="preserve">, </w:t>
            </w:r>
            <w:proofErr w:type="spellStart"/>
            <w:r w:rsidRPr="007765E3">
              <w:rPr>
                <w:rStyle w:val="SCCCoramChar"/>
                <w:sz w:val="20"/>
                <w:szCs w:val="20"/>
                <w:lang w:val="en-US"/>
              </w:rPr>
              <w:t>Karakatsanis</w:t>
            </w:r>
            <w:proofErr w:type="spellEnd"/>
            <w:r w:rsidRPr="007765E3">
              <w:rPr>
                <w:rStyle w:val="SCCCoramChar"/>
                <w:sz w:val="20"/>
                <w:szCs w:val="20"/>
                <w:lang w:val="en-US"/>
              </w:rPr>
              <w:t xml:space="preserve"> and Brown JJ.</w:t>
            </w:r>
          </w:p>
          <w:p w:rsidR="00ED012E" w:rsidRPr="007765E3" w:rsidRDefault="00ED012E" w:rsidP="00070F74">
            <w:pPr>
              <w:jc w:val="both"/>
              <w:rPr>
                <w:rFonts w:cs="Times New Roman"/>
                <w:sz w:val="20"/>
                <w:szCs w:val="20"/>
                <w:u w:val="single"/>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rPr>
            </w:pPr>
            <w:r w:rsidRPr="007765E3">
              <w:rPr>
                <w:rFonts w:cs="Times New Roman"/>
                <w:szCs w:val="20"/>
              </w:rPr>
              <w:tab/>
            </w:r>
            <w:r w:rsidR="00ED012E" w:rsidRPr="007765E3">
              <w:rPr>
                <w:szCs w:val="20"/>
              </w:rPr>
              <w:t>The application for leave to appeal from the judgment of the Court of Appeal for Ontario, Number C60515, 2016 ONCA 310, dated April 28, 2016, is dismissed.</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rFonts w:cs="Times New Roman"/>
                <w:szCs w:val="20"/>
                <w:lang w:val="fr-CA"/>
              </w:rPr>
            </w:pPr>
            <w:r w:rsidRPr="007765E3">
              <w:rPr>
                <w:rFonts w:cs="Times New Roman"/>
                <w:szCs w:val="20"/>
              </w:rPr>
              <w:tab/>
            </w:r>
            <w:r w:rsidR="00ED012E" w:rsidRPr="007765E3">
              <w:rPr>
                <w:szCs w:val="20"/>
                <w:lang w:val="fr-CA"/>
              </w:rPr>
              <w:t xml:space="preserve">La demande d’autorisation d’appel de l’arrêt de la </w:t>
            </w:r>
            <w:r w:rsidR="00ED012E" w:rsidRPr="007765E3">
              <w:rPr>
                <w:szCs w:val="20"/>
                <w:lang w:val="fr-FR"/>
              </w:rPr>
              <w:t>Cour d’appel de l’Ontario</w:t>
            </w:r>
            <w:r w:rsidR="00ED012E" w:rsidRPr="007765E3">
              <w:rPr>
                <w:szCs w:val="20"/>
                <w:lang w:val="fr-CA"/>
              </w:rPr>
              <w:t xml:space="preserve">, numéro </w:t>
            </w:r>
            <w:r w:rsidR="00ED012E" w:rsidRPr="007765E3">
              <w:rPr>
                <w:szCs w:val="20"/>
                <w:lang w:val="fr-FR"/>
              </w:rPr>
              <w:t>C60515, 2016 ONCA 310</w:t>
            </w:r>
            <w:r w:rsidR="00ED012E" w:rsidRPr="007765E3">
              <w:rPr>
                <w:szCs w:val="20"/>
                <w:lang w:val="fr-CA"/>
              </w:rPr>
              <w:t xml:space="preserve">, daté du </w:t>
            </w:r>
            <w:r w:rsidR="00ED012E" w:rsidRPr="007765E3">
              <w:rPr>
                <w:szCs w:val="20"/>
                <w:lang w:val="fr-FR"/>
              </w:rPr>
              <w:t>28 avril 2016</w:t>
            </w:r>
            <w:r w:rsidR="00ED012E" w:rsidRPr="007765E3">
              <w:rPr>
                <w:szCs w:val="20"/>
                <w:lang w:val="fr-CA"/>
              </w:rPr>
              <w:t>, est rejetée.</w: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4C329F" w:rsidRPr="007765E3" w:rsidRDefault="004C329F" w:rsidP="004C329F">
            <w:pPr>
              <w:pStyle w:val="SCCBanSummary"/>
              <w:rPr>
                <w:sz w:val="20"/>
                <w:szCs w:val="20"/>
              </w:rPr>
            </w:pPr>
            <w:r w:rsidRPr="007765E3">
              <w:rPr>
                <w:sz w:val="20"/>
                <w:szCs w:val="20"/>
              </w:rPr>
              <w:t>(Publication ban in case)</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9576" w:type="dxa"/>
            <w:gridSpan w:val="4"/>
          </w:tcPr>
          <w:p w:rsidR="00127038" w:rsidRPr="007765E3" w:rsidRDefault="004C329F" w:rsidP="00070F74">
            <w:pPr>
              <w:pStyle w:val="SCCShortJudgment"/>
              <w:ind w:firstLine="0"/>
              <w:rPr>
                <w:szCs w:val="20"/>
              </w:rPr>
            </w:pPr>
            <w:r w:rsidRPr="007765E3">
              <w:rPr>
                <w:szCs w:val="20"/>
              </w:rPr>
              <w:t xml:space="preserve">Criminal law – Appeals – Mistake of age defence – Reasonable steps to ascertain complainants’ age – Whether the Court of Appeal erred in law by failing to take a purposive approach to the interpretation of the legal standard set out in s. 150.1(4) of the </w:t>
            </w:r>
            <w:r w:rsidRPr="007765E3">
              <w:rPr>
                <w:i/>
                <w:szCs w:val="20"/>
              </w:rPr>
              <w:t>Criminal Code</w:t>
            </w:r>
            <w:r w:rsidRPr="007765E3">
              <w:rPr>
                <w:szCs w:val="20"/>
              </w:rPr>
              <w:t xml:space="preserve"> – Whether the Court of Appeal erred in law by applying a reasonableness standard of review, rather than a correctness standard of review, to the determination of the legal standard set out in s. 150.1(4) of the </w:t>
            </w:r>
            <w:r w:rsidRPr="007765E3">
              <w:rPr>
                <w:i/>
                <w:szCs w:val="20"/>
              </w:rPr>
              <w:t>Criminal Code</w:t>
            </w:r>
            <w:r w:rsidRPr="007765E3">
              <w:rPr>
                <w:szCs w:val="20"/>
              </w:rPr>
              <w:t>.</w:t>
            </w:r>
          </w:p>
          <w:p w:rsidR="004C329F" w:rsidRPr="007765E3" w:rsidRDefault="004C329F" w:rsidP="00070F74">
            <w:pPr>
              <w:pStyle w:val="SCCShortJudgment"/>
              <w:ind w:firstLine="0"/>
              <w:rPr>
                <w:rFonts w:cs="Times New Roman"/>
                <w:szCs w:val="20"/>
              </w:rPr>
            </w:pPr>
          </w:p>
        </w:tc>
      </w:tr>
      <w:tr w:rsidR="00127038" w:rsidRPr="007765E3" w:rsidTr="00070F74">
        <w:trPr>
          <w:cantSplit/>
        </w:trPr>
        <w:tc>
          <w:tcPr>
            <w:tcW w:w="9576" w:type="dxa"/>
            <w:gridSpan w:val="4"/>
          </w:tcPr>
          <w:p w:rsidR="004C329F" w:rsidRPr="007765E3" w:rsidRDefault="004C329F" w:rsidP="004C329F">
            <w:pPr>
              <w:jc w:val="both"/>
              <w:rPr>
                <w:sz w:val="20"/>
                <w:szCs w:val="20"/>
              </w:rPr>
            </w:pPr>
            <w:r w:rsidRPr="007765E3">
              <w:rPr>
                <w:sz w:val="20"/>
                <w:szCs w:val="20"/>
              </w:rPr>
              <w:t xml:space="preserve">Following a trial by judge alone, the respondent was acquitted of six sexual offences involving two underage girls: two counts of sexual assault, two counts of sexual interference, one count of invitation to sexual touching and one count of obtaining for consideration the sexual services of a person under the age of 18 years, all contrary to the </w:t>
            </w:r>
            <w:r w:rsidRPr="007765E3">
              <w:rPr>
                <w:i/>
                <w:sz w:val="20"/>
                <w:szCs w:val="20"/>
              </w:rPr>
              <w:t>Criminal Code</w:t>
            </w:r>
            <w:r w:rsidRPr="007765E3">
              <w:rPr>
                <w:sz w:val="20"/>
                <w:szCs w:val="20"/>
              </w:rPr>
              <w:t>. The Crown appealed against the acquittals, except the acquittal on the procuring offence. The appeal was dismissed.</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April 30, 2015</w:t>
            </w:r>
          </w:p>
          <w:p w:rsidR="004C329F" w:rsidRPr="007765E3" w:rsidRDefault="004C329F" w:rsidP="004C329F">
            <w:pPr>
              <w:rPr>
                <w:sz w:val="20"/>
                <w:szCs w:val="20"/>
              </w:rPr>
            </w:pPr>
            <w:r w:rsidRPr="007765E3">
              <w:rPr>
                <w:sz w:val="20"/>
                <w:szCs w:val="20"/>
              </w:rPr>
              <w:t>Ontario Superior Court of Justice</w:t>
            </w:r>
          </w:p>
          <w:p w:rsidR="004C329F" w:rsidRPr="007765E3" w:rsidRDefault="004C329F" w:rsidP="004C329F">
            <w:pPr>
              <w:rPr>
                <w:sz w:val="20"/>
                <w:szCs w:val="20"/>
              </w:rPr>
            </w:pPr>
            <w:r w:rsidRPr="007765E3">
              <w:rPr>
                <w:sz w:val="20"/>
                <w:szCs w:val="20"/>
              </w:rPr>
              <w:t>(Goodman J.)</w:t>
            </w:r>
          </w:p>
          <w:p w:rsidR="00127038" w:rsidRPr="007765E3" w:rsidRDefault="004C329F" w:rsidP="004C329F">
            <w:pPr>
              <w:jc w:val="both"/>
              <w:rPr>
                <w:sz w:val="20"/>
                <w:szCs w:val="20"/>
              </w:rPr>
            </w:pPr>
            <w:r w:rsidRPr="007765E3">
              <w:rPr>
                <w:sz w:val="20"/>
                <w:szCs w:val="20"/>
              </w:rPr>
              <w:t>2015 ONSC 2803</w:t>
            </w:r>
          </w:p>
          <w:p w:rsidR="004C329F" w:rsidRPr="007765E3" w:rsidRDefault="004C329F" w:rsidP="004C329F">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127038" w:rsidRPr="007765E3" w:rsidRDefault="004C329F" w:rsidP="00070F74">
            <w:pPr>
              <w:jc w:val="both"/>
              <w:rPr>
                <w:rFonts w:cs="Times New Roman"/>
                <w:sz w:val="20"/>
                <w:szCs w:val="20"/>
              </w:rPr>
            </w:pPr>
            <w:r w:rsidRPr="007765E3">
              <w:rPr>
                <w:sz w:val="20"/>
                <w:szCs w:val="20"/>
              </w:rPr>
              <w:t>Acquittals entered</w:t>
            </w: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April 28, 2016</w:t>
            </w:r>
          </w:p>
          <w:p w:rsidR="004C329F" w:rsidRPr="007765E3" w:rsidRDefault="004C329F" w:rsidP="004C329F">
            <w:pPr>
              <w:rPr>
                <w:sz w:val="20"/>
                <w:szCs w:val="20"/>
              </w:rPr>
            </w:pPr>
            <w:r w:rsidRPr="007765E3">
              <w:rPr>
                <w:sz w:val="20"/>
                <w:szCs w:val="20"/>
              </w:rPr>
              <w:t>Court of Appeal for Ontario</w:t>
            </w:r>
          </w:p>
          <w:p w:rsidR="004C329F" w:rsidRPr="007765E3" w:rsidRDefault="004C329F" w:rsidP="004C329F">
            <w:pPr>
              <w:rPr>
                <w:sz w:val="20"/>
                <w:szCs w:val="20"/>
              </w:rPr>
            </w:pPr>
            <w:r w:rsidRPr="007765E3">
              <w:rPr>
                <w:sz w:val="20"/>
                <w:szCs w:val="20"/>
              </w:rPr>
              <w:t xml:space="preserve">(Cronk, Tulloch, and van </w:t>
            </w:r>
            <w:proofErr w:type="spellStart"/>
            <w:r w:rsidRPr="007765E3">
              <w:rPr>
                <w:sz w:val="20"/>
                <w:szCs w:val="20"/>
              </w:rPr>
              <w:t>Rensburg</w:t>
            </w:r>
            <w:proofErr w:type="spellEnd"/>
            <w:r w:rsidRPr="007765E3">
              <w:rPr>
                <w:sz w:val="20"/>
                <w:szCs w:val="20"/>
              </w:rPr>
              <w:t xml:space="preserve"> JJ.A.)</w:t>
            </w:r>
          </w:p>
          <w:p w:rsidR="004C329F" w:rsidRPr="007765E3" w:rsidRDefault="004C329F" w:rsidP="004C329F">
            <w:pPr>
              <w:rPr>
                <w:sz w:val="20"/>
                <w:szCs w:val="20"/>
              </w:rPr>
            </w:pPr>
            <w:r w:rsidRPr="007765E3">
              <w:rPr>
                <w:sz w:val="20"/>
                <w:szCs w:val="20"/>
              </w:rPr>
              <w:t>2016 ONCA 310; C60515</w:t>
            </w:r>
          </w:p>
          <w:p w:rsidR="004C329F" w:rsidRPr="007765E3" w:rsidRDefault="007765E3" w:rsidP="004C329F">
            <w:pPr>
              <w:rPr>
                <w:sz w:val="20"/>
                <w:szCs w:val="20"/>
              </w:rPr>
            </w:pPr>
            <w:hyperlink r:id="rId44" w:history="1">
              <w:r w:rsidR="004C329F" w:rsidRPr="007765E3">
                <w:rPr>
                  <w:rStyle w:val="Hyperlink"/>
                  <w:rFonts w:eastAsiaTheme="majorEastAsia"/>
                  <w:sz w:val="20"/>
                  <w:szCs w:val="20"/>
                </w:rPr>
                <w:t>http://canlii.ca/t/gpq3b</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4C329F" w:rsidRPr="007765E3" w:rsidRDefault="004C329F" w:rsidP="004C329F">
            <w:pPr>
              <w:rPr>
                <w:sz w:val="20"/>
                <w:szCs w:val="20"/>
              </w:rPr>
            </w:pPr>
            <w:r w:rsidRPr="007765E3">
              <w:rPr>
                <w:sz w:val="20"/>
                <w:szCs w:val="20"/>
              </w:rPr>
              <w:t>Appeal dismissed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June 9, 2016</w:t>
            </w:r>
          </w:p>
          <w:p w:rsidR="004C329F" w:rsidRPr="007765E3" w:rsidRDefault="004C329F" w:rsidP="004C329F">
            <w:pPr>
              <w:rPr>
                <w:sz w:val="20"/>
                <w:szCs w:val="20"/>
              </w:rPr>
            </w:pPr>
            <w:r w:rsidRPr="007765E3">
              <w:rPr>
                <w:sz w:val="20"/>
                <w:szCs w:val="20"/>
              </w:rPr>
              <w:t>Supreme Court of Canada</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4C329F" w:rsidRPr="007765E3" w:rsidRDefault="004C329F" w:rsidP="004C329F">
            <w:pPr>
              <w:rPr>
                <w:sz w:val="20"/>
                <w:szCs w:val="20"/>
              </w:rPr>
            </w:pPr>
            <w:r w:rsidRPr="007765E3">
              <w:rPr>
                <w:sz w:val="20"/>
                <w:szCs w:val="20"/>
              </w:rPr>
              <w:t>Application for leave to appeal filed</w:t>
            </w:r>
          </w:p>
          <w:p w:rsidR="00127038" w:rsidRPr="007765E3" w:rsidRDefault="00127038" w:rsidP="00070F74">
            <w:pPr>
              <w:jc w:val="both"/>
              <w:rPr>
                <w:rFonts w:cs="Times New Roman"/>
                <w:sz w:val="20"/>
                <w:szCs w:val="20"/>
              </w:rPr>
            </w:pP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56"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bl>
    <w:p w:rsidR="00B03D90" w:rsidRPr="007765E3" w:rsidRDefault="00B03D90">
      <w:r w:rsidRPr="007765E3">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27038" w:rsidRPr="007765E3" w:rsidTr="00070F74">
        <w:trPr>
          <w:cantSplit/>
        </w:trPr>
        <w:tc>
          <w:tcPr>
            <w:tcW w:w="9576" w:type="dxa"/>
            <w:gridSpan w:val="3"/>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lastRenderedPageBreak/>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3"/>
          </w:tcPr>
          <w:p w:rsidR="004C329F" w:rsidRPr="007765E3" w:rsidRDefault="004C329F" w:rsidP="004C329F">
            <w:pPr>
              <w:pStyle w:val="SCCBanSummary"/>
              <w:rPr>
                <w:sz w:val="20"/>
                <w:szCs w:val="20"/>
                <w:lang w:val="fr-CA"/>
              </w:rPr>
            </w:pPr>
            <w:r w:rsidRPr="007765E3">
              <w:rPr>
                <w:sz w:val="20"/>
                <w:szCs w:val="20"/>
                <w:lang w:val="fr-CA"/>
              </w:rPr>
              <w:t>(Ordonnance de non-publication dans le dossier)</w:t>
            </w:r>
          </w:p>
          <w:p w:rsidR="00127038" w:rsidRPr="007765E3" w:rsidRDefault="00127038" w:rsidP="00070F74">
            <w:pPr>
              <w:pStyle w:val="SCCShortJudgment"/>
              <w:ind w:firstLine="0"/>
              <w:rPr>
                <w:rFonts w:cs="Times New Roman"/>
                <w:szCs w:val="20"/>
                <w:u w:val="single"/>
                <w:lang w:val="fr-CA"/>
              </w:rPr>
            </w:pPr>
          </w:p>
        </w:tc>
      </w:tr>
      <w:tr w:rsidR="00127038" w:rsidRPr="007765E3" w:rsidTr="004C329F">
        <w:tc>
          <w:tcPr>
            <w:tcW w:w="9576" w:type="dxa"/>
            <w:gridSpan w:val="3"/>
          </w:tcPr>
          <w:p w:rsidR="00127038" w:rsidRPr="007765E3" w:rsidRDefault="004C329F" w:rsidP="00070F74">
            <w:pPr>
              <w:jc w:val="both"/>
              <w:rPr>
                <w:sz w:val="20"/>
                <w:szCs w:val="20"/>
                <w:lang w:val="fr-CA"/>
              </w:rPr>
            </w:pPr>
            <w:r w:rsidRPr="007765E3">
              <w:rPr>
                <w:sz w:val="20"/>
                <w:szCs w:val="20"/>
                <w:lang w:val="fr-CA"/>
              </w:rPr>
              <w:t xml:space="preserve">Droit criminel – Appels – Défense d’erreur portant sur l’âge – Mesures raisonnables pour s’assurer de l’âge des plaignants – La Cour d’appel a-t-elle commis une erreur de droit en omettant d’adopter une approche téléologique dans l’interprétation de la norme juridique énoncée au </w:t>
            </w:r>
            <w:proofErr w:type="spellStart"/>
            <w:r w:rsidRPr="007765E3">
              <w:rPr>
                <w:sz w:val="20"/>
                <w:szCs w:val="20"/>
                <w:lang w:val="fr-CA"/>
              </w:rPr>
              <w:t>par</w:t>
            </w:r>
            <w:proofErr w:type="spellEnd"/>
            <w:r w:rsidRPr="007765E3">
              <w:rPr>
                <w:sz w:val="20"/>
                <w:szCs w:val="20"/>
                <w:lang w:val="fr-CA"/>
              </w:rPr>
              <w:t>. 150.1(4) du</w:t>
            </w:r>
            <w:r w:rsidRPr="007765E3">
              <w:rPr>
                <w:i/>
                <w:sz w:val="20"/>
                <w:szCs w:val="20"/>
                <w:lang w:val="fr-CA"/>
              </w:rPr>
              <w:t xml:space="preserve"> Code criminel</w:t>
            </w:r>
            <w:r w:rsidRPr="007765E3">
              <w:rPr>
                <w:sz w:val="20"/>
                <w:szCs w:val="20"/>
                <w:lang w:val="fr-CA"/>
              </w:rPr>
              <w:t>?</w:t>
            </w:r>
            <w:r w:rsidRPr="007765E3">
              <w:rPr>
                <w:i/>
                <w:sz w:val="20"/>
                <w:szCs w:val="20"/>
                <w:lang w:val="fr-CA"/>
              </w:rPr>
              <w:t xml:space="preserve"> </w:t>
            </w:r>
            <w:r w:rsidRPr="007765E3">
              <w:rPr>
                <w:sz w:val="20"/>
                <w:szCs w:val="20"/>
                <w:lang w:val="fr-CA"/>
              </w:rPr>
              <w:t xml:space="preserve">– La Cour d’appel a-t-elle commis une erreur de droit en appliquant la norme de contrôle de la décision raisonnable, plutôt que la norme de contrôle de la décision correcte pour déterminer la norme juridique énoncée au </w:t>
            </w:r>
            <w:proofErr w:type="spellStart"/>
            <w:r w:rsidRPr="007765E3">
              <w:rPr>
                <w:sz w:val="20"/>
                <w:szCs w:val="20"/>
                <w:lang w:val="fr-CA"/>
              </w:rPr>
              <w:t>par</w:t>
            </w:r>
            <w:proofErr w:type="spellEnd"/>
            <w:r w:rsidRPr="007765E3">
              <w:rPr>
                <w:sz w:val="20"/>
                <w:szCs w:val="20"/>
                <w:lang w:val="fr-CA"/>
              </w:rPr>
              <w:t xml:space="preserve">. 150.1(4) du </w:t>
            </w:r>
            <w:r w:rsidRPr="007765E3">
              <w:rPr>
                <w:i/>
                <w:sz w:val="20"/>
                <w:szCs w:val="20"/>
                <w:lang w:val="fr-CA"/>
              </w:rPr>
              <w:t>Code criminel</w:t>
            </w:r>
            <w:r w:rsidRPr="007765E3">
              <w:rPr>
                <w:sz w:val="20"/>
                <w:szCs w:val="20"/>
                <w:lang w:val="fr-CA"/>
              </w:rPr>
              <w:t>?</w:t>
            </w:r>
          </w:p>
          <w:p w:rsidR="004C329F" w:rsidRPr="007765E3" w:rsidRDefault="004C329F" w:rsidP="00070F74">
            <w:pPr>
              <w:jc w:val="both"/>
              <w:rPr>
                <w:rFonts w:cs="Times New Roman"/>
                <w:sz w:val="20"/>
                <w:szCs w:val="20"/>
                <w:u w:val="single"/>
                <w:lang w:val="fr-CA"/>
              </w:rPr>
            </w:pPr>
          </w:p>
        </w:tc>
      </w:tr>
      <w:tr w:rsidR="00127038" w:rsidRPr="007765E3" w:rsidTr="00070F74">
        <w:trPr>
          <w:cantSplit/>
        </w:trPr>
        <w:tc>
          <w:tcPr>
            <w:tcW w:w="9576" w:type="dxa"/>
            <w:gridSpan w:val="3"/>
          </w:tcPr>
          <w:p w:rsidR="004C329F" w:rsidRPr="007765E3" w:rsidRDefault="004C329F" w:rsidP="004C329F">
            <w:pPr>
              <w:jc w:val="both"/>
              <w:rPr>
                <w:sz w:val="20"/>
                <w:szCs w:val="20"/>
                <w:lang w:val="fr-CA"/>
              </w:rPr>
            </w:pPr>
            <w:r w:rsidRPr="007765E3">
              <w:rPr>
                <w:sz w:val="20"/>
                <w:szCs w:val="20"/>
                <w:lang w:val="fr-CA"/>
              </w:rPr>
              <w:t xml:space="preserve">Au terme d’un procès devant juge seul, l’intimé a été acquitté relativement à six infractions d’ordre sexuel contre deux mineures : deux chefs d’agression sexuelle, deux chefs de contacts sexuels, un chef d’incitation à des contacts sexuels et un chef d’avoir obtenu, moyennant rétribution, les services sexuels d’une personne âgée de moins de 18 ans, des infractions prévues au </w:t>
            </w:r>
            <w:r w:rsidRPr="007765E3">
              <w:rPr>
                <w:i/>
                <w:sz w:val="20"/>
                <w:szCs w:val="20"/>
                <w:lang w:val="fr-CA"/>
              </w:rPr>
              <w:t>Code criminel</w:t>
            </w:r>
            <w:r w:rsidRPr="007765E3">
              <w:rPr>
                <w:sz w:val="20"/>
                <w:szCs w:val="20"/>
                <w:lang w:val="fr-CA"/>
              </w:rPr>
              <w:t>. Le ministère public a interjeté appel des acquittements, à l’exception de l’acquittement relatif à l’infraction de proxénétisme. L’appel a été rejeté.</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tcPr>
          <w:p w:rsidR="004C329F" w:rsidRPr="007765E3" w:rsidRDefault="004C329F" w:rsidP="004C329F">
            <w:pPr>
              <w:rPr>
                <w:sz w:val="20"/>
                <w:szCs w:val="20"/>
                <w:lang w:val="fr-CA"/>
              </w:rPr>
            </w:pPr>
            <w:r w:rsidRPr="007765E3">
              <w:rPr>
                <w:sz w:val="20"/>
                <w:szCs w:val="20"/>
                <w:lang w:val="fr-CA"/>
              </w:rPr>
              <w:t>30 avril 2015</w:t>
            </w:r>
          </w:p>
          <w:p w:rsidR="004C329F" w:rsidRPr="007765E3" w:rsidRDefault="004C329F" w:rsidP="004C329F">
            <w:pPr>
              <w:rPr>
                <w:sz w:val="20"/>
                <w:szCs w:val="20"/>
                <w:lang w:val="fr-CA"/>
              </w:rPr>
            </w:pPr>
            <w:r w:rsidRPr="007765E3">
              <w:rPr>
                <w:sz w:val="20"/>
                <w:szCs w:val="20"/>
                <w:lang w:val="fr-CA"/>
              </w:rPr>
              <w:t xml:space="preserve">Cour supérieure de justice de l’Ontario </w:t>
            </w:r>
          </w:p>
          <w:p w:rsidR="004C329F" w:rsidRPr="007765E3" w:rsidRDefault="004C329F" w:rsidP="004C329F">
            <w:pPr>
              <w:rPr>
                <w:sz w:val="20"/>
                <w:szCs w:val="20"/>
                <w:lang w:val="fr-CA"/>
              </w:rPr>
            </w:pPr>
            <w:r w:rsidRPr="007765E3">
              <w:rPr>
                <w:sz w:val="20"/>
                <w:szCs w:val="20"/>
                <w:lang w:val="fr-CA"/>
              </w:rPr>
              <w:t>(Juge Goodman)</w:t>
            </w:r>
          </w:p>
          <w:p w:rsidR="00127038" w:rsidRPr="007765E3" w:rsidRDefault="004C329F" w:rsidP="004C329F">
            <w:pPr>
              <w:pStyle w:val="SCCShortJudgment"/>
              <w:ind w:firstLine="0"/>
              <w:rPr>
                <w:szCs w:val="20"/>
                <w:lang w:val="fr-CA"/>
              </w:rPr>
            </w:pPr>
            <w:r w:rsidRPr="007765E3">
              <w:rPr>
                <w:szCs w:val="20"/>
                <w:lang w:val="fr-CA"/>
              </w:rPr>
              <w:t>2015 ONSC 2803</w:t>
            </w:r>
          </w:p>
          <w:p w:rsidR="004C329F" w:rsidRPr="007765E3" w:rsidRDefault="004C329F" w:rsidP="004C329F">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4C329F" w:rsidP="00070F74">
            <w:pPr>
              <w:pStyle w:val="SCCShortJudgment"/>
              <w:ind w:firstLine="0"/>
              <w:rPr>
                <w:rFonts w:cs="Times New Roman"/>
                <w:szCs w:val="20"/>
                <w:u w:val="single"/>
                <w:lang w:val="fr-CA"/>
              </w:rPr>
            </w:pPr>
            <w:r w:rsidRPr="007765E3">
              <w:rPr>
                <w:szCs w:val="20"/>
                <w:lang w:val="fr-CA"/>
              </w:rPr>
              <w:t>Verdicts d’acquittement</w:t>
            </w:r>
          </w:p>
        </w:tc>
      </w:tr>
      <w:tr w:rsidR="00127038" w:rsidRPr="007765E3" w:rsidTr="00070F74">
        <w:trPr>
          <w:cantSplit/>
        </w:trPr>
        <w:tc>
          <w:tcPr>
            <w:tcW w:w="4410" w:type="dxa"/>
          </w:tcPr>
          <w:p w:rsidR="004C329F" w:rsidRPr="007765E3" w:rsidRDefault="004C329F" w:rsidP="004C329F">
            <w:pPr>
              <w:rPr>
                <w:sz w:val="20"/>
                <w:szCs w:val="20"/>
                <w:lang w:val="fr-CA"/>
              </w:rPr>
            </w:pPr>
            <w:r w:rsidRPr="007765E3">
              <w:rPr>
                <w:sz w:val="20"/>
                <w:szCs w:val="20"/>
                <w:lang w:val="fr-CA"/>
              </w:rPr>
              <w:t>28 avril 2016</w:t>
            </w:r>
          </w:p>
          <w:p w:rsidR="004C329F" w:rsidRPr="007765E3" w:rsidRDefault="004C329F" w:rsidP="004C329F">
            <w:pPr>
              <w:rPr>
                <w:sz w:val="20"/>
                <w:szCs w:val="20"/>
                <w:lang w:val="fr-CA"/>
              </w:rPr>
            </w:pPr>
            <w:r w:rsidRPr="007765E3">
              <w:rPr>
                <w:sz w:val="20"/>
                <w:szCs w:val="20"/>
                <w:lang w:val="fr-CA"/>
              </w:rPr>
              <w:t xml:space="preserve">Cour d’appel de l’Ontario </w:t>
            </w:r>
          </w:p>
          <w:p w:rsidR="004C329F" w:rsidRPr="007765E3" w:rsidRDefault="004C329F" w:rsidP="004C329F">
            <w:pPr>
              <w:rPr>
                <w:sz w:val="20"/>
                <w:szCs w:val="20"/>
                <w:lang w:val="fr-CA"/>
              </w:rPr>
            </w:pPr>
            <w:r w:rsidRPr="007765E3">
              <w:rPr>
                <w:sz w:val="20"/>
                <w:szCs w:val="20"/>
                <w:lang w:val="fr-CA"/>
              </w:rPr>
              <w:t xml:space="preserve">(Juges </w:t>
            </w:r>
            <w:proofErr w:type="spellStart"/>
            <w:r w:rsidRPr="007765E3">
              <w:rPr>
                <w:sz w:val="20"/>
                <w:szCs w:val="20"/>
                <w:lang w:val="fr-CA"/>
              </w:rPr>
              <w:t>Cronk</w:t>
            </w:r>
            <w:proofErr w:type="spellEnd"/>
            <w:r w:rsidRPr="007765E3">
              <w:rPr>
                <w:sz w:val="20"/>
                <w:szCs w:val="20"/>
                <w:lang w:val="fr-CA"/>
              </w:rPr>
              <w:t xml:space="preserve">, </w:t>
            </w:r>
            <w:proofErr w:type="spellStart"/>
            <w:r w:rsidRPr="007765E3">
              <w:rPr>
                <w:sz w:val="20"/>
                <w:szCs w:val="20"/>
                <w:lang w:val="fr-CA"/>
              </w:rPr>
              <w:t>Tulloch</w:t>
            </w:r>
            <w:proofErr w:type="spellEnd"/>
            <w:r w:rsidRPr="007765E3">
              <w:rPr>
                <w:sz w:val="20"/>
                <w:szCs w:val="20"/>
                <w:lang w:val="fr-CA"/>
              </w:rPr>
              <w:t xml:space="preserve"> et van </w:t>
            </w:r>
            <w:proofErr w:type="spellStart"/>
            <w:r w:rsidRPr="007765E3">
              <w:rPr>
                <w:sz w:val="20"/>
                <w:szCs w:val="20"/>
                <w:lang w:val="fr-CA"/>
              </w:rPr>
              <w:t>Rensburg</w:t>
            </w:r>
            <w:proofErr w:type="spellEnd"/>
            <w:r w:rsidRPr="007765E3">
              <w:rPr>
                <w:sz w:val="20"/>
                <w:szCs w:val="20"/>
                <w:lang w:val="fr-CA"/>
              </w:rPr>
              <w:t>)</w:t>
            </w:r>
          </w:p>
          <w:p w:rsidR="004C329F" w:rsidRPr="007765E3" w:rsidRDefault="004C329F" w:rsidP="004C329F">
            <w:pPr>
              <w:rPr>
                <w:sz w:val="20"/>
                <w:szCs w:val="20"/>
                <w:lang w:val="en-US"/>
              </w:rPr>
            </w:pPr>
            <w:r w:rsidRPr="007765E3">
              <w:rPr>
                <w:sz w:val="20"/>
                <w:szCs w:val="20"/>
                <w:lang w:val="en-US"/>
              </w:rPr>
              <w:t>2016 ONCA 310; C60515</w:t>
            </w:r>
          </w:p>
          <w:p w:rsidR="004C329F" w:rsidRPr="007765E3" w:rsidRDefault="007765E3" w:rsidP="004C329F">
            <w:pPr>
              <w:rPr>
                <w:sz w:val="20"/>
                <w:szCs w:val="20"/>
                <w:lang w:val="en-US"/>
              </w:rPr>
            </w:pPr>
            <w:hyperlink r:id="rId45" w:history="1">
              <w:r w:rsidR="004C329F" w:rsidRPr="007765E3">
                <w:rPr>
                  <w:rStyle w:val="Hyperlink"/>
                  <w:rFonts w:eastAsiaTheme="majorEastAsia"/>
                  <w:sz w:val="20"/>
                  <w:szCs w:val="20"/>
                  <w:lang w:val="en-US"/>
                </w:rPr>
                <w:t>http://canlii.ca/t/gpq3b</w:t>
              </w:r>
            </w:hyperlink>
          </w:p>
          <w:p w:rsidR="00127038" w:rsidRPr="007765E3" w:rsidRDefault="00127038" w:rsidP="00070F74">
            <w:pPr>
              <w:pStyle w:val="SCCShortJudgment"/>
              <w:ind w:firstLine="0"/>
              <w:rPr>
                <w:rFonts w:cs="Times New Roman"/>
                <w:szCs w:val="20"/>
                <w:u w:val="single"/>
                <w:lang w:val="en-US"/>
              </w:rPr>
            </w:pPr>
          </w:p>
        </w:tc>
        <w:tc>
          <w:tcPr>
            <w:tcW w:w="630" w:type="dxa"/>
          </w:tcPr>
          <w:p w:rsidR="00127038" w:rsidRPr="007765E3" w:rsidRDefault="00127038" w:rsidP="00070F74">
            <w:pPr>
              <w:pStyle w:val="SCCShortJudgment"/>
              <w:ind w:firstLine="0"/>
              <w:rPr>
                <w:rFonts w:cs="Times New Roman"/>
                <w:szCs w:val="20"/>
                <w:u w:val="single"/>
                <w:lang w:val="en-US"/>
              </w:rPr>
            </w:pPr>
          </w:p>
        </w:tc>
        <w:tc>
          <w:tcPr>
            <w:tcW w:w="4536" w:type="dxa"/>
          </w:tcPr>
          <w:p w:rsidR="004C329F" w:rsidRPr="007765E3" w:rsidRDefault="004C329F" w:rsidP="004C329F">
            <w:pPr>
              <w:rPr>
                <w:sz w:val="20"/>
                <w:szCs w:val="20"/>
                <w:lang w:val="fr-CA"/>
              </w:rPr>
            </w:pPr>
            <w:r w:rsidRPr="007765E3">
              <w:rPr>
                <w:sz w:val="20"/>
                <w:szCs w:val="20"/>
                <w:lang w:val="fr-CA"/>
              </w:rPr>
              <w:t>Rejet de l’appel</w:t>
            </w:r>
          </w:p>
          <w:p w:rsidR="00127038" w:rsidRPr="007765E3" w:rsidRDefault="00127038" w:rsidP="00070F74">
            <w:pPr>
              <w:pStyle w:val="SCCShortJudgment"/>
              <w:ind w:firstLine="0"/>
              <w:rPr>
                <w:rFonts w:cs="Times New Roman"/>
                <w:szCs w:val="20"/>
                <w:u w:val="single"/>
                <w:lang w:val="en-US"/>
              </w:rPr>
            </w:pPr>
          </w:p>
        </w:tc>
      </w:tr>
      <w:tr w:rsidR="00127038" w:rsidRPr="007765E3" w:rsidTr="00070F74">
        <w:trPr>
          <w:cantSplit/>
        </w:trPr>
        <w:tc>
          <w:tcPr>
            <w:tcW w:w="4410" w:type="dxa"/>
          </w:tcPr>
          <w:p w:rsidR="004C329F" w:rsidRPr="007765E3" w:rsidRDefault="004C329F" w:rsidP="004C329F">
            <w:pPr>
              <w:rPr>
                <w:sz w:val="20"/>
                <w:szCs w:val="20"/>
                <w:lang w:val="fr-CA"/>
              </w:rPr>
            </w:pPr>
            <w:r w:rsidRPr="007765E3">
              <w:rPr>
                <w:sz w:val="20"/>
                <w:szCs w:val="20"/>
                <w:lang w:val="fr-CA"/>
              </w:rPr>
              <w:t>9 juin 2016</w:t>
            </w:r>
          </w:p>
          <w:p w:rsidR="004C329F" w:rsidRPr="007765E3" w:rsidRDefault="004C329F" w:rsidP="004C329F">
            <w:pPr>
              <w:rPr>
                <w:sz w:val="20"/>
                <w:szCs w:val="20"/>
                <w:lang w:val="fr-CA"/>
              </w:rPr>
            </w:pPr>
            <w:r w:rsidRPr="007765E3">
              <w:rPr>
                <w:sz w:val="20"/>
                <w:szCs w:val="20"/>
                <w:lang w:val="fr-CA"/>
              </w:rPr>
              <w:t>Cour suprême du Canada</w:t>
            </w:r>
          </w:p>
          <w:p w:rsidR="00127038" w:rsidRPr="007765E3" w:rsidRDefault="00127038" w:rsidP="00070F74">
            <w:pPr>
              <w:pStyle w:val="SCCShortJudgment"/>
              <w:ind w:firstLine="0"/>
              <w:rPr>
                <w:rFonts w:cs="Times New Roman"/>
                <w:szCs w:val="20"/>
                <w:u w:val="single"/>
                <w:lang w:val="en-US"/>
              </w:rPr>
            </w:pPr>
          </w:p>
        </w:tc>
        <w:tc>
          <w:tcPr>
            <w:tcW w:w="630" w:type="dxa"/>
          </w:tcPr>
          <w:p w:rsidR="00127038" w:rsidRPr="007765E3" w:rsidRDefault="00127038" w:rsidP="00070F74">
            <w:pPr>
              <w:pStyle w:val="SCCShortJudgment"/>
              <w:ind w:firstLine="0"/>
              <w:rPr>
                <w:rFonts w:cs="Times New Roman"/>
                <w:szCs w:val="20"/>
                <w:u w:val="single"/>
                <w:lang w:val="en-US"/>
              </w:rPr>
            </w:pPr>
          </w:p>
        </w:tc>
        <w:tc>
          <w:tcPr>
            <w:tcW w:w="4536" w:type="dxa"/>
          </w:tcPr>
          <w:p w:rsidR="004C329F" w:rsidRPr="007765E3" w:rsidRDefault="004C329F" w:rsidP="004C329F">
            <w:pPr>
              <w:rPr>
                <w:sz w:val="20"/>
                <w:szCs w:val="20"/>
                <w:lang w:val="fr-CA"/>
              </w:rPr>
            </w:pPr>
            <w:r w:rsidRPr="007765E3">
              <w:rPr>
                <w:sz w:val="20"/>
                <w:szCs w:val="20"/>
                <w:lang w:val="fr-CA"/>
              </w:rPr>
              <w:t>Dépôt de la demande d’autorisation d’appel</w:t>
            </w:r>
          </w:p>
          <w:p w:rsidR="00127038" w:rsidRPr="007765E3" w:rsidRDefault="00127038" w:rsidP="00070F74">
            <w:pPr>
              <w:pStyle w:val="SCCShortJudgment"/>
              <w:ind w:firstLine="0"/>
              <w:rPr>
                <w:rFonts w:cs="Times New Roman"/>
                <w:szCs w:val="20"/>
                <w:u w:val="single"/>
                <w:lang w:val="fr-CA"/>
              </w:rPr>
            </w:pPr>
          </w:p>
        </w:tc>
      </w:tr>
    </w:tbl>
    <w:p w:rsidR="00127038" w:rsidRPr="007765E3" w:rsidRDefault="007765E3" w:rsidP="008D292F">
      <w:pPr>
        <w:rPr>
          <w:sz w:val="20"/>
          <w:szCs w:val="20"/>
          <w:lang w:val="fr-CA"/>
        </w:rPr>
      </w:pPr>
      <w:r w:rsidRPr="007765E3">
        <w:rPr>
          <w:rFonts w:cs="Times New Roman"/>
          <w:szCs w:val="20"/>
          <w:lang w:val="fr-CA"/>
        </w:rPr>
        <w:pict>
          <v:rect id="_x0000_i1057" style="width:2in;height:1pt" o:hrpct="0" o:hralign="center" o:hrstd="t" o:hrnoshade="t" o:hr="t" fillcolor="black [3213]" stroked="f"/>
        </w:pict>
      </w:r>
    </w:p>
    <w:p w:rsidR="00127038" w:rsidRPr="007765E3" w:rsidRDefault="0012703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37072</w:t>
            </w:r>
          </w:p>
          <w:p w:rsidR="00127038" w:rsidRPr="007765E3" w:rsidRDefault="00127038" w:rsidP="00070F74">
            <w:pPr>
              <w:jc w:val="both"/>
              <w:rPr>
                <w:rFonts w:cs="Times New Roman"/>
                <w:b/>
                <w:sz w:val="20"/>
                <w:szCs w:val="20"/>
              </w:rPr>
            </w:pPr>
          </w:p>
        </w:tc>
        <w:tc>
          <w:tcPr>
            <w:tcW w:w="8118" w:type="dxa"/>
            <w:gridSpan w:val="3"/>
          </w:tcPr>
          <w:p w:rsidR="00127038" w:rsidRPr="007765E3" w:rsidRDefault="00A30C1A" w:rsidP="00070F74">
            <w:pPr>
              <w:jc w:val="both"/>
              <w:rPr>
                <w:rFonts w:cs="Times New Roman"/>
                <w:sz w:val="20"/>
                <w:szCs w:val="20"/>
              </w:rPr>
            </w:pPr>
            <w:proofErr w:type="spellStart"/>
            <w:r w:rsidRPr="007765E3">
              <w:rPr>
                <w:b/>
                <w:sz w:val="20"/>
                <w:szCs w:val="20"/>
                <w:u w:val="single"/>
              </w:rPr>
              <w:t>Songyuan</w:t>
            </w:r>
            <w:proofErr w:type="spellEnd"/>
            <w:r w:rsidRPr="007765E3">
              <w:rPr>
                <w:b/>
                <w:sz w:val="20"/>
                <w:szCs w:val="20"/>
                <w:u w:val="single"/>
              </w:rPr>
              <w:t xml:space="preserve"> Liu v. Stephen </w:t>
            </w:r>
            <w:proofErr w:type="spellStart"/>
            <w:r w:rsidRPr="007765E3">
              <w:rPr>
                <w:b/>
                <w:sz w:val="20"/>
                <w:szCs w:val="20"/>
                <w:u w:val="single"/>
              </w:rPr>
              <w:t>Sik</w:t>
            </w:r>
            <w:proofErr w:type="spellEnd"/>
            <w:r w:rsidRPr="007765E3">
              <w:rPr>
                <w:b/>
                <w:sz w:val="20"/>
                <w:szCs w:val="20"/>
                <w:u w:val="single"/>
              </w:rPr>
              <w:t>-Hong Wong</w:t>
            </w:r>
            <w:r w:rsidRPr="007765E3">
              <w:rPr>
                <w:rFonts w:cs="Times New Roman"/>
                <w:sz w:val="20"/>
                <w:szCs w:val="20"/>
              </w:rPr>
              <w:t xml:space="preserve"> </w:t>
            </w:r>
            <w:r w:rsidR="00127038" w:rsidRPr="007765E3">
              <w:rPr>
                <w:rFonts w:cs="Times New Roman"/>
                <w:sz w:val="20"/>
                <w:szCs w:val="20"/>
              </w:rPr>
              <w:t>(Ont.) (Civil)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A30C1A" w:rsidP="00070F74">
            <w:pPr>
              <w:jc w:val="both"/>
              <w:rPr>
                <w:sz w:val="20"/>
                <w:szCs w:val="20"/>
                <w:u w:val="single"/>
              </w:rPr>
            </w:pPr>
            <w:proofErr w:type="spellStart"/>
            <w:r w:rsidRPr="007765E3">
              <w:rPr>
                <w:sz w:val="20"/>
                <w:szCs w:val="20"/>
                <w:u w:val="single"/>
              </w:rPr>
              <w:t>Moldaver</w:t>
            </w:r>
            <w:proofErr w:type="spellEnd"/>
            <w:r w:rsidRPr="007765E3">
              <w:rPr>
                <w:sz w:val="20"/>
                <w:szCs w:val="20"/>
                <w:u w:val="single"/>
              </w:rPr>
              <w:t xml:space="preserve">, </w:t>
            </w:r>
            <w:proofErr w:type="spellStart"/>
            <w:r w:rsidRPr="007765E3">
              <w:rPr>
                <w:sz w:val="20"/>
                <w:szCs w:val="20"/>
                <w:u w:val="single"/>
              </w:rPr>
              <w:t>Côté</w:t>
            </w:r>
            <w:proofErr w:type="spellEnd"/>
            <w:r w:rsidRPr="007765E3">
              <w:rPr>
                <w:sz w:val="20"/>
                <w:szCs w:val="20"/>
                <w:u w:val="single"/>
              </w:rPr>
              <w:t xml:space="preserve"> and Brown JJ.</w:t>
            </w:r>
          </w:p>
          <w:p w:rsidR="00A30C1A" w:rsidRPr="007765E3" w:rsidRDefault="00A30C1A" w:rsidP="00070F74">
            <w:pPr>
              <w:jc w:val="both"/>
              <w:rPr>
                <w:rFonts w:cs="Times New Roman"/>
                <w:sz w:val="20"/>
                <w:szCs w:val="20"/>
                <w:u w:val="single"/>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rPr>
            </w:pPr>
            <w:r w:rsidRPr="007765E3">
              <w:rPr>
                <w:rFonts w:cs="Times New Roman"/>
                <w:szCs w:val="20"/>
              </w:rPr>
              <w:tab/>
            </w:r>
            <w:r w:rsidR="00A30C1A" w:rsidRPr="007765E3">
              <w:rPr>
                <w:szCs w:val="20"/>
              </w:rPr>
              <w:t>The application for leave to appeal from the judgment of the Court of Appeal for Ontario, Number C61371, 2016 ONCA 366, dated May 9, 2016, is dismissed with costs.</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szCs w:val="20"/>
                <w:lang w:val="fr-CA"/>
              </w:rPr>
            </w:pPr>
            <w:r w:rsidRPr="007765E3">
              <w:rPr>
                <w:rFonts w:cs="Times New Roman"/>
                <w:szCs w:val="20"/>
              </w:rPr>
              <w:tab/>
            </w:r>
            <w:r w:rsidR="00A30C1A" w:rsidRPr="007765E3">
              <w:rPr>
                <w:szCs w:val="20"/>
                <w:lang w:val="fr-CA"/>
              </w:rPr>
              <w:t>La demande d’autorisation d’appel de l’arrêt de la Cour d’appel de l’Ontario, numéro C61371, 2016 ONCA 366, daté du 9 mai 2016, est rejetée avec dépens.</w:t>
            </w:r>
          </w:p>
          <w:p w:rsidR="00A30C1A" w:rsidRPr="007765E3" w:rsidRDefault="00A30C1A"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A30C1A" w:rsidP="00070F74">
            <w:pPr>
              <w:pStyle w:val="SCCShortJudgment"/>
              <w:ind w:firstLine="0"/>
              <w:rPr>
                <w:szCs w:val="20"/>
              </w:rPr>
            </w:pPr>
            <w:r w:rsidRPr="007765E3">
              <w:rPr>
                <w:szCs w:val="20"/>
              </w:rPr>
              <w:t>Torts – Negligence – Medical malpractice – Summary judgment – Limitation periods – Whether courts below erred in granting summary judgment and dismissing claim on basis that it was statute barred, and in holding absence of expert medical evidence in support of plaintiff’s claim is fatal to medical malpractice claim in all but the clearest of cases.</w:t>
            </w:r>
          </w:p>
          <w:p w:rsidR="00A30C1A" w:rsidRPr="007765E3" w:rsidRDefault="00A30C1A" w:rsidP="00070F74">
            <w:pPr>
              <w:pStyle w:val="SCCShortJudgment"/>
              <w:ind w:firstLine="0"/>
              <w:rPr>
                <w:rFonts w:cs="Times New Roman"/>
                <w:szCs w:val="20"/>
              </w:rPr>
            </w:pPr>
          </w:p>
        </w:tc>
      </w:tr>
      <w:tr w:rsidR="00127038" w:rsidRPr="007765E3" w:rsidTr="004C329F">
        <w:tc>
          <w:tcPr>
            <w:tcW w:w="9576" w:type="dxa"/>
            <w:gridSpan w:val="4"/>
          </w:tcPr>
          <w:p w:rsidR="00A30C1A" w:rsidRPr="007765E3" w:rsidRDefault="00A30C1A" w:rsidP="00A30C1A">
            <w:pPr>
              <w:jc w:val="both"/>
              <w:rPr>
                <w:sz w:val="20"/>
                <w:szCs w:val="20"/>
              </w:rPr>
            </w:pPr>
            <w:proofErr w:type="spellStart"/>
            <w:r w:rsidRPr="007765E3">
              <w:rPr>
                <w:sz w:val="20"/>
                <w:szCs w:val="20"/>
              </w:rPr>
              <w:t>Songyuan</w:t>
            </w:r>
            <w:proofErr w:type="spellEnd"/>
            <w:r w:rsidRPr="007765E3">
              <w:rPr>
                <w:sz w:val="20"/>
                <w:szCs w:val="20"/>
              </w:rPr>
              <w:t xml:space="preserve"> Liu sustained a serious knee injury in a motor vehicle accident in 2011. He had surgery to repair the knee involving the insertion of 19 staples. Approximately two weeks after the surgery, the staples were removed by his then family doctor, Dr. Wong. About a year later, Mr. Liu was assessed by a different doctor at the behest of the lawyer </w:t>
            </w:r>
            <w:r w:rsidRPr="007765E3">
              <w:rPr>
                <w:sz w:val="20"/>
                <w:szCs w:val="20"/>
              </w:rPr>
              <w:lastRenderedPageBreak/>
              <w:t>representing him in his tort claim arising out of the accident. That doctor’s assessment concluded that Mr. Liu’s knee was permanently injured and would not return to normal. The doctor was not asked to, and did not provide an opinion with respect to any injury that may have arisen as a result of the removal of the staples by Dr. Wong. On October 9, 2014 – more than three years after the removal of the staples and a follow up appointment with another doctor – Mr. Liu commenced an action for negligence against Dr. Wong, asserting that Dr. Wong did a poor job of removing the staples, breaking one of them in the process, causing him to suffer great pain and bleeding, and resulting in his knee becoming permanently injured.</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9576" w:type="dxa"/>
            <w:gridSpan w:val="4"/>
          </w:tcPr>
          <w:p w:rsidR="00A30C1A" w:rsidRPr="007765E3" w:rsidRDefault="00A30C1A" w:rsidP="00A30C1A">
            <w:pPr>
              <w:jc w:val="both"/>
              <w:rPr>
                <w:sz w:val="20"/>
                <w:szCs w:val="20"/>
              </w:rPr>
            </w:pPr>
            <w:r w:rsidRPr="007765E3">
              <w:rPr>
                <w:sz w:val="20"/>
                <w:szCs w:val="20"/>
              </w:rPr>
              <w:lastRenderedPageBreak/>
              <w:t xml:space="preserve">Dr. Wong’s motion for summary judgment was granted by the Ontario Superior Court of Justice, and Mr. Liu’s medical malpractice action against Dr. Wong was dismissed on the basis that: the action was  statute barred by a 2-year limitation period provided for in the </w:t>
            </w:r>
            <w:r w:rsidRPr="007765E3">
              <w:rPr>
                <w:i/>
                <w:sz w:val="20"/>
                <w:szCs w:val="20"/>
              </w:rPr>
              <w:t>Limitations Act</w:t>
            </w:r>
            <w:r w:rsidRPr="007765E3">
              <w:rPr>
                <w:sz w:val="20"/>
                <w:szCs w:val="20"/>
              </w:rPr>
              <w:t>, 2002, S.O. 2002, c.24, Sched. B, s.4; and this was not one of “the clearest of cases” in which no expert’s report is required to support the plaintiff’s malpractice allegations. The Ontario Court of Appeal unanimously dismissed Mr. Liu’s appeal.</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4410" w:type="dxa"/>
            <w:gridSpan w:val="2"/>
          </w:tcPr>
          <w:p w:rsidR="00A30C1A" w:rsidRPr="007765E3" w:rsidRDefault="00A30C1A" w:rsidP="00A30C1A">
            <w:pPr>
              <w:rPr>
                <w:sz w:val="20"/>
                <w:szCs w:val="20"/>
              </w:rPr>
            </w:pPr>
            <w:r w:rsidRPr="007765E3">
              <w:rPr>
                <w:sz w:val="20"/>
                <w:szCs w:val="20"/>
              </w:rPr>
              <w:t>October 26, 2015</w:t>
            </w:r>
          </w:p>
          <w:p w:rsidR="00A30C1A" w:rsidRPr="007765E3" w:rsidRDefault="00A30C1A" w:rsidP="00A30C1A">
            <w:pPr>
              <w:rPr>
                <w:sz w:val="20"/>
                <w:szCs w:val="20"/>
              </w:rPr>
            </w:pPr>
            <w:r w:rsidRPr="007765E3">
              <w:rPr>
                <w:sz w:val="20"/>
                <w:szCs w:val="20"/>
              </w:rPr>
              <w:t>Ontario Superior Court of Justice</w:t>
            </w:r>
          </w:p>
          <w:p w:rsidR="00A30C1A" w:rsidRPr="007765E3" w:rsidRDefault="00A30C1A" w:rsidP="00A30C1A">
            <w:pPr>
              <w:rPr>
                <w:sz w:val="20"/>
                <w:szCs w:val="20"/>
              </w:rPr>
            </w:pPr>
            <w:r w:rsidRPr="007765E3">
              <w:rPr>
                <w:sz w:val="20"/>
                <w:szCs w:val="20"/>
              </w:rPr>
              <w:t>(Diamond J.)</w:t>
            </w:r>
          </w:p>
          <w:p w:rsidR="00A30C1A" w:rsidRPr="007765E3" w:rsidRDefault="007765E3" w:rsidP="00A30C1A">
            <w:pPr>
              <w:rPr>
                <w:sz w:val="20"/>
                <w:szCs w:val="20"/>
              </w:rPr>
            </w:pPr>
            <w:hyperlink r:id="rId46" w:history="1">
              <w:r w:rsidR="00A30C1A" w:rsidRPr="007765E3">
                <w:rPr>
                  <w:rStyle w:val="Hyperlink"/>
                  <w:sz w:val="20"/>
                  <w:szCs w:val="20"/>
                </w:rPr>
                <w:t>2015 ONSC 6595</w:t>
              </w:r>
            </w:hyperlink>
            <w:r w:rsidR="00A30C1A" w:rsidRPr="007765E3">
              <w:rPr>
                <w:sz w:val="20"/>
                <w:szCs w:val="20"/>
              </w:rPr>
              <w:t xml:space="preserve"> </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A30C1A" w:rsidRPr="007765E3" w:rsidRDefault="00A30C1A" w:rsidP="00A30C1A">
            <w:pPr>
              <w:jc w:val="both"/>
              <w:rPr>
                <w:sz w:val="20"/>
                <w:szCs w:val="20"/>
              </w:rPr>
            </w:pPr>
            <w:r w:rsidRPr="007765E3">
              <w:rPr>
                <w:sz w:val="20"/>
                <w:szCs w:val="20"/>
              </w:rPr>
              <w:t xml:space="preserve">Respondent’s motion for summary judgment, granted; action dismissed. </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A30C1A" w:rsidRPr="007765E3" w:rsidRDefault="00A30C1A" w:rsidP="00A30C1A">
            <w:pPr>
              <w:rPr>
                <w:sz w:val="20"/>
                <w:szCs w:val="20"/>
              </w:rPr>
            </w:pPr>
            <w:r w:rsidRPr="007765E3">
              <w:rPr>
                <w:sz w:val="20"/>
                <w:szCs w:val="20"/>
              </w:rPr>
              <w:t>May 9, 2016</w:t>
            </w:r>
          </w:p>
          <w:p w:rsidR="00A30C1A" w:rsidRPr="007765E3" w:rsidRDefault="00A30C1A" w:rsidP="00A30C1A">
            <w:pPr>
              <w:rPr>
                <w:sz w:val="20"/>
                <w:szCs w:val="20"/>
              </w:rPr>
            </w:pPr>
            <w:r w:rsidRPr="007765E3">
              <w:rPr>
                <w:sz w:val="20"/>
                <w:szCs w:val="20"/>
              </w:rPr>
              <w:t>Court of Appeal for Ontario</w:t>
            </w:r>
          </w:p>
          <w:p w:rsidR="00A30C1A" w:rsidRPr="007765E3" w:rsidRDefault="00A30C1A" w:rsidP="00A30C1A">
            <w:pPr>
              <w:rPr>
                <w:sz w:val="20"/>
                <w:szCs w:val="20"/>
                <w:lang w:val="en-US"/>
              </w:rPr>
            </w:pPr>
            <w:r w:rsidRPr="007765E3">
              <w:rPr>
                <w:sz w:val="20"/>
                <w:szCs w:val="20"/>
                <w:lang w:val="en-US"/>
              </w:rPr>
              <w:t xml:space="preserve">(Blair, </w:t>
            </w:r>
            <w:proofErr w:type="spellStart"/>
            <w:r w:rsidRPr="007765E3">
              <w:rPr>
                <w:sz w:val="20"/>
                <w:szCs w:val="20"/>
                <w:lang w:val="en-US"/>
              </w:rPr>
              <w:t>MacFarland</w:t>
            </w:r>
            <w:proofErr w:type="spellEnd"/>
            <w:r w:rsidRPr="007765E3">
              <w:rPr>
                <w:sz w:val="20"/>
                <w:szCs w:val="20"/>
                <w:lang w:val="en-US"/>
              </w:rPr>
              <w:t xml:space="preserve"> and </w:t>
            </w:r>
            <w:proofErr w:type="spellStart"/>
            <w:r w:rsidRPr="007765E3">
              <w:rPr>
                <w:sz w:val="20"/>
                <w:szCs w:val="20"/>
                <w:lang w:val="en-US"/>
              </w:rPr>
              <w:t>Lauwers</w:t>
            </w:r>
            <w:proofErr w:type="spellEnd"/>
            <w:r w:rsidRPr="007765E3">
              <w:rPr>
                <w:sz w:val="20"/>
                <w:szCs w:val="20"/>
                <w:lang w:val="en-US"/>
              </w:rPr>
              <w:t xml:space="preserve"> JJ.A.)</w:t>
            </w:r>
          </w:p>
          <w:p w:rsidR="00A30C1A" w:rsidRPr="007765E3" w:rsidRDefault="007765E3" w:rsidP="00A30C1A">
            <w:pPr>
              <w:rPr>
                <w:sz w:val="20"/>
                <w:szCs w:val="20"/>
              </w:rPr>
            </w:pPr>
            <w:hyperlink r:id="rId47" w:history="1">
              <w:r w:rsidR="00A30C1A" w:rsidRPr="007765E3">
                <w:rPr>
                  <w:rStyle w:val="Hyperlink"/>
                  <w:sz w:val="20"/>
                  <w:szCs w:val="20"/>
                </w:rPr>
                <w:t>2016 ONCA 366</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A30C1A" w:rsidRPr="007765E3" w:rsidRDefault="00A30C1A" w:rsidP="00A30C1A">
            <w:pPr>
              <w:rPr>
                <w:sz w:val="20"/>
                <w:szCs w:val="20"/>
              </w:rPr>
            </w:pPr>
            <w:r w:rsidRPr="007765E3">
              <w:rPr>
                <w:sz w:val="20"/>
                <w:szCs w:val="20"/>
              </w:rPr>
              <w:t xml:space="preserve">Applicant’s appeal, dismissed. </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A30C1A" w:rsidRPr="007765E3" w:rsidRDefault="00A30C1A" w:rsidP="00A30C1A">
            <w:pPr>
              <w:rPr>
                <w:sz w:val="20"/>
                <w:szCs w:val="20"/>
              </w:rPr>
            </w:pPr>
            <w:r w:rsidRPr="007765E3">
              <w:rPr>
                <w:sz w:val="20"/>
                <w:szCs w:val="20"/>
              </w:rPr>
              <w:t>June 17, 2016</w:t>
            </w:r>
          </w:p>
          <w:p w:rsidR="00127038" w:rsidRPr="007765E3" w:rsidRDefault="00A30C1A" w:rsidP="00A30C1A">
            <w:pPr>
              <w:jc w:val="both"/>
              <w:rPr>
                <w:rFonts w:cs="Times New Roman"/>
                <w:sz w:val="20"/>
                <w:szCs w:val="20"/>
              </w:rPr>
            </w:pPr>
            <w:r w:rsidRPr="007765E3">
              <w:rPr>
                <w:sz w:val="20"/>
                <w:szCs w:val="20"/>
              </w:rPr>
              <w:t>Supreme Court of Canada</w:t>
            </w:r>
          </w:p>
        </w:tc>
        <w:tc>
          <w:tcPr>
            <w:tcW w:w="630" w:type="dxa"/>
          </w:tcPr>
          <w:p w:rsidR="00127038" w:rsidRPr="007765E3" w:rsidRDefault="00127038" w:rsidP="00070F74">
            <w:pPr>
              <w:pStyle w:val="SCCShortJudgment"/>
              <w:ind w:firstLine="0"/>
              <w:rPr>
                <w:rFonts w:cs="Times New Roman"/>
                <w:szCs w:val="20"/>
              </w:rPr>
            </w:pPr>
          </w:p>
        </w:tc>
        <w:tc>
          <w:tcPr>
            <w:tcW w:w="4536" w:type="dxa"/>
          </w:tcPr>
          <w:p w:rsidR="00A30C1A" w:rsidRPr="007765E3" w:rsidRDefault="00A30C1A" w:rsidP="00A30C1A">
            <w:pPr>
              <w:rPr>
                <w:sz w:val="20"/>
                <w:szCs w:val="20"/>
              </w:rPr>
            </w:pPr>
            <w:r w:rsidRPr="007765E3">
              <w:rPr>
                <w:sz w:val="20"/>
                <w:szCs w:val="20"/>
              </w:rPr>
              <w:t>Application for leave to appeal, filed.</w:t>
            </w:r>
          </w:p>
          <w:p w:rsidR="00127038" w:rsidRPr="007765E3" w:rsidRDefault="00127038" w:rsidP="00070F74">
            <w:pPr>
              <w:jc w:val="both"/>
              <w:rPr>
                <w:rFonts w:cs="Times New Roman"/>
                <w:sz w:val="20"/>
                <w:szCs w:val="20"/>
              </w:rPr>
            </w:pP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58"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A30C1A" w:rsidP="00070F74">
            <w:pPr>
              <w:pStyle w:val="SCCShortJudgment"/>
              <w:ind w:firstLine="0"/>
              <w:rPr>
                <w:szCs w:val="20"/>
                <w:lang w:val="fr-CA"/>
              </w:rPr>
            </w:pPr>
            <w:r w:rsidRPr="007765E3">
              <w:rPr>
                <w:szCs w:val="20"/>
                <w:lang w:val="fr-CA"/>
              </w:rPr>
              <w:t xml:space="preserve">Responsabilité délictuelle – Négligence – Faute médicale – Jugements sommaires – Délais de prescription – Les juridictions inférieures </w:t>
            </w:r>
            <w:proofErr w:type="spellStart"/>
            <w:r w:rsidRPr="007765E3">
              <w:rPr>
                <w:szCs w:val="20"/>
                <w:lang w:val="fr-CA"/>
              </w:rPr>
              <w:t>ont-elles</w:t>
            </w:r>
            <w:proofErr w:type="spellEnd"/>
            <w:r w:rsidRPr="007765E3">
              <w:rPr>
                <w:szCs w:val="20"/>
                <w:lang w:val="fr-CA"/>
              </w:rPr>
              <w:t xml:space="preserve"> eu tort de prononcer un jugement sommaire, de rejeter la demande pour cause de prescription et de statuer que, parce qu’il ne s’agissait pas d’un cas parmi les plus évidents, l’absence d’expertise médicale au soutien de la demande pour faute médicale était fatale?</w:t>
            </w:r>
          </w:p>
          <w:p w:rsidR="00A30C1A" w:rsidRPr="007765E3" w:rsidRDefault="00A30C1A"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A30C1A" w:rsidRPr="007765E3" w:rsidRDefault="00A30C1A" w:rsidP="00A30C1A">
            <w:pPr>
              <w:jc w:val="both"/>
              <w:rPr>
                <w:sz w:val="20"/>
                <w:szCs w:val="20"/>
                <w:lang w:val="fr-CA"/>
              </w:rPr>
            </w:pPr>
            <w:r w:rsidRPr="007765E3">
              <w:rPr>
                <w:sz w:val="20"/>
                <w:szCs w:val="20"/>
                <w:lang w:val="fr-CA"/>
              </w:rPr>
              <w:t xml:space="preserve">En 2011, </w:t>
            </w:r>
            <w:proofErr w:type="spellStart"/>
            <w:r w:rsidRPr="007765E3">
              <w:rPr>
                <w:sz w:val="20"/>
                <w:szCs w:val="20"/>
                <w:lang w:val="fr-CA"/>
              </w:rPr>
              <w:t>Songyuan</w:t>
            </w:r>
            <w:proofErr w:type="spellEnd"/>
            <w:r w:rsidRPr="007765E3">
              <w:rPr>
                <w:sz w:val="20"/>
                <w:szCs w:val="20"/>
                <w:lang w:val="fr-CA"/>
              </w:rPr>
              <w:t xml:space="preserve"> Liu a subi une grave blessure au genou dans un accident de la route. Il a subi une intervention chirurgicale pour réparer le genou, ce qui a nécessité l’insertion de 19 agrafes. Environ deux semaines après la chirurgie, les agrafes ont été enlevées par son médecin de famille de l’époque, le docteur Wong. Environ un an plus tard, M. Liu a été évalué par un autre médecin à la demande de l’avocat qui le représentait dans sa poursuite en responsabilité civile découlant de l’accident. Au terme de son évaluation, le médecin a conclu que le genou de M. Liu avait subi une lésion permanente et qu’il ne reviendrait pas à la normale. On n’a pas demandé au médecin de donner son avis sur la question de savoir si une lésion aurait pu résulter de l’enlèvement des agrafes par le docteur Wong et il n’a pas fourni un tel avis. Le 9 octobre 2014, soit plus de trois ans après l’enlèvement des agrafes et un rendez-vous de suivi avec un autre médecin, M. Lieu a intenté une action en négligence contre le docteur Wong, lui reprochant d’avoir mal fait son travail en enlevant les agrafes, brisant l’une d’elles dans le processus, lui occasionnant beaucoup de douleur et une hémorragie abondante, et entraînant la lésion permanente au genou.</w:t>
            </w:r>
          </w:p>
          <w:p w:rsidR="00127038" w:rsidRPr="007765E3" w:rsidRDefault="00127038" w:rsidP="00070F74">
            <w:pPr>
              <w:jc w:val="both"/>
              <w:rPr>
                <w:rFonts w:cs="Times New Roman"/>
                <w:sz w:val="20"/>
                <w:szCs w:val="20"/>
                <w:u w:val="single"/>
                <w:lang w:val="fr-CA"/>
              </w:rPr>
            </w:pPr>
          </w:p>
        </w:tc>
      </w:tr>
      <w:tr w:rsidR="00127038" w:rsidRPr="007765E3" w:rsidTr="00B03D90">
        <w:tc>
          <w:tcPr>
            <w:tcW w:w="9576" w:type="dxa"/>
            <w:gridSpan w:val="4"/>
          </w:tcPr>
          <w:p w:rsidR="00A30C1A" w:rsidRPr="007765E3" w:rsidRDefault="00A30C1A" w:rsidP="00A30C1A">
            <w:pPr>
              <w:jc w:val="both"/>
              <w:rPr>
                <w:sz w:val="20"/>
                <w:szCs w:val="20"/>
                <w:lang w:val="fr-CA"/>
              </w:rPr>
            </w:pPr>
            <w:r w:rsidRPr="007765E3">
              <w:rPr>
                <w:sz w:val="20"/>
                <w:szCs w:val="20"/>
                <w:lang w:val="fr-CA"/>
              </w:rPr>
              <w:t xml:space="preserve">La Cour supérieure de justice de l’Ontario a accueilli la motion en jugement sommaire présentée par le docteur Wong et a rejeté l’action pour faute médicale intentée par M. Liu contre lui aux motifs que l’action était irrecevable en raison du délai de prescription de deux ans prévu dans la </w:t>
            </w:r>
            <w:r w:rsidRPr="007765E3">
              <w:rPr>
                <w:i/>
                <w:sz w:val="20"/>
                <w:szCs w:val="20"/>
                <w:lang w:val="fr-CA"/>
              </w:rPr>
              <w:t>Loi de 2002 sur la prescription des actions</w:t>
            </w:r>
            <w:r w:rsidRPr="007765E3">
              <w:rPr>
                <w:sz w:val="20"/>
                <w:szCs w:val="20"/>
                <w:lang w:val="fr-CA"/>
              </w:rPr>
              <w:t xml:space="preserve">, L.O. 2002, ch. 24, </w:t>
            </w:r>
            <w:proofErr w:type="spellStart"/>
            <w:r w:rsidRPr="007765E3">
              <w:rPr>
                <w:sz w:val="20"/>
                <w:szCs w:val="20"/>
                <w:lang w:val="fr-CA"/>
              </w:rPr>
              <w:t>ann</w:t>
            </w:r>
            <w:proofErr w:type="spellEnd"/>
            <w:r w:rsidRPr="007765E3">
              <w:rPr>
                <w:sz w:val="20"/>
                <w:szCs w:val="20"/>
                <w:lang w:val="fr-CA"/>
              </w:rPr>
              <w:t xml:space="preserve"> B, art. 4 et qu’il ne s’agissait pas en l’espèce d’un des « cas les plus évidents » dans lesquels aucune expertise n’est </w:t>
            </w:r>
            <w:r w:rsidRPr="007765E3">
              <w:rPr>
                <w:sz w:val="20"/>
                <w:szCs w:val="20"/>
                <w:lang w:val="fr-CA"/>
              </w:rPr>
              <w:lastRenderedPageBreak/>
              <w:t>nécessaire au soutien des allégations de faute médicale du demandeur. La Cour d’appel de l’Ontario a rejeté l’appel de M. Liu à l’unanimité.</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A30C1A" w:rsidRPr="007765E3" w:rsidRDefault="00A30C1A" w:rsidP="00A30C1A">
            <w:pPr>
              <w:rPr>
                <w:sz w:val="20"/>
                <w:szCs w:val="20"/>
                <w:lang w:val="fr-CA"/>
              </w:rPr>
            </w:pPr>
            <w:r w:rsidRPr="007765E3">
              <w:rPr>
                <w:sz w:val="20"/>
                <w:szCs w:val="20"/>
                <w:lang w:val="fr-CA"/>
              </w:rPr>
              <w:lastRenderedPageBreak/>
              <w:t>26 octobre 2015</w:t>
            </w:r>
          </w:p>
          <w:p w:rsidR="00A30C1A" w:rsidRPr="007765E3" w:rsidRDefault="00A30C1A" w:rsidP="00A30C1A">
            <w:pPr>
              <w:rPr>
                <w:sz w:val="20"/>
                <w:szCs w:val="20"/>
                <w:lang w:val="fr-CA"/>
              </w:rPr>
            </w:pPr>
            <w:r w:rsidRPr="007765E3">
              <w:rPr>
                <w:sz w:val="20"/>
                <w:szCs w:val="20"/>
                <w:lang w:val="fr-CA"/>
              </w:rPr>
              <w:t xml:space="preserve">Cour supérieure de justice de l’Ontario </w:t>
            </w:r>
          </w:p>
          <w:p w:rsidR="00A30C1A" w:rsidRPr="007765E3" w:rsidRDefault="00A30C1A" w:rsidP="00A30C1A">
            <w:pPr>
              <w:rPr>
                <w:sz w:val="20"/>
                <w:szCs w:val="20"/>
                <w:lang w:val="fr-CA"/>
              </w:rPr>
            </w:pPr>
            <w:r w:rsidRPr="007765E3">
              <w:rPr>
                <w:sz w:val="20"/>
                <w:szCs w:val="20"/>
                <w:lang w:val="fr-CA"/>
              </w:rPr>
              <w:t xml:space="preserve">(Juge </w:t>
            </w:r>
            <w:proofErr w:type="spellStart"/>
            <w:r w:rsidRPr="007765E3">
              <w:rPr>
                <w:sz w:val="20"/>
                <w:szCs w:val="20"/>
                <w:lang w:val="fr-CA"/>
              </w:rPr>
              <w:t>Diamond</w:t>
            </w:r>
            <w:proofErr w:type="spellEnd"/>
            <w:r w:rsidRPr="007765E3">
              <w:rPr>
                <w:sz w:val="20"/>
                <w:szCs w:val="20"/>
                <w:lang w:val="fr-CA"/>
              </w:rPr>
              <w:t>)</w:t>
            </w:r>
          </w:p>
          <w:p w:rsidR="00A30C1A" w:rsidRPr="007765E3" w:rsidRDefault="007765E3" w:rsidP="00A30C1A">
            <w:pPr>
              <w:rPr>
                <w:sz w:val="20"/>
                <w:szCs w:val="20"/>
                <w:lang w:val="fr-CA"/>
              </w:rPr>
            </w:pPr>
            <w:hyperlink r:id="rId48" w:history="1">
              <w:r w:rsidR="00A30C1A" w:rsidRPr="007765E3">
                <w:rPr>
                  <w:rStyle w:val="Hyperlink"/>
                  <w:sz w:val="20"/>
                  <w:szCs w:val="20"/>
                  <w:lang w:val="fr-CA"/>
                </w:rPr>
                <w:t>2015 ONSC 6595</w:t>
              </w:r>
            </w:hyperlink>
            <w:r w:rsidR="00A30C1A" w:rsidRPr="007765E3">
              <w:rPr>
                <w:sz w:val="20"/>
                <w:szCs w:val="20"/>
                <w:lang w:val="fr-CA"/>
              </w:rPr>
              <w:t xml:space="preserve"> </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A30C1A" w:rsidRPr="007765E3" w:rsidRDefault="00A30C1A" w:rsidP="00A30C1A">
            <w:pPr>
              <w:rPr>
                <w:sz w:val="20"/>
                <w:szCs w:val="20"/>
                <w:lang w:val="fr-CA"/>
              </w:rPr>
            </w:pPr>
            <w:r w:rsidRPr="007765E3">
              <w:rPr>
                <w:sz w:val="20"/>
                <w:szCs w:val="20"/>
                <w:lang w:val="fr-CA"/>
              </w:rPr>
              <w:t xml:space="preserve">Jugement accueillant la requête de l’intimé en jugement sommaire; rejet de l’action.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A30C1A" w:rsidRPr="007765E3" w:rsidRDefault="00A30C1A" w:rsidP="00A30C1A">
            <w:pPr>
              <w:rPr>
                <w:sz w:val="20"/>
                <w:szCs w:val="20"/>
                <w:lang w:val="fr-CA"/>
              </w:rPr>
            </w:pPr>
            <w:r w:rsidRPr="007765E3">
              <w:rPr>
                <w:sz w:val="20"/>
                <w:szCs w:val="20"/>
                <w:lang w:val="fr-CA"/>
              </w:rPr>
              <w:t>9 mai 2016</w:t>
            </w:r>
          </w:p>
          <w:p w:rsidR="00A30C1A" w:rsidRPr="007765E3" w:rsidRDefault="00A30C1A" w:rsidP="00A30C1A">
            <w:pPr>
              <w:rPr>
                <w:sz w:val="20"/>
                <w:szCs w:val="20"/>
                <w:lang w:val="fr-CA"/>
              </w:rPr>
            </w:pPr>
            <w:r w:rsidRPr="007765E3">
              <w:rPr>
                <w:sz w:val="20"/>
                <w:szCs w:val="20"/>
                <w:lang w:val="fr-CA"/>
              </w:rPr>
              <w:t xml:space="preserve">Cour d’appel de l’Ontario </w:t>
            </w:r>
          </w:p>
          <w:p w:rsidR="00A30C1A" w:rsidRPr="007765E3" w:rsidRDefault="00A30C1A" w:rsidP="00A30C1A">
            <w:pPr>
              <w:rPr>
                <w:sz w:val="20"/>
                <w:szCs w:val="20"/>
                <w:lang w:val="fr-CA"/>
              </w:rPr>
            </w:pPr>
            <w:r w:rsidRPr="007765E3">
              <w:rPr>
                <w:sz w:val="20"/>
                <w:szCs w:val="20"/>
                <w:lang w:val="fr-CA"/>
              </w:rPr>
              <w:t xml:space="preserve">(Juges Blair, </w:t>
            </w:r>
            <w:proofErr w:type="spellStart"/>
            <w:r w:rsidRPr="007765E3">
              <w:rPr>
                <w:sz w:val="20"/>
                <w:szCs w:val="20"/>
                <w:lang w:val="fr-CA"/>
              </w:rPr>
              <w:t>MacFarland</w:t>
            </w:r>
            <w:proofErr w:type="spellEnd"/>
            <w:r w:rsidRPr="007765E3">
              <w:rPr>
                <w:sz w:val="20"/>
                <w:szCs w:val="20"/>
                <w:lang w:val="fr-CA"/>
              </w:rPr>
              <w:t xml:space="preserve"> et </w:t>
            </w:r>
            <w:proofErr w:type="spellStart"/>
            <w:r w:rsidRPr="007765E3">
              <w:rPr>
                <w:sz w:val="20"/>
                <w:szCs w:val="20"/>
                <w:lang w:val="fr-CA"/>
              </w:rPr>
              <w:t>Lauwers</w:t>
            </w:r>
            <w:proofErr w:type="spellEnd"/>
            <w:r w:rsidRPr="007765E3">
              <w:rPr>
                <w:sz w:val="20"/>
                <w:szCs w:val="20"/>
                <w:lang w:val="fr-CA"/>
              </w:rPr>
              <w:t>)</w:t>
            </w:r>
          </w:p>
          <w:p w:rsidR="00A30C1A" w:rsidRPr="007765E3" w:rsidRDefault="007765E3" w:rsidP="00A30C1A">
            <w:pPr>
              <w:rPr>
                <w:sz w:val="20"/>
                <w:szCs w:val="20"/>
                <w:lang w:val="fr-CA"/>
              </w:rPr>
            </w:pPr>
            <w:hyperlink r:id="rId49" w:history="1">
              <w:r w:rsidR="00A30C1A" w:rsidRPr="007765E3">
                <w:rPr>
                  <w:rStyle w:val="Hyperlink"/>
                  <w:sz w:val="20"/>
                  <w:szCs w:val="20"/>
                  <w:lang w:val="fr-CA"/>
                </w:rPr>
                <w:t>2016 ONCA 366</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A30C1A" w:rsidRPr="007765E3" w:rsidRDefault="00A30C1A" w:rsidP="00A30C1A">
            <w:pPr>
              <w:rPr>
                <w:sz w:val="20"/>
                <w:szCs w:val="20"/>
                <w:lang w:val="fr-CA"/>
              </w:rPr>
            </w:pPr>
            <w:r w:rsidRPr="007765E3">
              <w:rPr>
                <w:sz w:val="20"/>
                <w:szCs w:val="20"/>
                <w:lang w:val="fr-CA"/>
              </w:rPr>
              <w:t xml:space="preserve">Rejet de l’appel du demandeur.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A30C1A" w:rsidRPr="007765E3" w:rsidRDefault="00A30C1A" w:rsidP="00A30C1A">
            <w:pPr>
              <w:rPr>
                <w:sz w:val="20"/>
                <w:szCs w:val="20"/>
                <w:lang w:val="fr-CA"/>
              </w:rPr>
            </w:pPr>
            <w:r w:rsidRPr="007765E3">
              <w:rPr>
                <w:sz w:val="20"/>
                <w:szCs w:val="20"/>
                <w:lang w:val="fr-CA"/>
              </w:rPr>
              <w:t>17 juin 2016</w:t>
            </w:r>
          </w:p>
          <w:p w:rsidR="00127038" w:rsidRPr="007765E3" w:rsidRDefault="00A30C1A" w:rsidP="00A30C1A">
            <w:pPr>
              <w:pStyle w:val="SCCShortJudgment"/>
              <w:ind w:firstLine="0"/>
              <w:rPr>
                <w:rFonts w:cs="Times New Roman"/>
                <w:szCs w:val="20"/>
                <w:u w:val="single"/>
                <w:lang w:val="fr-CA"/>
              </w:rPr>
            </w:pPr>
            <w:r w:rsidRPr="007765E3">
              <w:rPr>
                <w:szCs w:val="20"/>
                <w:lang w:val="fr-CA"/>
              </w:rPr>
              <w:t>Cour suprême du Canada</w:t>
            </w: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A30C1A" w:rsidP="00070F74">
            <w:pPr>
              <w:pStyle w:val="SCCShortJudgment"/>
              <w:ind w:firstLine="0"/>
              <w:rPr>
                <w:rFonts w:cs="Times New Roman"/>
                <w:szCs w:val="20"/>
                <w:u w:val="single"/>
                <w:lang w:val="fr-CA"/>
              </w:rPr>
            </w:pPr>
            <w:r w:rsidRPr="007765E3">
              <w:rPr>
                <w:szCs w:val="20"/>
                <w:lang w:val="fr-CA"/>
              </w:rPr>
              <w:t>Dépôt de la demande d’autorisation d’appel.</w:t>
            </w:r>
          </w:p>
        </w:tc>
      </w:tr>
    </w:tbl>
    <w:p w:rsidR="00127038" w:rsidRPr="007765E3" w:rsidRDefault="007765E3" w:rsidP="008D292F">
      <w:pPr>
        <w:rPr>
          <w:sz w:val="20"/>
          <w:szCs w:val="20"/>
          <w:lang w:val="fr-CA"/>
        </w:rPr>
      </w:pPr>
      <w:r w:rsidRPr="007765E3">
        <w:rPr>
          <w:rFonts w:cs="Times New Roman"/>
          <w:szCs w:val="20"/>
          <w:lang w:val="fr-CA"/>
        </w:rPr>
        <w:pict>
          <v:rect id="_x0000_i1059" style="width:2in;height:1pt" o:hrpct="0" o:hralign="center" o:hrstd="t" o:hrnoshade="t" o:hr="t" fillcolor="black [3213]" stroked="f"/>
        </w:pict>
      </w:r>
    </w:p>
    <w:p w:rsidR="00127038" w:rsidRPr="007765E3" w:rsidRDefault="0012703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37076</w:t>
            </w:r>
          </w:p>
          <w:p w:rsidR="00127038" w:rsidRPr="007765E3" w:rsidRDefault="00127038" w:rsidP="00070F74">
            <w:pPr>
              <w:jc w:val="both"/>
              <w:rPr>
                <w:rFonts w:cs="Times New Roman"/>
                <w:b/>
                <w:sz w:val="20"/>
                <w:szCs w:val="20"/>
              </w:rPr>
            </w:pPr>
          </w:p>
        </w:tc>
        <w:tc>
          <w:tcPr>
            <w:tcW w:w="8118" w:type="dxa"/>
            <w:gridSpan w:val="3"/>
          </w:tcPr>
          <w:p w:rsidR="00127038" w:rsidRPr="007765E3" w:rsidRDefault="00ED012E" w:rsidP="00070F74">
            <w:pPr>
              <w:jc w:val="both"/>
              <w:rPr>
                <w:rFonts w:cs="Times New Roman"/>
                <w:sz w:val="20"/>
                <w:szCs w:val="20"/>
              </w:rPr>
            </w:pPr>
            <w:r w:rsidRPr="007765E3">
              <w:rPr>
                <w:b/>
                <w:sz w:val="20"/>
                <w:szCs w:val="20"/>
                <w:u w:val="single"/>
              </w:rPr>
              <w:t>Elroy Ellis v. Ontario College of Teachers</w:t>
            </w:r>
            <w:r w:rsidRPr="007765E3">
              <w:rPr>
                <w:rFonts w:cs="Times New Roman"/>
                <w:sz w:val="20"/>
                <w:szCs w:val="20"/>
              </w:rPr>
              <w:t xml:space="preserve"> </w:t>
            </w:r>
            <w:r w:rsidR="00127038" w:rsidRPr="007765E3">
              <w:rPr>
                <w:rFonts w:cs="Times New Roman"/>
                <w:sz w:val="20"/>
                <w:szCs w:val="20"/>
              </w:rPr>
              <w:t>(Ont.) (Civil)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ED012E" w:rsidP="00070F74">
            <w:pPr>
              <w:jc w:val="both"/>
              <w:rPr>
                <w:rStyle w:val="SCCCoramChar"/>
                <w:sz w:val="20"/>
                <w:szCs w:val="20"/>
                <w:lang w:val="en-US"/>
              </w:rPr>
            </w:pPr>
            <w:proofErr w:type="spellStart"/>
            <w:r w:rsidRPr="007765E3">
              <w:rPr>
                <w:rStyle w:val="SCCCoramChar"/>
                <w:sz w:val="20"/>
                <w:szCs w:val="20"/>
                <w:lang w:val="en-US"/>
              </w:rPr>
              <w:t>Abella</w:t>
            </w:r>
            <w:proofErr w:type="spellEnd"/>
            <w:r w:rsidRPr="007765E3">
              <w:rPr>
                <w:rStyle w:val="SCCCoramChar"/>
                <w:sz w:val="20"/>
                <w:szCs w:val="20"/>
                <w:lang w:val="en-US"/>
              </w:rPr>
              <w:t xml:space="preserve">, </w:t>
            </w:r>
            <w:proofErr w:type="spellStart"/>
            <w:r w:rsidRPr="007765E3">
              <w:rPr>
                <w:rStyle w:val="SCCCoramChar"/>
                <w:sz w:val="20"/>
                <w:szCs w:val="20"/>
                <w:lang w:val="en-US"/>
              </w:rPr>
              <w:t>Karakatsanis</w:t>
            </w:r>
            <w:proofErr w:type="spellEnd"/>
            <w:r w:rsidRPr="007765E3">
              <w:rPr>
                <w:rStyle w:val="SCCCoramChar"/>
                <w:sz w:val="20"/>
                <w:szCs w:val="20"/>
                <w:lang w:val="en-US"/>
              </w:rPr>
              <w:t xml:space="preserve"> and Brown JJ.</w:t>
            </w:r>
          </w:p>
          <w:p w:rsidR="00ED012E" w:rsidRPr="007765E3" w:rsidRDefault="00ED012E" w:rsidP="00070F74">
            <w:pPr>
              <w:jc w:val="both"/>
              <w:rPr>
                <w:rFonts w:cs="Times New Roman"/>
                <w:sz w:val="20"/>
                <w:szCs w:val="20"/>
                <w:u w:val="single"/>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rPr>
            </w:pPr>
            <w:r w:rsidRPr="007765E3">
              <w:rPr>
                <w:rFonts w:cs="Times New Roman"/>
                <w:szCs w:val="20"/>
              </w:rPr>
              <w:tab/>
            </w:r>
            <w:r w:rsidR="00ED012E" w:rsidRPr="007765E3">
              <w:rPr>
                <w:szCs w:val="20"/>
              </w:rPr>
              <w:t>The application for leave to appeal from the judgment of the Court of Appeal for Ontario, Number M46295, dated April 27, 2016, is dismissed with costs.</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rFonts w:cs="Times New Roman"/>
                <w:szCs w:val="20"/>
                <w:lang w:val="fr-CA"/>
              </w:rPr>
            </w:pPr>
            <w:r w:rsidRPr="007765E3">
              <w:rPr>
                <w:rFonts w:cs="Times New Roman"/>
                <w:szCs w:val="20"/>
              </w:rPr>
              <w:tab/>
            </w:r>
            <w:r w:rsidR="00ED012E" w:rsidRPr="007765E3">
              <w:rPr>
                <w:szCs w:val="20"/>
                <w:lang w:val="fr-CA"/>
              </w:rPr>
              <w:t xml:space="preserve">La demande d’autorisation d’appel de l’arrêt de la </w:t>
            </w:r>
            <w:r w:rsidR="00ED012E" w:rsidRPr="007765E3">
              <w:rPr>
                <w:szCs w:val="20"/>
                <w:lang w:val="fr-FR"/>
              </w:rPr>
              <w:t>Cour d’appel de l’Ontario</w:t>
            </w:r>
            <w:r w:rsidR="00ED012E" w:rsidRPr="007765E3">
              <w:rPr>
                <w:szCs w:val="20"/>
                <w:lang w:val="fr-CA"/>
              </w:rPr>
              <w:t xml:space="preserve">, numéro </w:t>
            </w:r>
            <w:r w:rsidR="00ED012E" w:rsidRPr="007765E3">
              <w:rPr>
                <w:szCs w:val="20"/>
                <w:lang w:val="fr-FR"/>
              </w:rPr>
              <w:t>M46295</w:t>
            </w:r>
            <w:r w:rsidR="00ED012E" w:rsidRPr="007765E3">
              <w:rPr>
                <w:szCs w:val="20"/>
                <w:lang w:val="fr-CA"/>
              </w:rPr>
              <w:t xml:space="preserve">, daté du </w:t>
            </w:r>
            <w:r w:rsidR="00ED012E" w:rsidRPr="007765E3">
              <w:rPr>
                <w:szCs w:val="20"/>
                <w:lang w:val="fr-FR"/>
              </w:rPr>
              <w:t>27 avril 2016</w:t>
            </w:r>
            <w:r w:rsidR="00ED012E" w:rsidRPr="007765E3">
              <w:rPr>
                <w:szCs w:val="20"/>
                <w:lang w:val="fr-CA"/>
              </w:rPr>
              <w:t>, est rejetée avec dépens.</w: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ED012E" w:rsidP="00070F74">
            <w:pPr>
              <w:pStyle w:val="SCCShortJudgment"/>
              <w:ind w:firstLine="0"/>
              <w:rPr>
                <w:szCs w:val="20"/>
              </w:rPr>
            </w:pPr>
            <w:r w:rsidRPr="007765E3">
              <w:rPr>
                <w:i/>
                <w:szCs w:val="20"/>
              </w:rPr>
              <w:t>Charter of Rights and Freedoms</w:t>
            </w:r>
            <w:r w:rsidRPr="007765E3">
              <w:rPr>
                <w:szCs w:val="20"/>
              </w:rPr>
              <w:t xml:space="preserve"> </w:t>
            </w:r>
            <w:r w:rsidRPr="007765E3">
              <w:rPr>
                <w:color w:val="1F1F1F"/>
                <w:szCs w:val="20"/>
                <w:lang w:val="en-US"/>
              </w:rPr>
              <w:t>–</w:t>
            </w:r>
            <w:r w:rsidRPr="007765E3">
              <w:rPr>
                <w:szCs w:val="20"/>
              </w:rPr>
              <w:t xml:space="preserve"> Constitutional law </w:t>
            </w:r>
            <w:r w:rsidRPr="007765E3">
              <w:rPr>
                <w:color w:val="1F1F1F"/>
                <w:szCs w:val="20"/>
                <w:lang w:val="en-US"/>
              </w:rPr>
              <w:t>–</w:t>
            </w:r>
            <w:r w:rsidRPr="007765E3">
              <w:rPr>
                <w:szCs w:val="20"/>
              </w:rPr>
              <w:t xml:space="preserve"> Right to fair hearing </w:t>
            </w:r>
            <w:r w:rsidRPr="007765E3">
              <w:rPr>
                <w:color w:val="1F1F1F"/>
                <w:szCs w:val="20"/>
                <w:lang w:val="en-US"/>
              </w:rPr>
              <w:t>–</w:t>
            </w:r>
            <w:r w:rsidRPr="007765E3">
              <w:rPr>
                <w:szCs w:val="20"/>
              </w:rPr>
              <w:t xml:space="preserve"> Procedural fairness </w:t>
            </w:r>
            <w:r w:rsidRPr="007765E3">
              <w:rPr>
                <w:color w:val="1F1F1F"/>
                <w:szCs w:val="20"/>
                <w:lang w:val="en-US"/>
              </w:rPr>
              <w:t>–</w:t>
            </w:r>
            <w:r w:rsidRPr="007765E3">
              <w:rPr>
                <w:szCs w:val="20"/>
              </w:rPr>
              <w:t xml:space="preserve"> Appeals </w:t>
            </w:r>
            <w:r w:rsidRPr="007765E3">
              <w:rPr>
                <w:color w:val="1F1F1F"/>
                <w:szCs w:val="20"/>
                <w:lang w:val="en-US"/>
              </w:rPr>
              <w:t>–</w:t>
            </w:r>
            <w:r w:rsidRPr="007765E3">
              <w:rPr>
                <w:szCs w:val="20"/>
              </w:rPr>
              <w:t xml:space="preserve"> Superior Court of Justice dismissing applicant’s appeal of College’s decision finding him unfit to teach </w:t>
            </w:r>
            <w:r w:rsidRPr="007765E3">
              <w:rPr>
                <w:color w:val="1F1F1F"/>
                <w:szCs w:val="20"/>
                <w:lang w:val="en-US"/>
              </w:rPr>
              <w:t>–</w:t>
            </w:r>
            <w:r w:rsidRPr="007765E3">
              <w:rPr>
                <w:szCs w:val="20"/>
              </w:rPr>
              <w:t xml:space="preserve"> Court of Appeal dismissing motion for extension of time to file motion for leave to appeal Superior Court order </w:t>
            </w:r>
            <w:r w:rsidRPr="007765E3">
              <w:rPr>
                <w:color w:val="1F1F1F"/>
                <w:szCs w:val="20"/>
                <w:lang w:val="en-US"/>
              </w:rPr>
              <w:t>–</w:t>
            </w:r>
            <w:r w:rsidRPr="007765E3">
              <w:rPr>
                <w:szCs w:val="20"/>
              </w:rPr>
              <w:t xml:space="preserve"> Whether the lower courts erred in their reasoning and decisions.</w:t>
            </w:r>
          </w:p>
          <w:p w:rsidR="00ED012E" w:rsidRPr="007765E3" w:rsidRDefault="00ED012E" w:rsidP="00070F74">
            <w:pPr>
              <w:pStyle w:val="SCCShortJudgment"/>
              <w:ind w:firstLine="0"/>
              <w:rPr>
                <w:rFonts w:cs="Times New Roman"/>
                <w:szCs w:val="20"/>
              </w:rPr>
            </w:pPr>
          </w:p>
        </w:tc>
      </w:tr>
      <w:tr w:rsidR="00127038" w:rsidRPr="007765E3" w:rsidTr="00070F74">
        <w:trPr>
          <w:cantSplit/>
        </w:trPr>
        <w:tc>
          <w:tcPr>
            <w:tcW w:w="9576" w:type="dxa"/>
            <w:gridSpan w:val="4"/>
          </w:tcPr>
          <w:p w:rsidR="00127038" w:rsidRPr="007765E3" w:rsidRDefault="00ED012E" w:rsidP="00070F74">
            <w:pPr>
              <w:pStyle w:val="SCCShortJudgment"/>
              <w:ind w:firstLine="0"/>
              <w:rPr>
                <w:szCs w:val="20"/>
              </w:rPr>
            </w:pPr>
            <w:r w:rsidRPr="007765E3">
              <w:rPr>
                <w:szCs w:val="20"/>
              </w:rPr>
              <w:t>Starting in 2005, the applicant’s behaviour began to concern the school where he worked, the School Board and eventually the Ontario College of Teachers. Among other things, he made a series of complaints to the Board that students were being abused at the school and that officials at the school were seeking to cover up indictable offences. However, when pressed for basic details on the alleged incidents, he refused to provide identifying information or respond to questions not in writing. The applicant was reprimanded for failing to comply with his legal obligation to report such matters and was suspended. The College was notified about the suspension and after investigation ordered the matter be referred to the Fitness to Practice Committee.</w:t>
            </w:r>
          </w:p>
          <w:p w:rsidR="00ED012E" w:rsidRPr="007765E3" w:rsidRDefault="00ED012E" w:rsidP="00070F74">
            <w:pPr>
              <w:pStyle w:val="SCCShortJudgment"/>
              <w:ind w:firstLine="0"/>
              <w:rPr>
                <w:rFonts w:cs="Times New Roman"/>
                <w:szCs w:val="20"/>
              </w:rPr>
            </w:pPr>
          </w:p>
        </w:tc>
      </w:tr>
      <w:tr w:rsidR="00127038" w:rsidRPr="007765E3" w:rsidTr="00070F74">
        <w:trPr>
          <w:cantSplit/>
        </w:trPr>
        <w:tc>
          <w:tcPr>
            <w:tcW w:w="9576" w:type="dxa"/>
            <w:gridSpan w:val="4"/>
          </w:tcPr>
          <w:p w:rsidR="00127038" w:rsidRPr="007765E3" w:rsidRDefault="00ED012E" w:rsidP="00070F74">
            <w:pPr>
              <w:pStyle w:val="SCCShortJudgment"/>
              <w:ind w:firstLine="0"/>
              <w:rPr>
                <w:szCs w:val="20"/>
              </w:rPr>
            </w:pPr>
            <w:r w:rsidRPr="007765E3">
              <w:rPr>
                <w:szCs w:val="20"/>
              </w:rPr>
              <w:t xml:space="preserve">The Fitness to Practice Committee found the applicant was incapacitated under the </w:t>
            </w:r>
            <w:r w:rsidRPr="007765E3">
              <w:rPr>
                <w:i/>
                <w:szCs w:val="20"/>
              </w:rPr>
              <w:t>Ontario College of Teachers Act</w:t>
            </w:r>
            <w:r w:rsidRPr="007765E3">
              <w:rPr>
                <w:szCs w:val="20"/>
              </w:rPr>
              <w:t>. It concluded the applicant was unfit to carry out his professional responsibilities and revoked his certificate. The applicant appealed this decision. The Ontario Superior Court dismissed the appeal on June 30, 2011. After a lengthy delay, the applicant brought a motion for an extension of time to the Court of Appeal for leave to appeal the Superior Court decision. The Court of Appeal dismissed the motion on April 27, 2016.</w:t>
            </w:r>
          </w:p>
          <w:p w:rsidR="00ED012E" w:rsidRPr="007765E3" w:rsidRDefault="00ED012E" w:rsidP="00070F74">
            <w:pPr>
              <w:pStyle w:val="SCCShortJudgment"/>
              <w:ind w:firstLine="0"/>
              <w:rPr>
                <w:rFonts w:cs="Times New Roman"/>
                <w:szCs w:val="20"/>
              </w:rPr>
            </w:pPr>
          </w:p>
        </w:tc>
      </w:tr>
      <w:tr w:rsidR="00127038" w:rsidRPr="007765E3" w:rsidTr="00070F74">
        <w:trPr>
          <w:cantSplit/>
        </w:trPr>
        <w:tc>
          <w:tcPr>
            <w:tcW w:w="4410" w:type="dxa"/>
            <w:gridSpan w:val="2"/>
          </w:tcPr>
          <w:p w:rsidR="00ED012E" w:rsidRPr="007765E3" w:rsidRDefault="00ED012E" w:rsidP="00ED012E">
            <w:pPr>
              <w:rPr>
                <w:sz w:val="20"/>
                <w:szCs w:val="20"/>
              </w:rPr>
            </w:pPr>
            <w:r w:rsidRPr="007765E3">
              <w:rPr>
                <w:sz w:val="20"/>
                <w:szCs w:val="20"/>
              </w:rPr>
              <w:lastRenderedPageBreak/>
              <w:t>July 30, 2010</w:t>
            </w:r>
          </w:p>
          <w:p w:rsidR="00ED012E" w:rsidRPr="007765E3" w:rsidRDefault="00ED012E" w:rsidP="00ED012E">
            <w:pPr>
              <w:rPr>
                <w:sz w:val="20"/>
                <w:szCs w:val="20"/>
              </w:rPr>
            </w:pPr>
            <w:r w:rsidRPr="007765E3">
              <w:rPr>
                <w:sz w:val="20"/>
                <w:szCs w:val="20"/>
              </w:rPr>
              <w:t>Fitness to Practice Committee of the Ontario College of Teachers</w:t>
            </w:r>
          </w:p>
          <w:p w:rsidR="00ED012E" w:rsidRPr="007765E3" w:rsidRDefault="00ED012E" w:rsidP="00ED012E">
            <w:pPr>
              <w:rPr>
                <w:sz w:val="20"/>
                <w:szCs w:val="20"/>
              </w:rPr>
            </w:pPr>
            <w:r w:rsidRPr="007765E3">
              <w:rPr>
                <w:sz w:val="20"/>
                <w:szCs w:val="20"/>
              </w:rPr>
              <w:t>(Weinberger, H., Chair)</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ED012E" w:rsidRPr="007765E3" w:rsidRDefault="00ED012E" w:rsidP="00ED012E">
            <w:pPr>
              <w:jc w:val="both"/>
              <w:rPr>
                <w:sz w:val="20"/>
                <w:szCs w:val="20"/>
              </w:rPr>
            </w:pPr>
            <w:r w:rsidRPr="007765E3">
              <w:rPr>
                <w:sz w:val="20"/>
                <w:szCs w:val="20"/>
              </w:rPr>
              <w:t xml:space="preserve">Finding of incapacity, as defined in s. 31(2) of </w:t>
            </w:r>
            <w:r w:rsidRPr="007765E3">
              <w:rPr>
                <w:i/>
                <w:sz w:val="20"/>
                <w:szCs w:val="20"/>
              </w:rPr>
              <w:t>Ontario College of Teachers Act</w:t>
            </w:r>
            <w:r w:rsidRPr="007765E3">
              <w:rPr>
                <w:sz w:val="20"/>
                <w:szCs w:val="20"/>
              </w:rPr>
              <w:t>. Member’s certificate of qualification and registration revoked.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ED012E" w:rsidRPr="007765E3" w:rsidRDefault="00ED012E" w:rsidP="00ED012E">
            <w:pPr>
              <w:rPr>
                <w:sz w:val="20"/>
                <w:szCs w:val="20"/>
              </w:rPr>
            </w:pPr>
            <w:r w:rsidRPr="007765E3">
              <w:rPr>
                <w:sz w:val="20"/>
                <w:szCs w:val="20"/>
              </w:rPr>
              <w:t>June 30, 2011</w:t>
            </w:r>
          </w:p>
          <w:p w:rsidR="00ED012E" w:rsidRPr="007765E3" w:rsidRDefault="00ED012E" w:rsidP="00ED012E">
            <w:pPr>
              <w:rPr>
                <w:sz w:val="20"/>
                <w:szCs w:val="20"/>
              </w:rPr>
            </w:pPr>
            <w:r w:rsidRPr="007765E3">
              <w:rPr>
                <w:sz w:val="20"/>
                <w:szCs w:val="20"/>
              </w:rPr>
              <w:t>Ontario Superior Court of Justice</w:t>
            </w:r>
          </w:p>
          <w:p w:rsidR="00ED012E" w:rsidRPr="007765E3" w:rsidRDefault="00ED012E" w:rsidP="00ED012E">
            <w:pPr>
              <w:rPr>
                <w:sz w:val="20"/>
                <w:szCs w:val="20"/>
              </w:rPr>
            </w:pPr>
            <w:r w:rsidRPr="007765E3">
              <w:rPr>
                <w:sz w:val="20"/>
                <w:szCs w:val="20"/>
              </w:rPr>
              <w:t>(Cunningham A.C.J. and Thomas and Ferrier JJ.A.)</w:t>
            </w:r>
          </w:p>
          <w:p w:rsidR="00ED012E" w:rsidRPr="007765E3" w:rsidRDefault="007765E3" w:rsidP="00ED012E">
            <w:pPr>
              <w:rPr>
                <w:sz w:val="20"/>
                <w:szCs w:val="20"/>
              </w:rPr>
            </w:pPr>
            <w:hyperlink r:id="rId50" w:history="1">
              <w:r w:rsidR="00ED012E" w:rsidRPr="007765E3">
                <w:rPr>
                  <w:rStyle w:val="Hyperlink"/>
                  <w:sz w:val="20"/>
                  <w:szCs w:val="20"/>
                </w:rPr>
                <w:t>2011 ONSC 4134</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ED012E" w:rsidRPr="007765E3" w:rsidRDefault="00ED012E" w:rsidP="00ED012E">
            <w:pPr>
              <w:rPr>
                <w:sz w:val="20"/>
                <w:szCs w:val="20"/>
              </w:rPr>
            </w:pPr>
            <w:r w:rsidRPr="007765E3">
              <w:rPr>
                <w:sz w:val="20"/>
                <w:szCs w:val="20"/>
              </w:rPr>
              <w:t>Appeal dismissed.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ED012E" w:rsidRPr="007765E3" w:rsidRDefault="00ED012E" w:rsidP="00ED012E">
            <w:pPr>
              <w:rPr>
                <w:sz w:val="20"/>
                <w:szCs w:val="20"/>
              </w:rPr>
            </w:pPr>
            <w:r w:rsidRPr="007765E3">
              <w:rPr>
                <w:sz w:val="20"/>
                <w:szCs w:val="20"/>
              </w:rPr>
              <w:t>April 27, 2016</w:t>
            </w:r>
          </w:p>
          <w:p w:rsidR="00ED012E" w:rsidRPr="007765E3" w:rsidRDefault="00ED012E" w:rsidP="00ED012E">
            <w:pPr>
              <w:rPr>
                <w:sz w:val="20"/>
                <w:szCs w:val="20"/>
              </w:rPr>
            </w:pPr>
            <w:r w:rsidRPr="007765E3">
              <w:rPr>
                <w:sz w:val="20"/>
                <w:szCs w:val="20"/>
              </w:rPr>
              <w:t>Court of Appeal for Ontario</w:t>
            </w:r>
          </w:p>
          <w:p w:rsidR="00ED012E" w:rsidRPr="007765E3" w:rsidRDefault="00ED012E" w:rsidP="00ED012E">
            <w:pPr>
              <w:rPr>
                <w:sz w:val="20"/>
                <w:szCs w:val="20"/>
              </w:rPr>
            </w:pPr>
            <w:r w:rsidRPr="007765E3">
              <w:rPr>
                <w:sz w:val="20"/>
                <w:szCs w:val="20"/>
              </w:rPr>
              <w:t>(Hourigan J.A.)</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ED012E" w:rsidRPr="007765E3" w:rsidRDefault="00ED012E" w:rsidP="00ED012E">
            <w:pPr>
              <w:rPr>
                <w:rFonts w:eastAsia="Times New Roman" w:cs="Times New Roman"/>
                <w:sz w:val="20"/>
                <w:szCs w:val="20"/>
                <w:lang w:eastAsia="en-CA"/>
              </w:rPr>
            </w:pPr>
            <w:r w:rsidRPr="007765E3">
              <w:rPr>
                <w:rFonts w:eastAsia="Times New Roman" w:cs="Times New Roman"/>
                <w:sz w:val="20"/>
                <w:szCs w:val="20"/>
                <w:lang w:eastAsia="en-CA"/>
              </w:rPr>
              <w:t>Motion for an extension of time dismissed.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ED012E" w:rsidRPr="007765E3" w:rsidRDefault="00ED012E" w:rsidP="00ED012E">
            <w:pPr>
              <w:rPr>
                <w:sz w:val="20"/>
                <w:szCs w:val="20"/>
              </w:rPr>
            </w:pPr>
            <w:r w:rsidRPr="007765E3">
              <w:rPr>
                <w:sz w:val="20"/>
                <w:szCs w:val="20"/>
              </w:rPr>
              <w:t>June 16, 2016</w:t>
            </w:r>
          </w:p>
          <w:p w:rsidR="00127038" w:rsidRPr="007765E3" w:rsidRDefault="00ED012E" w:rsidP="00ED012E">
            <w:pPr>
              <w:jc w:val="both"/>
              <w:rPr>
                <w:rFonts w:cs="Times New Roman"/>
                <w:sz w:val="20"/>
                <w:szCs w:val="20"/>
              </w:rPr>
            </w:pPr>
            <w:r w:rsidRPr="007765E3">
              <w:rPr>
                <w:sz w:val="20"/>
                <w:szCs w:val="20"/>
              </w:rPr>
              <w:t>Supreme Court of Canada</w:t>
            </w:r>
          </w:p>
        </w:tc>
        <w:tc>
          <w:tcPr>
            <w:tcW w:w="630" w:type="dxa"/>
          </w:tcPr>
          <w:p w:rsidR="00127038" w:rsidRPr="007765E3" w:rsidRDefault="00127038" w:rsidP="00070F74">
            <w:pPr>
              <w:jc w:val="both"/>
              <w:rPr>
                <w:rFonts w:cs="Times New Roman"/>
                <w:sz w:val="20"/>
                <w:szCs w:val="20"/>
              </w:rPr>
            </w:pPr>
          </w:p>
        </w:tc>
        <w:tc>
          <w:tcPr>
            <w:tcW w:w="4536" w:type="dxa"/>
          </w:tcPr>
          <w:p w:rsidR="00127038" w:rsidRPr="007765E3" w:rsidRDefault="00ED012E" w:rsidP="00070F74">
            <w:pPr>
              <w:jc w:val="both"/>
              <w:rPr>
                <w:rFonts w:cs="Times New Roman"/>
                <w:sz w:val="20"/>
                <w:szCs w:val="20"/>
              </w:rPr>
            </w:pPr>
            <w:r w:rsidRPr="007765E3">
              <w:rPr>
                <w:sz w:val="20"/>
                <w:szCs w:val="20"/>
              </w:rPr>
              <w:t>Application for leave to appeal filed.</w:t>
            </w: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60"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ED012E" w:rsidP="00070F74">
            <w:pPr>
              <w:pStyle w:val="SCCShortJudgment"/>
              <w:ind w:firstLine="0"/>
              <w:rPr>
                <w:szCs w:val="20"/>
                <w:lang w:val="fr-CA"/>
              </w:rPr>
            </w:pPr>
            <w:r w:rsidRPr="007765E3">
              <w:rPr>
                <w:i/>
                <w:szCs w:val="20"/>
                <w:lang w:val="fr-CA"/>
              </w:rPr>
              <w:t xml:space="preserve">Charte des droits et libertés </w:t>
            </w:r>
            <w:r w:rsidRPr="007765E3">
              <w:rPr>
                <w:color w:val="1F1F1F"/>
                <w:szCs w:val="20"/>
                <w:lang w:val="fr-CA"/>
              </w:rPr>
              <w:t>–</w:t>
            </w:r>
            <w:r w:rsidRPr="007765E3">
              <w:rPr>
                <w:szCs w:val="20"/>
                <w:lang w:val="fr-CA"/>
              </w:rPr>
              <w:t xml:space="preserve"> Droit constitutionnel </w:t>
            </w:r>
            <w:r w:rsidRPr="007765E3">
              <w:rPr>
                <w:color w:val="1F1F1F"/>
                <w:szCs w:val="20"/>
                <w:lang w:val="fr-CA"/>
              </w:rPr>
              <w:t>–</w:t>
            </w:r>
            <w:r w:rsidRPr="007765E3">
              <w:rPr>
                <w:szCs w:val="20"/>
                <w:lang w:val="fr-CA"/>
              </w:rPr>
              <w:t xml:space="preserve"> Droit à un procès équitable </w:t>
            </w:r>
            <w:r w:rsidRPr="007765E3">
              <w:rPr>
                <w:color w:val="1F1F1F"/>
                <w:szCs w:val="20"/>
                <w:lang w:val="fr-CA"/>
              </w:rPr>
              <w:t>–</w:t>
            </w:r>
            <w:r w:rsidRPr="007765E3">
              <w:rPr>
                <w:szCs w:val="20"/>
                <w:lang w:val="fr-CA"/>
              </w:rPr>
              <w:t xml:space="preserve"> Équité procédurale </w:t>
            </w:r>
            <w:r w:rsidRPr="007765E3">
              <w:rPr>
                <w:color w:val="1F1F1F"/>
                <w:szCs w:val="20"/>
                <w:lang w:val="fr-CA"/>
              </w:rPr>
              <w:t>–</w:t>
            </w:r>
            <w:r w:rsidRPr="007765E3">
              <w:rPr>
                <w:szCs w:val="20"/>
                <w:lang w:val="fr-CA"/>
              </w:rPr>
              <w:t xml:space="preserve"> Appels </w:t>
            </w:r>
            <w:r w:rsidRPr="007765E3">
              <w:rPr>
                <w:color w:val="1F1F1F"/>
                <w:szCs w:val="20"/>
                <w:lang w:val="fr-CA"/>
              </w:rPr>
              <w:t>–</w:t>
            </w:r>
            <w:r w:rsidRPr="007765E3">
              <w:rPr>
                <w:szCs w:val="20"/>
                <w:lang w:val="fr-CA"/>
              </w:rPr>
              <w:t xml:space="preserve"> Rejet par la Cour supérieure de justice de l’appel interjeté par le demandeur d’une décision de l’Ordre l’ayant déclaré inapte à enseigner </w:t>
            </w:r>
            <w:r w:rsidRPr="007765E3">
              <w:rPr>
                <w:color w:val="1F1F1F"/>
                <w:szCs w:val="20"/>
                <w:lang w:val="fr-CA"/>
              </w:rPr>
              <w:t>–</w:t>
            </w:r>
            <w:r w:rsidRPr="007765E3">
              <w:rPr>
                <w:szCs w:val="20"/>
                <w:lang w:val="fr-CA"/>
              </w:rPr>
              <w:t xml:space="preserve"> Rejet par la Cour d’appel d’une motion en prorogation du délai pour déposer une demande d’autorisation d’appel de l’ordonnance de la Cour supérieure </w:t>
            </w:r>
            <w:r w:rsidRPr="007765E3">
              <w:rPr>
                <w:color w:val="1F1F1F"/>
                <w:szCs w:val="20"/>
                <w:lang w:val="fr-CA"/>
              </w:rPr>
              <w:t>–</w:t>
            </w:r>
            <w:r w:rsidRPr="007765E3">
              <w:rPr>
                <w:szCs w:val="20"/>
                <w:lang w:val="fr-CA"/>
              </w:rPr>
              <w:t xml:space="preserve"> Les raisonnements et décisions des cours d’instance inférieure sont-ils erronés?</w:t>
            </w:r>
          </w:p>
          <w:p w:rsidR="00ED012E" w:rsidRPr="007765E3" w:rsidRDefault="00ED012E"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127038" w:rsidRPr="007765E3" w:rsidRDefault="00ED012E" w:rsidP="00070F74">
            <w:pPr>
              <w:jc w:val="both"/>
              <w:rPr>
                <w:sz w:val="20"/>
                <w:szCs w:val="20"/>
                <w:lang w:val="fr-CA"/>
              </w:rPr>
            </w:pPr>
            <w:r w:rsidRPr="007765E3">
              <w:rPr>
                <w:sz w:val="20"/>
                <w:szCs w:val="20"/>
                <w:lang w:val="fr-CA"/>
              </w:rPr>
              <w:t xml:space="preserve">En 2005, le comportement du demandeur a commencé à inquiéter la direction de l’école où il enseignait, puis le conseil scolaire et l’Ordre des enseignantes et des enseignants de l’Ontario. Entre autres, il avait présenté des plaintes au conseil scolaire selon lesquelles des élèves subissaient des mauvais traitements à l’école, et la direction de l’école cherchait à taire des actes criminels. Or, quand on lui a demandé de fournir des détails élémentaires sur les incidents auxquels il faisait allusion, il a refusé de fournir des renseignements précis et de répondre à toute question qui ne lui était pas soumise par écrit. Le demandeur a reçu une réprimande pour avoir manqué à son obligation de signaler de tels incidents et a été suspendu. L’Ordre a été avisé de la suspension et a renvoyé l’affaire au Comité d’aptitude professionnelle après la tenue de l’enquête.       </w:t>
            </w:r>
          </w:p>
          <w:p w:rsidR="00ED012E" w:rsidRPr="007765E3" w:rsidRDefault="00ED012E" w:rsidP="00070F74">
            <w:pPr>
              <w:jc w:val="both"/>
              <w:rPr>
                <w:rFonts w:cs="Times New Roman"/>
                <w:sz w:val="20"/>
                <w:szCs w:val="20"/>
                <w:u w:val="single"/>
                <w:lang w:val="fr-CA"/>
              </w:rPr>
            </w:pPr>
          </w:p>
        </w:tc>
      </w:tr>
      <w:tr w:rsidR="00127038" w:rsidRPr="007765E3" w:rsidTr="00070F74">
        <w:trPr>
          <w:cantSplit/>
        </w:trPr>
        <w:tc>
          <w:tcPr>
            <w:tcW w:w="9576" w:type="dxa"/>
            <w:gridSpan w:val="4"/>
          </w:tcPr>
          <w:p w:rsidR="00ED012E" w:rsidRPr="007765E3" w:rsidRDefault="00ED012E" w:rsidP="00ED012E">
            <w:pPr>
              <w:ind w:left="-120" w:right="-120"/>
              <w:jc w:val="both"/>
              <w:rPr>
                <w:sz w:val="20"/>
                <w:szCs w:val="20"/>
                <w:lang w:val="fr-CA"/>
              </w:rPr>
            </w:pPr>
            <w:r w:rsidRPr="007765E3">
              <w:rPr>
                <w:sz w:val="20"/>
                <w:szCs w:val="20"/>
                <w:lang w:val="fr-CA"/>
              </w:rPr>
              <w:t xml:space="preserve">Le comité d’aptitude professionnelle a conclu que le demandeur était frappé d’incapacité au sens où il faut l’entendre pour l’application de la </w:t>
            </w:r>
            <w:r w:rsidRPr="007765E3">
              <w:rPr>
                <w:i/>
                <w:sz w:val="20"/>
                <w:szCs w:val="20"/>
                <w:lang w:val="fr-CA"/>
              </w:rPr>
              <w:t>Loi sur l’Ordre des enseignantes et des enseignants de l’Ontario</w:t>
            </w:r>
            <w:r w:rsidRPr="007765E3">
              <w:rPr>
                <w:sz w:val="20"/>
                <w:szCs w:val="20"/>
                <w:lang w:val="fr-CA"/>
              </w:rPr>
              <w:t>. Selon le comité, le demandeur était inapte à s’acquitter de ses responsabilités professionnelles, et le comité a révoqué son certificat. Le demandeur a interjeté appel de la décision. La Cour supérieure de justice de l’Ontario a rejeté l’appel le 30 juin 2011. À l’issue d’une longue période, le demandeur a présenté une motion en prorogation du délai pour demander l’autorisation à la Cour d’appel d’en appeler de la décision de la Cour supérieure. La Cour d’appel a rejeté la motion le 27 avril 2016.</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ED012E" w:rsidRPr="007765E3" w:rsidRDefault="00ED012E" w:rsidP="00ED012E">
            <w:pPr>
              <w:rPr>
                <w:sz w:val="20"/>
                <w:szCs w:val="20"/>
                <w:lang w:val="fr-CA"/>
              </w:rPr>
            </w:pPr>
            <w:r w:rsidRPr="007765E3">
              <w:rPr>
                <w:sz w:val="20"/>
                <w:szCs w:val="20"/>
                <w:lang w:val="fr-CA"/>
              </w:rPr>
              <w:t>Le 30 juillet 2010</w:t>
            </w:r>
          </w:p>
          <w:p w:rsidR="00ED012E" w:rsidRPr="007765E3" w:rsidRDefault="00ED012E" w:rsidP="00ED012E">
            <w:pPr>
              <w:rPr>
                <w:sz w:val="20"/>
                <w:szCs w:val="20"/>
                <w:lang w:val="fr-CA"/>
              </w:rPr>
            </w:pPr>
            <w:r w:rsidRPr="007765E3">
              <w:rPr>
                <w:sz w:val="20"/>
                <w:szCs w:val="20"/>
                <w:lang w:val="fr-CA"/>
              </w:rPr>
              <w:t>Comité d’aptitude professionnelle de l’Ordre des enseignantes et des enseignants de l’Ontario</w:t>
            </w:r>
          </w:p>
          <w:p w:rsidR="00ED012E" w:rsidRPr="007765E3" w:rsidRDefault="00ED012E" w:rsidP="00ED012E">
            <w:pPr>
              <w:rPr>
                <w:sz w:val="20"/>
                <w:szCs w:val="20"/>
                <w:lang w:val="fr-CA"/>
              </w:rPr>
            </w:pPr>
            <w:r w:rsidRPr="007765E3">
              <w:rPr>
                <w:sz w:val="20"/>
                <w:szCs w:val="20"/>
                <w:lang w:val="fr-CA"/>
              </w:rPr>
              <w:t>(</w:t>
            </w:r>
            <w:proofErr w:type="spellStart"/>
            <w:r w:rsidRPr="007765E3">
              <w:rPr>
                <w:sz w:val="20"/>
                <w:szCs w:val="20"/>
                <w:lang w:val="fr-CA"/>
              </w:rPr>
              <w:t>Weinberger</w:t>
            </w:r>
            <w:proofErr w:type="spellEnd"/>
            <w:r w:rsidRPr="007765E3">
              <w:rPr>
                <w:sz w:val="20"/>
                <w:szCs w:val="20"/>
                <w:lang w:val="fr-CA"/>
              </w:rPr>
              <w:t>, H., présidence)</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ED012E" w:rsidRPr="007765E3" w:rsidRDefault="00ED012E" w:rsidP="00ED012E">
            <w:pPr>
              <w:jc w:val="both"/>
              <w:rPr>
                <w:sz w:val="20"/>
                <w:szCs w:val="20"/>
                <w:lang w:val="fr-CA"/>
              </w:rPr>
            </w:pPr>
            <w:r w:rsidRPr="007765E3">
              <w:rPr>
                <w:sz w:val="20"/>
                <w:szCs w:val="20"/>
                <w:lang w:val="fr-CA"/>
              </w:rPr>
              <w:t xml:space="preserve">Déclaration d’incapacité, au sens du par. 31(2) de la </w:t>
            </w:r>
            <w:r w:rsidRPr="007765E3">
              <w:rPr>
                <w:i/>
                <w:sz w:val="20"/>
                <w:szCs w:val="20"/>
                <w:lang w:val="fr-CA"/>
              </w:rPr>
              <w:t>Loi sur l’Ordre des enseignantes et des enseignants de l’Ontario</w:t>
            </w:r>
            <w:r w:rsidRPr="007765E3">
              <w:rPr>
                <w:sz w:val="20"/>
                <w:szCs w:val="20"/>
                <w:lang w:val="fr-CA"/>
              </w:rPr>
              <w:t>. Révocation du certificat de qualification du membre.</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ED012E" w:rsidRPr="007765E3" w:rsidRDefault="00ED012E" w:rsidP="00ED012E">
            <w:pPr>
              <w:rPr>
                <w:sz w:val="20"/>
                <w:szCs w:val="20"/>
                <w:lang w:val="fr-CA"/>
              </w:rPr>
            </w:pPr>
            <w:r w:rsidRPr="007765E3">
              <w:rPr>
                <w:sz w:val="20"/>
                <w:szCs w:val="20"/>
                <w:lang w:val="fr-CA"/>
              </w:rPr>
              <w:lastRenderedPageBreak/>
              <w:t>Le 30 juin 2011</w:t>
            </w:r>
          </w:p>
          <w:p w:rsidR="00ED012E" w:rsidRPr="007765E3" w:rsidRDefault="00ED012E" w:rsidP="00ED012E">
            <w:pPr>
              <w:rPr>
                <w:sz w:val="20"/>
                <w:szCs w:val="20"/>
                <w:lang w:val="fr-CA"/>
              </w:rPr>
            </w:pPr>
            <w:r w:rsidRPr="007765E3">
              <w:rPr>
                <w:sz w:val="20"/>
                <w:szCs w:val="20"/>
                <w:lang w:val="fr-CA"/>
              </w:rPr>
              <w:t xml:space="preserve">Cour supérieure de justice de l’Ontario </w:t>
            </w:r>
          </w:p>
          <w:p w:rsidR="00ED012E" w:rsidRPr="007765E3" w:rsidRDefault="00ED012E" w:rsidP="00ED012E">
            <w:pPr>
              <w:rPr>
                <w:sz w:val="20"/>
                <w:szCs w:val="20"/>
                <w:lang w:val="fr-CA"/>
              </w:rPr>
            </w:pPr>
            <w:r w:rsidRPr="007765E3">
              <w:rPr>
                <w:sz w:val="20"/>
                <w:szCs w:val="20"/>
                <w:lang w:val="fr-CA"/>
              </w:rPr>
              <w:t>(Juge en chef adjoint Cunningham et juges Thomas et Ferrier)</w:t>
            </w:r>
          </w:p>
          <w:p w:rsidR="00ED012E" w:rsidRPr="007765E3" w:rsidRDefault="007765E3" w:rsidP="00ED012E">
            <w:pPr>
              <w:rPr>
                <w:sz w:val="20"/>
                <w:szCs w:val="20"/>
                <w:lang w:val="fr-CA"/>
              </w:rPr>
            </w:pPr>
            <w:hyperlink r:id="rId51" w:history="1">
              <w:r w:rsidR="00ED012E" w:rsidRPr="007765E3">
                <w:rPr>
                  <w:rStyle w:val="Hyperlink"/>
                  <w:sz w:val="20"/>
                  <w:szCs w:val="20"/>
                  <w:lang w:val="fr-CA"/>
                </w:rPr>
                <w:t>2011 ONSC 4134</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ED012E" w:rsidRPr="007765E3" w:rsidRDefault="00ED012E" w:rsidP="00ED012E">
            <w:pPr>
              <w:rPr>
                <w:sz w:val="20"/>
                <w:szCs w:val="20"/>
                <w:lang w:val="fr-CA"/>
              </w:rPr>
            </w:pPr>
            <w:r w:rsidRPr="007765E3">
              <w:rPr>
                <w:sz w:val="20"/>
                <w:szCs w:val="20"/>
                <w:lang w:val="fr-CA"/>
              </w:rPr>
              <w:t>Rejet de l’appel.</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ED012E" w:rsidRPr="007765E3" w:rsidRDefault="00ED012E" w:rsidP="00ED012E">
            <w:pPr>
              <w:rPr>
                <w:sz w:val="20"/>
                <w:szCs w:val="20"/>
                <w:lang w:val="fr-CA"/>
              </w:rPr>
            </w:pPr>
            <w:r w:rsidRPr="007765E3">
              <w:rPr>
                <w:sz w:val="20"/>
                <w:szCs w:val="20"/>
                <w:lang w:val="fr-CA"/>
              </w:rPr>
              <w:t>Le 27 avril 2016</w:t>
            </w:r>
          </w:p>
          <w:p w:rsidR="00ED012E" w:rsidRPr="007765E3" w:rsidRDefault="00ED012E" w:rsidP="00ED012E">
            <w:pPr>
              <w:rPr>
                <w:sz w:val="20"/>
                <w:szCs w:val="20"/>
                <w:lang w:val="fr-CA"/>
              </w:rPr>
            </w:pPr>
            <w:r w:rsidRPr="007765E3">
              <w:rPr>
                <w:sz w:val="20"/>
                <w:szCs w:val="20"/>
                <w:lang w:val="fr-CA"/>
              </w:rPr>
              <w:t>Cour d’appel de l’Ontario</w:t>
            </w:r>
          </w:p>
          <w:p w:rsidR="00ED012E" w:rsidRPr="007765E3" w:rsidRDefault="00ED012E" w:rsidP="00ED012E">
            <w:pPr>
              <w:rPr>
                <w:sz w:val="20"/>
                <w:szCs w:val="20"/>
                <w:lang w:val="fr-CA"/>
              </w:rPr>
            </w:pPr>
            <w:r w:rsidRPr="007765E3">
              <w:rPr>
                <w:sz w:val="20"/>
                <w:szCs w:val="20"/>
                <w:lang w:val="fr-CA"/>
              </w:rPr>
              <w:t xml:space="preserve">(Juge </w:t>
            </w:r>
            <w:proofErr w:type="spellStart"/>
            <w:r w:rsidRPr="007765E3">
              <w:rPr>
                <w:sz w:val="20"/>
                <w:szCs w:val="20"/>
                <w:lang w:val="fr-CA"/>
              </w:rPr>
              <w:t>Hourigan</w:t>
            </w:r>
            <w:proofErr w:type="spellEnd"/>
            <w:r w:rsidRPr="007765E3">
              <w:rPr>
                <w:sz w:val="20"/>
                <w:szCs w:val="20"/>
                <w:lang w:val="fr-CA"/>
              </w:rPr>
              <w:t>)</w:t>
            </w:r>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ED012E" w:rsidP="00070F74">
            <w:pPr>
              <w:pStyle w:val="SCCShortJudgment"/>
              <w:ind w:firstLine="0"/>
              <w:rPr>
                <w:rFonts w:cs="Times New Roman"/>
                <w:szCs w:val="20"/>
                <w:u w:val="single"/>
                <w:lang w:val="fr-CA"/>
              </w:rPr>
            </w:pPr>
            <w:r w:rsidRPr="007765E3">
              <w:rPr>
                <w:rFonts w:eastAsia="Times New Roman" w:cs="Times New Roman"/>
                <w:szCs w:val="20"/>
                <w:lang w:val="fr-CA" w:eastAsia="en-CA"/>
              </w:rPr>
              <w:t>Rejet de la motion en prorogation du délai.</w:t>
            </w:r>
          </w:p>
        </w:tc>
      </w:tr>
      <w:tr w:rsidR="00127038" w:rsidRPr="007765E3" w:rsidTr="00070F74">
        <w:trPr>
          <w:cantSplit/>
        </w:trPr>
        <w:tc>
          <w:tcPr>
            <w:tcW w:w="4410" w:type="dxa"/>
            <w:gridSpan w:val="2"/>
          </w:tcPr>
          <w:p w:rsidR="00ED012E" w:rsidRPr="007765E3" w:rsidRDefault="00ED012E" w:rsidP="00ED012E">
            <w:pPr>
              <w:rPr>
                <w:sz w:val="20"/>
                <w:szCs w:val="20"/>
                <w:lang w:val="fr-CA"/>
              </w:rPr>
            </w:pPr>
            <w:r w:rsidRPr="007765E3">
              <w:rPr>
                <w:sz w:val="20"/>
                <w:szCs w:val="20"/>
                <w:lang w:val="fr-CA"/>
              </w:rPr>
              <w:t>Le 16 juin 2016</w:t>
            </w:r>
          </w:p>
          <w:p w:rsidR="00127038" w:rsidRPr="007765E3" w:rsidRDefault="00ED012E" w:rsidP="00ED012E">
            <w:pPr>
              <w:pStyle w:val="SCCShortJudgment"/>
              <w:ind w:firstLine="0"/>
              <w:rPr>
                <w:rFonts w:cs="Times New Roman"/>
                <w:szCs w:val="20"/>
                <w:u w:val="single"/>
                <w:lang w:val="fr-CA"/>
              </w:rPr>
            </w:pPr>
            <w:r w:rsidRPr="007765E3">
              <w:rPr>
                <w:szCs w:val="20"/>
                <w:lang w:val="fr-CA"/>
              </w:rPr>
              <w:t>Cour suprême du Canada</w:t>
            </w: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ED012E" w:rsidP="00070F74">
            <w:pPr>
              <w:pStyle w:val="SCCShortJudgment"/>
              <w:ind w:firstLine="0"/>
              <w:rPr>
                <w:rFonts w:cs="Times New Roman"/>
                <w:szCs w:val="20"/>
                <w:u w:val="single"/>
                <w:lang w:val="fr-CA"/>
              </w:rPr>
            </w:pPr>
            <w:r w:rsidRPr="007765E3">
              <w:rPr>
                <w:szCs w:val="20"/>
                <w:lang w:val="fr-CA"/>
              </w:rPr>
              <w:t>Dépôt de la demande d’autorisation d’appel.</w:t>
            </w:r>
          </w:p>
        </w:tc>
      </w:tr>
    </w:tbl>
    <w:p w:rsidR="00127038" w:rsidRPr="007765E3" w:rsidRDefault="007765E3" w:rsidP="008D292F">
      <w:pPr>
        <w:rPr>
          <w:sz w:val="20"/>
          <w:szCs w:val="20"/>
          <w:lang w:val="fr-CA"/>
        </w:rPr>
      </w:pPr>
      <w:r w:rsidRPr="007765E3">
        <w:rPr>
          <w:rFonts w:cs="Times New Roman"/>
          <w:szCs w:val="20"/>
          <w:lang w:val="fr-CA"/>
        </w:rPr>
        <w:pict>
          <v:rect id="_x0000_i1061" style="width:2in;height:1pt" o:hrpct="0" o:hralign="center" o:hrstd="t" o:hrnoshade="t" o:hr="t" fillcolor="black [3213]" stroked="f"/>
        </w:pict>
      </w:r>
    </w:p>
    <w:p w:rsidR="00127038" w:rsidRPr="007765E3" w:rsidRDefault="0012703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37091</w:t>
            </w:r>
          </w:p>
          <w:p w:rsidR="00127038" w:rsidRPr="007765E3" w:rsidRDefault="00127038" w:rsidP="00070F74">
            <w:pPr>
              <w:jc w:val="both"/>
              <w:rPr>
                <w:rFonts w:cs="Times New Roman"/>
                <w:b/>
                <w:sz w:val="20"/>
                <w:szCs w:val="20"/>
              </w:rPr>
            </w:pPr>
          </w:p>
        </w:tc>
        <w:tc>
          <w:tcPr>
            <w:tcW w:w="8118" w:type="dxa"/>
            <w:gridSpan w:val="3"/>
          </w:tcPr>
          <w:p w:rsidR="00127038" w:rsidRPr="007765E3" w:rsidRDefault="004C329F" w:rsidP="00070F74">
            <w:pPr>
              <w:jc w:val="both"/>
              <w:rPr>
                <w:rFonts w:cs="Times New Roman"/>
                <w:sz w:val="20"/>
                <w:szCs w:val="20"/>
              </w:rPr>
            </w:pPr>
            <w:r w:rsidRPr="007765E3">
              <w:rPr>
                <w:rStyle w:val="SCCLsocChar"/>
                <w:rFonts w:cs="Times New Roman"/>
                <w:sz w:val="20"/>
                <w:szCs w:val="20"/>
                <w:lang w:val="en-US"/>
              </w:rPr>
              <w:t xml:space="preserve">V.J.F. v. S.K.W. </w:t>
            </w:r>
            <w:proofErr w:type="spellStart"/>
            <w:r w:rsidRPr="007765E3">
              <w:rPr>
                <w:rStyle w:val="SCCLsocChar"/>
                <w:rFonts w:cs="Times New Roman"/>
                <w:sz w:val="20"/>
                <w:szCs w:val="20"/>
                <w:lang w:val="en-US"/>
              </w:rPr>
              <w:t>a.k.a</w:t>
            </w:r>
            <w:proofErr w:type="spellEnd"/>
            <w:r w:rsidRPr="007765E3">
              <w:rPr>
                <w:rStyle w:val="SCCLsocChar"/>
                <w:rFonts w:cs="Times New Roman"/>
                <w:sz w:val="20"/>
                <w:szCs w:val="20"/>
                <w:lang w:val="en-US"/>
              </w:rPr>
              <w:t xml:space="preserve"> S.K.F.</w:t>
            </w:r>
            <w:r w:rsidRPr="007765E3">
              <w:rPr>
                <w:rStyle w:val="SCCLsocChar"/>
                <w:rFonts w:cs="Times New Roman"/>
                <w:sz w:val="20"/>
                <w:szCs w:val="20"/>
                <w:u w:val="none"/>
                <w:lang w:val="en-US"/>
              </w:rPr>
              <w:t xml:space="preserve"> </w:t>
            </w:r>
            <w:r w:rsidR="00127038" w:rsidRPr="007765E3">
              <w:rPr>
                <w:rFonts w:cs="Times New Roman"/>
                <w:sz w:val="20"/>
                <w:szCs w:val="20"/>
              </w:rPr>
              <w:t>(</w:t>
            </w:r>
            <w:r w:rsidRPr="007765E3">
              <w:rPr>
                <w:rFonts w:cs="Times New Roman"/>
                <w:sz w:val="20"/>
                <w:szCs w:val="20"/>
              </w:rPr>
              <w:t>B.C.</w:t>
            </w:r>
            <w:r w:rsidR="00127038" w:rsidRPr="007765E3">
              <w:rPr>
                <w:rFonts w:cs="Times New Roman"/>
                <w:sz w:val="20"/>
                <w:szCs w:val="20"/>
              </w:rPr>
              <w:t>) (Civil) (By Leave)</w:t>
            </w:r>
          </w:p>
          <w:p w:rsidR="00127038" w:rsidRPr="007765E3" w:rsidRDefault="00127038" w:rsidP="00070F74">
            <w:pPr>
              <w:jc w:val="both"/>
              <w:rPr>
                <w:rFonts w:cs="Times New Roman"/>
                <w:sz w:val="20"/>
                <w:szCs w:val="20"/>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4C329F" w:rsidP="00070F74">
            <w:pPr>
              <w:jc w:val="both"/>
              <w:rPr>
                <w:rStyle w:val="SCCCoramChar"/>
                <w:sz w:val="20"/>
                <w:szCs w:val="20"/>
                <w:lang w:val="en-US"/>
              </w:rPr>
            </w:pPr>
            <w:proofErr w:type="spellStart"/>
            <w:r w:rsidRPr="007765E3">
              <w:rPr>
                <w:rStyle w:val="SCCCoramChar"/>
                <w:sz w:val="20"/>
                <w:szCs w:val="20"/>
                <w:lang w:val="en-US"/>
              </w:rPr>
              <w:t>Abella</w:t>
            </w:r>
            <w:proofErr w:type="spellEnd"/>
            <w:r w:rsidRPr="007765E3">
              <w:rPr>
                <w:rStyle w:val="SCCCoramChar"/>
                <w:sz w:val="20"/>
                <w:szCs w:val="20"/>
                <w:lang w:val="en-US"/>
              </w:rPr>
              <w:t xml:space="preserve">, </w:t>
            </w:r>
            <w:proofErr w:type="spellStart"/>
            <w:r w:rsidRPr="007765E3">
              <w:rPr>
                <w:rStyle w:val="SCCCoramChar"/>
                <w:sz w:val="20"/>
                <w:szCs w:val="20"/>
                <w:lang w:val="en-US"/>
              </w:rPr>
              <w:t>Karakatsanis</w:t>
            </w:r>
            <w:proofErr w:type="spellEnd"/>
            <w:r w:rsidRPr="007765E3">
              <w:rPr>
                <w:rStyle w:val="SCCCoramChar"/>
                <w:sz w:val="20"/>
                <w:szCs w:val="20"/>
                <w:lang w:val="en-US"/>
              </w:rPr>
              <w:t xml:space="preserve"> and Brown JJ.</w:t>
            </w:r>
          </w:p>
          <w:p w:rsidR="004C329F" w:rsidRPr="007765E3" w:rsidRDefault="004C329F" w:rsidP="00070F74">
            <w:pPr>
              <w:jc w:val="both"/>
              <w:rPr>
                <w:rFonts w:cs="Times New Roman"/>
                <w:sz w:val="20"/>
                <w:szCs w:val="20"/>
                <w:u w:val="single"/>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rPr>
            </w:pPr>
            <w:r w:rsidRPr="007765E3">
              <w:rPr>
                <w:rFonts w:cs="Times New Roman"/>
                <w:szCs w:val="20"/>
              </w:rPr>
              <w:tab/>
            </w:r>
            <w:r w:rsidR="004C329F" w:rsidRPr="007765E3">
              <w:rPr>
                <w:szCs w:val="20"/>
              </w:rPr>
              <w:t>The application for leave to appeal from the judgment of the Court of Appeal for British Columbia (Vancouver), Number CA42767, 2016 BCCA 186, dated April 28, 2016, is dismissed with costs.</w:t>
            </w:r>
          </w:p>
          <w:p w:rsidR="00127038" w:rsidRPr="007765E3" w:rsidRDefault="00127038" w:rsidP="00070F74">
            <w:pPr>
              <w:pStyle w:val="SCCShortJudgment"/>
              <w:ind w:firstLine="0"/>
              <w:rPr>
                <w:rFonts w:cs="Times New Roman"/>
                <w:szCs w:val="20"/>
              </w:rPr>
            </w:pPr>
          </w:p>
          <w:p w:rsidR="00127038" w:rsidRPr="007765E3" w:rsidRDefault="00127038" w:rsidP="00070F74">
            <w:pPr>
              <w:pStyle w:val="SCCShortJudgment"/>
              <w:ind w:firstLine="0"/>
              <w:rPr>
                <w:rFonts w:cs="Times New Roman"/>
                <w:szCs w:val="20"/>
                <w:lang w:val="fr-CA"/>
              </w:rPr>
            </w:pPr>
            <w:r w:rsidRPr="007765E3">
              <w:rPr>
                <w:rFonts w:cs="Times New Roman"/>
                <w:szCs w:val="20"/>
              </w:rPr>
              <w:tab/>
            </w:r>
            <w:r w:rsidR="004C329F" w:rsidRPr="007765E3">
              <w:rPr>
                <w:szCs w:val="20"/>
                <w:lang w:val="fr-CA"/>
              </w:rPr>
              <w:t xml:space="preserve">La demande d’autorisation d’appel de l’arrêt de la </w:t>
            </w:r>
            <w:r w:rsidR="004C329F" w:rsidRPr="007765E3">
              <w:rPr>
                <w:szCs w:val="20"/>
                <w:lang w:val="fr-FR"/>
              </w:rPr>
              <w:t>Cour d’appel de la Colombie-Britannique (Vancouver)</w:t>
            </w:r>
            <w:r w:rsidR="004C329F" w:rsidRPr="007765E3">
              <w:rPr>
                <w:szCs w:val="20"/>
                <w:lang w:val="fr-CA"/>
              </w:rPr>
              <w:t xml:space="preserve">, numéro </w:t>
            </w:r>
            <w:r w:rsidR="004C329F" w:rsidRPr="007765E3">
              <w:rPr>
                <w:szCs w:val="20"/>
                <w:lang w:val="fr-FR"/>
              </w:rPr>
              <w:t>CA42767, 2016 BCCA 186</w:t>
            </w:r>
            <w:r w:rsidR="004C329F" w:rsidRPr="007765E3">
              <w:rPr>
                <w:szCs w:val="20"/>
                <w:lang w:val="fr-CA"/>
              </w:rPr>
              <w:t xml:space="preserve">, daté du </w:t>
            </w:r>
            <w:r w:rsidR="004C329F" w:rsidRPr="007765E3">
              <w:rPr>
                <w:szCs w:val="20"/>
                <w:lang w:val="fr-FR"/>
              </w:rPr>
              <w:t>28 avril 2016</w:t>
            </w:r>
            <w:r w:rsidR="004C329F" w:rsidRPr="007765E3">
              <w:rPr>
                <w:szCs w:val="20"/>
                <w:lang w:val="fr-CA"/>
              </w:rPr>
              <w:t>, est rejetée avec dépens.</w: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80245B" w:rsidRPr="007765E3" w:rsidRDefault="0080245B" w:rsidP="0080245B">
            <w:pPr>
              <w:pStyle w:val="SCCBanSummary"/>
              <w:rPr>
                <w:sz w:val="20"/>
                <w:szCs w:val="20"/>
              </w:rPr>
            </w:pPr>
            <w:r w:rsidRPr="007765E3">
              <w:rPr>
                <w:sz w:val="20"/>
                <w:szCs w:val="20"/>
              </w:rPr>
              <w:t>(Publication ban in case) (Publication ban on party) (Court file contains information that is not available for inspection by the public)</w:t>
            </w:r>
          </w:p>
          <w:p w:rsidR="0080245B" w:rsidRPr="007765E3" w:rsidRDefault="0080245B" w:rsidP="0080245B">
            <w:pPr>
              <w:rPr>
                <w:sz w:val="20"/>
                <w:szCs w:val="20"/>
              </w:rPr>
            </w:pPr>
          </w:p>
          <w:p w:rsidR="00127038" w:rsidRPr="007765E3" w:rsidRDefault="0080245B" w:rsidP="0080245B">
            <w:pPr>
              <w:pStyle w:val="SCCShortJudgment"/>
              <w:ind w:firstLine="0"/>
              <w:rPr>
                <w:szCs w:val="20"/>
              </w:rPr>
            </w:pPr>
            <w:r w:rsidRPr="007765E3">
              <w:rPr>
                <w:szCs w:val="20"/>
              </w:rPr>
              <w:t>Family law – Family assets – Division – Excluded property – Presumption of advancement – Husband transferring inherited funds to wife prior to separation for purchase of land and construction of new home – Whether role of presumption of advancement between spouses ought to be clarified – Whether Court of Appeal erred in law in narrowly interpreting s. 85(1</w:t>
            </w:r>
            <w:proofErr w:type="gramStart"/>
            <w:r w:rsidRPr="007765E3">
              <w:rPr>
                <w:szCs w:val="20"/>
              </w:rPr>
              <w:t>)(</w:t>
            </w:r>
            <w:proofErr w:type="gramEnd"/>
            <w:r w:rsidRPr="007765E3">
              <w:rPr>
                <w:szCs w:val="20"/>
              </w:rPr>
              <w:t xml:space="preserve">g) of </w:t>
            </w:r>
            <w:r w:rsidRPr="007765E3">
              <w:rPr>
                <w:i/>
                <w:szCs w:val="20"/>
              </w:rPr>
              <w:t>Family Law Act</w:t>
            </w:r>
            <w:r w:rsidRPr="007765E3">
              <w:rPr>
                <w:szCs w:val="20"/>
              </w:rPr>
              <w:t>, S.B.C. 2011, c. 25 and in failing to give effect to its remedial purpose.</w:t>
            </w:r>
          </w:p>
          <w:p w:rsidR="0080245B" w:rsidRPr="007765E3" w:rsidRDefault="0080245B" w:rsidP="0080245B">
            <w:pPr>
              <w:pStyle w:val="SCCShortJudgment"/>
              <w:ind w:firstLine="0"/>
              <w:rPr>
                <w:rFonts w:cs="Times New Roman"/>
                <w:szCs w:val="20"/>
              </w:rPr>
            </w:pPr>
          </w:p>
        </w:tc>
      </w:tr>
      <w:tr w:rsidR="00127038" w:rsidRPr="007765E3" w:rsidTr="00070F74">
        <w:trPr>
          <w:cantSplit/>
        </w:trPr>
        <w:tc>
          <w:tcPr>
            <w:tcW w:w="9576" w:type="dxa"/>
            <w:gridSpan w:val="4"/>
          </w:tcPr>
          <w:p w:rsidR="0080245B" w:rsidRPr="007765E3" w:rsidRDefault="0080245B" w:rsidP="0080245B">
            <w:pPr>
              <w:jc w:val="both"/>
              <w:rPr>
                <w:sz w:val="20"/>
                <w:szCs w:val="20"/>
              </w:rPr>
            </w:pPr>
            <w:r w:rsidRPr="007765E3">
              <w:rPr>
                <w:sz w:val="20"/>
                <w:szCs w:val="20"/>
              </w:rPr>
              <w:t>The parties were married in 2004 and separated in March 2013. During the marriage, the parties adopted traditional roles with the wife remaining home to care for the children. At all material times, the husband was employed in a senior executive capacity in P. Co, where he was a member of a trusted inner circle of advisors, close to P. Co.’s principal. Mr. I. Early in their relationship, the husband purchased a home in his own name in Richmond, British Columbia, where the parties resided. That property was transferred into the wife’s name in 2010 for business purposes. The husband had a very close personal and business relationship with Mr. I, who died in 2011. At that time, Mr. F. was a director in 31 of Mr. I.’s related companies. Mr. I. had been concerned about Mr. F.’s potential liability as director and provided in his will for $2 million to be distributed to Mr. F to offset any personal liability that he might encounter. Mr. F. deposited that money into his personal bank account. In December, 2011, the parties purchased land in Vancouver to build a new home there. Title was taken in Ms. W.’s name alone, again for business purposes.  Mr. F. transferred some of the $2 million from his own account into Ms. W.’s account to fund preconstruction costs. The parties separated in March, 2013 at an early stage in construction. They agreed to finish building and the home then sold in December, 2013. Approximately $2 million that was in dispute was deposited to a trust account following the sale. Mr. F. maintained that the $2 million gift had retained its character as excluded property despite the subsequent transactions, and was thus not subject to equal division. Ms. W. took the position that the money was no longer excluded property and was subject to equal division.</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4410" w:type="dxa"/>
            <w:gridSpan w:val="2"/>
          </w:tcPr>
          <w:p w:rsidR="0080245B" w:rsidRPr="007765E3" w:rsidRDefault="0080245B" w:rsidP="0080245B">
            <w:pPr>
              <w:rPr>
                <w:sz w:val="20"/>
                <w:szCs w:val="20"/>
              </w:rPr>
            </w:pPr>
            <w:r w:rsidRPr="007765E3">
              <w:rPr>
                <w:sz w:val="20"/>
                <w:szCs w:val="20"/>
              </w:rPr>
              <w:lastRenderedPageBreak/>
              <w:t>April 16, 2015</w:t>
            </w:r>
          </w:p>
          <w:p w:rsidR="0080245B" w:rsidRPr="007765E3" w:rsidRDefault="0080245B" w:rsidP="0080245B">
            <w:pPr>
              <w:rPr>
                <w:sz w:val="20"/>
                <w:szCs w:val="20"/>
              </w:rPr>
            </w:pPr>
            <w:r w:rsidRPr="007765E3">
              <w:rPr>
                <w:sz w:val="20"/>
                <w:szCs w:val="20"/>
              </w:rPr>
              <w:t>Supreme Court of British Columbia</w:t>
            </w:r>
          </w:p>
          <w:p w:rsidR="0080245B" w:rsidRPr="007765E3" w:rsidRDefault="0080245B" w:rsidP="0080245B">
            <w:pPr>
              <w:rPr>
                <w:sz w:val="20"/>
                <w:szCs w:val="20"/>
              </w:rPr>
            </w:pPr>
            <w:r w:rsidRPr="007765E3">
              <w:rPr>
                <w:sz w:val="20"/>
                <w:szCs w:val="20"/>
              </w:rPr>
              <w:t>(Walker J.)</w:t>
            </w:r>
          </w:p>
          <w:p w:rsidR="0080245B" w:rsidRPr="007765E3" w:rsidRDefault="007765E3" w:rsidP="0080245B">
            <w:pPr>
              <w:rPr>
                <w:sz w:val="20"/>
                <w:szCs w:val="20"/>
              </w:rPr>
            </w:pPr>
            <w:hyperlink r:id="rId52" w:history="1">
              <w:r w:rsidR="0080245B" w:rsidRPr="007765E3">
                <w:rPr>
                  <w:rStyle w:val="Hyperlink"/>
                  <w:sz w:val="20"/>
                  <w:szCs w:val="20"/>
                </w:rPr>
                <w:t>2015 BCSC 593</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80245B" w:rsidRPr="007765E3" w:rsidRDefault="0080245B" w:rsidP="0080245B">
            <w:pPr>
              <w:jc w:val="both"/>
              <w:rPr>
                <w:sz w:val="20"/>
                <w:szCs w:val="20"/>
              </w:rPr>
            </w:pPr>
            <w:r w:rsidRPr="007765E3">
              <w:rPr>
                <w:sz w:val="20"/>
                <w:szCs w:val="20"/>
              </w:rPr>
              <w:t>Order that husband’s inheritance subject to equal division between spouses as family property</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80245B" w:rsidRPr="007765E3" w:rsidRDefault="0080245B" w:rsidP="0080245B">
            <w:pPr>
              <w:rPr>
                <w:sz w:val="20"/>
                <w:szCs w:val="20"/>
              </w:rPr>
            </w:pPr>
            <w:r w:rsidRPr="007765E3">
              <w:rPr>
                <w:sz w:val="20"/>
                <w:szCs w:val="20"/>
              </w:rPr>
              <w:t>April 28, 2016</w:t>
            </w:r>
          </w:p>
          <w:p w:rsidR="0080245B" w:rsidRPr="007765E3" w:rsidRDefault="0080245B" w:rsidP="0080245B">
            <w:pPr>
              <w:rPr>
                <w:sz w:val="20"/>
                <w:szCs w:val="20"/>
              </w:rPr>
            </w:pPr>
            <w:r w:rsidRPr="007765E3">
              <w:rPr>
                <w:sz w:val="20"/>
                <w:szCs w:val="20"/>
              </w:rPr>
              <w:t xml:space="preserve">Court of Appeal for British Columbia </w:t>
            </w:r>
          </w:p>
          <w:p w:rsidR="0080245B" w:rsidRPr="007765E3" w:rsidRDefault="0080245B" w:rsidP="0080245B">
            <w:pPr>
              <w:rPr>
                <w:sz w:val="20"/>
                <w:szCs w:val="20"/>
              </w:rPr>
            </w:pPr>
            <w:r w:rsidRPr="007765E3">
              <w:rPr>
                <w:sz w:val="20"/>
                <w:szCs w:val="20"/>
              </w:rPr>
              <w:t>(Vancouver)</w:t>
            </w:r>
          </w:p>
          <w:p w:rsidR="0080245B" w:rsidRPr="007765E3" w:rsidRDefault="0080245B" w:rsidP="0080245B">
            <w:pPr>
              <w:rPr>
                <w:sz w:val="20"/>
                <w:szCs w:val="20"/>
              </w:rPr>
            </w:pPr>
            <w:r w:rsidRPr="007765E3">
              <w:rPr>
                <w:sz w:val="20"/>
                <w:szCs w:val="20"/>
              </w:rPr>
              <w:t xml:space="preserve">(Newbury, </w:t>
            </w:r>
            <w:proofErr w:type="spellStart"/>
            <w:r w:rsidRPr="007765E3">
              <w:rPr>
                <w:sz w:val="20"/>
                <w:szCs w:val="20"/>
              </w:rPr>
              <w:t>Tysoe</w:t>
            </w:r>
            <w:proofErr w:type="spellEnd"/>
            <w:r w:rsidRPr="007765E3">
              <w:rPr>
                <w:sz w:val="20"/>
                <w:szCs w:val="20"/>
              </w:rPr>
              <w:t xml:space="preserve"> and </w:t>
            </w:r>
            <w:proofErr w:type="spellStart"/>
            <w:r w:rsidRPr="007765E3">
              <w:rPr>
                <w:sz w:val="20"/>
                <w:szCs w:val="20"/>
              </w:rPr>
              <w:t>Groberman</w:t>
            </w:r>
            <w:proofErr w:type="spellEnd"/>
            <w:r w:rsidRPr="007765E3">
              <w:rPr>
                <w:sz w:val="20"/>
                <w:szCs w:val="20"/>
              </w:rPr>
              <w:t xml:space="preserve"> JJ.A.)</w:t>
            </w:r>
          </w:p>
          <w:p w:rsidR="0080245B" w:rsidRPr="007765E3" w:rsidRDefault="007765E3" w:rsidP="0080245B">
            <w:pPr>
              <w:rPr>
                <w:sz w:val="20"/>
                <w:szCs w:val="20"/>
              </w:rPr>
            </w:pPr>
            <w:hyperlink r:id="rId53" w:history="1">
              <w:r w:rsidR="0080245B" w:rsidRPr="007765E3">
                <w:rPr>
                  <w:rStyle w:val="Hyperlink"/>
                  <w:sz w:val="20"/>
                  <w:szCs w:val="20"/>
                </w:rPr>
                <w:t>2016 BCCA 186</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80245B" w:rsidRPr="007765E3" w:rsidRDefault="0080245B" w:rsidP="0080245B">
            <w:pPr>
              <w:rPr>
                <w:sz w:val="20"/>
                <w:szCs w:val="20"/>
              </w:rPr>
            </w:pPr>
            <w:r w:rsidRPr="007765E3">
              <w:rPr>
                <w:sz w:val="20"/>
                <w:szCs w:val="20"/>
              </w:rPr>
              <w:t>Applicant’s appeal dismissed</w:t>
            </w:r>
          </w:p>
          <w:p w:rsidR="00127038" w:rsidRPr="007765E3" w:rsidRDefault="00127038" w:rsidP="00070F74">
            <w:pPr>
              <w:jc w:val="both"/>
              <w:rPr>
                <w:rFonts w:cs="Times New Roman"/>
                <w:sz w:val="20"/>
                <w:szCs w:val="20"/>
              </w:rPr>
            </w:pPr>
          </w:p>
        </w:tc>
      </w:tr>
      <w:tr w:rsidR="00127038" w:rsidRPr="007765E3" w:rsidTr="00070F74">
        <w:trPr>
          <w:cantSplit/>
        </w:trPr>
        <w:tc>
          <w:tcPr>
            <w:tcW w:w="4410" w:type="dxa"/>
            <w:gridSpan w:val="2"/>
          </w:tcPr>
          <w:p w:rsidR="0080245B" w:rsidRPr="007765E3" w:rsidRDefault="0080245B" w:rsidP="0080245B">
            <w:pPr>
              <w:rPr>
                <w:sz w:val="20"/>
                <w:szCs w:val="20"/>
              </w:rPr>
            </w:pPr>
            <w:r w:rsidRPr="007765E3">
              <w:rPr>
                <w:sz w:val="20"/>
                <w:szCs w:val="20"/>
              </w:rPr>
              <w:t>June 27, 2016</w:t>
            </w:r>
          </w:p>
          <w:p w:rsidR="0080245B" w:rsidRPr="007765E3" w:rsidRDefault="0080245B" w:rsidP="0080245B">
            <w:pPr>
              <w:rPr>
                <w:sz w:val="20"/>
                <w:szCs w:val="20"/>
              </w:rPr>
            </w:pPr>
            <w:r w:rsidRPr="007765E3">
              <w:rPr>
                <w:sz w:val="20"/>
                <w:szCs w:val="20"/>
              </w:rPr>
              <w:t>Supreme Court of Canada</w:t>
            </w:r>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80245B" w:rsidRPr="007765E3" w:rsidRDefault="0080245B" w:rsidP="0080245B">
            <w:pPr>
              <w:rPr>
                <w:sz w:val="20"/>
                <w:szCs w:val="20"/>
              </w:rPr>
            </w:pPr>
            <w:r w:rsidRPr="007765E3">
              <w:rPr>
                <w:sz w:val="20"/>
                <w:szCs w:val="20"/>
              </w:rPr>
              <w:t>Application for leave to appeal filed</w:t>
            </w:r>
          </w:p>
          <w:p w:rsidR="00127038" w:rsidRPr="007765E3" w:rsidRDefault="00127038" w:rsidP="00070F74">
            <w:pPr>
              <w:jc w:val="both"/>
              <w:rPr>
                <w:rFonts w:cs="Times New Roman"/>
                <w:sz w:val="20"/>
                <w:szCs w:val="20"/>
              </w:rPr>
            </w:pP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62"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80245B" w:rsidRPr="007765E3" w:rsidRDefault="0080245B" w:rsidP="0080245B">
            <w:pPr>
              <w:pStyle w:val="SCCBanSummary"/>
              <w:rPr>
                <w:sz w:val="20"/>
                <w:szCs w:val="20"/>
                <w:lang w:val="fr-CA"/>
              </w:rPr>
            </w:pPr>
            <w:r w:rsidRPr="007765E3">
              <w:rPr>
                <w:sz w:val="20"/>
                <w:szCs w:val="20"/>
                <w:lang w:val="fr-CA"/>
              </w:rPr>
              <w:t>(Ordonnance de non-publication dans le dossier) (ordonnance de non-publication visant une partie) (le dossier de la Cour renferme des données que le public n’est pas autorisé à consulter)</w:t>
            </w:r>
          </w:p>
          <w:p w:rsidR="0080245B" w:rsidRPr="007765E3" w:rsidRDefault="0080245B" w:rsidP="0080245B">
            <w:pPr>
              <w:rPr>
                <w:lang w:val="fr-CA"/>
              </w:rPr>
            </w:pPr>
          </w:p>
          <w:p w:rsidR="00127038" w:rsidRPr="007765E3" w:rsidRDefault="0080245B" w:rsidP="0080245B">
            <w:pPr>
              <w:pStyle w:val="SCCShortJudgment"/>
              <w:ind w:firstLine="0"/>
              <w:rPr>
                <w:szCs w:val="20"/>
                <w:lang w:val="fr-CA"/>
              </w:rPr>
            </w:pPr>
            <w:r w:rsidRPr="007765E3">
              <w:rPr>
                <w:szCs w:val="20"/>
                <w:lang w:val="fr-CA"/>
              </w:rPr>
              <w:t xml:space="preserve">Droit de la famille – Biens familiaux – Partage – Biens exclus – Présomption d’avancement – Avant la séparation, l’époux a transféré à son épouse des fonds dont il avait hérité pour l’achat d’un terrain et la construction d’une nouvelle maison – Y </w:t>
            </w:r>
            <w:proofErr w:type="spellStart"/>
            <w:r w:rsidRPr="007765E3">
              <w:rPr>
                <w:szCs w:val="20"/>
                <w:lang w:val="fr-CA"/>
              </w:rPr>
              <w:t>a-t-il</w:t>
            </w:r>
            <w:proofErr w:type="spellEnd"/>
            <w:r w:rsidRPr="007765E3">
              <w:rPr>
                <w:szCs w:val="20"/>
                <w:lang w:val="fr-CA"/>
              </w:rPr>
              <w:t xml:space="preserve"> lieu de clarifier le rôle de la présomption d’avancement entre époux? – La Cour d’appel a-t-elle commis une erreur de droit en interprétant de façon restrictive l’al. 85(1)g) de la </w:t>
            </w:r>
            <w:proofErr w:type="spellStart"/>
            <w:r w:rsidRPr="007765E3">
              <w:rPr>
                <w:i/>
                <w:szCs w:val="20"/>
                <w:lang w:val="fr-CA"/>
              </w:rPr>
              <w:t>Family</w:t>
            </w:r>
            <w:proofErr w:type="spellEnd"/>
            <w:r w:rsidRPr="007765E3">
              <w:rPr>
                <w:i/>
                <w:szCs w:val="20"/>
                <w:lang w:val="fr-CA"/>
              </w:rPr>
              <w:t xml:space="preserve"> Law </w:t>
            </w:r>
            <w:proofErr w:type="spellStart"/>
            <w:r w:rsidRPr="007765E3">
              <w:rPr>
                <w:i/>
                <w:szCs w:val="20"/>
                <w:lang w:val="fr-CA"/>
              </w:rPr>
              <w:t>Act</w:t>
            </w:r>
            <w:proofErr w:type="spellEnd"/>
            <w:r w:rsidRPr="007765E3">
              <w:rPr>
                <w:szCs w:val="20"/>
                <w:lang w:val="fr-CA"/>
              </w:rPr>
              <w:t>, S.B.C. 2011, ch. 25 et en omettant de donner effet à son objet réparateur?</w:t>
            </w:r>
          </w:p>
          <w:p w:rsidR="0080245B" w:rsidRPr="007765E3" w:rsidRDefault="0080245B" w:rsidP="0080245B">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80245B" w:rsidRPr="007765E3" w:rsidRDefault="0080245B" w:rsidP="0080245B">
            <w:pPr>
              <w:jc w:val="both"/>
              <w:rPr>
                <w:sz w:val="20"/>
                <w:szCs w:val="20"/>
                <w:lang w:val="fr-CA"/>
              </w:rPr>
            </w:pPr>
            <w:r w:rsidRPr="007765E3">
              <w:rPr>
                <w:sz w:val="20"/>
                <w:szCs w:val="20"/>
                <w:lang w:val="fr-CA"/>
              </w:rPr>
              <w:t xml:space="preserve">Les parties se sont mariées en 2004 et se sont séparées en mars 2013. Pendant le mariage, les parties ont adopté les rôles traditionnels où l’épouse demeurait à la maison pour prendre soin des enfants. Pendant toute la période pertinente, l’époux occupait un poste de haut dirigeant chez P. et </w:t>
            </w:r>
            <w:proofErr w:type="spellStart"/>
            <w:r w:rsidRPr="007765E3">
              <w:rPr>
                <w:sz w:val="20"/>
                <w:szCs w:val="20"/>
                <w:lang w:val="fr-CA"/>
              </w:rPr>
              <w:t>cie</w:t>
            </w:r>
            <w:proofErr w:type="spellEnd"/>
            <w:r w:rsidRPr="007765E3">
              <w:rPr>
                <w:sz w:val="20"/>
                <w:szCs w:val="20"/>
                <w:lang w:val="fr-CA"/>
              </w:rPr>
              <w:t xml:space="preserve">, où il était membre d’un cercle intime de conseillers de confiance après du principal dirigeant de P. et </w:t>
            </w:r>
            <w:proofErr w:type="spellStart"/>
            <w:r w:rsidRPr="007765E3">
              <w:rPr>
                <w:sz w:val="20"/>
                <w:szCs w:val="20"/>
                <w:lang w:val="fr-CA"/>
              </w:rPr>
              <w:t>cie</w:t>
            </w:r>
            <w:proofErr w:type="spellEnd"/>
            <w:r w:rsidRPr="007765E3">
              <w:rPr>
                <w:sz w:val="20"/>
                <w:szCs w:val="20"/>
                <w:lang w:val="fr-CA"/>
              </w:rPr>
              <w:t xml:space="preserve">, M. I. Au début de leur relation, l’époux a acheté une maison en son propre nom à Richmond (Colombie-Britannique) où résidaient les parties. La propriété a été transférée au nom de l’épouse en 2010 à des fins commerciales. L’époux entretenait une relation personnelle et d’affaires très </w:t>
            </w:r>
            <w:proofErr w:type="gramStart"/>
            <w:r w:rsidRPr="007765E3">
              <w:rPr>
                <w:sz w:val="20"/>
                <w:szCs w:val="20"/>
                <w:lang w:val="fr-CA"/>
              </w:rPr>
              <w:t>étroite</w:t>
            </w:r>
            <w:proofErr w:type="gramEnd"/>
            <w:r w:rsidRPr="007765E3">
              <w:rPr>
                <w:sz w:val="20"/>
                <w:szCs w:val="20"/>
                <w:lang w:val="fr-CA"/>
              </w:rPr>
              <w:t xml:space="preserve"> avec M. I, qui est décédé en 2011. À cette époque, M. F. était administrateur de 31 sociétés du groupe de M. I. Ce dernier craignait la possibilité que M. F engage sa responsabilité comme administrateur et il avait prévu dans son testament que la somme de 2 millions de dollars soit distribuée à M. F pour compenser toute responsabilité personnelle qu’il pourrait engager.  Monsieur F. a déposé cet argent dans son compte de banque personnel. En décembre 2010, les parties ont acheté un terrain à Vancouver pour y construire une nouvelle maison. La propriété a été acquise au nom de Mme W. seule, encore une fois à des fins commerciales.  Monsieur F. a viré une partie de la somme de 2 millions de dollars de son propre compte au compte de Mme W pour financer des frais engagés avant la construction. Les parties se sont séparées en mars 2013 alors que la construction commençait. Ils ont convenu de terminer la construction, puis ont vendu la maison en décembre 2013. Une somme d’environ 2 millions de dollars en litige a été déposée dans un compte en fiducie après la vente. Monsieur F. prétend que la donation de 2 millions de dollars avait conservé son caractère de biens exclus, malgré les opérations subséquentes, si bien qu’elle n’était pas assujettie au partage à parts égales. Madame W. a fait valoir que l’argent ne faisait plus partie des biens exclus et était assujetti au partage à parts égales.</w:t>
            </w:r>
          </w:p>
          <w:p w:rsidR="00127038" w:rsidRPr="007765E3" w:rsidRDefault="00127038" w:rsidP="00070F74">
            <w:pPr>
              <w:jc w:val="both"/>
              <w:rPr>
                <w:rFonts w:cs="Times New Roman"/>
                <w:sz w:val="20"/>
                <w:szCs w:val="20"/>
                <w:u w:val="single"/>
                <w:lang w:val="fr-CA"/>
              </w:rPr>
            </w:pPr>
          </w:p>
        </w:tc>
      </w:tr>
      <w:tr w:rsidR="00127038" w:rsidRPr="007765E3" w:rsidTr="00070F74">
        <w:trPr>
          <w:cantSplit/>
        </w:trPr>
        <w:tc>
          <w:tcPr>
            <w:tcW w:w="4410" w:type="dxa"/>
            <w:gridSpan w:val="2"/>
          </w:tcPr>
          <w:p w:rsidR="0080245B" w:rsidRPr="007765E3" w:rsidRDefault="0080245B" w:rsidP="0080245B">
            <w:pPr>
              <w:rPr>
                <w:sz w:val="20"/>
                <w:szCs w:val="20"/>
                <w:lang w:val="fr-CA"/>
              </w:rPr>
            </w:pPr>
            <w:r w:rsidRPr="007765E3">
              <w:rPr>
                <w:sz w:val="20"/>
                <w:szCs w:val="20"/>
                <w:lang w:val="fr-CA"/>
              </w:rPr>
              <w:t>16 avril 2015</w:t>
            </w:r>
          </w:p>
          <w:p w:rsidR="0080245B" w:rsidRPr="007765E3" w:rsidRDefault="0080245B" w:rsidP="0080245B">
            <w:pPr>
              <w:rPr>
                <w:sz w:val="20"/>
                <w:szCs w:val="20"/>
                <w:lang w:val="fr-CA"/>
              </w:rPr>
            </w:pPr>
            <w:r w:rsidRPr="007765E3">
              <w:rPr>
                <w:sz w:val="20"/>
                <w:szCs w:val="20"/>
                <w:lang w:val="fr-CA"/>
              </w:rPr>
              <w:t>Cour suprême de la Colombie-Britannique</w:t>
            </w:r>
          </w:p>
          <w:p w:rsidR="0080245B" w:rsidRPr="007765E3" w:rsidRDefault="0080245B" w:rsidP="0080245B">
            <w:pPr>
              <w:rPr>
                <w:sz w:val="20"/>
                <w:szCs w:val="20"/>
                <w:lang w:val="fr-CA"/>
              </w:rPr>
            </w:pPr>
            <w:r w:rsidRPr="007765E3">
              <w:rPr>
                <w:sz w:val="20"/>
                <w:szCs w:val="20"/>
                <w:lang w:val="fr-CA"/>
              </w:rPr>
              <w:t>(Juge Walker)</w:t>
            </w:r>
          </w:p>
          <w:p w:rsidR="0080245B" w:rsidRPr="007765E3" w:rsidRDefault="007765E3" w:rsidP="0080245B">
            <w:pPr>
              <w:rPr>
                <w:sz w:val="20"/>
                <w:szCs w:val="20"/>
                <w:lang w:val="fr-CA"/>
              </w:rPr>
            </w:pPr>
            <w:hyperlink r:id="rId54" w:history="1">
              <w:r w:rsidR="0080245B" w:rsidRPr="007765E3">
                <w:rPr>
                  <w:rStyle w:val="Hyperlink"/>
                  <w:sz w:val="20"/>
                  <w:szCs w:val="20"/>
                  <w:lang w:val="fr-CA"/>
                </w:rPr>
                <w:t>2015 BCSC 593</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80245B" w:rsidRPr="007765E3" w:rsidRDefault="0080245B" w:rsidP="0080245B">
            <w:pPr>
              <w:jc w:val="both"/>
              <w:rPr>
                <w:sz w:val="20"/>
                <w:szCs w:val="20"/>
                <w:lang w:val="fr-CA"/>
              </w:rPr>
            </w:pPr>
            <w:r w:rsidRPr="007765E3">
              <w:rPr>
                <w:sz w:val="20"/>
                <w:szCs w:val="20"/>
                <w:lang w:val="fr-CA"/>
              </w:rPr>
              <w:t>Ordonnance portant que l’héritage de l’époux est assujetti au partage à parts égales entre les époux en tant que biens familiaux</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4410" w:type="dxa"/>
            <w:gridSpan w:val="2"/>
          </w:tcPr>
          <w:p w:rsidR="0080245B" w:rsidRPr="007765E3" w:rsidRDefault="0080245B" w:rsidP="0080245B">
            <w:pPr>
              <w:rPr>
                <w:sz w:val="20"/>
                <w:szCs w:val="20"/>
                <w:lang w:val="fr-CA"/>
              </w:rPr>
            </w:pPr>
            <w:r w:rsidRPr="007765E3">
              <w:rPr>
                <w:sz w:val="20"/>
                <w:szCs w:val="20"/>
                <w:lang w:val="fr-CA"/>
              </w:rPr>
              <w:lastRenderedPageBreak/>
              <w:t>28 avril 2016</w:t>
            </w:r>
          </w:p>
          <w:p w:rsidR="0080245B" w:rsidRPr="007765E3" w:rsidRDefault="0080245B" w:rsidP="0080245B">
            <w:pPr>
              <w:rPr>
                <w:sz w:val="20"/>
                <w:szCs w:val="20"/>
                <w:lang w:val="fr-CA"/>
              </w:rPr>
            </w:pPr>
            <w:r w:rsidRPr="007765E3">
              <w:rPr>
                <w:sz w:val="20"/>
                <w:szCs w:val="20"/>
                <w:lang w:val="fr-CA"/>
              </w:rPr>
              <w:t>Cour d’appel de la Colombie-Britannique</w:t>
            </w:r>
          </w:p>
          <w:p w:rsidR="0080245B" w:rsidRPr="007765E3" w:rsidRDefault="0080245B" w:rsidP="0080245B">
            <w:pPr>
              <w:rPr>
                <w:sz w:val="20"/>
                <w:szCs w:val="20"/>
                <w:lang w:val="fr-CA"/>
              </w:rPr>
            </w:pPr>
            <w:r w:rsidRPr="007765E3">
              <w:rPr>
                <w:sz w:val="20"/>
                <w:szCs w:val="20"/>
                <w:lang w:val="fr-CA"/>
              </w:rPr>
              <w:t>(Vancouver)</w:t>
            </w:r>
          </w:p>
          <w:p w:rsidR="0080245B" w:rsidRPr="007765E3" w:rsidRDefault="0080245B" w:rsidP="0080245B">
            <w:pPr>
              <w:rPr>
                <w:sz w:val="20"/>
                <w:szCs w:val="20"/>
                <w:lang w:val="fr-CA"/>
              </w:rPr>
            </w:pPr>
            <w:r w:rsidRPr="007765E3">
              <w:rPr>
                <w:sz w:val="20"/>
                <w:szCs w:val="20"/>
                <w:lang w:val="fr-CA"/>
              </w:rPr>
              <w:t xml:space="preserve">(Juges Newbury, </w:t>
            </w:r>
            <w:proofErr w:type="spellStart"/>
            <w:r w:rsidRPr="007765E3">
              <w:rPr>
                <w:sz w:val="20"/>
                <w:szCs w:val="20"/>
                <w:lang w:val="fr-CA"/>
              </w:rPr>
              <w:t>Tysoe</w:t>
            </w:r>
            <w:proofErr w:type="spellEnd"/>
            <w:r w:rsidRPr="007765E3">
              <w:rPr>
                <w:sz w:val="20"/>
                <w:szCs w:val="20"/>
                <w:lang w:val="fr-CA"/>
              </w:rPr>
              <w:t xml:space="preserve"> et </w:t>
            </w:r>
            <w:proofErr w:type="spellStart"/>
            <w:r w:rsidRPr="007765E3">
              <w:rPr>
                <w:sz w:val="20"/>
                <w:szCs w:val="20"/>
                <w:lang w:val="fr-CA"/>
              </w:rPr>
              <w:t>Groberman</w:t>
            </w:r>
            <w:proofErr w:type="spellEnd"/>
            <w:r w:rsidRPr="007765E3">
              <w:rPr>
                <w:sz w:val="20"/>
                <w:szCs w:val="20"/>
                <w:lang w:val="fr-CA"/>
              </w:rPr>
              <w:t>)</w:t>
            </w:r>
          </w:p>
          <w:p w:rsidR="0080245B" w:rsidRPr="007765E3" w:rsidRDefault="007765E3" w:rsidP="0080245B">
            <w:pPr>
              <w:rPr>
                <w:sz w:val="20"/>
                <w:szCs w:val="20"/>
                <w:lang w:val="fr-CA"/>
              </w:rPr>
            </w:pPr>
            <w:hyperlink r:id="rId55" w:history="1">
              <w:r w:rsidR="0080245B" w:rsidRPr="007765E3">
                <w:rPr>
                  <w:rStyle w:val="Hyperlink"/>
                  <w:sz w:val="20"/>
                  <w:szCs w:val="20"/>
                  <w:lang w:val="fr-CA"/>
                </w:rPr>
                <w:t>2016 BCCA 186</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80245B" w:rsidRPr="007765E3" w:rsidRDefault="0080245B" w:rsidP="0080245B">
            <w:pPr>
              <w:rPr>
                <w:sz w:val="20"/>
                <w:szCs w:val="20"/>
                <w:lang w:val="fr-CA"/>
              </w:rPr>
            </w:pPr>
            <w:r w:rsidRPr="007765E3">
              <w:rPr>
                <w:sz w:val="20"/>
                <w:szCs w:val="20"/>
                <w:lang w:val="fr-CA"/>
              </w:rPr>
              <w:t>Rejet de l’appel du demandeur</w:t>
            </w:r>
          </w:p>
          <w:p w:rsidR="00127038" w:rsidRPr="007765E3" w:rsidRDefault="00127038" w:rsidP="0080245B">
            <w:pPr>
              <w:tabs>
                <w:tab w:val="left" w:pos="1308"/>
              </w:tabs>
              <w:rPr>
                <w:lang w:val="fr-CA"/>
              </w:rPr>
            </w:pPr>
          </w:p>
        </w:tc>
      </w:tr>
      <w:tr w:rsidR="00127038" w:rsidRPr="007765E3" w:rsidTr="00070F74">
        <w:trPr>
          <w:cantSplit/>
        </w:trPr>
        <w:tc>
          <w:tcPr>
            <w:tcW w:w="4410" w:type="dxa"/>
            <w:gridSpan w:val="2"/>
          </w:tcPr>
          <w:p w:rsidR="0080245B" w:rsidRPr="007765E3" w:rsidRDefault="0080245B" w:rsidP="0080245B">
            <w:pPr>
              <w:rPr>
                <w:sz w:val="20"/>
                <w:szCs w:val="20"/>
                <w:lang w:val="fr-CA"/>
              </w:rPr>
            </w:pPr>
            <w:r w:rsidRPr="007765E3">
              <w:rPr>
                <w:sz w:val="20"/>
                <w:szCs w:val="20"/>
                <w:lang w:val="fr-CA"/>
              </w:rPr>
              <w:t>27 juin 2016</w:t>
            </w:r>
          </w:p>
          <w:p w:rsidR="00127038" w:rsidRPr="007765E3" w:rsidRDefault="0080245B" w:rsidP="0080245B">
            <w:pPr>
              <w:pStyle w:val="SCCShortJudgment"/>
              <w:ind w:firstLine="0"/>
              <w:rPr>
                <w:rFonts w:cs="Times New Roman"/>
                <w:szCs w:val="20"/>
                <w:u w:val="single"/>
                <w:lang w:val="fr-CA"/>
              </w:rPr>
            </w:pPr>
            <w:r w:rsidRPr="007765E3">
              <w:rPr>
                <w:szCs w:val="20"/>
                <w:lang w:val="fr-CA"/>
              </w:rPr>
              <w:t>Cour suprême du Canada</w:t>
            </w: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127038" w:rsidRPr="007765E3" w:rsidRDefault="0080245B" w:rsidP="00070F74">
            <w:pPr>
              <w:pStyle w:val="SCCShortJudgment"/>
              <w:ind w:firstLine="0"/>
              <w:rPr>
                <w:rFonts w:cs="Times New Roman"/>
                <w:szCs w:val="20"/>
                <w:u w:val="single"/>
                <w:lang w:val="fr-CA"/>
              </w:rPr>
            </w:pPr>
            <w:r w:rsidRPr="007765E3">
              <w:rPr>
                <w:szCs w:val="20"/>
                <w:lang w:val="fr-CA"/>
              </w:rPr>
              <w:t>Dépôt de la demande d’autorisation d’appel</w:t>
            </w:r>
          </w:p>
        </w:tc>
      </w:tr>
    </w:tbl>
    <w:p w:rsidR="00127038" w:rsidRPr="007765E3" w:rsidRDefault="007765E3" w:rsidP="008D292F">
      <w:pPr>
        <w:rPr>
          <w:sz w:val="20"/>
          <w:szCs w:val="20"/>
          <w:lang w:val="fr-CA"/>
        </w:rPr>
      </w:pPr>
      <w:r w:rsidRPr="007765E3">
        <w:rPr>
          <w:rFonts w:cs="Times New Roman"/>
          <w:szCs w:val="20"/>
          <w:lang w:val="fr-CA"/>
        </w:rPr>
        <w:pict>
          <v:rect id="_x0000_i1063" style="width:2in;height:1pt" o:hrpct="0" o:hralign="center" o:hrstd="t" o:hrnoshade="t" o:hr="t" fillcolor="black [3213]" stroked="f"/>
        </w:pict>
      </w:r>
    </w:p>
    <w:p w:rsidR="00127038" w:rsidRPr="007765E3" w:rsidRDefault="0012703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Style w:val="SCCFileNumberChar"/>
                <w:sz w:val="20"/>
                <w:szCs w:val="20"/>
              </w:rPr>
              <w:t>37100</w:t>
            </w:r>
          </w:p>
          <w:p w:rsidR="00127038" w:rsidRPr="007765E3" w:rsidRDefault="00127038" w:rsidP="00070F74">
            <w:pPr>
              <w:jc w:val="both"/>
              <w:rPr>
                <w:rFonts w:cs="Times New Roman"/>
                <w:b/>
                <w:sz w:val="20"/>
                <w:szCs w:val="20"/>
              </w:rPr>
            </w:pPr>
          </w:p>
        </w:tc>
        <w:tc>
          <w:tcPr>
            <w:tcW w:w="8118" w:type="dxa"/>
            <w:gridSpan w:val="3"/>
          </w:tcPr>
          <w:p w:rsidR="00127038" w:rsidRPr="007765E3" w:rsidRDefault="004C329F" w:rsidP="00070F74">
            <w:pPr>
              <w:jc w:val="both"/>
              <w:rPr>
                <w:rFonts w:cs="Times New Roman"/>
                <w:sz w:val="20"/>
                <w:szCs w:val="20"/>
                <w:lang w:val="fr-CA"/>
              </w:rPr>
            </w:pPr>
            <w:r w:rsidRPr="007765E3">
              <w:rPr>
                <w:rStyle w:val="SCCLsocChar"/>
                <w:rFonts w:cs="Times New Roman"/>
                <w:sz w:val="20"/>
                <w:szCs w:val="20"/>
              </w:rPr>
              <w:t>E.DE. c. D.D.</w:t>
            </w:r>
            <w:r w:rsidRPr="007765E3">
              <w:rPr>
                <w:rStyle w:val="SCCLsocChar"/>
                <w:rFonts w:cs="Times New Roman"/>
                <w:sz w:val="20"/>
                <w:szCs w:val="20"/>
                <w:u w:val="none"/>
              </w:rPr>
              <w:t xml:space="preserve"> </w:t>
            </w:r>
            <w:r w:rsidR="00127038" w:rsidRPr="007765E3">
              <w:rPr>
                <w:rFonts w:cs="Times New Roman"/>
                <w:sz w:val="20"/>
                <w:szCs w:val="20"/>
                <w:lang w:val="fr-CA"/>
              </w:rPr>
              <w:t>(</w:t>
            </w:r>
            <w:proofErr w:type="spellStart"/>
            <w:r w:rsidRPr="007765E3">
              <w:rPr>
                <w:rFonts w:cs="Times New Roman"/>
                <w:sz w:val="20"/>
                <w:szCs w:val="20"/>
                <w:lang w:val="fr-CA"/>
              </w:rPr>
              <w:t>Qc</w:t>
            </w:r>
            <w:proofErr w:type="spellEnd"/>
            <w:r w:rsidR="00127038" w:rsidRPr="007765E3">
              <w:rPr>
                <w:rFonts w:cs="Times New Roman"/>
                <w:sz w:val="20"/>
                <w:szCs w:val="20"/>
                <w:lang w:val="fr-CA"/>
              </w:rPr>
              <w:t>) (Civil</w:t>
            </w:r>
            <w:r w:rsidRPr="007765E3">
              <w:rPr>
                <w:rFonts w:cs="Times New Roman"/>
                <w:sz w:val="20"/>
                <w:szCs w:val="20"/>
                <w:lang w:val="fr-CA"/>
              </w:rPr>
              <w:t>e</w:t>
            </w:r>
            <w:r w:rsidR="00127038" w:rsidRPr="007765E3">
              <w:rPr>
                <w:rFonts w:cs="Times New Roman"/>
                <w:sz w:val="20"/>
                <w:szCs w:val="20"/>
                <w:lang w:val="fr-CA"/>
              </w:rPr>
              <w:t>) (</w:t>
            </w:r>
            <w:r w:rsidRPr="007765E3">
              <w:rPr>
                <w:rFonts w:cs="Times New Roman"/>
                <w:sz w:val="20"/>
                <w:szCs w:val="20"/>
                <w:lang w:val="fr-CA"/>
              </w:rPr>
              <w:t>Autorisation</w:t>
            </w:r>
            <w:r w:rsidR="00127038" w:rsidRPr="007765E3">
              <w:rPr>
                <w:rFonts w:cs="Times New Roman"/>
                <w:sz w:val="20"/>
                <w:szCs w:val="20"/>
                <w:lang w:val="fr-CA"/>
              </w:rPr>
              <w:t>)</w:t>
            </w:r>
          </w:p>
          <w:p w:rsidR="00127038" w:rsidRPr="007765E3" w:rsidRDefault="00127038" w:rsidP="00070F74">
            <w:pPr>
              <w:jc w:val="both"/>
              <w:rPr>
                <w:rFonts w:cs="Times New Roman"/>
                <w:sz w:val="20"/>
                <w:szCs w:val="20"/>
                <w:lang w:val="fr-CA"/>
              </w:rPr>
            </w:pPr>
          </w:p>
        </w:tc>
      </w:tr>
      <w:tr w:rsidR="00127038" w:rsidRPr="007765E3" w:rsidTr="00070F74">
        <w:trPr>
          <w:cantSplit/>
        </w:trPr>
        <w:tc>
          <w:tcPr>
            <w:tcW w:w="1458" w:type="dxa"/>
          </w:tcPr>
          <w:p w:rsidR="00127038" w:rsidRPr="007765E3" w:rsidRDefault="00127038" w:rsidP="00070F74">
            <w:pPr>
              <w:jc w:val="both"/>
              <w:rPr>
                <w:rFonts w:cs="Times New Roman"/>
                <w:sz w:val="20"/>
                <w:szCs w:val="20"/>
              </w:rPr>
            </w:pPr>
            <w:r w:rsidRPr="007765E3">
              <w:rPr>
                <w:rFonts w:cs="Times New Roman"/>
                <w:sz w:val="20"/>
                <w:szCs w:val="20"/>
              </w:rPr>
              <w:t>Coram :</w:t>
            </w:r>
          </w:p>
        </w:tc>
        <w:tc>
          <w:tcPr>
            <w:tcW w:w="8118" w:type="dxa"/>
            <w:gridSpan w:val="3"/>
          </w:tcPr>
          <w:p w:rsidR="00127038" w:rsidRPr="007765E3" w:rsidRDefault="004C329F" w:rsidP="00070F74">
            <w:pPr>
              <w:jc w:val="both"/>
              <w:rPr>
                <w:rStyle w:val="SCCCoramChar"/>
                <w:sz w:val="20"/>
                <w:szCs w:val="20"/>
              </w:rPr>
            </w:pPr>
            <w:r w:rsidRPr="007765E3">
              <w:rPr>
                <w:rStyle w:val="SCCCoramChar"/>
                <w:sz w:val="20"/>
                <w:szCs w:val="20"/>
              </w:rPr>
              <w:t xml:space="preserve">Les juges Abella, </w:t>
            </w:r>
            <w:proofErr w:type="spellStart"/>
            <w:r w:rsidRPr="007765E3">
              <w:rPr>
                <w:rStyle w:val="SCCCoramChar"/>
                <w:sz w:val="20"/>
                <w:szCs w:val="20"/>
              </w:rPr>
              <w:t>Karakatsanis</w:t>
            </w:r>
            <w:proofErr w:type="spellEnd"/>
            <w:r w:rsidRPr="007765E3">
              <w:rPr>
                <w:rStyle w:val="SCCCoramChar"/>
                <w:sz w:val="20"/>
                <w:szCs w:val="20"/>
              </w:rPr>
              <w:t xml:space="preserve"> et Brown </w:t>
            </w:r>
          </w:p>
          <w:p w:rsidR="004C329F" w:rsidRPr="007765E3" w:rsidRDefault="004C329F" w:rsidP="00070F74">
            <w:pPr>
              <w:jc w:val="both"/>
              <w:rPr>
                <w:rFonts w:cs="Times New Roman"/>
                <w:sz w:val="20"/>
                <w:szCs w:val="20"/>
                <w:u w:val="single"/>
                <w:lang w:val="fr-CA"/>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lang w:val="fr-CA"/>
              </w:rPr>
            </w:pPr>
            <w:r w:rsidRPr="007765E3">
              <w:rPr>
                <w:rFonts w:cs="Times New Roman"/>
                <w:szCs w:val="20"/>
                <w:lang w:val="fr-CA"/>
              </w:rPr>
              <w:tab/>
            </w:r>
            <w:r w:rsidR="004C329F" w:rsidRPr="007765E3">
              <w:rPr>
                <w:szCs w:val="20"/>
                <w:lang w:val="fr-CA"/>
              </w:rPr>
              <w:t>La demande d’autorisation d’appel de l’arrêt de la Cour d’appel du Québec (Montréal), numéro 500-09-025955-162, 2016 QCCA 861, daté du 16 mai 2016, est rejetée.</w:t>
            </w:r>
          </w:p>
          <w:p w:rsidR="00127038" w:rsidRPr="007765E3" w:rsidRDefault="00127038" w:rsidP="00070F74">
            <w:pPr>
              <w:pStyle w:val="SCCShortJudgment"/>
              <w:ind w:firstLine="0"/>
              <w:rPr>
                <w:rFonts w:cs="Times New Roman"/>
                <w:szCs w:val="20"/>
                <w:lang w:val="fr-CA"/>
              </w:rPr>
            </w:pPr>
          </w:p>
          <w:p w:rsidR="00127038" w:rsidRPr="007765E3" w:rsidRDefault="004C329F" w:rsidP="004C329F">
            <w:pPr>
              <w:rPr>
                <w:sz w:val="20"/>
                <w:szCs w:val="20"/>
              </w:rPr>
            </w:pPr>
            <w:r w:rsidRPr="007765E3">
              <w:rPr>
                <w:rFonts w:cs="Times New Roman"/>
                <w:szCs w:val="20"/>
                <w:lang w:val="fr-CA"/>
              </w:rPr>
              <w:tab/>
            </w:r>
            <w:r w:rsidRPr="007765E3">
              <w:rPr>
                <w:sz w:val="20"/>
                <w:szCs w:val="20"/>
              </w:rPr>
              <w:t xml:space="preserve">The application for leave to appeal from the judgment of the Court of Appeal of Quebec (Montréal), Number 500-09-025955-162, 2016 QCCA 861, dated May 16, 2016, is dismissed. </w:t>
            </w:r>
          </w:p>
          <w:p w:rsidR="004C329F" w:rsidRPr="007765E3" w:rsidRDefault="004C329F" w:rsidP="004C329F">
            <w:pPr>
              <w:rPr>
                <w:rFonts w:cs="Times New Roman"/>
                <w:szCs w:val="20"/>
                <w:lang w:val="en-US"/>
              </w:rPr>
            </w:pPr>
          </w:p>
        </w:tc>
      </w:tr>
      <w:tr w:rsidR="00127038" w:rsidRPr="007765E3" w:rsidTr="00070F74">
        <w:trPr>
          <w:cantSplit/>
        </w:trPr>
        <w:tc>
          <w:tcPr>
            <w:tcW w:w="9576" w:type="dxa"/>
            <w:gridSpan w:val="4"/>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t>CASE SUMMARY</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4"/>
          </w:tcPr>
          <w:p w:rsidR="004C329F" w:rsidRPr="007765E3" w:rsidRDefault="004C329F" w:rsidP="004C329F">
            <w:pPr>
              <w:pStyle w:val="SCCBanSummary"/>
              <w:rPr>
                <w:sz w:val="20"/>
                <w:szCs w:val="20"/>
              </w:rPr>
            </w:pPr>
            <w:bookmarkStart w:id="3" w:name="lt_pId003"/>
            <w:r w:rsidRPr="007765E3">
              <w:rPr>
                <w:sz w:val="20"/>
                <w:szCs w:val="20"/>
              </w:rPr>
              <w:t>(Publication Ban in Case) (Publication Ban on Party)</w:t>
            </w:r>
            <w:bookmarkEnd w:id="3"/>
          </w:p>
          <w:p w:rsidR="004C329F" w:rsidRPr="007765E3" w:rsidRDefault="004C329F" w:rsidP="004C329F">
            <w:pPr>
              <w:rPr>
                <w:sz w:val="20"/>
                <w:szCs w:val="20"/>
              </w:rPr>
            </w:pPr>
          </w:p>
          <w:p w:rsidR="00127038" w:rsidRPr="007765E3" w:rsidRDefault="004C329F" w:rsidP="004C329F">
            <w:pPr>
              <w:pStyle w:val="SCCShortJudgment"/>
              <w:ind w:firstLine="0"/>
              <w:rPr>
                <w:szCs w:val="20"/>
              </w:rPr>
            </w:pPr>
            <w:r w:rsidRPr="007765E3">
              <w:rPr>
                <w:i/>
                <w:szCs w:val="20"/>
              </w:rPr>
              <w:t>Canadian Charter of Rights and Freedoms</w:t>
            </w:r>
            <w:r w:rsidRPr="007765E3">
              <w:rPr>
                <w:szCs w:val="20"/>
              </w:rPr>
              <w:t xml:space="preserve"> – Family law – Motion for leave to appeal – Whether applicant raising issue of public importance.</w:t>
            </w:r>
          </w:p>
          <w:p w:rsidR="004C329F" w:rsidRPr="007765E3" w:rsidRDefault="004C329F" w:rsidP="004C329F">
            <w:pPr>
              <w:pStyle w:val="SCCShortJudgment"/>
              <w:ind w:firstLine="0"/>
              <w:rPr>
                <w:rFonts w:cs="Times New Roman"/>
                <w:szCs w:val="20"/>
              </w:rPr>
            </w:pPr>
          </w:p>
        </w:tc>
      </w:tr>
      <w:tr w:rsidR="00127038" w:rsidRPr="007765E3" w:rsidTr="00070F74">
        <w:trPr>
          <w:cantSplit/>
        </w:trPr>
        <w:tc>
          <w:tcPr>
            <w:tcW w:w="9576" w:type="dxa"/>
            <w:gridSpan w:val="4"/>
          </w:tcPr>
          <w:p w:rsidR="004C329F" w:rsidRPr="007765E3" w:rsidRDefault="004C329F" w:rsidP="004C329F">
            <w:pPr>
              <w:jc w:val="both"/>
              <w:rPr>
                <w:sz w:val="20"/>
                <w:szCs w:val="20"/>
              </w:rPr>
            </w:pPr>
            <w:r w:rsidRPr="007765E3">
              <w:rPr>
                <w:sz w:val="20"/>
                <w:szCs w:val="20"/>
              </w:rPr>
              <w:t>The parties married on August 10, 2001 and had two children together. The parties separated on August 17, 2011, and a judgment granting their divorce and corollary relief was rendered on November 29, 2012. The proceedings between the two former spouses related mainly to the support the father should pay the mother for the maintenance of their two children.</w:t>
            </w:r>
          </w:p>
          <w:p w:rsidR="00127038" w:rsidRPr="007765E3" w:rsidRDefault="00127038" w:rsidP="00070F74">
            <w:pPr>
              <w:pStyle w:val="SCCShortJudgment"/>
              <w:ind w:firstLine="0"/>
              <w:rPr>
                <w:rFonts w:cs="Times New Roman"/>
                <w:szCs w:val="20"/>
              </w:rPr>
            </w:pP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February 2, 2016</w:t>
            </w:r>
          </w:p>
          <w:p w:rsidR="004C329F" w:rsidRPr="007765E3" w:rsidRDefault="004C329F" w:rsidP="004C329F">
            <w:pPr>
              <w:rPr>
                <w:sz w:val="20"/>
                <w:szCs w:val="20"/>
              </w:rPr>
            </w:pPr>
            <w:r w:rsidRPr="007765E3">
              <w:rPr>
                <w:sz w:val="20"/>
                <w:szCs w:val="20"/>
              </w:rPr>
              <w:t>Quebec Superior Court</w:t>
            </w:r>
          </w:p>
          <w:p w:rsidR="004C329F" w:rsidRPr="007765E3" w:rsidRDefault="004C329F" w:rsidP="004C329F">
            <w:pPr>
              <w:rPr>
                <w:sz w:val="20"/>
                <w:szCs w:val="20"/>
              </w:rPr>
            </w:pPr>
            <w:r w:rsidRPr="007765E3">
              <w:rPr>
                <w:sz w:val="20"/>
                <w:szCs w:val="20"/>
              </w:rPr>
              <w:t>(</w:t>
            </w:r>
            <w:proofErr w:type="spellStart"/>
            <w:r w:rsidRPr="007765E3">
              <w:rPr>
                <w:sz w:val="20"/>
                <w:szCs w:val="20"/>
              </w:rPr>
              <w:t>Crête</w:t>
            </w:r>
            <w:proofErr w:type="spellEnd"/>
            <w:r w:rsidRPr="007765E3">
              <w:rPr>
                <w:sz w:val="20"/>
                <w:szCs w:val="20"/>
              </w:rPr>
              <w:t xml:space="preserve"> J.)</w:t>
            </w:r>
          </w:p>
          <w:p w:rsidR="004C329F" w:rsidRPr="007765E3" w:rsidRDefault="004C329F" w:rsidP="004C329F">
            <w:pPr>
              <w:rPr>
                <w:sz w:val="20"/>
                <w:szCs w:val="20"/>
              </w:rPr>
            </w:pPr>
            <w:r w:rsidRPr="007765E3">
              <w:rPr>
                <w:sz w:val="20"/>
                <w:szCs w:val="20"/>
              </w:rPr>
              <w:t>No. 505-12-036370-115</w:t>
            </w:r>
          </w:p>
          <w:p w:rsidR="004C329F" w:rsidRPr="007765E3" w:rsidRDefault="007765E3" w:rsidP="004C329F">
            <w:pPr>
              <w:rPr>
                <w:sz w:val="20"/>
                <w:szCs w:val="20"/>
              </w:rPr>
            </w:pPr>
            <w:hyperlink r:id="rId56" w:history="1">
              <w:r w:rsidR="004C329F" w:rsidRPr="007765E3">
                <w:rPr>
                  <w:rStyle w:val="Hyperlink"/>
                  <w:sz w:val="20"/>
                  <w:szCs w:val="20"/>
                </w:rPr>
                <w:t>2016 QCCS 427</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4C329F" w:rsidRPr="007765E3" w:rsidRDefault="004C329F" w:rsidP="004C329F">
            <w:pPr>
              <w:rPr>
                <w:sz w:val="20"/>
                <w:szCs w:val="20"/>
              </w:rPr>
            </w:pPr>
            <w:r w:rsidRPr="007765E3">
              <w:rPr>
                <w:sz w:val="20"/>
                <w:szCs w:val="20"/>
              </w:rPr>
              <w:t>Applicant’s motion concerning support dismissed</w:t>
            </w:r>
          </w:p>
          <w:p w:rsidR="004C329F" w:rsidRPr="007765E3" w:rsidRDefault="004C329F" w:rsidP="00070F74">
            <w:pPr>
              <w:jc w:val="both"/>
              <w:rPr>
                <w:rFonts w:cs="Times New Roman"/>
                <w:sz w:val="20"/>
                <w:szCs w:val="20"/>
              </w:rPr>
            </w:pPr>
          </w:p>
          <w:p w:rsidR="004C329F" w:rsidRPr="007765E3" w:rsidRDefault="004C329F" w:rsidP="004C329F">
            <w:pPr>
              <w:rPr>
                <w:rFonts w:cs="Times New Roman"/>
                <w:sz w:val="20"/>
                <w:szCs w:val="20"/>
              </w:rPr>
            </w:pPr>
          </w:p>
          <w:p w:rsidR="00127038" w:rsidRPr="007765E3" w:rsidRDefault="004C329F" w:rsidP="004C329F">
            <w:pPr>
              <w:tabs>
                <w:tab w:val="left" w:pos="1608"/>
              </w:tabs>
              <w:rPr>
                <w:rFonts w:cs="Times New Roman"/>
                <w:sz w:val="20"/>
                <w:szCs w:val="20"/>
              </w:rPr>
            </w:pPr>
            <w:r w:rsidRPr="007765E3">
              <w:rPr>
                <w:rFonts w:cs="Times New Roman"/>
                <w:sz w:val="20"/>
                <w:szCs w:val="20"/>
              </w:rPr>
              <w:tab/>
            </w: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May 16, 2016</w:t>
            </w:r>
          </w:p>
          <w:p w:rsidR="004C329F" w:rsidRPr="007765E3" w:rsidRDefault="004C329F" w:rsidP="004C329F">
            <w:pPr>
              <w:rPr>
                <w:sz w:val="20"/>
                <w:szCs w:val="20"/>
              </w:rPr>
            </w:pPr>
            <w:r w:rsidRPr="007765E3">
              <w:rPr>
                <w:sz w:val="20"/>
                <w:szCs w:val="20"/>
              </w:rPr>
              <w:t>Quebec Court of Appeal (Montréal)</w:t>
            </w:r>
          </w:p>
          <w:p w:rsidR="004C329F" w:rsidRPr="007765E3" w:rsidRDefault="004C329F" w:rsidP="004C329F">
            <w:pPr>
              <w:rPr>
                <w:sz w:val="20"/>
                <w:szCs w:val="20"/>
              </w:rPr>
            </w:pPr>
            <w:r w:rsidRPr="007765E3">
              <w:rPr>
                <w:sz w:val="20"/>
                <w:szCs w:val="20"/>
              </w:rPr>
              <w:t xml:space="preserve">(Thibault, </w:t>
            </w:r>
            <w:proofErr w:type="spellStart"/>
            <w:r w:rsidRPr="007765E3">
              <w:rPr>
                <w:sz w:val="20"/>
                <w:szCs w:val="20"/>
              </w:rPr>
              <w:t>Vauclair</w:t>
            </w:r>
            <w:proofErr w:type="spellEnd"/>
            <w:r w:rsidRPr="007765E3">
              <w:rPr>
                <w:sz w:val="20"/>
                <w:szCs w:val="20"/>
              </w:rPr>
              <w:t xml:space="preserve"> and </w:t>
            </w:r>
            <w:proofErr w:type="spellStart"/>
            <w:r w:rsidRPr="007765E3">
              <w:rPr>
                <w:sz w:val="20"/>
                <w:szCs w:val="20"/>
              </w:rPr>
              <w:t>Marcotte</w:t>
            </w:r>
            <w:proofErr w:type="spellEnd"/>
            <w:r w:rsidRPr="007765E3">
              <w:rPr>
                <w:sz w:val="20"/>
                <w:szCs w:val="20"/>
              </w:rPr>
              <w:t xml:space="preserve"> JJ.A.)</w:t>
            </w:r>
          </w:p>
          <w:p w:rsidR="004C329F" w:rsidRPr="007765E3" w:rsidRDefault="004C329F" w:rsidP="004C329F">
            <w:pPr>
              <w:rPr>
                <w:sz w:val="20"/>
                <w:szCs w:val="20"/>
              </w:rPr>
            </w:pPr>
            <w:r w:rsidRPr="007765E3">
              <w:rPr>
                <w:sz w:val="20"/>
                <w:szCs w:val="20"/>
              </w:rPr>
              <w:t>No. 500-09-025955-162</w:t>
            </w:r>
          </w:p>
          <w:p w:rsidR="004C329F" w:rsidRPr="007765E3" w:rsidRDefault="007765E3" w:rsidP="004C329F">
            <w:pPr>
              <w:rPr>
                <w:sz w:val="20"/>
                <w:szCs w:val="20"/>
              </w:rPr>
            </w:pPr>
            <w:hyperlink r:id="rId57" w:history="1">
              <w:r w:rsidR="004C329F" w:rsidRPr="007765E3">
                <w:rPr>
                  <w:rStyle w:val="Hyperlink"/>
                  <w:sz w:val="20"/>
                  <w:szCs w:val="20"/>
                </w:rPr>
                <w:t>2016 QCCA 861</w:t>
              </w:r>
            </w:hyperlink>
          </w:p>
          <w:p w:rsidR="00127038" w:rsidRPr="007765E3" w:rsidRDefault="00127038" w:rsidP="00070F74">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127038" w:rsidRPr="007765E3" w:rsidRDefault="004C329F" w:rsidP="00070F74">
            <w:pPr>
              <w:jc w:val="both"/>
              <w:rPr>
                <w:rFonts w:cs="Times New Roman"/>
                <w:sz w:val="20"/>
                <w:szCs w:val="20"/>
              </w:rPr>
            </w:pPr>
            <w:r w:rsidRPr="007765E3">
              <w:rPr>
                <w:sz w:val="20"/>
                <w:szCs w:val="20"/>
              </w:rPr>
              <w:t>Respondent’s motion to dismiss appeal allowed</w:t>
            </w:r>
          </w:p>
        </w:tc>
      </w:tr>
      <w:tr w:rsidR="00127038" w:rsidRPr="007765E3" w:rsidTr="00070F74">
        <w:trPr>
          <w:cantSplit/>
        </w:trPr>
        <w:tc>
          <w:tcPr>
            <w:tcW w:w="4410" w:type="dxa"/>
            <w:gridSpan w:val="2"/>
          </w:tcPr>
          <w:p w:rsidR="004C329F" w:rsidRPr="007765E3" w:rsidRDefault="004C329F" w:rsidP="004C329F">
            <w:pPr>
              <w:rPr>
                <w:sz w:val="20"/>
                <w:szCs w:val="20"/>
              </w:rPr>
            </w:pPr>
            <w:r w:rsidRPr="007765E3">
              <w:rPr>
                <w:sz w:val="20"/>
                <w:szCs w:val="20"/>
              </w:rPr>
              <w:t>June 30, 2016</w:t>
            </w:r>
          </w:p>
          <w:p w:rsidR="004C329F" w:rsidRPr="007765E3" w:rsidRDefault="004C329F" w:rsidP="004C329F">
            <w:pPr>
              <w:rPr>
                <w:sz w:val="20"/>
                <w:szCs w:val="20"/>
              </w:rPr>
            </w:pPr>
            <w:r w:rsidRPr="007765E3">
              <w:rPr>
                <w:sz w:val="20"/>
                <w:szCs w:val="20"/>
              </w:rPr>
              <w:t>Supreme Court of Canada</w:t>
            </w:r>
          </w:p>
          <w:p w:rsidR="00127038" w:rsidRPr="007765E3" w:rsidRDefault="00127038" w:rsidP="004C329F">
            <w:pPr>
              <w:jc w:val="both"/>
              <w:rPr>
                <w:rFonts w:cs="Times New Roman"/>
                <w:sz w:val="20"/>
                <w:szCs w:val="20"/>
              </w:rPr>
            </w:pPr>
          </w:p>
        </w:tc>
        <w:tc>
          <w:tcPr>
            <w:tcW w:w="630" w:type="dxa"/>
          </w:tcPr>
          <w:p w:rsidR="00127038" w:rsidRPr="007765E3" w:rsidRDefault="00127038" w:rsidP="00070F74">
            <w:pPr>
              <w:pStyle w:val="SCCShortJudgment"/>
              <w:ind w:firstLine="0"/>
              <w:rPr>
                <w:rFonts w:cs="Times New Roman"/>
                <w:szCs w:val="20"/>
              </w:rPr>
            </w:pPr>
          </w:p>
        </w:tc>
        <w:tc>
          <w:tcPr>
            <w:tcW w:w="4536" w:type="dxa"/>
          </w:tcPr>
          <w:p w:rsidR="00127038" w:rsidRPr="007765E3" w:rsidRDefault="004C329F" w:rsidP="00070F74">
            <w:pPr>
              <w:jc w:val="both"/>
              <w:rPr>
                <w:rFonts w:cs="Times New Roman"/>
                <w:sz w:val="20"/>
                <w:szCs w:val="20"/>
              </w:rPr>
            </w:pPr>
            <w:r w:rsidRPr="007765E3">
              <w:rPr>
                <w:sz w:val="20"/>
                <w:szCs w:val="20"/>
              </w:rPr>
              <w:t>Application for leave to appeal filed</w:t>
            </w:r>
          </w:p>
        </w:tc>
      </w:tr>
      <w:tr w:rsidR="00127038" w:rsidRPr="007765E3" w:rsidTr="00070F74">
        <w:trPr>
          <w:cantSplit/>
        </w:trPr>
        <w:tc>
          <w:tcPr>
            <w:tcW w:w="9576" w:type="dxa"/>
            <w:gridSpan w:val="4"/>
          </w:tcPr>
          <w:p w:rsidR="00127038" w:rsidRPr="007765E3" w:rsidRDefault="007765E3" w:rsidP="00070F74">
            <w:pPr>
              <w:pStyle w:val="SCCShortJudgment"/>
              <w:ind w:firstLine="0"/>
              <w:rPr>
                <w:rFonts w:cs="Times New Roman"/>
                <w:szCs w:val="20"/>
                <w:lang w:val="fr-CA"/>
              </w:rPr>
            </w:pPr>
            <w:r w:rsidRPr="007765E3">
              <w:rPr>
                <w:rFonts w:cs="Times New Roman"/>
                <w:szCs w:val="20"/>
                <w:lang w:val="fr-CA"/>
              </w:rPr>
              <w:pict>
                <v:rect id="_x0000_i1064" style="width:2in;height:1pt" o:hrpct="0" o:hralign="center" o:hrstd="t" o:hrnoshade="t" o:hr="t" fillcolor="black [3213]" stroked="f"/>
              </w:pict>
            </w:r>
          </w:p>
          <w:p w:rsidR="00127038" w:rsidRPr="007765E3" w:rsidRDefault="00127038" w:rsidP="00070F74">
            <w:pPr>
              <w:pStyle w:val="SCCShortJudgment"/>
              <w:ind w:firstLine="0"/>
              <w:rPr>
                <w:rFonts w:cs="Times New Roman"/>
                <w:szCs w:val="20"/>
                <w:lang w:val="fr-CA"/>
              </w:rPr>
            </w:pPr>
          </w:p>
        </w:tc>
      </w:tr>
    </w:tbl>
    <w:p w:rsidR="00B03D90" w:rsidRPr="007765E3" w:rsidRDefault="00B03D90">
      <w:r w:rsidRPr="007765E3">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27038" w:rsidRPr="007765E3" w:rsidTr="00070F74">
        <w:trPr>
          <w:cantSplit/>
        </w:trPr>
        <w:tc>
          <w:tcPr>
            <w:tcW w:w="9576" w:type="dxa"/>
            <w:gridSpan w:val="3"/>
          </w:tcPr>
          <w:p w:rsidR="00127038" w:rsidRPr="007765E3" w:rsidRDefault="00127038" w:rsidP="00070F74">
            <w:pPr>
              <w:pStyle w:val="SCCShortJudgment"/>
              <w:ind w:firstLine="0"/>
              <w:rPr>
                <w:rFonts w:cs="Times New Roman"/>
                <w:szCs w:val="20"/>
                <w:u w:val="single"/>
                <w:lang w:val="fr-CA"/>
              </w:rPr>
            </w:pPr>
            <w:r w:rsidRPr="007765E3">
              <w:rPr>
                <w:rFonts w:cs="Times New Roman"/>
                <w:szCs w:val="20"/>
                <w:u w:val="single"/>
                <w:lang w:val="fr-CA"/>
              </w:rPr>
              <w:lastRenderedPageBreak/>
              <w:t>RÉSUMÉ DE L’AFFAIRE </w:t>
            </w:r>
          </w:p>
          <w:p w:rsidR="00127038" w:rsidRPr="007765E3" w:rsidRDefault="00127038" w:rsidP="00070F74">
            <w:pPr>
              <w:pStyle w:val="SCCShortJudgment"/>
              <w:ind w:firstLine="0"/>
              <w:rPr>
                <w:rFonts w:cs="Times New Roman"/>
                <w:szCs w:val="20"/>
                <w:u w:val="single"/>
                <w:lang w:val="fr-CA"/>
              </w:rPr>
            </w:pPr>
          </w:p>
        </w:tc>
      </w:tr>
      <w:tr w:rsidR="00127038" w:rsidRPr="007765E3" w:rsidTr="00070F74">
        <w:trPr>
          <w:cantSplit/>
        </w:trPr>
        <w:tc>
          <w:tcPr>
            <w:tcW w:w="9576" w:type="dxa"/>
            <w:gridSpan w:val="3"/>
          </w:tcPr>
          <w:p w:rsidR="004C329F" w:rsidRPr="007765E3" w:rsidRDefault="004C329F" w:rsidP="004C329F">
            <w:pPr>
              <w:pStyle w:val="SCCBanSummary"/>
              <w:rPr>
                <w:sz w:val="20"/>
                <w:szCs w:val="20"/>
                <w:lang w:val="fr-CA"/>
              </w:rPr>
            </w:pPr>
            <w:r w:rsidRPr="007765E3">
              <w:rPr>
                <w:sz w:val="20"/>
                <w:szCs w:val="20"/>
                <w:lang w:val="fr-CA"/>
              </w:rPr>
              <w:t>(Ordonnance de non-publication dans le dossier) (Ordonnance de non-publication visant une partie)</w:t>
            </w:r>
          </w:p>
          <w:p w:rsidR="004C329F" w:rsidRPr="007765E3" w:rsidRDefault="004C329F" w:rsidP="004C329F">
            <w:pPr>
              <w:rPr>
                <w:sz w:val="20"/>
                <w:szCs w:val="20"/>
                <w:lang w:val="fr-CA"/>
              </w:rPr>
            </w:pPr>
          </w:p>
          <w:p w:rsidR="00127038" w:rsidRPr="007765E3" w:rsidRDefault="004C329F" w:rsidP="004C329F">
            <w:pPr>
              <w:pStyle w:val="SCCShortJudgment"/>
              <w:ind w:firstLine="0"/>
              <w:rPr>
                <w:szCs w:val="20"/>
                <w:lang w:val="fr-CA"/>
              </w:rPr>
            </w:pPr>
            <w:r w:rsidRPr="007765E3">
              <w:rPr>
                <w:i/>
                <w:szCs w:val="20"/>
                <w:lang w:val="fr-CA"/>
              </w:rPr>
              <w:t>Charte canadienne des droits et libertés</w:t>
            </w:r>
            <w:r w:rsidRPr="007765E3">
              <w:rPr>
                <w:szCs w:val="20"/>
                <w:lang w:val="fr-CA"/>
              </w:rPr>
              <w:t xml:space="preserve"> – Droit de la famille – Requête pour permission d’interjeter appel – Le demandeur soulève-t-il une question d’importance pour le public?</w:t>
            </w:r>
          </w:p>
          <w:p w:rsidR="004C329F" w:rsidRPr="007765E3" w:rsidRDefault="004C329F" w:rsidP="004C329F">
            <w:pPr>
              <w:pStyle w:val="SCCShortJudgment"/>
              <w:ind w:firstLine="0"/>
              <w:rPr>
                <w:rFonts w:cs="Times New Roman"/>
                <w:szCs w:val="20"/>
                <w:u w:val="single"/>
                <w:lang w:val="fr-CA"/>
              </w:rPr>
            </w:pPr>
          </w:p>
        </w:tc>
      </w:tr>
      <w:tr w:rsidR="00127038" w:rsidRPr="007765E3" w:rsidTr="00070F74">
        <w:trPr>
          <w:cantSplit/>
        </w:trPr>
        <w:tc>
          <w:tcPr>
            <w:tcW w:w="9576" w:type="dxa"/>
            <w:gridSpan w:val="3"/>
          </w:tcPr>
          <w:p w:rsidR="004C329F" w:rsidRPr="007765E3" w:rsidRDefault="004C329F" w:rsidP="004C329F">
            <w:pPr>
              <w:jc w:val="both"/>
              <w:rPr>
                <w:sz w:val="20"/>
                <w:szCs w:val="20"/>
                <w:lang w:val="fr-CA"/>
              </w:rPr>
            </w:pPr>
            <w:r w:rsidRPr="007765E3">
              <w:rPr>
                <w:sz w:val="20"/>
                <w:szCs w:val="20"/>
                <w:lang w:val="fr-CA"/>
              </w:rPr>
              <w:t xml:space="preserve">Les parties se sont mariées le 10 août 2001 et deux enfants sont nés de leur union. Les parties se séparent le 17 août 2011 et le jugement prononçant leur divorce et les mesures accessoires </w:t>
            </w:r>
            <w:proofErr w:type="gramStart"/>
            <w:r w:rsidRPr="007765E3">
              <w:rPr>
                <w:sz w:val="20"/>
                <w:szCs w:val="20"/>
                <w:lang w:val="fr-CA"/>
              </w:rPr>
              <w:t>est</w:t>
            </w:r>
            <w:proofErr w:type="gramEnd"/>
            <w:r w:rsidRPr="007765E3">
              <w:rPr>
                <w:sz w:val="20"/>
                <w:szCs w:val="20"/>
                <w:lang w:val="fr-CA"/>
              </w:rPr>
              <w:t xml:space="preserve"> intervenu le 29 novembre 2012. Le litige engagé entre les deux ex-conjoints porte principalement sur la pension alimentaire que le père devrait payer à la mère pour l’entretien de leurs deux enfants.</w:t>
            </w:r>
          </w:p>
          <w:p w:rsidR="00127038" w:rsidRPr="007765E3" w:rsidRDefault="00127038" w:rsidP="00070F74">
            <w:pPr>
              <w:jc w:val="both"/>
              <w:rPr>
                <w:rFonts w:cs="Times New Roman"/>
                <w:sz w:val="20"/>
                <w:szCs w:val="20"/>
                <w:u w:val="single"/>
                <w:lang w:val="fr-CA"/>
              </w:rPr>
            </w:pPr>
          </w:p>
        </w:tc>
      </w:tr>
      <w:tr w:rsidR="00127038" w:rsidRPr="007765E3" w:rsidTr="00070F74">
        <w:trPr>
          <w:cantSplit/>
        </w:trPr>
        <w:tc>
          <w:tcPr>
            <w:tcW w:w="4410" w:type="dxa"/>
          </w:tcPr>
          <w:p w:rsidR="004C329F" w:rsidRPr="007765E3" w:rsidRDefault="004C329F" w:rsidP="004C329F">
            <w:pPr>
              <w:rPr>
                <w:sz w:val="20"/>
                <w:szCs w:val="20"/>
                <w:lang w:val="fr-CA"/>
              </w:rPr>
            </w:pPr>
            <w:r w:rsidRPr="007765E3">
              <w:rPr>
                <w:sz w:val="20"/>
                <w:szCs w:val="20"/>
                <w:lang w:val="fr-CA"/>
              </w:rPr>
              <w:t>Le 2 février 2016</w:t>
            </w:r>
          </w:p>
          <w:p w:rsidR="004C329F" w:rsidRPr="007765E3" w:rsidRDefault="004C329F" w:rsidP="004C329F">
            <w:pPr>
              <w:rPr>
                <w:sz w:val="20"/>
                <w:szCs w:val="20"/>
                <w:lang w:val="fr-CA"/>
              </w:rPr>
            </w:pPr>
            <w:r w:rsidRPr="007765E3">
              <w:rPr>
                <w:sz w:val="20"/>
                <w:szCs w:val="20"/>
                <w:lang w:val="fr-CA"/>
              </w:rPr>
              <w:t>Cour supérieure du Québec</w:t>
            </w:r>
          </w:p>
          <w:p w:rsidR="004C329F" w:rsidRPr="007765E3" w:rsidRDefault="004C329F" w:rsidP="004C329F">
            <w:pPr>
              <w:rPr>
                <w:sz w:val="20"/>
                <w:szCs w:val="20"/>
                <w:lang w:val="fr-CA"/>
              </w:rPr>
            </w:pPr>
            <w:r w:rsidRPr="007765E3">
              <w:rPr>
                <w:sz w:val="20"/>
                <w:szCs w:val="20"/>
                <w:lang w:val="fr-CA"/>
              </w:rPr>
              <w:t>(Le juge Crête)</w:t>
            </w:r>
          </w:p>
          <w:p w:rsidR="004C329F" w:rsidRPr="007765E3" w:rsidRDefault="004C329F" w:rsidP="004C329F">
            <w:pPr>
              <w:rPr>
                <w:sz w:val="20"/>
                <w:szCs w:val="20"/>
                <w:lang w:val="fr-CA"/>
              </w:rPr>
            </w:pPr>
            <w:r w:rsidRPr="007765E3">
              <w:rPr>
                <w:sz w:val="20"/>
                <w:szCs w:val="20"/>
                <w:lang w:val="fr-CA"/>
              </w:rPr>
              <w:t>No. 505-12-036370-115</w:t>
            </w:r>
          </w:p>
          <w:p w:rsidR="004C329F" w:rsidRPr="007765E3" w:rsidRDefault="007765E3" w:rsidP="004C329F">
            <w:pPr>
              <w:rPr>
                <w:sz w:val="20"/>
                <w:szCs w:val="20"/>
                <w:lang w:val="fr-CA"/>
              </w:rPr>
            </w:pPr>
            <w:hyperlink r:id="rId58" w:history="1">
              <w:r w:rsidR="004C329F" w:rsidRPr="007765E3">
                <w:rPr>
                  <w:rStyle w:val="Hyperlink"/>
                  <w:sz w:val="20"/>
                  <w:szCs w:val="20"/>
                  <w:lang w:val="fr-CA"/>
                </w:rPr>
                <w:t>2016 QCCS 427</w:t>
              </w:r>
            </w:hyperlink>
          </w:p>
          <w:p w:rsidR="00127038" w:rsidRPr="007765E3" w:rsidRDefault="00127038" w:rsidP="00070F74">
            <w:pPr>
              <w:pStyle w:val="SCCShortJudgment"/>
              <w:ind w:firstLine="0"/>
              <w:rPr>
                <w:rFonts w:cs="Times New Roman"/>
                <w:szCs w:val="20"/>
                <w:u w:val="single"/>
                <w:lang w:val="fr-CA"/>
              </w:rPr>
            </w:pPr>
          </w:p>
        </w:tc>
        <w:tc>
          <w:tcPr>
            <w:tcW w:w="630" w:type="dxa"/>
          </w:tcPr>
          <w:p w:rsidR="00127038" w:rsidRPr="007765E3" w:rsidRDefault="00127038" w:rsidP="00070F74">
            <w:pPr>
              <w:pStyle w:val="SCCShortJudgment"/>
              <w:ind w:firstLine="0"/>
              <w:rPr>
                <w:rFonts w:cs="Times New Roman"/>
                <w:szCs w:val="20"/>
                <w:u w:val="single"/>
                <w:lang w:val="fr-CA"/>
              </w:rPr>
            </w:pPr>
          </w:p>
        </w:tc>
        <w:tc>
          <w:tcPr>
            <w:tcW w:w="4536" w:type="dxa"/>
          </w:tcPr>
          <w:p w:rsidR="004C329F" w:rsidRPr="007765E3" w:rsidRDefault="004C329F" w:rsidP="004C329F">
            <w:pPr>
              <w:jc w:val="both"/>
              <w:rPr>
                <w:sz w:val="20"/>
                <w:szCs w:val="20"/>
                <w:lang w:val="fr-CA"/>
              </w:rPr>
            </w:pPr>
            <w:r w:rsidRPr="007765E3">
              <w:rPr>
                <w:sz w:val="20"/>
                <w:szCs w:val="20"/>
                <w:lang w:val="fr-CA"/>
              </w:rPr>
              <w:t>Requête du demandeur relative à la pension alimentaire rejetée.</w:t>
            </w:r>
          </w:p>
          <w:p w:rsidR="00127038" w:rsidRPr="007765E3" w:rsidRDefault="00127038" w:rsidP="00070F74">
            <w:pPr>
              <w:pStyle w:val="SCCShortJudgment"/>
              <w:ind w:firstLine="0"/>
              <w:rPr>
                <w:rFonts w:cs="Times New Roman"/>
                <w:szCs w:val="20"/>
                <w:u w:val="single"/>
                <w:lang w:val="fr-CA"/>
              </w:rPr>
            </w:pPr>
          </w:p>
        </w:tc>
      </w:tr>
      <w:tr w:rsidR="004C329F" w:rsidRPr="007765E3" w:rsidTr="00070F74">
        <w:trPr>
          <w:cantSplit/>
        </w:trPr>
        <w:tc>
          <w:tcPr>
            <w:tcW w:w="4410" w:type="dxa"/>
          </w:tcPr>
          <w:p w:rsidR="004C329F" w:rsidRPr="007765E3" w:rsidRDefault="004C329F" w:rsidP="004C329F">
            <w:pPr>
              <w:rPr>
                <w:sz w:val="20"/>
                <w:szCs w:val="20"/>
                <w:lang w:val="fr-CA"/>
              </w:rPr>
            </w:pPr>
            <w:r w:rsidRPr="007765E3">
              <w:rPr>
                <w:sz w:val="20"/>
                <w:szCs w:val="20"/>
                <w:lang w:val="fr-CA"/>
              </w:rPr>
              <w:t>Le 16 mai 2016</w:t>
            </w:r>
          </w:p>
          <w:p w:rsidR="004C329F" w:rsidRPr="007765E3" w:rsidRDefault="004C329F" w:rsidP="004C329F">
            <w:pPr>
              <w:rPr>
                <w:sz w:val="20"/>
                <w:szCs w:val="20"/>
                <w:lang w:val="fr-CA"/>
              </w:rPr>
            </w:pPr>
            <w:r w:rsidRPr="007765E3">
              <w:rPr>
                <w:sz w:val="20"/>
                <w:szCs w:val="20"/>
                <w:lang w:val="fr-CA"/>
              </w:rPr>
              <w:t>Cour d’appel du Québec (Montréal)</w:t>
            </w:r>
          </w:p>
          <w:p w:rsidR="004C329F" w:rsidRPr="007765E3" w:rsidRDefault="004C329F" w:rsidP="004C329F">
            <w:pPr>
              <w:rPr>
                <w:sz w:val="20"/>
                <w:szCs w:val="20"/>
                <w:lang w:val="fr-CA"/>
              </w:rPr>
            </w:pPr>
            <w:r w:rsidRPr="007765E3">
              <w:rPr>
                <w:sz w:val="20"/>
                <w:szCs w:val="20"/>
                <w:lang w:val="fr-CA"/>
              </w:rPr>
              <w:t xml:space="preserve">(Les juges Thibault, </w:t>
            </w:r>
            <w:proofErr w:type="spellStart"/>
            <w:r w:rsidRPr="007765E3">
              <w:rPr>
                <w:sz w:val="20"/>
                <w:szCs w:val="20"/>
                <w:lang w:val="fr-CA"/>
              </w:rPr>
              <w:t>Vauclair</w:t>
            </w:r>
            <w:proofErr w:type="spellEnd"/>
            <w:r w:rsidRPr="007765E3">
              <w:rPr>
                <w:sz w:val="20"/>
                <w:szCs w:val="20"/>
                <w:lang w:val="fr-CA"/>
              </w:rPr>
              <w:t xml:space="preserve"> et Marcotte)</w:t>
            </w:r>
          </w:p>
          <w:p w:rsidR="004C329F" w:rsidRPr="007765E3" w:rsidRDefault="004C329F" w:rsidP="004C329F">
            <w:pPr>
              <w:rPr>
                <w:sz w:val="20"/>
                <w:szCs w:val="20"/>
              </w:rPr>
            </w:pPr>
            <w:r w:rsidRPr="007765E3">
              <w:rPr>
                <w:sz w:val="20"/>
                <w:szCs w:val="20"/>
              </w:rPr>
              <w:t>No. 500-09-025955-162</w:t>
            </w:r>
          </w:p>
          <w:p w:rsidR="004C329F" w:rsidRPr="007765E3" w:rsidRDefault="007765E3" w:rsidP="004C329F">
            <w:pPr>
              <w:rPr>
                <w:sz w:val="20"/>
                <w:szCs w:val="20"/>
              </w:rPr>
            </w:pPr>
            <w:hyperlink r:id="rId59" w:history="1">
              <w:r w:rsidR="004C329F" w:rsidRPr="007765E3">
                <w:rPr>
                  <w:rStyle w:val="Hyperlink"/>
                  <w:sz w:val="20"/>
                  <w:szCs w:val="20"/>
                </w:rPr>
                <w:t>2016 QCCA 861</w:t>
              </w:r>
            </w:hyperlink>
          </w:p>
          <w:p w:rsidR="004C329F" w:rsidRPr="007765E3" w:rsidRDefault="004C329F" w:rsidP="004C329F">
            <w:pPr>
              <w:pStyle w:val="SCCShortJudgment"/>
              <w:ind w:firstLine="0"/>
              <w:rPr>
                <w:rFonts w:cs="Times New Roman"/>
                <w:szCs w:val="20"/>
                <w:u w:val="single"/>
                <w:lang w:val="fr-CA"/>
              </w:rPr>
            </w:pPr>
          </w:p>
        </w:tc>
        <w:tc>
          <w:tcPr>
            <w:tcW w:w="630" w:type="dxa"/>
          </w:tcPr>
          <w:p w:rsidR="004C329F" w:rsidRPr="007765E3" w:rsidRDefault="004C329F" w:rsidP="004C329F">
            <w:pPr>
              <w:pStyle w:val="SCCShortJudgment"/>
              <w:ind w:firstLine="0"/>
              <w:rPr>
                <w:rFonts w:cs="Times New Roman"/>
                <w:szCs w:val="20"/>
                <w:u w:val="single"/>
                <w:lang w:val="fr-CA"/>
              </w:rPr>
            </w:pPr>
          </w:p>
        </w:tc>
        <w:tc>
          <w:tcPr>
            <w:tcW w:w="4536" w:type="dxa"/>
          </w:tcPr>
          <w:p w:rsidR="004C329F" w:rsidRPr="007765E3" w:rsidRDefault="004C329F" w:rsidP="004C329F">
            <w:pPr>
              <w:rPr>
                <w:sz w:val="20"/>
                <w:szCs w:val="20"/>
                <w:lang w:val="fr-CA"/>
              </w:rPr>
            </w:pPr>
            <w:r w:rsidRPr="007765E3">
              <w:rPr>
                <w:sz w:val="20"/>
                <w:szCs w:val="20"/>
                <w:lang w:val="fr-CA"/>
              </w:rPr>
              <w:t>Requête de l’intimée en rejet d’appel accueillie.</w:t>
            </w:r>
          </w:p>
        </w:tc>
      </w:tr>
      <w:tr w:rsidR="004C329F" w:rsidRPr="007765E3" w:rsidTr="00070F74">
        <w:trPr>
          <w:cantSplit/>
        </w:trPr>
        <w:tc>
          <w:tcPr>
            <w:tcW w:w="4410" w:type="dxa"/>
          </w:tcPr>
          <w:p w:rsidR="004C329F" w:rsidRPr="007765E3" w:rsidRDefault="004C329F" w:rsidP="004C329F">
            <w:pPr>
              <w:rPr>
                <w:sz w:val="20"/>
                <w:szCs w:val="20"/>
                <w:lang w:val="fr-CA"/>
              </w:rPr>
            </w:pPr>
            <w:r w:rsidRPr="007765E3">
              <w:rPr>
                <w:sz w:val="20"/>
                <w:szCs w:val="20"/>
                <w:lang w:val="fr-CA"/>
              </w:rPr>
              <w:t>Le 30 juin 2016</w:t>
            </w:r>
          </w:p>
          <w:p w:rsidR="004C329F" w:rsidRPr="007765E3" w:rsidRDefault="004C329F" w:rsidP="004C329F">
            <w:pPr>
              <w:rPr>
                <w:sz w:val="20"/>
                <w:szCs w:val="20"/>
                <w:lang w:val="fr-CA"/>
              </w:rPr>
            </w:pPr>
            <w:r w:rsidRPr="007765E3">
              <w:rPr>
                <w:sz w:val="20"/>
                <w:szCs w:val="20"/>
                <w:lang w:val="fr-CA"/>
              </w:rPr>
              <w:t>Cour suprême du Canada</w:t>
            </w:r>
          </w:p>
          <w:p w:rsidR="004C329F" w:rsidRPr="007765E3" w:rsidRDefault="004C329F" w:rsidP="004C329F">
            <w:pPr>
              <w:pStyle w:val="SCCShortJudgment"/>
              <w:ind w:firstLine="0"/>
              <w:rPr>
                <w:rFonts w:cs="Times New Roman"/>
                <w:szCs w:val="20"/>
                <w:u w:val="single"/>
                <w:lang w:val="fr-CA"/>
              </w:rPr>
            </w:pPr>
          </w:p>
        </w:tc>
        <w:tc>
          <w:tcPr>
            <w:tcW w:w="630" w:type="dxa"/>
          </w:tcPr>
          <w:p w:rsidR="004C329F" w:rsidRPr="007765E3" w:rsidRDefault="004C329F" w:rsidP="004C329F">
            <w:pPr>
              <w:pStyle w:val="SCCShortJudgment"/>
              <w:ind w:firstLine="0"/>
              <w:rPr>
                <w:rFonts w:cs="Times New Roman"/>
                <w:szCs w:val="20"/>
                <w:u w:val="single"/>
                <w:lang w:val="fr-CA"/>
              </w:rPr>
            </w:pPr>
          </w:p>
        </w:tc>
        <w:tc>
          <w:tcPr>
            <w:tcW w:w="4536" w:type="dxa"/>
          </w:tcPr>
          <w:p w:rsidR="004C329F" w:rsidRPr="007765E3" w:rsidRDefault="004C329F" w:rsidP="004C329F">
            <w:pPr>
              <w:rPr>
                <w:sz w:val="20"/>
                <w:szCs w:val="20"/>
              </w:rPr>
            </w:pPr>
            <w:proofErr w:type="spellStart"/>
            <w:r w:rsidRPr="007765E3">
              <w:rPr>
                <w:sz w:val="20"/>
                <w:szCs w:val="20"/>
              </w:rPr>
              <w:t>Demande</w:t>
            </w:r>
            <w:proofErr w:type="spellEnd"/>
            <w:r w:rsidRPr="007765E3">
              <w:rPr>
                <w:sz w:val="20"/>
                <w:szCs w:val="20"/>
              </w:rPr>
              <w:t xml:space="preserve"> </w:t>
            </w:r>
            <w:proofErr w:type="spellStart"/>
            <w:r w:rsidRPr="007765E3">
              <w:rPr>
                <w:sz w:val="20"/>
                <w:szCs w:val="20"/>
              </w:rPr>
              <w:t>d’autorisation</w:t>
            </w:r>
            <w:proofErr w:type="spellEnd"/>
            <w:r w:rsidRPr="007765E3">
              <w:rPr>
                <w:sz w:val="20"/>
                <w:szCs w:val="20"/>
              </w:rPr>
              <w:t xml:space="preserve"> </w:t>
            </w:r>
            <w:proofErr w:type="spellStart"/>
            <w:r w:rsidRPr="007765E3">
              <w:rPr>
                <w:sz w:val="20"/>
                <w:szCs w:val="20"/>
              </w:rPr>
              <w:t>d’appel</w:t>
            </w:r>
            <w:proofErr w:type="spellEnd"/>
            <w:r w:rsidRPr="007765E3">
              <w:rPr>
                <w:sz w:val="20"/>
                <w:szCs w:val="20"/>
              </w:rPr>
              <w:t xml:space="preserve"> </w:t>
            </w:r>
            <w:proofErr w:type="spellStart"/>
            <w:r w:rsidRPr="007765E3">
              <w:rPr>
                <w:sz w:val="20"/>
                <w:szCs w:val="20"/>
              </w:rPr>
              <w:t>déposée</w:t>
            </w:r>
            <w:proofErr w:type="spellEnd"/>
            <w:r w:rsidRPr="007765E3">
              <w:rPr>
                <w:sz w:val="20"/>
                <w:szCs w:val="20"/>
              </w:rPr>
              <w:t>.</w:t>
            </w:r>
          </w:p>
          <w:p w:rsidR="004C329F" w:rsidRPr="007765E3" w:rsidRDefault="004C329F" w:rsidP="004C329F">
            <w:pPr>
              <w:pStyle w:val="SCCShortJudgment"/>
              <w:ind w:firstLine="0"/>
              <w:rPr>
                <w:rFonts w:cs="Times New Roman"/>
                <w:szCs w:val="20"/>
                <w:u w:val="single"/>
                <w:lang w:val="fr-CA"/>
              </w:rPr>
            </w:pPr>
          </w:p>
        </w:tc>
      </w:tr>
    </w:tbl>
    <w:p w:rsidR="00127038" w:rsidRPr="007765E3" w:rsidRDefault="007765E3" w:rsidP="008D292F">
      <w:pPr>
        <w:rPr>
          <w:sz w:val="20"/>
          <w:szCs w:val="20"/>
          <w:lang w:val="fr-CA"/>
        </w:rPr>
      </w:pPr>
      <w:r w:rsidRPr="007765E3">
        <w:rPr>
          <w:rFonts w:cs="Times New Roman"/>
          <w:szCs w:val="20"/>
          <w:lang w:val="fr-CA"/>
        </w:rPr>
        <w:pict>
          <v:rect id="_x0000_i1065" style="width:2in;height:1pt" o:hrpct="0" o:hralign="center" o:hrstd="t" o:hrnoshade="t" o:hr="t" fillcolor="black [3213]" stroked="f"/>
        </w:pict>
      </w:r>
    </w:p>
    <w:p w:rsidR="00890FEB" w:rsidRPr="007765E3" w:rsidRDefault="00890FEB" w:rsidP="008D292F">
      <w:pPr>
        <w:rPr>
          <w:sz w:val="20"/>
          <w:szCs w:val="20"/>
          <w:lang w:val="fr-CA"/>
        </w:rPr>
      </w:pPr>
    </w:p>
    <w:p w:rsidR="00890FEB" w:rsidRPr="007765E3" w:rsidRDefault="00890FEB" w:rsidP="008D292F">
      <w:pPr>
        <w:rPr>
          <w:b/>
          <w:sz w:val="20"/>
          <w:szCs w:val="20"/>
          <w:lang w:val="fr-CA"/>
        </w:rPr>
        <w:sectPr w:rsidR="00890FEB" w:rsidRPr="007765E3" w:rsidSect="008D292F">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7765E3" w:rsidTr="00BA6468">
        <w:tc>
          <w:tcPr>
            <w:tcW w:w="4230" w:type="dxa"/>
            <w:shd w:val="clear" w:color="auto" w:fill="auto"/>
            <w:tcMar>
              <w:left w:w="0" w:type="dxa"/>
              <w:right w:w="0" w:type="dxa"/>
            </w:tcMar>
          </w:tcPr>
          <w:p w:rsidR="00890FEB" w:rsidRPr="007765E3" w:rsidRDefault="00890FEB" w:rsidP="00EB2B90">
            <w:pPr>
              <w:keepNext/>
              <w:keepLines/>
              <w:tabs>
                <w:tab w:val="left" w:pos="-1440"/>
                <w:tab w:val="left" w:pos="-720"/>
              </w:tabs>
              <w:jc w:val="both"/>
              <w:rPr>
                <w:szCs w:val="24"/>
              </w:rPr>
            </w:pPr>
            <w:r w:rsidRPr="007765E3">
              <w:rPr>
                <w:b/>
                <w:szCs w:val="24"/>
              </w:rPr>
              <w:lastRenderedPageBreak/>
              <w:t>MOTIONS</w:t>
            </w:r>
          </w:p>
        </w:tc>
        <w:tc>
          <w:tcPr>
            <w:tcW w:w="1170" w:type="dxa"/>
            <w:shd w:val="clear" w:color="auto" w:fill="auto"/>
            <w:tcMar>
              <w:left w:w="0" w:type="dxa"/>
              <w:right w:w="0" w:type="dxa"/>
            </w:tcMar>
          </w:tcPr>
          <w:p w:rsidR="00890FEB" w:rsidRPr="007765E3" w:rsidRDefault="00890FEB" w:rsidP="00890FEB">
            <w:pPr>
              <w:keepNext/>
              <w:keepLines/>
              <w:tabs>
                <w:tab w:val="left" w:pos="-1440"/>
                <w:tab w:val="left" w:pos="-720"/>
              </w:tabs>
              <w:jc w:val="center"/>
              <w:rPr>
                <w:szCs w:val="24"/>
              </w:rPr>
            </w:pPr>
          </w:p>
          <w:p w:rsidR="00890FEB" w:rsidRPr="007765E3"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765E3" w:rsidRDefault="00890FEB" w:rsidP="00831CA9">
            <w:pPr>
              <w:keepNext/>
              <w:keepLines/>
              <w:tabs>
                <w:tab w:val="left" w:pos="-1440"/>
                <w:tab w:val="left" w:pos="-720"/>
              </w:tabs>
              <w:rPr>
                <w:szCs w:val="24"/>
                <w:lang w:val="fr-CA"/>
              </w:rPr>
            </w:pPr>
            <w:r w:rsidRPr="007765E3">
              <w:rPr>
                <w:b/>
                <w:szCs w:val="24"/>
                <w:lang w:val="fr-CA"/>
              </w:rPr>
              <w:t>REQUÊTES</w:t>
            </w:r>
          </w:p>
        </w:tc>
      </w:tr>
    </w:tbl>
    <w:p w:rsidR="00890FEB" w:rsidRPr="007765E3" w:rsidRDefault="00890FEB" w:rsidP="00890FEB">
      <w:pPr>
        <w:rPr>
          <w:sz w:val="20"/>
          <w:szCs w:val="20"/>
        </w:rPr>
      </w:pPr>
    </w:p>
    <w:p w:rsidR="0059186F" w:rsidRPr="007765E3" w:rsidRDefault="0014222C" w:rsidP="0059186F">
      <w:pPr>
        <w:tabs>
          <w:tab w:val="left" w:pos="-1440"/>
          <w:tab w:val="left" w:pos="-720"/>
        </w:tabs>
        <w:jc w:val="both"/>
        <w:rPr>
          <w:sz w:val="20"/>
          <w:szCs w:val="20"/>
          <w:lang w:val="fr-CA"/>
        </w:rPr>
      </w:pPr>
      <w:r w:rsidRPr="007765E3">
        <w:rPr>
          <w:sz w:val="20"/>
          <w:szCs w:val="20"/>
          <w:lang w:val="fr-CA"/>
        </w:rPr>
        <w:t>29</w:t>
      </w:r>
      <w:r w:rsidR="0059186F" w:rsidRPr="007765E3">
        <w:rPr>
          <w:sz w:val="20"/>
          <w:szCs w:val="20"/>
          <w:lang w:val="fr-CA"/>
        </w:rPr>
        <w:t>.09.2016</w:t>
      </w:r>
    </w:p>
    <w:p w:rsidR="0059186F" w:rsidRPr="007765E3" w:rsidRDefault="0059186F" w:rsidP="0059186F">
      <w:pPr>
        <w:tabs>
          <w:tab w:val="left" w:pos="-1440"/>
          <w:tab w:val="left" w:pos="-720"/>
        </w:tabs>
        <w:jc w:val="both"/>
        <w:rPr>
          <w:sz w:val="20"/>
          <w:szCs w:val="20"/>
          <w:lang w:val="fr-CA"/>
        </w:rPr>
      </w:pPr>
    </w:p>
    <w:p w:rsidR="0059186F" w:rsidRPr="007765E3" w:rsidRDefault="0059186F" w:rsidP="0059186F">
      <w:pPr>
        <w:tabs>
          <w:tab w:val="left" w:pos="-1440"/>
          <w:tab w:val="left" w:pos="-720"/>
        </w:tabs>
        <w:jc w:val="both"/>
        <w:rPr>
          <w:sz w:val="20"/>
          <w:szCs w:val="20"/>
          <w:lang w:val="fr-CA"/>
        </w:rPr>
      </w:pPr>
      <w:proofErr w:type="spellStart"/>
      <w:r w:rsidRPr="007765E3">
        <w:rPr>
          <w:sz w:val="20"/>
          <w:szCs w:val="20"/>
          <w:lang w:val="fr-CA"/>
        </w:rPr>
        <w:t>Before</w:t>
      </w:r>
      <w:proofErr w:type="spellEnd"/>
      <w:r w:rsidRPr="007765E3">
        <w:rPr>
          <w:sz w:val="20"/>
          <w:szCs w:val="20"/>
          <w:lang w:val="fr-CA"/>
        </w:rPr>
        <w:t xml:space="preserve"> / Devant :   ABELLA J. / LA JUGE ABELLA</w:t>
      </w:r>
    </w:p>
    <w:p w:rsidR="0059186F" w:rsidRPr="007765E3" w:rsidRDefault="0059186F" w:rsidP="0059186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9186F" w:rsidRPr="007765E3" w:rsidTr="00576E8D">
        <w:trPr>
          <w:trHeight w:val="151"/>
        </w:trPr>
        <w:tc>
          <w:tcPr>
            <w:tcW w:w="4338" w:type="dxa"/>
          </w:tcPr>
          <w:p w:rsidR="0059186F" w:rsidRPr="007765E3" w:rsidRDefault="0059186F" w:rsidP="00576E8D">
            <w:pPr>
              <w:tabs>
                <w:tab w:val="left" w:pos="-1440"/>
                <w:tab w:val="left" w:pos="-720"/>
              </w:tabs>
              <w:jc w:val="both"/>
              <w:rPr>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proofErr w:type="spellStart"/>
            <w:r w:rsidRPr="007765E3">
              <w:rPr>
                <w:b/>
                <w:bCs/>
                <w:sz w:val="20"/>
                <w:szCs w:val="20"/>
                <w:lang w:val="fr-CA"/>
              </w:rPr>
              <w:t>Order</w:t>
            </w:r>
            <w:proofErr w:type="spellEnd"/>
          </w:p>
          <w:p w:rsidR="0059186F" w:rsidRPr="007765E3" w:rsidRDefault="0059186F" w:rsidP="00576E8D">
            <w:pPr>
              <w:tabs>
                <w:tab w:val="left" w:pos="-1440"/>
                <w:tab w:val="left" w:pos="-720"/>
              </w:tabs>
              <w:jc w:val="both"/>
              <w:rPr>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p>
        </w:tc>
        <w:tc>
          <w:tcPr>
            <w:tcW w:w="1170" w:type="dxa"/>
          </w:tcPr>
          <w:p w:rsidR="0059186F" w:rsidRPr="007765E3" w:rsidRDefault="0059186F" w:rsidP="00576E8D">
            <w:pPr>
              <w:jc w:val="both"/>
              <w:rPr>
                <w:sz w:val="20"/>
                <w:szCs w:val="20"/>
                <w:lang w:val="fr-CA"/>
              </w:rPr>
            </w:pPr>
          </w:p>
          <w:p w:rsidR="0059186F" w:rsidRPr="007765E3" w:rsidRDefault="0059186F" w:rsidP="00576E8D">
            <w:pPr>
              <w:jc w:val="both"/>
              <w:rPr>
                <w:sz w:val="20"/>
                <w:szCs w:val="20"/>
                <w:lang w:val="fr-CA"/>
              </w:rPr>
            </w:pPr>
          </w:p>
        </w:tc>
        <w:tc>
          <w:tcPr>
            <w:tcW w:w="4327" w:type="dxa"/>
          </w:tcPr>
          <w:p w:rsidR="0059186F" w:rsidRPr="007765E3" w:rsidRDefault="0059186F" w:rsidP="00576E8D">
            <w:pPr>
              <w:jc w:val="both"/>
              <w:rPr>
                <w:b/>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r w:rsidRPr="007765E3">
              <w:rPr>
                <w:b/>
                <w:bCs/>
                <w:sz w:val="20"/>
                <w:szCs w:val="20"/>
                <w:lang w:val="fr-CA"/>
              </w:rPr>
              <w:t>Ordonnance</w:t>
            </w:r>
          </w:p>
          <w:p w:rsidR="0059186F" w:rsidRPr="007765E3" w:rsidRDefault="0059186F" w:rsidP="00576E8D">
            <w:pPr>
              <w:jc w:val="both"/>
              <w:rPr>
                <w:b/>
                <w:sz w:val="20"/>
                <w:szCs w:val="20"/>
                <w:lang w:val="fr-CA"/>
              </w:rPr>
            </w:pPr>
            <w:r w:rsidRPr="007765E3">
              <w:rPr>
                <w:b/>
                <w:sz w:val="20"/>
                <w:szCs w:val="20"/>
              </w:rPr>
              <w:fldChar w:fldCharType="begin"/>
            </w:r>
            <w:r w:rsidRPr="007765E3">
              <w:rPr>
                <w:b/>
                <w:sz w:val="20"/>
                <w:szCs w:val="20"/>
                <w:lang w:val="fr-CA"/>
              </w:rPr>
              <w:instrText xml:space="preserve"> SEQ CHAPTER \h \r 1</w:instrText>
            </w:r>
            <w:r w:rsidRPr="007765E3">
              <w:rPr>
                <w:b/>
                <w:sz w:val="20"/>
                <w:szCs w:val="20"/>
              </w:rPr>
              <w:fldChar w:fldCharType="end"/>
            </w:r>
            <w:r w:rsidRPr="007765E3">
              <w:rPr>
                <w:b/>
                <w:sz w:val="20"/>
                <w:szCs w:val="20"/>
              </w:rPr>
              <w:fldChar w:fldCharType="begin"/>
            </w:r>
            <w:r w:rsidRPr="007765E3">
              <w:rPr>
                <w:b/>
                <w:sz w:val="20"/>
                <w:szCs w:val="20"/>
                <w:lang w:val="fr-CA"/>
              </w:rPr>
              <w:instrText xml:space="preserve"> SEQ CHAPTER \h \r 1</w:instrText>
            </w:r>
            <w:r w:rsidRPr="007765E3">
              <w:rPr>
                <w:b/>
                <w:sz w:val="20"/>
                <w:szCs w:val="20"/>
              </w:rPr>
              <w:fldChar w:fldCharType="end"/>
            </w:r>
          </w:p>
        </w:tc>
      </w:tr>
      <w:tr w:rsidR="0059186F" w:rsidRPr="007765E3" w:rsidTr="00576E8D">
        <w:trPr>
          <w:trHeight w:val="150"/>
        </w:trPr>
        <w:tc>
          <w:tcPr>
            <w:tcW w:w="4338" w:type="dxa"/>
          </w:tcPr>
          <w:p w:rsidR="0059186F" w:rsidRPr="007765E3" w:rsidRDefault="0059186F" w:rsidP="00576E8D">
            <w:pPr>
              <w:tabs>
                <w:tab w:val="left" w:pos="-1440"/>
                <w:tab w:val="left" w:pos="-720"/>
              </w:tabs>
              <w:jc w:val="both"/>
              <w:rPr>
                <w:sz w:val="20"/>
                <w:szCs w:val="20"/>
              </w:rPr>
            </w:pPr>
            <w:r w:rsidRPr="007765E3">
              <w:rPr>
                <w:sz w:val="20"/>
                <w:szCs w:val="20"/>
              </w:rPr>
              <w:t>Her Majesty the Queen</w:t>
            </w:r>
          </w:p>
          <w:p w:rsidR="0059186F" w:rsidRPr="007765E3" w:rsidRDefault="0059186F" w:rsidP="00576E8D">
            <w:pPr>
              <w:tabs>
                <w:tab w:val="left" w:pos="-1440"/>
                <w:tab w:val="left" w:pos="-720"/>
              </w:tabs>
              <w:jc w:val="both"/>
              <w:rPr>
                <w:sz w:val="20"/>
                <w:szCs w:val="20"/>
              </w:rPr>
            </w:pPr>
          </w:p>
          <w:p w:rsidR="0059186F" w:rsidRPr="007765E3" w:rsidRDefault="0059186F" w:rsidP="00576E8D">
            <w:pPr>
              <w:tabs>
                <w:tab w:val="left" w:pos="-1440"/>
                <w:tab w:val="left" w:pos="-720"/>
              </w:tabs>
              <w:jc w:val="both"/>
              <w:rPr>
                <w:sz w:val="20"/>
                <w:szCs w:val="20"/>
              </w:rPr>
            </w:pPr>
            <w:r w:rsidRPr="007765E3">
              <w:rPr>
                <w:sz w:val="20"/>
                <w:szCs w:val="20"/>
              </w:rPr>
              <w:tab/>
              <w:t>v. (36537)</w:t>
            </w:r>
          </w:p>
          <w:p w:rsidR="0059186F" w:rsidRPr="007765E3" w:rsidRDefault="0059186F" w:rsidP="00576E8D">
            <w:pPr>
              <w:tabs>
                <w:tab w:val="left" w:pos="-1440"/>
                <w:tab w:val="left" w:pos="-720"/>
              </w:tabs>
              <w:jc w:val="both"/>
              <w:rPr>
                <w:sz w:val="20"/>
                <w:szCs w:val="20"/>
              </w:rPr>
            </w:pPr>
          </w:p>
          <w:p w:rsidR="0059186F" w:rsidRPr="007765E3" w:rsidRDefault="0059186F" w:rsidP="00576E8D">
            <w:pPr>
              <w:tabs>
                <w:tab w:val="left" w:pos="-1440"/>
                <w:tab w:val="left" w:pos="-720"/>
              </w:tabs>
              <w:jc w:val="both"/>
              <w:rPr>
                <w:sz w:val="20"/>
                <w:szCs w:val="20"/>
              </w:rPr>
            </w:pPr>
            <w:r w:rsidRPr="007765E3">
              <w:rPr>
                <w:sz w:val="20"/>
                <w:szCs w:val="20"/>
              </w:rPr>
              <w:t>Robert David Nicholas Bradshaw (B.C.)</w:t>
            </w:r>
          </w:p>
        </w:tc>
        <w:tc>
          <w:tcPr>
            <w:tcW w:w="1170" w:type="dxa"/>
          </w:tcPr>
          <w:p w:rsidR="0059186F" w:rsidRPr="007765E3" w:rsidRDefault="0059186F" w:rsidP="00576E8D">
            <w:pPr>
              <w:jc w:val="both"/>
              <w:rPr>
                <w:sz w:val="20"/>
                <w:szCs w:val="20"/>
              </w:rPr>
            </w:pPr>
          </w:p>
        </w:tc>
        <w:tc>
          <w:tcPr>
            <w:tcW w:w="4327" w:type="dxa"/>
          </w:tcPr>
          <w:p w:rsidR="0059186F" w:rsidRPr="007765E3" w:rsidRDefault="0059186F" w:rsidP="00576E8D">
            <w:pPr>
              <w:jc w:val="both"/>
              <w:rPr>
                <w:sz w:val="20"/>
                <w:szCs w:val="20"/>
              </w:rPr>
            </w:pPr>
          </w:p>
        </w:tc>
      </w:tr>
    </w:tbl>
    <w:p w:rsidR="00CA2DEA" w:rsidRPr="007765E3" w:rsidRDefault="00CA2DEA" w:rsidP="00CA2DEA">
      <w:pPr>
        <w:widowControl w:val="0"/>
        <w:rPr>
          <w:rFonts w:eastAsia="Times New Roman" w:cs="Times New Roman"/>
          <w:sz w:val="20"/>
          <w:szCs w:val="20"/>
          <w:lang w:val="en-US" w:eastAsia="en-CA"/>
        </w:rPr>
      </w:pPr>
    </w:p>
    <w:p w:rsidR="00284908" w:rsidRPr="007765E3" w:rsidRDefault="00284908" w:rsidP="000E6D1D">
      <w:pPr>
        <w:spacing w:line="230" w:lineRule="auto"/>
        <w:jc w:val="both"/>
        <w:rPr>
          <w:rFonts w:cs="Times New Roman"/>
          <w:sz w:val="20"/>
          <w:szCs w:val="20"/>
        </w:rPr>
      </w:pPr>
      <w:r w:rsidRPr="007765E3">
        <w:rPr>
          <w:rFonts w:cs="Times New Roman"/>
          <w:b/>
          <w:bCs/>
          <w:sz w:val="20"/>
          <w:szCs w:val="20"/>
          <w:lang w:val="en-US"/>
        </w:rPr>
        <w:t>FU</w:t>
      </w:r>
      <w:r w:rsidRPr="007765E3">
        <w:rPr>
          <w:rFonts w:cs="Times New Roman"/>
          <w:b/>
          <w:bCs/>
          <w:sz w:val="20"/>
          <w:szCs w:val="20"/>
        </w:rPr>
        <w:t xml:space="preserve">RTHER TO THE ORDER </w:t>
      </w:r>
      <w:r w:rsidRPr="007765E3">
        <w:rPr>
          <w:rFonts w:cs="Times New Roman"/>
          <w:bCs/>
          <w:sz w:val="20"/>
          <w:szCs w:val="20"/>
        </w:rPr>
        <w:t>dated July 11, 2016</w:t>
      </w:r>
      <w:r w:rsidRPr="007765E3">
        <w:rPr>
          <w:rFonts w:cs="Times New Roman"/>
          <w:sz w:val="20"/>
          <w:szCs w:val="20"/>
        </w:rPr>
        <w:t>, granting leave to intervene to the Attorney General of Ontario, the British Columbia Civil Liberties Association and the Criminal Lawyers’ Association of Ontario;</w:t>
      </w:r>
    </w:p>
    <w:p w:rsidR="00284908" w:rsidRPr="007765E3" w:rsidRDefault="00284908" w:rsidP="00284908">
      <w:pPr>
        <w:spacing w:line="233" w:lineRule="auto"/>
        <w:rPr>
          <w:rFonts w:cs="Times New Roman"/>
          <w:b/>
          <w:bCs/>
          <w:sz w:val="20"/>
          <w:szCs w:val="20"/>
        </w:rPr>
      </w:pPr>
    </w:p>
    <w:p w:rsidR="00284908" w:rsidRPr="007765E3" w:rsidRDefault="00284908" w:rsidP="00284908">
      <w:pPr>
        <w:spacing w:line="233" w:lineRule="auto"/>
        <w:rPr>
          <w:rFonts w:cs="Times New Roman"/>
          <w:bCs/>
          <w:sz w:val="20"/>
          <w:szCs w:val="20"/>
        </w:rPr>
      </w:pPr>
      <w:r w:rsidRPr="007765E3">
        <w:rPr>
          <w:rFonts w:cs="Times New Roman"/>
          <w:b/>
          <w:bCs/>
          <w:sz w:val="20"/>
          <w:szCs w:val="20"/>
        </w:rPr>
        <w:t xml:space="preserve">IT IS HEREBY FURTHER ORDERED THAT: </w:t>
      </w:r>
    </w:p>
    <w:p w:rsidR="00284908" w:rsidRPr="007765E3" w:rsidRDefault="00284908" w:rsidP="00284908">
      <w:pPr>
        <w:spacing w:line="233" w:lineRule="auto"/>
        <w:rPr>
          <w:rFonts w:cs="Times New Roman"/>
          <w:bCs/>
          <w:sz w:val="20"/>
          <w:szCs w:val="20"/>
        </w:rPr>
      </w:pPr>
    </w:p>
    <w:p w:rsidR="00284908" w:rsidRPr="007765E3" w:rsidRDefault="00284908" w:rsidP="000E6D1D">
      <w:pPr>
        <w:spacing w:line="233" w:lineRule="auto"/>
        <w:jc w:val="both"/>
        <w:rPr>
          <w:rFonts w:cs="Times New Roman"/>
          <w:sz w:val="20"/>
          <w:szCs w:val="20"/>
        </w:rPr>
      </w:pPr>
      <w:r w:rsidRPr="007765E3">
        <w:rPr>
          <w:rFonts w:cs="Times New Roman"/>
          <w:bCs/>
          <w:sz w:val="20"/>
          <w:szCs w:val="20"/>
        </w:rPr>
        <w:t>The said interveners</w:t>
      </w:r>
      <w:r w:rsidRPr="007765E3">
        <w:rPr>
          <w:rFonts w:cs="Times New Roman"/>
          <w:sz w:val="20"/>
          <w:szCs w:val="20"/>
        </w:rPr>
        <w:t xml:space="preserve"> are each granted permission to present oral argument not exceeding ten (10) minutes at the hearing of the appeal.</w:t>
      </w:r>
    </w:p>
    <w:p w:rsidR="00284908" w:rsidRPr="007765E3" w:rsidRDefault="00284908" w:rsidP="00284908">
      <w:pPr>
        <w:rPr>
          <w:rFonts w:cs="Times New Roman"/>
          <w:lang w:val="en-US"/>
        </w:rPr>
      </w:pPr>
    </w:p>
    <w:p w:rsidR="00284908" w:rsidRPr="007765E3" w:rsidRDefault="00284908" w:rsidP="000E6D1D">
      <w:pPr>
        <w:jc w:val="both"/>
        <w:rPr>
          <w:rFonts w:cs="Times New Roman"/>
          <w:lang w:val="en-US"/>
        </w:rPr>
      </w:pPr>
    </w:p>
    <w:p w:rsidR="00284908" w:rsidRPr="007765E3" w:rsidRDefault="00284908" w:rsidP="000E6D1D">
      <w:pPr>
        <w:jc w:val="both"/>
        <w:rPr>
          <w:rFonts w:cs="Times New Roman"/>
          <w:lang w:val="en-US"/>
        </w:rPr>
      </w:pPr>
    </w:p>
    <w:p w:rsidR="00284908" w:rsidRPr="007765E3" w:rsidRDefault="00284908" w:rsidP="000E6D1D">
      <w:pPr>
        <w:spacing w:line="230" w:lineRule="auto"/>
        <w:jc w:val="both"/>
        <w:rPr>
          <w:rFonts w:cs="Times New Roman"/>
          <w:sz w:val="20"/>
          <w:szCs w:val="20"/>
          <w:lang w:val="fr-CA"/>
        </w:rPr>
      </w:pPr>
      <w:r w:rsidRPr="007765E3">
        <w:rPr>
          <w:rFonts w:cs="Times New Roman"/>
          <w:b/>
          <w:bCs/>
          <w:sz w:val="20"/>
          <w:szCs w:val="20"/>
          <w:lang w:val="fr-CA"/>
        </w:rPr>
        <w:t>À LA SUITE DE L’ORDONNANCE</w:t>
      </w:r>
      <w:r w:rsidRPr="007765E3">
        <w:rPr>
          <w:rFonts w:cs="Times New Roman"/>
          <w:bCs/>
          <w:sz w:val="20"/>
          <w:szCs w:val="20"/>
          <w:lang w:val="fr-CA"/>
        </w:rPr>
        <w:t xml:space="preserve"> datée du 11 juillet 2016</w:t>
      </w:r>
      <w:r w:rsidRPr="007765E3">
        <w:rPr>
          <w:rFonts w:cs="Times New Roman"/>
          <w:sz w:val="20"/>
          <w:szCs w:val="20"/>
          <w:lang w:val="fr-CA"/>
        </w:rPr>
        <w:t>, autorisant le procureur général de l’Ontario, l’Association des libertés civiles de la Colombie</w:t>
      </w:r>
      <w:r w:rsidRPr="007765E3">
        <w:rPr>
          <w:rFonts w:cs="Times New Roman"/>
          <w:sz w:val="20"/>
          <w:szCs w:val="20"/>
          <w:lang w:val="fr-CA"/>
        </w:rPr>
        <w:noBreakHyphen/>
        <w:t xml:space="preserve">Britannique et la </w:t>
      </w:r>
      <w:proofErr w:type="spellStart"/>
      <w:r w:rsidRPr="007765E3">
        <w:rPr>
          <w:rFonts w:cs="Times New Roman"/>
          <w:sz w:val="20"/>
          <w:szCs w:val="20"/>
          <w:lang w:val="fr-CA"/>
        </w:rPr>
        <w:t>Criminal</w:t>
      </w:r>
      <w:proofErr w:type="spellEnd"/>
      <w:r w:rsidRPr="007765E3">
        <w:rPr>
          <w:rFonts w:cs="Times New Roman"/>
          <w:sz w:val="20"/>
          <w:szCs w:val="20"/>
          <w:lang w:val="fr-CA"/>
        </w:rPr>
        <w:t xml:space="preserve"> </w:t>
      </w:r>
      <w:proofErr w:type="spellStart"/>
      <w:r w:rsidRPr="007765E3">
        <w:rPr>
          <w:rFonts w:cs="Times New Roman"/>
          <w:sz w:val="20"/>
          <w:szCs w:val="20"/>
          <w:lang w:val="fr-CA"/>
        </w:rPr>
        <w:t>Lawyers</w:t>
      </w:r>
      <w:proofErr w:type="spellEnd"/>
      <w:r w:rsidRPr="007765E3">
        <w:rPr>
          <w:rFonts w:cs="Times New Roman"/>
          <w:sz w:val="20"/>
          <w:szCs w:val="20"/>
          <w:lang w:val="fr-CA"/>
        </w:rPr>
        <w:t>’ Association of Ontario à intervenir;</w:t>
      </w:r>
    </w:p>
    <w:p w:rsidR="00284908" w:rsidRPr="007765E3" w:rsidRDefault="00284908" w:rsidP="000E6D1D">
      <w:pPr>
        <w:spacing w:line="233" w:lineRule="auto"/>
        <w:jc w:val="both"/>
        <w:rPr>
          <w:rFonts w:cs="Times New Roman"/>
          <w:b/>
          <w:bCs/>
          <w:sz w:val="20"/>
          <w:szCs w:val="20"/>
          <w:lang w:val="fr-CA"/>
        </w:rPr>
      </w:pPr>
    </w:p>
    <w:p w:rsidR="00284908" w:rsidRPr="007765E3" w:rsidRDefault="00284908" w:rsidP="000E6D1D">
      <w:pPr>
        <w:spacing w:line="233" w:lineRule="auto"/>
        <w:jc w:val="both"/>
        <w:rPr>
          <w:rFonts w:cs="Times New Roman"/>
          <w:bCs/>
          <w:sz w:val="20"/>
          <w:szCs w:val="20"/>
          <w:lang w:val="fr-CA"/>
        </w:rPr>
      </w:pPr>
      <w:r w:rsidRPr="007765E3">
        <w:rPr>
          <w:rFonts w:cs="Times New Roman"/>
          <w:b/>
          <w:bCs/>
          <w:sz w:val="20"/>
          <w:szCs w:val="20"/>
          <w:lang w:val="fr-CA"/>
        </w:rPr>
        <w:t xml:space="preserve">IL EST EN OUTRE ORDONNÉ CE QUI SUIT : </w:t>
      </w:r>
    </w:p>
    <w:p w:rsidR="00284908" w:rsidRPr="007765E3" w:rsidRDefault="00284908" w:rsidP="000E6D1D">
      <w:pPr>
        <w:spacing w:line="233" w:lineRule="auto"/>
        <w:jc w:val="both"/>
        <w:rPr>
          <w:rFonts w:cs="Times New Roman"/>
          <w:bCs/>
          <w:sz w:val="20"/>
          <w:szCs w:val="20"/>
          <w:lang w:val="fr-CA"/>
        </w:rPr>
      </w:pPr>
    </w:p>
    <w:p w:rsidR="00284908" w:rsidRPr="007765E3" w:rsidRDefault="00284908" w:rsidP="000E6D1D">
      <w:pPr>
        <w:spacing w:line="233" w:lineRule="auto"/>
        <w:jc w:val="both"/>
        <w:rPr>
          <w:rFonts w:cs="Times New Roman"/>
          <w:sz w:val="20"/>
          <w:szCs w:val="20"/>
          <w:lang w:val="fr-CA"/>
        </w:rPr>
      </w:pPr>
      <w:r w:rsidRPr="007765E3">
        <w:rPr>
          <w:rFonts w:cs="Times New Roman"/>
          <w:bCs/>
          <w:sz w:val="20"/>
          <w:szCs w:val="20"/>
          <w:lang w:val="fr-CA"/>
        </w:rPr>
        <w:t xml:space="preserve">Chaque intervenant est autorisé à présenter une plaidoirie orale d’au plus dix </w:t>
      </w:r>
      <w:r w:rsidRPr="007765E3">
        <w:rPr>
          <w:rFonts w:cs="Times New Roman"/>
          <w:sz w:val="20"/>
          <w:szCs w:val="20"/>
          <w:lang w:val="fr-CA"/>
        </w:rPr>
        <w:t>(10) minutes lors de l’audition de l’appel.</w:t>
      </w:r>
    </w:p>
    <w:p w:rsidR="00284908" w:rsidRPr="007765E3" w:rsidRDefault="00284908" w:rsidP="000E6D1D">
      <w:pPr>
        <w:widowControl w:val="0"/>
        <w:jc w:val="both"/>
        <w:rPr>
          <w:rFonts w:eastAsia="Times New Roman" w:cs="Times New Roman"/>
          <w:sz w:val="20"/>
          <w:szCs w:val="20"/>
          <w:lang w:val="fr-CA" w:eastAsia="en-CA"/>
        </w:rPr>
      </w:pPr>
    </w:p>
    <w:p w:rsidR="00CA2DEA" w:rsidRPr="007765E3" w:rsidRDefault="007765E3" w:rsidP="000E6D1D">
      <w:pPr>
        <w:widowControl w:val="0"/>
        <w:jc w:val="both"/>
        <w:rPr>
          <w:rFonts w:eastAsia="Times New Roman" w:cs="Times New Roman"/>
          <w:sz w:val="20"/>
          <w:szCs w:val="20"/>
          <w:lang w:val="en-US" w:eastAsia="en-CA"/>
        </w:rPr>
      </w:pPr>
      <w:r w:rsidRPr="007765E3">
        <w:rPr>
          <w:rFonts w:eastAsia="Times New Roman" w:cs="Times New Roman"/>
          <w:sz w:val="20"/>
          <w:szCs w:val="20"/>
          <w:lang w:val="fr-CA" w:eastAsia="en-CA"/>
        </w:rPr>
        <w:pict>
          <v:rect id="_x0000_i1068" style="width:2in;height:1pt" o:hrpct="0" o:hralign="center" o:hrstd="t" o:hrnoshade="t" o:hr="t" fillcolor="black [3213]" stroked="f"/>
        </w:pict>
      </w:r>
    </w:p>
    <w:p w:rsidR="00CA2DEA" w:rsidRPr="007765E3" w:rsidRDefault="00CA2DEA" w:rsidP="000E6D1D">
      <w:pPr>
        <w:widowControl w:val="0"/>
        <w:jc w:val="both"/>
        <w:rPr>
          <w:rFonts w:eastAsia="Times New Roman" w:cs="Times New Roman"/>
          <w:sz w:val="20"/>
          <w:szCs w:val="20"/>
          <w:lang w:val="en-US" w:eastAsia="en-CA"/>
        </w:rPr>
      </w:pPr>
    </w:p>
    <w:p w:rsidR="00284908" w:rsidRPr="007765E3" w:rsidRDefault="00284908" w:rsidP="00284908">
      <w:pPr>
        <w:tabs>
          <w:tab w:val="left" w:pos="-1440"/>
          <w:tab w:val="left" w:pos="-720"/>
        </w:tabs>
        <w:jc w:val="both"/>
        <w:rPr>
          <w:sz w:val="20"/>
          <w:szCs w:val="20"/>
          <w:lang w:val="fr-CA"/>
        </w:rPr>
      </w:pPr>
      <w:r w:rsidRPr="007765E3">
        <w:rPr>
          <w:sz w:val="20"/>
          <w:szCs w:val="20"/>
          <w:lang w:val="fr-CA"/>
        </w:rPr>
        <w:t>03.10.2016</w:t>
      </w:r>
    </w:p>
    <w:p w:rsidR="00284908" w:rsidRPr="007765E3" w:rsidRDefault="00284908" w:rsidP="00284908">
      <w:pPr>
        <w:tabs>
          <w:tab w:val="left" w:pos="-1440"/>
          <w:tab w:val="left" w:pos="-720"/>
        </w:tabs>
        <w:jc w:val="both"/>
        <w:rPr>
          <w:sz w:val="20"/>
          <w:szCs w:val="20"/>
          <w:lang w:val="fr-CA"/>
        </w:rPr>
      </w:pPr>
    </w:p>
    <w:p w:rsidR="00284908" w:rsidRPr="007765E3" w:rsidRDefault="00284908" w:rsidP="00284908">
      <w:pPr>
        <w:tabs>
          <w:tab w:val="left" w:pos="-1440"/>
          <w:tab w:val="left" w:pos="-720"/>
        </w:tabs>
        <w:jc w:val="both"/>
        <w:rPr>
          <w:sz w:val="20"/>
          <w:szCs w:val="20"/>
          <w:lang w:val="fr-CA"/>
        </w:rPr>
      </w:pPr>
      <w:proofErr w:type="spellStart"/>
      <w:r w:rsidRPr="007765E3">
        <w:rPr>
          <w:sz w:val="20"/>
          <w:szCs w:val="20"/>
          <w:lang w:val="fr-CA"/>
        </w:rPr>
        <w:t>Before</w:t>
      </w:r>
      <w:proofErr w:type="spellEnd"/>
      <w:r w:rsidR="0014222C" w:rsidRPr="007765E3">
        <w:rPr>
          <w:sz w:val="20"/>
          <w:szCs w:val="20"/>
          <w:lang w:val="fr-CA"/>
        </w:rPr>
        <w:t xml:space="preserve"> / Devant : THE CHIEF JUSTICE / LA JUGE EN CHEF</w:t>
      </w:r>
    </w:p>
    <w:p w:rsidR="00284908" w:rsidRPr="007765E3" w:rsidRDefault="00284908" w:rsidP="0028490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284908" w:rsidRPr="007765E3" w:rsidTr="00576E8D">
        <w:trPr>
          <w:trHeight w:val="151"/>
        </w:trPr>
        <w:tc>
          <w:tcPr>
            <w:tcW w:w="4338" w:type="dxa"/>
          </w:tcPr>
          <w:p w:rsidR="00284908" w:rsidRPr="007765E3" w:rsidRDefault="00284908" w:rsidP="00576E8D">
            <w:pPr>
              <w:tabs>
                <w:tab w:val="left" w:pos="-1440"/>
                <w:tab w:val="left" w:pos="-720"/>
              </w:tabs>
              <w:jc w:val="both"/>
              <w:rPr>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proofErr w:type="spellStart"/>
            <w:r w:rsidRPr="007765E3">
              <w:rPr>
                <w:b/>
                <w:bCs/>
                <w:sz w:val="20"/>
                <w:szCs w:val="20"/>
                <w:lang w:val="fr-CA"/>
              </w:rPr>
              <w:t>Order</w:t>
            </w:r>
            <w:proofErr w:type="spellEnd"/>
          </w:p>
          <w:p w:rsidR="00284908" w:rsidRPr="007765E3" w:rsidRDefault="00284908" w:rsidP="00576E8D">
            <w:pPr>
              <w:tabs>
                <w:tab w:val="left" w:pos="-1440"/>
                <w:tab w:val="left" w:pos="-720"/>
              </w:tabs>
              <w:jc w:val="both"/>
              <w:rPr>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p>
        </w:tc>
        <w:tc>
          <w:tcPr>
            <w:tcW w:w="1170" w:type="dxa"/>
          </w:tcPr>
          <w:p w:rsidR="00284908" w:rsidRPr="007765E3" w:rsidRDefault="00284908" w:rsidP="00576E8D">
            <w:pPr>
              <w:jc w:val="both"/>
              <w:rPr>
                <w:sz w:val="20"/>
                <w:szCs w:val="20"/>
                <w:lang w:val="fr-CA"/>
              </w:rPr>
            </w:pPr>
          </w:p>
          <w:p w:rsidR="00284908" w:rsidRPr="007765E3" w:rsidRDefault="00284908" w:rsidP="00576E8D">
            <w:pPr>
              <w:jc w:val="both"/>
              <w:rPr>
                <w:sz w:val="20"/>
                <w:szCs w:val="20"/>
                <w:lang w:val="fr-CA"/>
              </w:rPr>
            </w:pPr>
          </w:p>
        </w:tc>
        <w:tc>
          <w:tcPr>
            <w:tcW w:w="4327" w:type="dxa"/>
          </w:tcPr>
          <w:p w:rsidR="00284908" w:rsidRPr="007765E3" w:rsidRDefault="00284908" w:rsidP="00576E8D">
            <w:pPr>
              <w:jc w:val="both"/>
              <w:rPr>
                <w:b/>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r w:rsidRPr="007765E3">
              <w:rPr>
                <w:b/>
                <w:bCs/>
                <w:sz w:val="20"/>
                <w:szCs w:val="20"/>
                <w:lang w:val="fr-CA"/>
              </w:rPr>
              <w:t>Ordonnance</w:t>
            </w:r>
          </w:p>
          <w:p w:rsidR="00284908" w:rsidRPr="007765E3" w:rsidRDefault="00284908" w:rsidP="00576E8D">
            <w:pPr>
              <w:jc w:val="both"/>
              <w:rPr>
                <w:b/>
                <w:sz w:val="20"/>
                <w:szCs w:val="20"/>
                <w:lang w:val="fr-CA"/>
              </w:rPr>
            </w:pPr>
            <w:r w:rsidRPr="007765E3">
              <w:rPr>
                <w:b/>
                <w:sz w:val="20"/>
                <w:szCs w:val="20"/>
              </w:rPr>
              <w:fldChar w:fldCharType="begin"/>
            </w:r>
            <w:r w:rsidRPr="007765E3">
              <w:rPr>
                <w:b/>
                <w:sz w:val="20"/>
                <w:szCs w:val="20"/>
                <w:lang w:val="fr-CA"/>
              </w:rPr>
              <w:instrText xml:space="preserve"> SEQ CHAPTER \h \r 1</w:instrText>
            </w:r>
            <w:r w:rsidRPr="007765E3">
              <w:rPr>
                <w:b/>
                <w:sz w:val="20"/>
                <w:szCs w:val="20"/>
              </w:rPr>
              <w:fldChar w:fldCharType="end"/>
            </w:r>
            <w:r w:rsidRPr="007765E3">
              <w:rPr>
                <w:b/>
                <w:sz w:val="20"/>
                <w:szCs w:val="20"/>
              </w:rPr>
              <w:fldChar w:fldCharType="begin"/>
            </w:r>
            <w:r w:rsidRPr="007765E3">
              <w:rPr>
                <w:b/>
                <w:sz w:val="20"/>
                <w:szCs w:val="20"/>
                <w:lang w:val="fr-CA"/>
              </w:rPr>
              <w:instrText xml:space="preserve"> SEQ CHAPTER \h \r 1</w:instrText>
            </w:r>
            <w:r w:rsidRPr="007765E3">
              <w:rPr>
                <w:b/>
                <w:sz w:val="20"/>
                <w:szCs w:val="20"/>
              </w:rPr>
              <w:fldChar w:fldCharType="end"/>
            </w:r>
          </w:p>
        </w:tc>
      </w:tr>
      <w:tr w:rsidR="00284908" w:rsidRPr="007765E3" w:rsidTr="00576E8D">
        <w:trPr>
          <w:trHeight w:val="150"/>
        </w:trPr>
        <w:tc>
          <w:tcPr>
            <w:tcW w:w="4338" w:type="dxa"/>
          </w:tcPr>
          <w:p w:rsidR="00284908" w:rsidRPr="007765E3" w:rsidRDefault="00284908" w:rsidP="00576E8D">
            <w:pPr>
              <w:tabs>
                <w:tab w:val="left" w:pos="-1440"/>
                <w:tab w:val="left" w:pos="-720"/>
              </w:tabs>
              <w:jc w:val="both"/>
              <w:rPr>
                <w:sz w:val="20"/>
                <w:szCs w:val="20"/>
              </w:rPr>
            </w:pPr>
            <w:r w:rsidRPr="007765E3">
              <w:rPr>
                <w:sz w:val="20"/>
                <w:szCs w:val="20"/>
              </w:rPr>
              <w:t>Corporation of the City of Nelson</w:t>
            </w:r>
          </w:p>
          <w:p w:rsidR="00284908" w:rsidRPr="007765E3" w:rsidRDefault="00284908" w:rsidP="00576E8D">
            <w:pPr>
              <w:tabs>
                <w:tab w:val="left" w:pos="-1440"/>
                <w:tab w:val="left" w:pos="-720"/>
              </w:tabs>
              <w:jc w:val="both"/>
              <w:rPr>
                <w:sz w:val="20"/>
                <w:szCs w:val="20"/>
              </w:rPr>
            </w:pPr>
          </w:p>
          <w:p w:rsidR="00284908" w:rsidRPr="007765E3" w:rsidRDefault="00284908" w:rsidP="00576E8D">
            <w:pPr>
              <w:tabs>
                <w:tab w:val="left" w:pos="-1440"/>
                <w:tab w:val="left" w:pos="-720"/>
              </w:tabs>
              <w:jc w:val="both"/>
              <w:rPr>
                <w:sz w:val="20"/>
                <w:szCs w:val="20"/>
              </w:rPr>
            </w:pPr>
            <w:r w:rsidRPr="007765E3">
              <w:rPr>
                <w:sz w:val="20"/>
                <w:szCs w:val="20"/>
              </w:rPr>
              <w:tab/>
              <w:t>v. (36999)</w:t>
            </w:r>
          </w:p>
          <w:p w:rsidR="00284908" w:rsidRPr="007765E3" w:rsidRDefault="00284908" w:rsidP="00576E8D">
            <w:pPr>
              <w:tabs>
                <w:tab w:val="left" w:pos="-1440"/>
                <w:tab w:val="left" w:pos="-720"/>
              </w:tabs>
              <w:jc w:val="both"/>
              <w:rPr>
                <w:sz w:val="20"/>
                <w:szCs w:val="20"/>
              </w:rPr>
            </w:pPr>
          </w:p>
          <w:p w:rsidR="00284908" w:rsidRPr="007765E3" w:rsidRDefault="00284908" w:rsidP="00576E8D">
            <w:pPr>
              <w:tabs>
                <w:tab w:val="left" w:pos="-1440"/>
                <w:tab w:val="left" w:pos="-720"/>
              </w:tabs>
              <w:jc w:val="both"/>
              <w:rPr>
                <w:sz w:val="20"/>
                <w:szCs w:val="20"/>
              </w:rPr>
            </w:pPr>
            <w:r w:rsidRPr="007765E3">
              <w:rPr>
                <w:sz w:val="20"/>
                <w:szCs w:val="20"/>
              </w:rPr>
              <w:t xml:space="preserve">Mary Geraldine </w:t>
            </w:r>
            <w:proofErr w:type="spellStart"/>
            <w:r w:rsidRPr="007765E3">
              <w:rPr>
                <w:sz w:val="20"/>
                <w:szCs w:val="20"/>
              </w:rPr>
              <w:t>Mowatt</w:t>
            </w:r>
            <w:proofErr w:type="spellEnd"/>
            <w:r w:rsidRPr="007765E3">
              <w:rPr>
                <w:sz w:val="20"/>
                <w:szCs w:val="20"/>
              </w:rPr>
              <w:t xml:space="preserve"> et al. (B.C.)</w:t>
            </w:r>
          </w:p>
        </w:tc>
        <w:tc>
          <w:tcPr>
            <w:tcW w:w="1170" w:type="dxa"/>
          </w:tcPr>
          <w:p w:rsidR="00284908" w:rsidRPr="007765E3" w:rsidRDefault="00284908" w:rsidP="00576E8D">
            <w:pPr>
              <w:jc w:val="both"/>
              <w:rPr>
                <w:sz w:val="20"/>
                <w:szCs w:val="20"/>
              </w:rPr>
            </w:pPr>
          </w:p>
        </w:tc>
        <w:tc>
          <w:tcPr>
            <w:tcW w:w="4327" w:type="dxa"/>
          </w:tcPr>
          <w:p w:rsidR="00284908" w:rsidRPr="007765E3" w:rsidRDefault="00284908" w:rsidP="00576E8D">
            <w:pPr>
              <w:jc w:val="both"/>
              <w:rPr>
                <w:sz w:val="20"/>
                <w:szCs w:val="20"/>
              </w:rPr>
            </w:pPr>
          </w:p>
        </w:tc>
      </w:tr>
    </w:tbl>
    <w:p w:rsidR="00284908" w:rsidRPr="007765E3" w:rsidRDefault="00284908" w:rsidP="00284908">
      <w:pPr>
        <w:tabs>
          <w:tab w:val="left" w:pos="-1440"/>
          <w:tab w:val="left" w:pos="-720"/>
        </w:tabs>
        <w:jc w:val="both"/>
        <w:rPr>
          <w:sz w:val="20"/>
          <w:szCs w:val="20"/>
        </w:rPr>
      </w:pPr>
    </w:p>
    <w:p w:rsidR="00284908" w:rsidRPr="007765E3" w:rsidRDefault="00284908" w:rsidP="000E6D1D">
      <w:pPr>
        <w:spacing w:line="230" w:lineRule="auto"/>
        <w:jc w:val="both"/>
        <w:rPr>
          <w:rFonts w:cs="Times New Roman"/>
          <w:sz w:val="20"/>
          <w:szCs w:val="20"/>
        </w:rPr>
      </w:pPr>
      <w:r w:rsidRPr="007765E3">
        <w:rPr>
          <w:rFonts w:cs="Times New Roman"/>
          <w:b/>
          <w:bCs/>
          <w:sz w:val="20"/>
          <w:szCs w:val="20"/>
        </w:rPr>
        <w:t xml:space="preserve">FURTHER TO THE ORDER </w:t>
      </w:r>
      <w:r w:rsidRPr="007765E3">
        <w:rPr>
          <w:rFonts w:cs="Times New Roman"/>
          <w:bCs/>
          <w:sz w:val="20"/>
          <w:szCs w:val="20"/>
        </w:rPr>
        <w:t>dated September 16, 2016</w:t>
      </w:r>
      <w:r w:rsidRPr="007765E3">
        <w:rPr>
          <w:rFonts w:cs="Times New Roman"/>
          <w:sz w:val="20"/>
          <w:szCs w:val="20"/>
        </w:rPr>
        <w:t>, granting leave to intervene to the Attorney General of British Columbia;</w:t>
      </w:r>
    </w:p>
    <w:p w:rsidR="00284908" w:rsidRPr="007765E3" w:rsidRDefault="00284908" w:rsidP="000E6D1D">
      <w:pPr>
        <w:spacing w:line="233" w:lineRule="auto"/>
        <w:jc w:val="both"/>
        <w:rPr>
          <w:rFonts w:cs="Times New Roman"/>
          <w:b/>
          <w:bCs/>
          <w:sz w:val="20"/>
          <w:szCs w:val="20"/>
        </w:rPr>
      </w:pPr>
    </w:p>
    <w:p w:rsidR="00284908" w:rsidRPr="007765E3" w:rsidRDefault="00284908" w:rsidP="000E6D1D">
      <w:pPr>
        <w:spacing w:line="233" w:lineRule="auto"/>
        <w:jc w:val="both"/>
        <w:rPr>
          <w:rFonts w:cs="Times New Roman"/>
          <w:bCs/>
          <w:sz w:val="20"/>
          <w:szCs w:val="20"/>
        </w:rPr>
      </w:pPr>
      <w:r w:rsidRPr="007765E3">
        <w:rPr>
          <w:rFonts w:cs="Times New Roman"/>
          <w:b/>
          <w:bCs/>
          <w:sz w:val="20"/>
          <w:szCs w:val="20"/>
        </w:rPr>
        <w:t xml:space="preserve">IT IS HEREBY FURTHER ORDERED THAT: </w:t>
      </w:r>
    </w:p>
    <w:p w:rsidR="00284908" w:rsidRPr="007765E3" w:rsidRDefault="00284908" w:rsidP="000E6D1D">
      <w:pPr>
        <w:spacing w:line="233" w:lineRule="auto"/>
        <w:jc w:val="both"/>
        <w:rPr>
          <w:rFonts w:cs="Times New Roman"/>
          <w:bCs/>
          <w:sz w:val="20"/>
          <w:szCs w:val="20"/>
        </w:rPr>
      </w:pPr>
    </w:p>
    <w:p w:rsidR="00284908" w:rsidRPr="007765E3" w:rsidRDefault="00284908" w:rsidP="000E6D1D">
      <w:pPr>
        <w:spacing w:line="233" w:lineRule="auto"/>
        <w:jc w:val="both"/>
        <w:rPr>
          <w:rFonts w:cs="Times New Roman"/>
          <w:sz w:val="20"/>
          <w:szCs w:val="20"/>
        </w:rPr>
      </w:pPr>
      <w:r w:rsidRPr="007765E3">
        <w:rPr>
          <w:rFonts w:cs="Times New Roman"/>
          <w:bCs/>
          <w:sz w:val="20"/>
          <w:szCs w:val="20"/>
        </w:rPr>
        <w:t>The said intervener</w:t>
      </w:r>
      <w:r w:rsidRPr="007765E3">
        <w:rPr>
          <w:rFonts w:cs="Times New Roman"/>
          <w:sz w:val="20"/>
          <w:szCs w:val="20"/>
        </w:rPr>
        <w:t xml:space="preserve"> is granted permission to present oral argument not exceeding ten (10) minutes at the hearing of the appeal.</w:t>
      </w:r>
    </w:p>
    <w:p w:rsidR="00284908" w:rsidRPr="007765E3" w:rsidRDefault="00284908" w:rsidP="000E6D1D">
      <w:pPr>
        <w:widowControl w:val="0"/>
        <w:jc w:val="both"/>
        <w:rPr>
          <w:rFonts w:eastAsia="Times New Roman" w:cs="Times New Roman"/>
          <w:sz w:val="20"/>
          <w:szCs w:val="20"/>
          <w:lang w:eastAsia="en-CA"/>
        </w:rPr>
      </w:pPr>
    </w:p>
    <w:p w:rsidR="00284908" w:rsidRPr="007765E3" w:rsidRDefault="00284908" w:rsidP="00CA2DEA">
      <w:pPr>
        <w:widowControl w:val="0"/>
        <w:rPr>
          <w:rFonts w:eastAsia="Times New Roman" w:cs="Times New Roman"/>
          <w:sz w:val="20"/>
          <w:szCs w:val="20"/>
          <w:lang w:val="en-US" w:eastAsia="en-CA"/>
        </w:rPr>
      </w:pPr>
    </w:p>
    <w:p w:rsidR="00284908" w:rsidRPr="007765E3" w:rsidRDefault="00284908" w:rsidP="00CA2DEA">
      <w:pPr>
        <w:widowControl w:val="0"/>
        <w:rPr>
          <w:rFonts w:eastAsia="Times New Roman" w:cs="Times New Roman"/>
          <w:sz w:val="20"/>
          <w:szCs w:val="20"/>
          <w:lang w:val="en-US" w:eastAsia="en-CA"/>
        </w:rPr>
      </w:pPr>
    </w:p>
    <w:p w:rsidR="00284908" w:rsidRPr="007765E3" w:rsidRDefault="00284908" w:rsidP="000E6D1D">
      <w:pPr>
        <w:spacing w:line="230" w:lineRule="auto"/>
        <w:jc w:val="both"/>
        <w:rPr>
          <w:rFonts w:cs="Times New Roman"/>
          <w:sz w:val="20"/>
          <w:szCs w:val="20"/>
          <w:lang w:val="fr-CA"/>
        </w:rPr>
      </w:pPr>
      <w:r w:rsidRPr="007765E3">
        <w:rPr>
          <w:rFonts w:cs="Times New Roman"/>
          <w:b/>
          <w:bCs/>
          <w:sz w:val="20"/>
          <w:szCs w:val="20"/>
          <w:lang w:val="fr-CA"/>
        </w:rPr>
        <w:lastRenderedPageBreak/>
        <w:t xml:space="preserve">À LA SUITE DE L’ORDONNANCE </w:t>
      </w:r>
      <w:r w:rsidRPr="007765E3">
        <w:rPr>
          <w:rFonts w:cs="Times New Roman"/>
          <w:bCs/>
          <w:sz w:val="20"/>
          <w:szCs w:val="20"/>
          <w:lang w:val="fr-CA"/>
        </w:rPr>
        <w:t>datée du 16 septembre 2016</w:t>
      </w:r>
      <w:r w:rsidRPr="007765E3">
        <w:rPr>
          <w:rFonts w:cs="Times New Roman"/>
          <w:sz w:val="20"/>
          <w:szCs w:val="20"/>
          <w:lang w:val="fr-CA"/>
        </w:rPr>
        <w:t>, autorisant le procureur général de la Colombie</w:t>
      </w:r>
      <w:r w:rsidRPr="007765E3">
        <w:rPr>
          <w:rFonts w:cs="Times New Roman"/>
          <w:sz w:val="20"/>
          <w:szCs w:val="20"/>
          <w:lang w:val="fr-CA"/>
        </w:rPr>
        <w:noBreakHyphen/>
        <w:t>Britannique à intervenir;</w:t>
      </w:r>
    </w:p>
    <w:p w:rsidR="00284908" w:rsidRPr="007765E3" w:rsidRDefault="00284908" w:rsidP="000E6D1D">
      <w:pPr>
        <w:spacing w:line="233" w:lineRule="auto"/>
        <w:jc w:val="both"/>
        <w:rPr>
          <w:rFonts w:cs="Times New Roman"/>
          <w:b/>
          <w:bCs/>
          <w:sz w:val="20"/>
          <w:szCs w:val="20"/>
          <w:lang w:val="fr-CA"/>
        </w:rPr>
      </w:pPr>
    </w:p>
    <w:p w:rsidR="00284908" w:rsidRPr="007765E3" w:rsidRDefault="00284908" w:rsidP="000E6D1D">
      <w:pPr>
        <w:spacing w:line="233" w:lineRule="auto"/>
        <w:jc w:val="both"/>
        <w:rPr>
          <w:rFonts w:cs="Times New Roman"/>
          <w:bCs/>
          <w:sz w:val="20"/>
          <w:szCs w:val="20"/>
          <w:lang w:val="fr-CA"/>
        </w:rPr>
      </w:pPr>
      <w:r w:rsidRPr="007765E3">
        <w:rPr>
          <w:rFonts w:cs="Times New Roman"/>
          <w:b/>
          <w:bCs/>
          <w:sz w:val="20"/>
          <w:szCs w:val="20"/>
          <w:lang w:val="fr-CA"/>
        </w:rPr>
        <w:t xml:space="preserve">IL EST EN OUTRE ORDONNÉ CE QUI SUIT : </w:t>
      </w:r>
    </w:p>
    <w:p w:rsidR="00284908" w:rsidRPr="007765E3" w:rsidRDefault="00284908" w:rsidP="000E6D1D">
      <w:pPr>
        <w:spacing w:line="233" w:lineRule="auto"/>
        <w:jc w:val="both"/>
        <w:rPr>
          <w:rFonts w:cs="Times New Roman"/>
          <w:bCs/>
          <w:sz w:val="20"/>
          <w:szCs w:val="20"/>
          <w:lang w:val="fr-CA"/>
        </w:rPr>
      </w:pPr>
    </w:p>
    <w:p w:rsidR="00284908" w:rsidRPr="007765E3" w:rsidRDefault="00284908" w:rsidP="000E6D1D">
      <w:pPr>
        <w:spacing w:line="233" w:lineRule="auto"/>
        <w:jc w:val="both"/>
        <w:rPr>
          <w:rFonts w:cs="Times New Roman"/>
          <w:sz w:val="20"/>
          <w:szCs w:val="20"/>
          <w:lang w:val="fr-CA"/>
        </w:rPr>
      </w:pPr>
      <w:r w:rsidRPr="007765E3">
        <w:rPr>
          <w:rFonts w:cs="Times New Roman"/>
          <w:bCs/>
          <w:sz w:val="20"/>
          <w:szCs w:val="20"/>
          <w:lang w:val="fr-CA"/>
        </w:rPr>
        <w:t>Cet intervenant est autorisé à présenter une plaidoirie orale d’au plus dix</w:t>
      </w:r>
      <w:r w:rsidRPr="007765E3">
        <w:rPr>
          <w:rFonts w:cs="Times New Roman"/>
          <w:sz w:val="20"/>
          <w:szCs w:val="20"/>
          <w:lang w:val="fr-CA"/>
        </w:rPr>
        <w:t xml:space="preserve"> (10) minutes lors de l’audition de l’appel.</w:t>
      </w:r>
    </w:p>
    <w:p w:rsidR="00284908" w:rsidRPr="007765E3" w:rsidRDefault="00284908" w:rsidP="000E6D1D">
      <w:pPr>
        <w:spacing w:line="233" w:lineRule="auto"/>
        <w:jc w:val="both"/>
        <w:rPr>
          <w:rFonts w:cs="Times New Roman"/>
          <w:sz w:val="20"/>
          <w:szCs w:val="20"/>
          <w:lang w:val="fr-CA"/>
        </w:rPr>
      </w:pPr>
    </w:p>
    <w:p w:rsidR="00284908" w:rsidRPr="007765E3" w:rsidRDefault="007765E3" w:rsidP="000E6D1D">
      <w:pPr>
        <w:widowControl w:val="0"/>
        <w:jc w:val="both"/>
        <w:rPr>
          <w:rFonts w:eastAsia="Times New Roman" w:cs="Times New Roman"/>
          <w:sz w:val="20"/>
          <w:szCs w:val="20"/>
          <w:lang w:val="fr-CA" w:eastAsia="en-CA"/>
        </w:rPr>
      </w:pPr>
      <w:r w:rsidRPr="007765E3">
        <w:rPr>
          <w:rFonts w:eastAsia="Times New Roman" w:cs="Times New Roman"/>
          <w:sz w:val="20"/>
          <w:szCs w:val="20"/>
          <w:lang w:val="fr-CA" w:eastAsia="en-CA"/>
        </w:rPr>
        <w:pict>
          <v:rect id="_x0000_i1069" style="width:2in;height:1pt" o:hrpct="0" o:hralign="center" o:hrstd="t" o:hrnoshade="t" o:hr="t" fillcolor="black [3213]" stroked="f"/>
        </w:pict>
      </w:r>
    </w:p>
    <w:p w:rsidR="00284908" w:rsidRPr="007765E3" w:rsidRDefault="00284908" w:rsidP="00CA2DEA">
      <w:pPr>
        <w:widowControl w:val="0"/>
        <w:rPr>
          <w:rFonts w:eastAsia="Times New Roman" w:cs="Times New Roman"/>
          <w:sz w:val="20"/>
          <w:szCs w:val="20"/>
          <w:lang w:val="fr-CA" w:eastAsia="en-CA"/>
        </w:rPr>
      </w:pPr>
    </w:p>
    <w:p w:rsidR="00284908" w:rsidRPr="007765E3" w:rsidRDefault="00284908" w:rsidP="00284908">
      <w:pPr>
        <w:tabs>
          <w:tab w:val="left" w:pos="-1440"/>
          <w:tab w:val="left" w:pos="-720"/>
        </w:tabs>
        <w:jc w:val="both"/>
        <w:rPr>
          <w:sz w:val="20"/>
          <w:szCs w:val="20"/>
          <w:lang w:val="fr-CA"/>
        </w:rPr>
      </w:pPr>
      <w:r w:rsidRPr="007765E3">
        <w:rPr>
          <w:sz w:val="20"/>
          <w:szCs w:val="20"/>
          <w:lang w:val="fr-CA"/>
        </w:rPr>
        <w:t>03.10.2016</w:t>
      </w:r>
    </w:p>
    <w:p w:rsidR="00284908" w:rsidRPr="007765E3" w:rsidRDefault="00284908" w:rsidP="00284908">
      <w:pPr>
        <w:tabs>
          <w:tab w:val="left" w:pos="-1440"/>
          <w:tab w:val="left" w:pos="-720"/>
        </w:tabs>
        <w:jc w:val="both"/>
        <w:rPr>
          <w:sz w:val="20"/>
          <w:szCs w:val="20"/>
          <w:lang w:val="fr-CA"/>
        </w:rPr>
      </w:pPr>
    </w:p>
    <w:p w:rsidR="00284908" w:rsidRPr="007765E3" w:rsidRDefault="00284908" w:rsidP="00284908">
      <w:pPr>
        <w:tabs>
          <w:tab w:val="left" w:pos="-1440"/>
          <w:tab w:val="left" w:pos="-720"/>
        </w:tabs>
        <w:jc w:val="both"/>
        <w:rPr>
          <w:sz w:val="20"/>
          <w:szCs w:val="20"/>
          <w:lang w:val="fr-CA"/>
        </w:rPr>
      </w:pPr>
      <w:proofErr w:type="spellStart"/>
      <w:r w:rsidRPr="007765E3">
        <w:rPr>
          <w:sz w:val="20"/>
          <w:szCs w:val="20"/>
          <w:lang w:val="fr-CA"/>
        </w:rPr>
        <w:t>Before</w:t>
      </w:r>
      <w:proofErr w:type="spellEnd"/>
      <w:r w:rsidRPr="007765E3">
        <w:rPr>
          <w:sz w:val="20"/>
          <w:szCs w:val="20"/>
          <w:lang w:val="fr-CA"/>
        </w:rPr>
        <w:t xml:space="preserve"> / Devant :   BROWN J. / LE JUGE BROWN</w:t>
      </w:r>
    </w:p>
    <w:p w:rsidR="00284908" w:rsidRPr="007765E3" w:rsidRDefault="00284908" w:rsidP="0028490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284908" w:rsidRPr="007765E3" w:rsidTr="00576E8D">
        <w:trPr>
          <w:trHeight w:val="151"/>
        </w:trPr>
        <w:tc>
          <w:tcPr>
            <w:tcW w:w="4338" w:type="dxa"/>
          </w:tcPr>
          <w:p w:rsidR="00284908" w:rsidRPr="007765E3" w:rsidRDefault="00284908" w:rsidP="00576E8D">
            <w:pPr>
              <w:tabs>
                <w:tab w:val="left" w:pos="-1440"/>
                <w:tab w:val="left" w:pos="-720"/>
              </w:tabs>
              <w:jc w:val="both"/>
              <w:rPr>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proofErr w:type="spellStart"/>
            <w:r w:rsidRPr="007765E3">
              <w:rPr>
                <w:b/>
                <w:bCs/>
                <w:sz w:val="20"/>
                <w:szCs w:val="20"/>
                <w:lang w:val="fr-CA"/>
              </w:rPr>
              <w:t>Order</w:t>
            </w:r>
            <w:proofErr w:type="spellEnd"/>
          </w:p>
          <w:p w:rsidR="00284908" w:rsidRPr="007765E3" w:rsidRDefault="00284908" w:rsidP="00576E8D">
            <w:pPr>
              <w:tabs>
                <w:tab w:val="left" w:pos="-1440"/>
                <w:tab w:val="left" w:pos="-720"/>
              </w:tabs>
              <w:jc w:val="both"/>
              <w:rPr>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p>
        </w:tc>
        <w:tc>
          <w:tcPr>
            <w:tcW w:w="1170" w:type="dxa"/>
          </w:tcPr>
          <w:p w:rsidR="00284908" w:rsidRPr="007765E3" w:rsidRDefault="00284908" w:rsidP="00576E8D">
            <w:pPr>
              <w:jc w:val="both"/>
              <w:rPr>
                <w:sz w:val="20"/>
                <w:szCs w:val="20"/>
                <w:lang w:val="fr-CA"/>
              </w:rPr>
            </w:pPr>
          </w:p>
          <w:p w:rsidR="00284908" w:rsidRPr="007765E3" w:rsidRDefault="00284908" w:rsidP="00576E8D">
            <w:pPr>
              <w:jc w:val="both"/>
              <w:rPr>
                <w:sz w:val="20"/>
                <w:szCs w:val="20"/>
                <w:lang w:val="fr-CA"/>
              </w:rPr>
            </w:pPr>
          </w:p>
        </w:tc>
        <w:tc>
          <w:tcPr>
            <w:tcW w:w="4327" w:type="dxa"/>
          </w:tcPr>
          <w:p w:rsidR="00284908" w:rsidRPr="007765E3" w:rsidRDefault="00284908" w:rsidP="00576E8D">
            <w:pPr>
              <w:jc w:val="both"/>
              <w:rPr>
                <w:b/>
                <w:sz w:val="20"/>
                <w:szCs w:val="20"/>
                <w:lang w:val="fr-CA"/>
              </w:rPr>
            </w:pPr>
            <w:r w:rsidRPr="007765E3">
              <w:rPr>
                <w:sz w:val="20"/>
                <w:szCs w:val="20"/>
              </w:rPr>
              <w:fldChar w:fldCharType="begin"/>
            </w:r>
            <w:r w:rsidRPr="007765E3">
              <w:rPr>
                <w:sz w:val="20"/>
                <w:szCs w:val="20"/>
                <w:lang w:val="fr-CA"/>
              </w:rPr>
              <w:instrText xml:space="preserve"> SEQ CHAPTER \h \r 1</w:instrText>
            </w:r>
            <w:r w:rsidRPr="007765E3">
              <w:rPr>
                <w:sz w:val="20"/>
                <w:szCs w:val="20"/>
              </w:rPr>
              <w:fldChar w:fldCharType="end"/>
            </w:r>
            <w:r w:rsidRPr="007765E3">
              <w:rPr>
                <w:b/>
                <w:bCs/>
                <w:sz w:val="20"/>
                <w:szCs w:val="20"/>
                <w:lang w:val="fr-CA"/>
              </w:rPr>
              <w:t>Ordonnance</w:t>
            </w:r>
          </w:p>
          <w:p w:rsidR="00284908" w:rsidRPr="007765E3" w:rsidRDefault="00284908" w:rsidP="00576E8D">
            <w:pPr>
              <w:jc w:val="both"/>
              <w:rPr>
                <w:b/>
                <w:sz w:val="20"/>
                <w:szCs w:val="20"/>
                <w:lang w:val="fr-CA"/>
              </w:rPr>
            </w:pPr>
            <w:r w:rsidRPr="007765E3">
              <w:rPr>
                <w:b/>
                <w:sz w:val="20"/>
                <w:szCs w:val="20"/>
              </w:rPr>
              <w:fldChar w:fldCharType="begin"/>
            </w:r>
            <w:r w:rsidRPr="007765E3">
              <w:rPr>
                <w:b/>
                <w:sz w:val="20"/>
                <w:szCs w:val="20"/>
                <w:lang w:val="fr-CA"/>
              </w:rPr>
              <w:instrText xml:space="preserve"> SEQ CHAPTER \h \r 1</w:instrText>
            </w:r>
            <w:r w:rsidRPr="007765E3">
              <w:rPr>
                <w:b/>
                <w:sz w:val="20"/>
                <w:szCs w:val="20"/>
              </w:rPr>
              <w:fldChar w:fldCharType="end"/>
            </w:r>
            <w:r w:rsidRPr="007765E3">
              <w:rPr>
                <w:b/>
                <w:sz w:val="20"/>
                <w:szCs w:val="20"/>
              </w:rPr>
              <w:fldChar w:fldCharType="begin"/>
            </w:r>
            <w:r w:rsidRPr="007765E3">
              <w:rPr>
                <w:b/>
                <w:sz w:val="20"/>
                <w:szCs w:val="20"/>
                <w:lang w:val="fr-CA"/>
              </w:rPr>
              <w:instrText xml:space="preserve"> SEQ CHAPTER \h \r 1</w:instrText>
            </w:r>
            <w:r w:rsidRPr="007765E3">
              <w:rPr>
                <w:b/>
                <w:sz w:val="20"/>
                <w:szCs w:val="20"/>
              </w:rPr>
              <w:fldChar w:fldCharType="end"/>
            </w:r>
          </w:p>
        </w:tc>
      </w:tr>
      <w:tr w:rsidR="00284908" w:rsidRPr="007765E3" w:rsidTr="00576E8D">
        <w:trPr>
          <w:trHeight w:val="150"/>
        </w:trPr>
        <w:tc>
          <w:tcPr>
            <w:tcW w:w="4338" w:type="dxa"/>
          </w:tcPr>
          <w:p w:rsidR="00284908" w:rsidRPr="007765E3" w:rsidRDefault="00284908" w:rsidP="00576E8D">
            <w:pPr>
              <w:tabs>
                <w:tab w:val="left" w:pos="-1440"/>
                <w:tab w:val="left" w:pos="-720"/>
              </w:tabs>
              <w:jc w:val="both"/>
              <w:rPr>
                <w:sz w:val="20"/>
                <w:szCs w:val="20"/>
              </w:rPr>
            </w:pPr>
            <w:proofErr w:type="spellStart"/>
            <w:r w:rsidRPr="007765E3">
              <w:rPr>
                <w:sz w:val="20"/>
                <w:szCs w:val="20"/>
              </w:rPr>
              <w:t>Olabode</w:t>
            </w:r>
            <w:proofErr w:type="spellEnd"/>
            <w:r w:rsidRPr="007765E3">
              <w:rPr>
                <w:sz w:val="20"/>
                <w:szCs w:val="20"/>
              </w:rPr>
              <w:t xml:space="preserve"> </w:t>
            </w:r>
            <w:proofErr w:type="spellStart"/>
            <w:r w:rsidRPr="007765E3">
              <w:rPr>
                <w:sz w:val="20"/>
                <w:szCs w:val="20"/>
              </w:rPr>
              <w:t>Abayolmi</w:t>
            </w:r>
            <w:proofErr w:type="spellEnd"/>
            <w:r w:rsidRPr="007765E3">
              <w:rPr>
                <w:sz w:val="20"/>
                <w:szCs w:val="20"/>
              </w:rPr>
              <w:t xml:space="preserve"> </w:t>
            </w:r>
            <w:proofErr w:type="spellStart"/>
            <w:r w:rsidRPr="007765E3">
              <w:rPr>
                <w:sz w:val="20"/>
                <w:szCs w:val="20"/>
              </w:rPr>
              <w:t>Olotu</w:t>
            </w:r>
            <w:proofErr w:type="spellEnd"/>
          </w:p>
          <w:p w:rsidR="00284908" w:rsidRPr="007765E3" w:rsidRDefault="00284908" w:rsidP="00576E8D">
            <w:pPr>
              <w:tabs>
                <w:tab w:val="left" w:pos="-1440"/>
                <w:tab w:val="left" w:pos="-720"/>
              </w:tabs>
              <w:jc w:val="both"/>
              <w:rPr>
                <w:sz w:val="20"/>
                <w:szCs w:val="20"/>
              </w:rPr>
            </w:pPr>
          </w:p>
          <w:p w:rsidR="00284908" w:rsidRPr="007765E3" w:rsidRDefault="00284908" w:rsidP="00576E8D">
            <w:pPr>
              <w:tabs>
                <w:tab w:val="left" w:pos="-1440"/>
                <w:tab w:val="left" w:pos="-720"/>
              </w:tabs>
              <w:jc w:val="both"/>
              <w:rPr>
                <w:sz w:val="20"/>
                <w:szCs w:val="20"/>
              </w:rPr>
            </w:pPr>
            <w:r w:rsidRPr="007765E3">
              <w:rPr>
                <w:sz w:val="20"/>
                <w:szCs w:val="20"/>
              </w:rPr>
              <w:tab/>
              <w:t>v. (37167)</w:t>
            </w:r>
          </w:p>
          <w:p w:rsidR="00284908" w:rsidRPr="007765E3" w:rsidRDefault="00284908" w:rsidP="00576E8D">
            <w:pPr>
              <w:tabs>
                <w:tab w:val="left" w:pos="-1440"/>
                <w:tab w:val="left" w:pos="-720"/>
              </w:tabs>
              <w:jc w:val="both"/>
              <w:rPr>
                <w:sz w:val="20"/>
                <w:szCs w:val="20"/>
              </w:rPr>
            </w:pPr>
          </w:p>
          <w:p w:rsidR="00284908" w:rsidRPr="007765E3" w:rsidRDefault="00284908" w:rsidP="00576E8D">
            <w:pPr>
              <w:tabs>
                <w:tab w:val="left" w:pos="-1440"/>
                <w:tab w:val="left" w:pos="-720"/>
              </w:tabs>
              <w:jc w:val="both"/>
              <w:rPr>
                <w:sz w:val="20"/>
                <w:szCs w:val="20"/>
              </w:rPr>
            </w:pPr>
            <w:r w:rsidRPr="007765E3">
              <w:rPr>
                <w:sz w:val="20"/>
                <w:szCs w:val="20"/>
              </w:rPr>
              <w:t>Her Majesty the Queen (Sask.)</w:t>
            </w:r>
          </w:p>
        </w:tc>
        <w:tc>
          <w:tcPr>
            <w:tcW w:w="1170" w:type="dxa"/>
          </w:tcPr>
          <w:p w:rsidR="00284908" w:rsidRPr="007765E3" w:rsidRDefault="00284908" w:rsidP="00576E8D">
            <w:pPr>
              <w:jc w:val="both"/>
              <w:rPr>
                <w:sz w:val="20"/>
                <w:szCs w:val="20"/>
              </w:rPr>
            </w:pPr>
          </w:p>
        </w:tc>
        <w:tc>
          <w:tcPr>
            <w:tcW w:w="4327" w:type="dxa"/>
          </w:tcPr>
          <w:p w:rsidR="00284908" w:rsidRPr="007765E3" w:rsidRDefault="00284908" w:rsidP="00576E8D">
            <w:pPr>
              <w:jc w:val="both"/>
              <w:rPr>
                <w:sz w:val="20"/>
                <w:szCs w:val="20"/>
              </w:rPr>
            </w:pPr>
          </w:p>
        </w:tc>
      </w:tr>
    </w:tbl>
    <w:p w:rsidR="00284908" w:rsidRPr="007765E3" w:rsidRDefault="00284908" w:rsidP="00284908">
      <w:pPr>
        <w:tabs>
          <w:tab w:val="left" w:pos="-1440"/>
          <w:tab w:val="left" w:pos="-720"/>
        </w:tabs>
        <w:jc w:val="both"/>
        <w:rPr>
          <w:sz w:val="20"/>
          <w:szCs w:val="20"/>
        </w:rPr>
      </w:pPr>
    </w:p>
    <w:p w:rsidR="00284908" w:rsidRPr="007765E3" w:rsidRDefault="00284908" w:rsidP="00284908">
      <w:pPr>
        <w:tabs>
          <w:tab w:val="left" w:pos="-1440"/>
          <w:tab w:val="left" w:pos="-720"/>
        </w:tabs>
        <w:jc w:val="both"/>
        <w:rPr>
          <w:rFonts w:eastAsia="Times New Roman" w:cs="Times New Roman"/>
          <w:sz w:val="20"/>
          <w:szCs w:val="20"/>
          <w:lang w:val="en-US" w:eastAsia="en-CA"/>
        </w:rPr>
      </w:pPr>
      <w:r w:rsidRPr="007765E3">
        <w:rPr>
          <w:b/>
          <w:sz w:val="20"/>
          <w:szCs w:val="20"/>
        </w:rPr>
        <w:t>GRANTED / ACCORDÉE</w:t>
      </w:r>
    </w:p>
    <w:p w:rsidR="00284908" w:rsidRPr="007765E3" w:rsidRDefault="00284908" w:rsidP="00CA2DEA">
      <w:pPr>
        <w:widowControl w:val="0"/>
        <w:rPr>
          <w:rFonts w:eastAsia="Times New Roman" w:cs="Times New Roman"/>
          <w:sz w:val="20"/>
          <w:szCs w:val="20"/>
          <w:lang w:val="en-US" w:eastAsia="en-CA"/>
        </w:rPr>
      </w:pPr>
    </w:p>
    <w:p w:rsidR="00284908" w:rsidRPr="007765E3" w:rsidRDefault="00284908" w:rsidP="00284908">
      <w:pPr>
        <w:rPr>
          <w:rFonts w:cs="Times New Roman"/>
          <w:sz w:val="20"/>
          <w:szCs w:val="20"/>
        </w:rPr>
      </w:pPr>
      <w:r w:rsidRPr="007765E3">
        <w:rPr>
          <w:rFonts w:cs="Times New Roman"/>
          <w:b/>
          <w:sz w:val="20"/>
          <w:szCs w:val="20"/>
        </w:rPr>
        <w:t>IT IS HEREBY ORDERED THAT:</w:t>
      </w:r>
    </w:p>
    <w:p w:rsidR="00284908" w:rsidRPr="007765E3" w:rsidRDefault="00284908" w:rsidP="00284908">
      <w:pPr>
        <w:ind w:left="1440" w:hanging="1440"/>
        <w:rPr>
          <w:rFonts w:cs="Times New Roman"/>
          <w:sz w:val="20"/>
          <w:szCs w:val="20"/>
        </w:rPr>
      </w:pPr>
    </w:p>
    <w:p w:rsidR="00284908" w:rsidRPr="007765E3" w:rsidRDefault="00284908" w:rsidP="000E6D1D">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7765E3">
        <w:rPr>
          <w:rFonts w:cs="Times New Roman"/>
          <w:sz w:val="20"/>
          <w:szCs w:val="20"/>
        </w:rPr>
        <w:t xml:space="preserve">Any person wishing to intervene in this appeal under Rule 55 of the </w:t>
      </w:r>
      <w:r w:rsidRPr="007765E3">
        <w:rPr>
          <w:rFonts w:cs="Times New Roman"/>
          <w:i/>
          <w:sz w:val="20"/>
          <w:szCs w:val="20"/>
        </w:rPr>
        <w:t>Rules of the Supreme Court of Canada</w:t>
      </w:r>
      <w:r w:rsidRPr="007765E3">
        <w:rPr>
          <w:rFonts w:cs="Times New Roman"/>
          <w:sz w:val="20"/>
          <w:szCs w:val="20"/>
        </w:rPr>
        <w:t xml:space="preserve"> shall serve and file a motion for leave to intervene on or before December 19, 2016.</w:t>
      </w:r>
    </w:p>
    <w:p w:rsidR="00284908" w:rsidRPr="007765E3" w:rsidRDefault="00284908" w:rsidP="000E6D1D">
      <w:pPr>
        <w:pStyle w:val="ListParagraph"/>
        <w:jc w:val="both"/>
        <w:rPr>
          <w:rFonts w:cs="Times New Roman"/>
          <w:sz w:val="20"/>
          <w:szCs w:val="20"/>
        </w:rPr>
      </w:pPr>
    </w:p>
    <w:p w:rsidR="00284908" w:rsidRPr="007765E3" w:rsidRDefault="00284908" w:rsidP="000E6D1D">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7765E3">
        <w:rPr>
          <w:rFonts w:cs="Times New Roman"/>
          <w:sz w:val="20"/>
          <w:szCs w:val="20"/>
        </w:rPr>
        <w:t xml:space="preserve">The appellant and respondent shall serve and file their responses, if any, to the motions for leave to intervene on or before December 28, 2016. </w:t>
      </w:r>
    </w:p>
    <w:p w:rsidR="00284908" w:rsidRPr="007765E3" w:rsidRDefault="00284908" w:rsidP="000E6D1D">
      <w:pPr>
        <w:pStyle w:val="ListParagraph"/>
        <w:jc w:val="both"/>
        <w:rPr>
          <w:rFonts w:cs="Times New Roman"/>
          <w:sz w:val="20"/>
          <w:szCs w:val="20"/>
        </w:rPr>
      </w:pPr>
    </w:p>
    <w:p w:rsidR="00284908" w:rsidRPr="007765E3" w:rsidRDefault="00284908" w:rsidP="000E6D1D">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7765E3">
        <w:rPr>
          <w:rFonts w:cs="Times New Roman"/>
          <w:sz w:val="20"/>
          <w:szCs w:val="20"/>
        </w:rPr>
        <w:t>Replies to any responses to the motions for leave to intervene shall be served and filed on or before December 30, 2016.</w:t>
      </w:r>
    </w:p>
    <w:p w:rsidR="00284908" w:rsidRPr="007765E3" w:rsidRDefault="00284908" w:rsidP="000E6D1D">
      <w:pPr>
        <w:pStyle w:val="ListParagraph"/>
        <w:jc w:val="both"/>
        <w:rPr>
          <w:rFonts w:cs="Times New Roman"/>
          <w:bCs/>
          <w:sz w:val="20"/>
          <w:szCs w:val="20"/>
        </w:rPr>
      </w:pPr>
    </w:p>
    <w:p w:rsidR="00284908" w:rsidRPr="007765E3" w:rsidRDefault="00284908" w:rsidP="000E6D1D">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7765E3">
        <w:rPr>
          <w:rFonts w:cs="Times New Roman"/>
          <w:bCs/>
          <w:sz w:val="20"/>
          <w:szCs w:val="20"/>
        </w:rPr>
        <w:t xml:space="preserve">Any interveners granted leave to intervene under Rule 59 of the </w:t>
      </w:r>
      <w:r w:rsidRPr="007765E3">
        <w:rPr>
          <w:rFonts w:cs="Times New Roman"/>
          <w:bCs/>
          <w:i/>
          <w:sz w:val="20"/>
          <w:szCs w:val="20"/>
        </w:rPr>
        <w:t>Rules of the Supreme Court of Canada</w:t>
      </w:r>
      <w:r w:rsidRPr="007765E3">
        <w:rPr>
          <w:rFonts w:cs="Times New Roman"/>
          <w:bCs/>
          <w:sz w:val="20"/>
          <w:szCs w:val="20"/>
        </w:rPr>
        <w:t xml:space="preserve"> shall serve and file their factum and book of authorities on or before February 7, 2017.</w:t>
      </w:r>
    </w:p>
    <w:p w:rsidR="00284908" w:rsidRPr="007765E3" w:rsidRDefault="00284908" w:rsidP="000E6D1D">
      <w:pPr>
        <w:pStyle w:val="ListParagraph"/>
        <w:jc w:val="both"/>
        <w:rPr>
          <w:rFonts w:cs="Times New Roman"/>
          <w:sz w:val="20"/>
          <w:szCs w:val="20"/>
        </w:rPr>
      </w:pPr>
    </w:p>
    <w:p w:rsidR="00284908" w:rsidRPr="007765E3" w:rsidRDefault="00284908" w:rsidP="000E6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p>
    <w:p w:rsidR="00284908" w:rsidRPr="007765E3" w:rsidRDefault="00284908" w:rsidP="000E6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p>
    <w:p w:rsidR="00284908" w:rsidRPr="007765E3" w:rsidRDefault="00284908" w:rsidP="000E6D1D">
      <w:pPr>
        <w:jc w:val="both"/>
        <w:rPr>
          <w:rFonts w:cs="Times New Roman"/>
          <w:sz w:val="20"/>
          <w:szCs w:val="20"/>
          <w:lang w:val="fr-CA"/>
        </w:rPr>
      </w:pPr>
      <w:r w:rsidRPr="007765E3">
        <w:rPr>
          <w:rFonts w:cs="Times New Roman"/>
          <w:b/>
          <w:sz w:val="20"/>
          <w:szCs w:val="20"/>
          <w:lang w:val="fr-CA"/>
        </w:rPr>
        <w:t>IL EST ORDONNÉ CE QUI SUIT :</w:t>
      </w:r>
    </w:p>
    <w:p w:rsidR="00284908" w:rsidRPr="007765E3" w:rsidRDefault="00284908" w:rsidP="000E6D1D">
      <w:pPr>
        <w:ind w:left="1440" w:hanging="1440"/>
        <w:jc w:val="both"/>
        <w:rPr>
          <w:rFonts w:cs="Times New Roman"/>
          <w:sz w:val="20"/>
          <w:szCs w:val="20"/>
          <w:lang w:val="fr-CA"/>
        </w:rPr>
      </w:pPr>
    </w:p>
    <w:p w:rsidR="00284908" w:rsidRPr="007765E3" w:rsidRDefault="00284908" w:rsidP="000E6D1D">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7765E3">
        <w:rPr>
          <w:rFonts w:cs="Times New Roman"/>
          <w:sz w:val="20"/>
          <w:szCs w:val="20"/>
          <w:lang w:val="fr-CA"/>
        </w:rPr>
        <w:t xml:space="preserve">Toute personne souhaitant intervenir dans le présent appel en application de l’art. 55 des </w:t>
      </w:r>
      <w:r w:rsidRPr="007765E3">
        <w:rPr>
          <w:rFonts w:cs="Times New Roman"/>
          <w:i/>
          <w:sz w:val="20"/>
          <w:szCs w:val="20"/>
          <w:lang w:val="fr-CA"/>
        </w:rPr>
        <w:t>Règles de la Cour suprême du Canada</w:t>
      </w:r>
      <w:r w:rsidRPr="007765E3">
        <w:rPr>
          <w:rFonts w:cs="Times New Roman"/>
          <w:sz w:val="20"/>
          <w:szCs w:val="20"/>
          <w:lang w:val="fr-CA"/>
        </w:rPr>
        <w:t xml:space="preserve"> </w:t>
      </w:r>
      <w:proofErr w:type="gramStart"/>
      <w:r w:rsidRPr="007765E3">
        <w:rPr>
          <w:rFonts w:cs="Times New Roman"/>
          <w:sz w:val="20"/>
          <w:szCs w:val="20"/>
          <w:lang w:val="fr-CA"/>
        </w:rPr>
        <w:t>devra</w:t>
      </w:r>
      <w:proofErr w:type="gramEnd"/>
      <w:r w:rsidRPr="007765E3">
        <w:rPr>
          <w:rFonts w:cs="Times New Roman"/>
          <w:sz w:val="20"/>
          <w:szCs w:val="20"/>
          <w:lang w:val="fr-CA"/>
        </w:rPr>
        <w:t xml:space="preserve"> signifier et déposer une requête en autorisation d’intervenir au plus tard le 19 décembre 2016.</w:t>
      </w:r>
    </w:p>
    <w:p w:rsidR="00284908" w:rsidRPr="007765E3" w:rsidRDefault="00284908" w:rsidP="000E6D1D">
      <w:pPr>
        <w:pStyle w:val="ListParagraph"/>
        <w:jc w:val="both"/>
        <w:rPr>
          <w:rFonts w:cs="Times New Roman"/>
          <w:sz w:val="20"/>
          <w:szCs w:val="20"/>
          <w:lang w:val="fr-CA"/>
        </w:rPr>
      </w:pPr>
    </w:p>
    <w:p w:rsidR="00284908" w:rsidRPr="007765E3" w:rsidRDefault="00284908" w:rsidP="000E6D1D">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7765E3">
        <w:rPr>
          <w:rFonts w:cs="Times New Roman"/>
          <w:sz w:val="20"/>
          <w:szCs w:val="20"/>
          <w:lang w:val="fr-CA"/>
        </w:rPr>
        <w:t xml:space="preserve">L’appelant et l’intimée devront, le cas échéant, signifier et déposer leurs réponses aux requêtes en autorisation d’intervenir au plus tard le 28 décembre 2016. </w:t>
      </w:r>
    </w:p>
    <w:p w:rsidR="00284908" w:rsidRPr="007765E3" w:rsidRDefault="00284908" w:rsidP="000E6D1D">
      <w:pPr>
        <w:pStyle w:val="ListParagraph"/>
        <w:jc w:val="both"/>
        <w:rPr>
          <w:rFonts w:cs="Times New Roman"/>
          <w:sz w:val="20"/>
          <w:szCs w:val="20"/>
          <w:lang w:val="fr-CA"/>
        </w:rPr>
      </w:pPr>
    </w:p>
    <w:p w:rsidR="00284908" w:rsidRPr="007765E3" w:rsidRDefault="00284908" w:rsidP="000E6D1D">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7765E3">
        <w:rPr>
          <w:rFonts w:cs="Times New Roman"/>
          <w:sz w:val="20"/>
          <w:szCs w:val="20"/>
          <w:lang w:val="fr-CA"/>
        </w:rPr>
        <w:t>Les répliques aux réponses éventuelles aux requêtes en autorisation d’intervenir devront être signifiées et déposées au plus tard le 30 décembre 2016.</w:t>
      </w:r>
    </w:p>
    <w:p w:rsidR="00284908" w:rsidRPr="007765E3" w:rsidRDefault="00284908" w:rsidP="000E6D1D">
      <w:pPr>
        <w:pStyle w:val="ListParagraph"/>
        <w:jc w:val="both"/>
        <w:rPr>
          <w:rFonts w:cs="Times New Roman"/>
          <w:bCs/>
          <w:sz w:val="20"/>
          <w:szCs w:val="20"/>
          <w:lang w:val="fr-CA"/>
        </w:rPr>
      </w:pPr>
    </w:p>
    <w:p w:rsidR="00284908" w:rsidRPr="007765E3" w:rsidRDefault="00284908" w:rsidP="000E6D1D">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7765E3">
        <w:rPr>
          <w:rFonts w:cs="Times New Roman"/>
          <w:bCs/>
          <w:sz w:val="20"/>
          <w:szCs w:val="20"/>
          <w:lang w:val="fr-CA"/>
        </w:rPr>
        <w:t xml:space="preserve">Les intervenants qui seront autorisés à intervenir en application de l’art. 59 des </w:t>
      </w:r>
      <w:r w:rsidRPr="007765E3">
        <w:rPr>
          <w:rFonts w:cs="Times New Roman"/>
          <w:bCs/>
          <w:i/>
          <w:sz w:val="20"/>
          <w:szCs w:val="20"/>
          <w:lang w:val="fr-CA"/>
        </w:rPr>
        <w:t>Règles de la Cour suprême du Canada</w:t>
      </w:r>
      <w:r w:rsidRPr="007765E3">
        <w:rPr>
          <w:rFonts w:cs="Times New Roman"/>
          <w:bCs/>
          <w:sz w:val="20"/>
          <w:szCs w:val="20"/>
          <w:lang w:val="fr-CA"/>
        </w:rPr>
        <w:t xml:space="preserve"> devront signifier et déposer leur mémoire et recueil de sources au plus tard le 7 février 2017.</w:t>
      </w:r>
    </w:p>
    <w:p w:rsidR="00284908" w:rsidRPr="007765E3" w:rsidRDefault="00284908" w:rsidP="000E6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p>
    <w:p w:rsidR="00284908" w:rsidRPr="007765E3" w:rsidRDefault="007765E3" w:rsidP="000E6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7765E3">
        <w:rPr>
          <w:rFonts w:eastAsia="Times New Roman" w:cs="Times New Roman"/>
          <w:sz w:val="20"/>
          <w:szCs w:val="20"/>
          <w:lang w:val="fr-CA" w:eastAsia="en-CA"/>
        </w:rPr>
        <w:pict>
          <v:rect id="_x0000_i1070" style="width:2in;height:1pt" o:hrpct="0" o:hralign="center" o:hrstd="t" o:hrnoshade="t" o:hr="t" fillcolor="black [3213]" stroked="f"/>
        </w:pict>
      </w:r>
    </w:p>
    <w:p w:rsidR="00890FEB" w:rsidRPr="007765E3" w:rsidRDefault="00890FEB" w:rsidP="00831CA9">
      <w:pPr>
        <w:jc w:val="both"/>
        <w:rPr>
          <w:sz w:val="20"/>
          <w:szCs w:val="20"/>
          <w:lang w:val="fr-CA"/>
        </w:rPr>
      </w:pPr>
    </w:p>
    <w:p w:rsidR="00831CA9" w:rsidRPr="007765E3" w:rsidRDefault="00831CA9" w:rsidP="00831CA9">
      <w:pPr>
        <w:jc w:val="both"/>
        <w:rPr>
          <w:sz w:val="20"/>
          <w:szCs w:val="20"/>
          <w:lang w:val="fr-CA"/>
        </w:rPr>
        <w:sectPr w:rsidR="00831CA9" w:rsidRPr="007765E3" w:rsidSect="00831CA9">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765E3" w:rsidTr="0085476B">
        <w:trPr>
          <w:cantSplit/>
        </w:trPr>
        <w:tc>
          <w:tcPr>
            <w:tcW w:w="4410" w:type="dxa"/>
            <w:tcMar>
              <w:left w:w="0" w:type="dxa"/>
              <w:right w:w="0" w:type="dxa"/>
            </w:tcMar>
          </w:tcPr>
          <w:p w:rsidR="00C1697B" w:rsidRPr="007765E3" w:rsidRDefault="00732DB7" w:rsidP="00697C62">
            <w:pPr>
              <w:keepNext/>
              <w:keepLines/>
              <w:widowControl w:val="0"/>
              <w:jc w:val="both"/>
              <w:rPr>
                <w:b/>
                <w:szCs w:val="24"/>
              </w:rPr>
            </w:pPr>
            <w:r w:rsidRPr="007765E3">
              <w:rPr>
                <w:b/>
                <w:szCs w:val="24"/>
              </w:rPr>
              <w:lastRenderedPageBreak/>
              <w:t>APPEALS HEARD SINCE LAST ISSUE AND DISPOSITION</w:t>
            </w:r>
          </w:p>
          <w:p w:rsidR="00732DB7" w:rsidRPr="007765E3" w:rsidRDefault="00732DB7" w:rsidP="00C1697B">
            <w:pPr>
              <w:tabs>
                <w:tab w:val="left" w:pos="1116"/>
              </w:tabs>
              <w:rPr>
                <w:szCs w:val="24"/>
              </w:rPr>
            </w:pPr>
          </w:p>
        </w:tc>
        <w:tc>
          <w:tcPr>
            <w:tcW w:w="720" w:type="dxa"/>
            <w:tcMar>
              <w:left w:w="0" w:type="dxa"/>
              <w:right w:w="0" w:type="dxa"/>
            </w:tcMar>
          </w:tcPr>
          <w:p w:rsidR="00732DB7" w:rsidRPr="007765E3" w:rsidRDefault="00732DB7" w:rsidP="00732DB7">
            <w:pPr>
              <w:keepNext/>
              <w:keepLines/>
              <w:widowControl w:val="0"/>
              <w:jc w:val="center"/>
              <w:rPr>
                <w:b/>
                <w:szCs w:val="24"/>
              </w:rPr>
            </w:pPr>
          </w:p>
          <w:p w:rsidR="00732DB7" w:rsidRPr="007765E3" w:rsidRDefault="00732DB7" w:rsidP="00732DB7">
            <w:pPr>
              <w:keepNext/>
              <w:keepLines/>
              <w:widowControl w:val="0"/>
              <w:jc w:val="center"/>
              <w:rPr>
                <w:b/>
                <w:szCs w:val="24"/>
              </w:rPr>
            </w:pPr>
          </w:p>
          <w:p w:rsidR="00732DB7" w:rsidRPr="007765E3" w:rsidRDefault="00732DB7" w:rsidP="00732DB7">
            <w:pPr>
              <w:keepNext/>
              <w:keepLines/>
              <w:widowControl w:val="0"/>
              <w:jc w:val="center"/>
              <w:rPr>
                <w:b/>
                <w:szCs w:val="24"/>
              </w:rPr>
            </w:pPr>
          </w:p>
        </w:tc>
        <w:tc>
          <w:tcPr>
            <w:tcW w:w="4350" w:type="dxa"/>
            <w:tcMar>
              <w:left w:w="0" w:type="dxa"/>
              <w:right w:w="0" w:type="dxa"/>
            </w:tcMar>
          </w:tcPr>
          <w:p w:rsidR="00732DB7" w:rsidRPr="007765E3" w:rsidRDefault="00732DB7" w:rsidP="00697C62">
            <w:pPr>
              <w:keepNext/>
              <w:keepLines/>
              <w:widowControl w:val="0"/>
              <w:jc w:val="both"/>
              <w:rPr>
                <w:b/>
                <w:szCs w:val="24"/>
                <w:lang w:val="fr-CA"/>
              </w:rPr>
            </w:pPr>
            <w:r w:rsidRPr="007765E3">
              <w:rPr>
                <w:b/>
                <w:szCs w:val="24"/>
                <w:lang w:val="fr-CA"/>
              </w:rPr>
              <w:t>APPELS ENTENDUS DEPUIS LA DERNIÈRE PARUTION ET RÉSULTAT</w:t>
            </w:r>
          </w:p>
        </w:tc>
      </w:tr>
    </w:tbl>
    <w:p w:rsidR="00732DB7" w:rsidRPr="007765E3" w:rsidRDefault="00732DB7" w:rsidP="00732DB7">
      <w:pPr>
        <w:widowControl w:val="0"/>
        <w:rPr>
          <w:sz w:val="20"/>
          <w:szCs w:val="20"/>
          <w:lang w:val="fr-CA"/>
        </w:rPr>
      </w:pPr>
    </w:p>
    <w:p w:rsidR="007C47C2" w:rsidRPr="007765E3" w:rsidRDefault="000E312F" w:rsidP="007C47C2">
      <w:pPr>
        <w:widowControl w:val="0"/>
        <w:rPr>
          <w:sz w:val="20"/>
          <w:szCs w:val="20"/>
          <w:lang w:val="fr-CA"/>
        </w:rPr>
      </w:pPr>
      <w:r w:rsidRPr="007765E3">
        <w:rPr>
          <w:sz w:val="20"/>
          <w:szCs w:val="20"/>
          <w:lang w:val="fr-CA"/>
        </w:rPr>
        <w:t>7.10.2016</w:t>
      </w:r>
    </w:p>
    <w:p w:rsidR="007C47C2" w:rsidRPr="007765E3" w:rsidRDefault="007C47C2" w:rsidP="007C47C2">
      <w:pPr>
        <w:widowControl w:val="0"/>
        <w:rPr>
          <w:sz w:val="20"/>
          <w:szCs w:val="20"/>
          <w:lang w:val="fr-CA"/>
        </w:rPr>
      </w:pPr>
    </w:p>
    <w:p w:rsidR="007C47C2" w:rsidRPr="007765E3" w:rsidRDefault="007C47C2" w:rsidP="007C47C2">
      <w:pPr>
        <w:widowControl w:val="0"/>
        <w:ind w:left="720" w:hanging="720"/>
        <w:rPr>
          <w:sz w:val="20"/>
          <w:szCs w:val="20"/>
          <w:u w:val="single"/>
          <w:lang w:val="fr-CA"/>
        </w:rPr>
      </w:pPr>
      <w:r w:rsidRPr="007765E3">
        <w:rPr>
          <w:sz w:val="20"/>
          <w:szCs w:val="20"/>
          <w:lang w:val="fr-CA"/>
        </w:rPr>
        <w:t xml:space="preserve">Coram: </w:t>
      </w:r>
      <w:r w:rsidRPr="007765E3">
        <w:rPr>
          <w:sz w:val="20"/>
          <w:szCs w:val="20"/>
          <w:lang w:val="fr-CA"/>
        </w:rPr>
        <w:tab/>
      </w:r>
      <w:r w:rsidRPr="007765E3">
        <w:rPr>
          <w:sz w:val="20"/>
          <w:szCs w:val="20"/>
          <w:u w:val="single"/>
          <w:lang w:val="fr-CA"/>
        </w:rPr>
        <w:t xml:space="preserve">La juge en chef </w:t>
      </w:r>
      <w:proofErr w:type="spellStart"/>
      <w:r w:rsidRPr="007765E3">
        <w:rPr>
          <w:sz w:val="20"/>
          <w:szCs w:val="20"/>
          <w:u w:val="single"/>
          <w:lang w:val="fr-CA"/>
        </w:rPr>
        <w:t>McLachlin</w:t>
      </w:r>
      <w:proofErr w:type="spellEnd"/>
      <w:r w:rsidRPr="007765E3">
        <w:rPr>
          <w:sz w:val="20"/>
          <w:szCs w:val="20"/>
          <w:u w:val="single"/>
          <w:lang w:val="fr-CA"/>
        </w:rPr>
        <w:t xml:space="preserve"> et les juges </w:t>
      </w:r>
      <w:proofErr w:type="spellStart"/>
      <w:r w:rsidR="000E312F" w:rsidRPr="007765E3">
        <w:rPr>
          <w:sz w:val="20"/>
          <w:szCs w:val="20"/>
          <w:u w:val="single"/>
          <w:lang w:val="fr-CA"/>
        </w:rPr>
        <w:t>Moldaver</w:t>
      </w:r>
      <w:proofErr w:type="spellEnd"/>
      <w:r w:rsidR="000E312F" w:rsidRPr="007765E3">
        <w:rPr>
          <w:sz w:val="20"/>
          <w:szCs w:val="20"/>
          <w:u w:val="single"/>
          <w:lang w:val="fr-CA"/>
        </w:rPr>
        <w:t xml:space="preserve">, </w:t>
      </w:r>
      <w:proofErr w:type="spellStart"/>
      <w:r w:rsidR="000E312F" w:rsidRPr="007765E3">
        <w:rPr>
          <w:sz w:val="20"/>
          <w:szCs w:val="20"/>
          <w:u w:val="single"/>
          <w:lang w:val="fr-CA"/>
        </w:rPr>
        <w:t>Karakatsanis</w:t>
      </w:r>
      <w:proofErr w:type="spellEnd"/>
      <w:r w:rsidR="000E312F" w:rsidRPr="007765E3">
        <w:rPr>
          <w:sz w:val="20"/>
          <w:szCs w:val="20"/>
          <w:u w:val="single"/>
          <w:lang w:val="fr-CA"/>
        </w:rPr>
        <w:t xml:space="preserve">, Wagner, </w:t>
      </w:r>
      <w:proofErr w:type="spellStart"/>
      <w:r w:rsidR="000E312F" w:rsidRPr="007765E3">
        <w:rPr>
          <w:sz w:val="20"/>
          <w:szCs w:val="20"/>
          <w:u w:val="single"/>
          <w:lang w:val="fr-CA"/>
        </w:rPr>
        <w:t>Gason</w:t>
      </w:r>
      <w:proofErr w:type="spellEnd"/>
      <w:r w:rsidR="000E312F" w:rsidRPr="007765E3">
        <w:rPr>
          <w:sz w:val="20"/>
          <w:szCs w:val="20"/>
          <w:u w:val="single"/>
          <w:lang w:val="fr-CA"/>
        </w:rPr>
        <w:t>, Côté et Brown</w:t>
      </w:r>
    </w:p>
    <w:p w:rsidR="007C47C2" w:rsidRPr="007765E3"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765E3" w:rsidTr="000E312F">
        <w:tc>
          <w:tcPr>
            <w:tcW w:w="4380" w:type="dxa"/>
            <w:shd w:val="clear" w:color="auto" w:fill="auto"/>
            <w:tcMar>
              <w:left w:w="0" w:type="dxa"/>
              <w:right w:w="0" w:type="dxa"/>
            </w:tcMar>
          </w:tcPr>
          <w:p w:rsidR="007C47C2" w:rsidRPr="007765E3" w:rsidRDefault="000E312F" w:rsidP="00E942C2">
            <w:pPr>
              <w:widowControl w:val="0"/>
              <w:rPr>
                <w:b/>
                <w:sz w:val="20"/>
                <w:szCs w:val="20"/>
                <w:lang w:val="fr-CA"/>
              </w:rPr>
            </w:pPr>
            <w:r w:rsidRPr="007765E3">
              <w:rPr>
                <w:b/>
                <w:sz w:val="20"/>
                <w:szCs w:val="20"/>
                <w:lang w:val="fr-CA"/>
              </w:rPr>
              <w:t xml:space="preserve">Alain </w:t>
            </w:r>
            <w:proofErr w:type="spellStart"/>
            <w:r w:rsidRPr="007765E3">
              <w:rPr>
                <w:b/>
                <w:sz w:val="20"/>
                <w:szCs w:val="20"/>
                <w:lang w:val="fr-CA"/>
              </w:rPr>
              <w:t>Ostiguy</w:t>
            </w:r>
            <w:proofErr w:type="spellEnd"/>
            <w:r w:rsidRPr="007765E3">
              <w:rPr>
                <w:b/>
                <w:sz w:val="20"/>
                <w:szCs w:val="20"/>
                <w:lang w:val="fr-CA"/>
              </w:rPr>
              <w:t xml:space="preserve"> et autre</w:t>
            </w:r>
          </w:p>
          <w:p w:rsidR="007C47C2" w:rsidRPr="007765E3" w:rsidRDefault="007C47C2" w:rsidP="00E942C2">
            <w:pPr>
              <w:widowControl w:val="0"/>
              <w:rPr>
                <w:b/>
                <w:sz w:val="20"/>
                <w:szCs w:val="20"/>
                <w:lang w:val="fr-CA"/>
              </w:rPr>
            </w:pPr>
          </w:p>
          <w:p w:rsidR="007C47C2" w:rsidRPr="007765E3" w:rsidRDefault="007C47C2" w:rsidP="00E942C2">
            <w:pPr>
              <w:widowControl w:val="0"/>
              <w:rPr>
                <w:b/>
                <w:sz w:val="20"/>
                <w:szCs w:val="20"/>
                <w:lang w:val="fr-CA"/>
              </w:rPr>
            </w:pPr>
            <w:r w:rsidRPr="007765E3">
              <w:rPr>
                <w:b/>
                <w:sz w:val="20"/>
                <w:szCs w:val="20"/>
                <w:lang w:val="fr-CA"/>
              </w:rPr>
              <w:tab/>
              <w:t xml:space="preserve">c. </w:t>
            </w:r>
            <w:r w:rsidRPr="007765E3">
              <w:rPr>
                <w:sz w:val="20"/>
                <w:szCs w:val="20"/>
                <w:lang w:val="fr-CA"/>
              </w:rPr>
              <w:t>(</w:t>
            </w:r>
            <w:hyperlink r:id="rId72" w:history="1">
              <w:r w:rsidRPr="007765E3">
                <w:rPr>
                  <w:rStyle w:val="Hyperlink"/>
                  <w:sz w:val="20"/>
                  <w:szCs w:val="20"/>
                  <w:lang w:val="fr-CA"/>
                </w:rPr>
                <w:t>3</w:t>
              </w:r>
              <w:r w:rsidR="000E312F" w:rsidRPr="007765E3">
                <w:rPr>
                  <w:rStyle w:val="Hyperlink"/>
                  <w:sz w:val="20"/>
                  <w:szCs w:val="20"/>
                  <w:lang w:val="fr-CA"/>
                </w:rPr>
                <w:t>6694</w:t>
              </w:r>
            </w:hyperlink>
            <w:r w:rsidRPr="007765E3">
              <w:rPr>
                <w:sz w:val="20"/>
                <w:szCs w:val="20"/>
                <w:lang w:val="fr-CA"/>
              </w:rPr>
              <w:t>)</w:t>
            </w:r>
          </w:p>
          <w:p w:rsidR="007C47C2" w:rsidRPr="007765E3" w:rsidRDefault="007C47C2" w:rsidP="00E942C2">
            <w:pPr>
              <w:widowControl w:val="0"/>
              <w:rPr>
                <w:b/>
                <w:sz w:val="20"/>
                <w:szCs w:val="20"/>
                <w:lang w:val="fr-CA"/>
              </w:rPr>
            </w:pPr>
          </w:p>
          <w:p w:rsidR="007C47C2" w:rsidRPr="007765E3" w:rsidRDefault="000E312F" w:rsidP="00E942C2">
            <w:pPr>
              <w:widowControl w:val="0"/>
              <w:rPr>
                <w:sz w:val="20"/>
                <w:szCs w:val="20"/>
                <w:lang w:val="fr-CA"/>
              </w:rPr>
            </w:pPr>
            <w:r w:rsidRPr="007765E3">
              <w:rPr>
                <w:b/>
                <w:sz w:val="20"/>
                <w:szCs w:val="20"/>
                <w:lang w:val="fr-CA"/>
              </w:rPr>
              <w:t>Hélène Allie</w:t>
            </w:r>
            <w:r w:rsidR="007C47C2" w:rsidRPr="007765E3">
              <w:rPr>
                <w:b/>
                <w:sz w:val="20"/>
                <w:szCs w:val="20"/>
                <w:lang w:val="fr-CA"/>
              </w:rPr>
              <w:t xml:space="preserve"> (</w:t>
            </w:r>
            <w:proofErr w:type="spellStart"/>
            <w:r w:rsidR="007C47C2" w:rsidRPr="007765E3">
              <w:rPr>
                <w:b/>
                <w:sz w:val="20"/>
                <w:szCs w:val="20"/>
                <w:lang w:val="fr-CA"/>
              </w:rPr>
              <w:t>Qc</w:t>
            </w:r>
            <w:proofErr w:type="spellEnd"/>
            <w:r w:rsidR="007C47C2" w:rsidRPr="007765E3">
              <w:rPr>
                <w:b/>
                <w:sz w:val="20"/>
                <w:szCs w:val="20"/>
                <w:lang w:val="fr-CA"/>
              </w:rPr>
              <w:t>) (Civile) (Autorisation)</w:t>
            </w:r>
            <w:r w:rsidR="007C47C2" w:rsidRPr="007765E3">
              <w:rPr>
                <w:sz w:val="20"/>
                <w:szCs w:val="20"/>
                <w:lang w:val="fr-CA"/>
              </w:rPr>
              <w:t xml:space="preserve"> </w:t>
            </w:r>
          </w:p>
        </w:tc>
        <w:tc>
          <w:tcPr>
            <w:tcW w:w="720" w:type="dxa"/>
            <w:shd w:val="clear" w:color="auto" w:fill="auto"/>
            <w:tcMar>
              <w:left w:w="0" w:type="dxa"/>
              <w:right w:w="0" w:type="dxa"/>
            </w:tcMar>
          </w:tcPr>
          <w:p w:rsidR="007C47C2" w:rsidRPr="007765E3" w:rsidRDefault="007C47C2" w:rsidP="00E942C2">
            <w:pPr>
              <w:widowControl w:val="0"/>
              <w:jc w:val="center"/>
              <w:rPr>
                <w:sz w:val="20"/>
                <w:szCs w:val="20"/>
                <w:lang w:val="fr-CA"/>
              </w:rPr>
            </w:pPr>
          </w:p>
        </w:tc>
        <w:tc>
          <w:tcPr>
            <w:tcW w:w="4380" w:type="dxa"/>
            <w:shd w:val="clear" w:color="auto" w:fill="auto"/>
            <w:tcMar>
              <w:left w:w="0" w:type="dxa"/>
              <w:right w:w="0" w:type="dxa"/>
            </w:tcMar>
          </w:tcPr>
          <w:p w:rsidR="007C47C2" w:rsidRPr="007765E3" w:rsidRDefault="000E312F" w:rsidP="00E942C2">
            <w:pPr>
              <w:widowControl w:val="0"/>
              <w:jc w:val="both"/>
              <w:rPr>
                <w:sz w:val="20"/>
                <w:szCs w:val="20"/>
                <w:lang w:val="fr-CA"/>
              </w:rPr>
            </w:pPr>
            <w:proofErr w:type="spellStart"/>
            <w:r w:rsidRPr="007765E3">
              <w:rPr>
                <w:sz w:val="20"/>
                <w:szCs w:val="20"/>
                <w:lang w:val="fr-CA"/>
              </w:rPr>
              <w:t>Eric</w:t>
            </w:r>
            <w:proofErr w:type="spellEnd"/>
            <w:r w:rsidRPr="007765E3">
              <w:rPr>
                <w:sz w:val="20"/>
                <w:szCs w:val="20"/>
                <w:lang w:val="fr-CA"/>
              </w:rPr>
              <w:t xml:space="preserve"> </w:t>
            </w:r>
            <w:proofErr w:type="spellStart"/>
            <w:r w:rsidRPr="007765E3">
              <w:rPr>
                <w:sz w:val="20"/>
                <w:szCs w:val="20"/>
                <w:lang w:val="fr-CA"/>
              </w:rPr>
              <w:t>Lalanne</w:t>
            </w:r>
            <w:proofErr w:type="spellEnd"/>
            <w:r w:rsidRPr="007765E3">
              <w:rPr>
                <w:sz w:val="20"/>
                <w:szCs w:val="20"/>
                <w:lang w:val="fr-CA"/>
              </w:rPr>
              <w:t xml:space="preserve"> pour les appelants.</w:t>
            </w:r>
          </w:p>
          <w:p w:rsidR="000E312F" w:rsidRPr="007765E3" w:rsidRDefault="000E312F" w:rsidP="00E942C2">
            <w:pPr>
              <w:widowControl w:val="0"/>
              <w:jc w:val="both"/>
              <w:rPr>
                <w:sz w:val="20"/>
                <w:szCs w:val="20"/>
                <w:lang w:val="fr-CA"/>
              </w:rPr>
            </w:pPr>
          </w:p>
          <w:p w:rsidR="000E312F" w:rsidRPr="007765E3" w:rsidRDefault="000E312F" w:rsidP="00E942C2">
            <w:pPr>
              <w:widowControl w:val="0"/>
              <w:jc w:val="both"/>
              <w:rPr>
                <w:sz w:val="20"/>
                <w:szCs w:val="20"/>
                <w:lang w:val="fr-CA"/>
              </w:rPr>
            </w:pPr>
            <w:r w:rsidRPr="007765E3">
              <w:rPr>
                <w:sz w:val="20"/>
                <w:szCs w:val="20"/>
                <w:lang w:val="fr-CA"/>
              </w:rPr>
              <w:t xml:space="preserve">Philippe </w:t>
            </w:r>
            <w:proofErr w:type="spellStart"/>
            <w:r w:rsidRPr="007765E3">
              <w:rPr>
                <w:sz w:val="20"/>
                <w:szCs w:val="20"/>
                <w:lang w:val="fr-CA"/>
              </w:rPr>
              <w:t>Dumaine</w:t>
            </w:r>
            <w:proofErr w:type="spellEnd"/>
            <w:r w:rsidRPr="007765E3">
              <w:rPr>
                <w:sz w:val="20"/>
                <w:szCs w:val="20"/>
                <w:lang w:val="fr-CA"/>
              </w:rPr>
              <w:t xml:space="preserve"> et Sarah Laplante </w:t>
            </w:r>
            <w:proofErr w:type="spellStart"/>
            <w:r w:rsidRPr="007765E3">
              <w:rPr>
                <w:sz w:val="20"/>
                <w:szCs w:val="20"/>
                <w:lang w:val="fr-CA"/>
              </w:rPr>
              <w:t>Bazzi</w:t>
            </w:r>
            <w:proofErr w:type="spellEnd"/>
            <w:r w:rsidRPr="007765E3">
              <w:rPr>
                <w:sz w:val="20"/>
                <w:szCs w:val="20"/>
                <w:lang w:val="fr-CA"/>
              </w:rPr>
              <w:t xml:space="preserve"> pour l’intimé.</w:t>
            </w:r>
          </w:p>
          <w:p w:rsidR="000E312F" w:rsidRPr="007765E3" w:rsidRDefault="000E312F" w:rsidP="000E312F">
            <w:pPr>
              <w:ind w:firstLine="720"/>
              <w:rPr>
                <w:sz w:val="20"/>
                <w:szCs w:val="20"/>
                <w:lang w:val="fr-CA"/>
              </w:rPr>
            </w:pPr>
          </w:p>
        </w:tc>
      </w:tr>
    </w:tbl>
    <w:p w:rsidR="007C47C2" w:rsidRPr="007765E3" w:rsidRDefault="007C47C2" w:rsidP="007C47C2">
      <w:pPr>
        <w:widowControl w:val="0"/>
        <w:rPr>
          <w:sz w:val="20"/>
          <w:szCs w:val="20"/>
          <w:lang w:val="fr-CA"/>
        </w:rPr>
      </w:pPr>
    </w:p>
    <w:p w:rsidR="007C47C2" w:rsidRPr="007765E3" w:rsidRDefault="007C47C2" w:rsidP="007C47C2">
      <w:pPr>
        <w:widowControl w:val="0"/>
        <w:rPr>
          <w:sz w:val="20"/>
          <w:szCs w:val="20"/>
        </w:rPr>
      </w:pPr>
      <w:r w:rsidRPr="007765E3">
        <w:rPr>
          <w:b/>
          <w:sz w:val="20"/>
          <w:szCs w:val="20"/>
        </w:rPr>
        <w:t xml:space="preserve">RESERVED / </w:t>
      </w:r>
      <w:r w:rsidRPr="007765E3">
        <w:rPr>
          <w:b/>
          <w:sz w:val="20"/>
          <w:szCs w:val="20"/>
          <w:lang w:val="fr-CA"/>
        </w:rPr>
        <w:t>EN DÉLIBÉRÉ</w:t>
      </w:r>
    </w:p>
    <w:p w:rsidR="007C47C2" w:rsidRPr="007765E3"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765E3" w:rsidTr="00E942C2">
        <w:tc>
          <w:tcPr>
            <w:tcW w:w="4380" w:type="dxa"/>
            <w:tcMar>
              <w:left w:w="0" w:type="dxa"/>
              <w:right w:w="0" w:type="dxa"/>
            </w:tcMar>
          </w:tcPr>
          <w:p w:rsidR="007C47C2" w:rsidRPr="007765E3" w:rsidRDefault="007C47C2" w:rsidP="00E942C2">
            <w:pPr>
              <w:widowControl w:val="0"/>
              <w:jc w:val="both"/>
              <w:rPr>
                <w:b/>
                <w:sz w:val="20"/>
                <w:szCs w:val="20"/>
                <w:u w:val="single"/>
              </w:rPr>
            </w:pPr>
            <w:r w:rsidRPr="007765E3">
              <w:rPr>
                <w:b/>
                <w:sz w:val="20"/>
                <w:szCs w:val="20"/>
                <w:u w:val="single"/>
              </w:rPr>
              <w:t>Nature of the case:</w:t>
            </w:r>
          </w:p>
          <w:p w:rsidR="007C47C2" w:rsidRPr="007765E3" w:rsidRDefault="007C47C2" w:rsidP="00E942C2">
            <w:pPr>
              <w:widowControl w:val="0"/>
              <w:jc w:val="both"/>
              <w:rPr>
                <w:b/>
                <w:sz w:val="20"/>
                <w:szCs w:val="20"/>
              </w:rPr>
            </w:pPr>
          </w:p>
          <w:p w:rsidR="007C47C2" w:rsidRPr="007765E3" w:rsidRDefault="000E312F" w:rsidP="00E942C2">
            <w:pPr>
              <w:widowControl w:val="0"/>
              <w:jc w:val="both"/>
              <w:rPr>
                <w:b/>
                <w:sz w:val="20"/>
                <w:szCs w:val="20"/>
              </w:rPr>
            </w:pPr>
            <w:r w:rsidRPr="007765E3">
              <w:rPr>
                <w:sz w:val="20"/>
                <w:szCs w:val="20"/>
              </w:rPr>
              <w:t xml:space="preserve">Prescription - Immovable - Publication of rights - Acquisition of edge of property used for parking by way of acquisitive prescription - Whether Court of Appeal erred in finding that art. 2918 of </w:t>
            </w:r>
            <w:r w:rsidRPr="007765E3">
              <w:rPr>
                <w:i/>
                <w:sz w:val="20"/>
                <w:szCs w:val="20"/>
              </w:rPr>
              <w:t>Civil Code of Québec</w:t>
            </w:r>
            <w:r w:rsidRPr="007765E3">
              <w:rPr>
                <w:sz w:val="20"/>
                <w:szCs w:val="20"/>
              </w:rPr>
              <w:t xml:space="preserve"> did not change law that applied under </w:t>
            </w:r>
            <w:r w:rsidRPr="007765E3">
              <w:rPr>
                <w:i/>
                <w:sz w:val="20"/>
                <w:szCs w:val="20"/>
              </w:rPr>
              <w:t>Civil Code of Lower Canada</w:t>
            </w:r>
            <w:r w:rsidRPr="007765E3">
              <w:rPr>
                <w:sz w:val="20"/>
                <w:szCs w:val="20"/>
              </w:rPr>
              <w:t xml:space="preserve">, in sense that possessor’s effective possession can be set up against owner whose title is registered in land register regardless of whether registration occurs after acquisitive prescription period of ten (10) years and even before judicial application required by art. 2918 C.C.Q - Arts. 921, 922, 2910, 2918, 2938, 2941, 2943, 2944, 2946, 2957 and 2963, </w:t>
            </w:r>
            <w:r w:rsidRPr="007765E3">
              <w:rPr>
                <w:i/>
                <w:sz w:val="20"/>
                <w:szCs w:val="20"/>
              </w:rPr>
              <w:t>Civil Code of Québec</w:t>
            </w:r>
            <w:r w:rsidRPr="007765E3">
              <w:rPr>
                <w:sz w:val="20"/>
                <w:szCs w:val="20"/>
              </w:rPr>
              <w:t xml:space="preserve">, CQLR, c. C-1991 - Arts. 805 and 806, </w:t>
            </w:r>
            <w:r w:rsidRPr="007765E3">
              <w:rPr>
                <w:i/>
                <w:sz w:val="20"/>
                <w:szCs w:val="20"/>
              </w:rPr>
              <w:t>Code of Civil Procedure</w:t>
            </w:r>
            <w:r w:rsidRPr="007765E3">
              <w:rPr>
                <w:sz w:val="20"/>
                <w:szCs w:val="20"/>
              </w:rPr>
              <w:t xml:space="preserve">, CQLR, c. C-25 - Art. 468, </w:t>
            </w:r>
            <w:r w:rsidRPr="007765E3">
              <w:rPr>
                <w:i/>
                <w:sz w:val="20"/>
                <w:szCs w:val="20"/>
              </w:rPr>
              <w:t>Code of Civil Procedure</w:t>
            </w:r>
            <w:r w:rsidRPr="007765E3">
              <w:rPr>
                <w:sz w:val="20"/>
                <w:szCs w:val="20"/>
              </w:rPr>
              <w:t>, CQLR, c. C-25.01.</w:t>
            </w:r>
          </w:p>
        </w:tc>
        <w:tc>
          <w:tcPr>
            <w:tcW w:w="720" w:type="dxa"/>
            <w:tcMar>
              <w:left w:w="0" w:type="dxa"/>
              <w:right w:w="0" w:type="dxa"/>
            </w:tcMar>
          </w:tcPr>
          <w:p w:rsidR="007C47C2" w:rsidRPr="007765E3" w:rsidRDefault="007C47C2" w:rsidP="00E942C2">
            <w:pPr>
              <w:widowControl w:val="0"/>
              <w:jc w:val="center"/>
              <w:rPr>
                <w:sz w:val="20"/>
                <w:szCs w:val="20"/>
              </w:rPr>
            </w:pPr>
          </w:p>
        </w:tc>
        <w:tc>
          <w:tcPr>
            <w:tcW w:w="4380" w:type="dxa"/>
            <w:tcMar>
              <w:left w:w="0" w:type="dxa"/>
              <w:right w:w="0" w:type="dxa"/>
            </w:tcMar>
          </w:tcPr>
          <w:p w:rsidR="007C47C2" w:rsidRPr="007765E3" w:rsidRDefault="007C47C2" w:rsidP="00E942C2">
            <w:pPr>
              <w:widowControl w:val="0"/>
              <w:jc w:val="both"/>
              <w:rPr>
                <w:b/>
                <w:sz w:val="20"/>
                <w:szCs w:val="20"/>
                <w:u w:val="single"/>
                <w:lang w:val="fr-CA"/>
              </w:rPr>
            </w:pPr>
            <w:r w:rsidRPr="007765E3">
              <w:rPr>
                <w:b/>
                <w:sz w:val="20"/>
                <w:szCs w:val="20"/>
                <w:u w:val="single"/>
                <w:lang w:val="fr-CA"/>
              </w:rPr>
              <w:t>Nature de la cause :</w:t>
            </w:r>
          </w:p>
          <w:p w:rsidR="007C47C2" w:rsidRPr="007765E3" w:rsidRDefault="007C47C2" w:rsidP="00E942C2">
            <w:pPr>
              <w:widowControl w:val="0"/>
              <w:jc w:val="both"/>
              <w:rPr>
                <w:sz w:val="20"/>
                <w:szCs w:val="20"/>
                <w:lang w:val="fr-CA"/>
              </w:rPr>
            </w:pPr>
          </w:p>
          <w:p w:rsidR="007C47C2" w:rsidRPr="007765E3" w:rsidRDefault="000E312F" w:rsidP="00E942C2">
            <w:pPr>
              <w:widowControl w:val="0"/>
              <w:jc w:val="both"/>
              <w:rPr>
                <w:sz w:val="20"/>
                <w:szCs w:val="20"/>
                <w:lang w:val="fr-CA"/>
              </w:rPr>
            </w:pPr>
            <w:r w:rsidRPr="007765E3">
              <w:rPr>
                <w:sz w:val="20"/>
                <w:szCs w:val="20"/>
                <w:lang w:val="fr-CA"/>
              </w:rPr>
              <w:t xml:space="preserve">Prescription - Bien immeuble - Publicité des droits - Acquisition d’une bordure de terrain servant de stationnement par prescription acquisitive - La Cour d’appel a-t-elle erré en concluant que l’article 2918 du </w:t>
            </w:r>
            <w:r w:rsidRPr="007765E3">
              <w:rPr>
                <w:i/>
                <w:sz w:val="20"/>
                <w:szCs w:val="20"/>
                <w:lang w:val="fr-CA"/>
              </w:rPr>
              <w:t>Code civil du Québec</w:t>
            </w:r>
            <w:r w:rsidRPr="007765E3">
              <w:rPr>
                <w:sz w:val="20"/>
                <w:szCs w:val="20"/>
                <w:lang w:val="fr-CA"/>
              </w:rPr>
              <w:t xml:space="preserve"> ne modifiait pas le droit prévalant sous le </w:t>
            </w:r>
            <w:r w:rsidRPr="007765E3">
              <w:rPr>
                <w:i/>
                <w:sz w:val="20"/>
                <w:szCs w:val="20"/>
                <w:lang w:val="fr-CA"/>
              </w:rPr>
              <w:t>Code civil du Bas-Canada</w:t>
            </w:r>
            <w:r w:rsidRPr="007765E3">
              <w:rPr>
                <w:sz w:val="20"/>
                <w:szCs w:val="20"/>
                <w:lang w:val="fr-CA"/>
              </w:rPr>
              <w:t xml:space="preserve">, en ce que la possession utile d’un possesseur est opposable au propriétaire dont le titre est inscrit au registre foncier, peu importe que cette inscription survienne après le délai acquisitif de dix (10) ans et même avant la demande en justice requise en vertu de l’art. 2918 </w:t>
            </w:r>
            <w:proofErr w:type="spellStart"/>
            <w:r w:rsidRPr="007765E3">
              <w:rPr>
                <w:sz w:val="20"/>
                <w:szCs w:val="20"/>
                <w:lang w:val="fr-CA"/>
              </w:rPr>
              <w:t>C.c.Q</w:t>
            </w:r>
            <w:proofErr w:type="spellEnd"/>
            <w:r w:rsidRPr="007765E3">
              <w:rPr>
                <w:sz w:val="20"/>
                <w:szCs w:val="20"/>
                <w:lang w:val="fr-CA"/>
              </w:rPr>
              <w:t xml:space="preserve">.? - Art. 921, 922, 2910, 2918, 2938, 2941, 2943, 2944, 2946, 2957 et 2963, </w:t>
            </w:r>
            <w:r w:rsidRPr="007765E3">
              <w:rPr>
                <w:i/>
                <w:sz w:val="20"/>
                <w:szCs w:val="20"/>
                <w:lang w:val="fr-CA"/>
              </w:rPr>
              <w:t>Code civil du Québec</w:t>
            </w:r>
            <w:r w:rsidRPr="007765E3">
              <w:rPr>
                <w:sz w:val="20"/>
                <w:szCs w:val="20"/>
                <w:lang w:val="fr-CA"/>
              </w:rPr>
              <w:t xml:space="preserve">, RLRQ, c. C-1991 - Art. 805 et 806, </w:t>
            </w:r>
            <w:r w:rsidRPr="007765E3">
              <w:rPr>
                <w:i/>
                <w:sz w:val="20"/>
                <w:szCs w:val="20"/>
                <w:lang w:val="fr-CA"/>
              </w:rPr>
              <w:t>Code de procédure civile</w:t>
            </w:r>
            <w:r w:rsidRPr="007765E3">
              <w:rPr>
                <w:sz w:val="20"/>
                <w:szCs w:val="20"/>
                <w:lang w:val="fr-CA"/>
              </w:rPr>
              <w:t xml:space="preserve">, RLRQ, c. C-25 - Art. 468, </w:t>
            </w:r>
            <w:r w:rsidRPr="007765E3">
              <w:rPr>
                <w:i/>
                <w:sz w:val="20"/>
                <w:szCs w:val="20"/>
                <w:lang w:val="fr-CA"/>
              </w:rPr>
              <w:t>Code de procédure civile</w:t>
            </w:r>
            <w:r w:rsidRPr="007765E3">
              <w:rPr>
                <w:sz w:val="20"/>
                <w:szCs w:val="20"/>
                <w:lang w:val="fr-CA"/>
              </w:rPr>
              <w:t xml:space="preserve">, RLRQ, c. C-25.01.      </w:t>
            </w:r>
          </w:p>
        </w:tc>
      </w:tr>
    </w:tbl>
    <w:p w:rsidR="007C47C2" w:rsidRPr="007765E3" w:rsidRDefault="007C47C2" w:rsidP="007C47C2">
      <w:pPr>
        <w:widowControl w:val="0"/>
        <w:rPr>
          <w:sz w:val="20"/>
          <w:szCs w:val="20"/>
          <w:lang w:val="fr-CA"/>
        </w:rPr>
      </w:pPr>
    </w:p>
    <w:p w:rsidR="002A27D1" w:rsidRPr="007765E3" w:rsidRDefault="007765E3" w:rsidP="002A27D1">
      <w:pPr>
        <w:widowControl w:val="0"/>
        <w:rPr>
          <w:sz w:val="20"/>
          <w:szCs w:val="20"/>
        </w:rPr>
      </w:pPr>
      <w:r w:rsidRPr="007765E3">
        <w:rPr>
          <w:sz w:val="20"/>
          <w:szCs w:val="20"/>
          <w:lang w:val="fr-CA"/>
        </w:rPr>
        <w:pict>
          <v:rect id="_x0000_i1073" style="width:2in;height:1pt" o:hrpct="0" o:hralign="center" o:hrstd="t" o:hrnoshade="t" o:hr="t" fillcolor="black [3213]" stroked="f"/>
        </w:pict>
      </w:r>
    </w:p>
    <w:p w:rsidR="002A27D1" w:rsidRPr="007765E3" w:rsidRDefault="002A27D1" w:rsidP="002A27D1">
      <w:pPr>
        <w:widowControl w:val="0"/>
        <w:rPr>
          <w:sz w:val="20"/>
          <w:szCs w:val="20"/>
        </w:rPr>
      </w:pPr>
    </w:p>
    <w:p w:rsidR="00DF79B1" w:rsidRPr="007765E3" w:rsidRDefault="00DF79B1" w:rsidP="00DF79B1">
      <w:pPr>
        <w:widowControl w:val="0"/>
        <w:rPr>
          <w:sz w:val="20"/>
          <w:szCs w:val="20"/>
          <w:lang w:val="en-US"/>
        </w:rPr>
      </w:pPr>
      <w:r w:rsidRPr="007765E3">
        <w:rPr>
          <w:sz w:val="20"/>
          <w:szCs w:val="20"/>
          <w:lang w:val="en-US"/>
        </w:rPr>
        <w:t>7.10.2016</w:t>
      </w:r>
    </w:p>
    <w:p w:rsidR="00DF79B1" w:rsidRPr="007765E3" w:rsidRDefault="00DF79B1" w:rsidP="00DF79B1">
      <w:pPr>
        <w:widowControl w:val="0"/>
        <w:rPr>
          <w:sz w:val="20"/>
          <w:szCs w:val="20"/>
          <w:lang w:val="en-US"/>
        </w:rPr>
      </w:pPr>
    </w:p>
    <w:p w:rsidR="00DF79B1" w:rsidRPr="007765E3" w:rsidRDefault="00DF79B1" w:rsidP="00DF79B1">
      <w:pPr>
        <w:widowControl w:val="0"/>
        <w:ind w:left="720" w:hanging="720"/>
        <w:rPr>
          <w:sz w:val="20"/>
          <w:szCs w:val="20"/>
          <w:u w:val="single"/>
          <w:lang w:val="en-US"/>
        </w:rPr>
      </w:pPr>
      <w:r w:rsidRPr="007765E3">
        <w:rPr>
          <w:sz w:val="20"/>
          <w:szCs w:val="20"/>
          <w:lang w:val="en-US"/>
        </w:rPr>
        <w:t xml:space="preserve">Coram: </w:t>
      </w:r>
      <w:r w:rsidRPr="007765E3">
        <w:rPr>
          <w:sz w:val="20"/>
          <w:szCs w:val="20"/>
          <w:lang w:val="en-US"/>
        </w:rPr>
        <w:tab/>
      </w:r>
      <w:proofErr w:type="spellStart"/>
      <w:r w:rsidRPr="007765E3">
        <w:rPr>
          <w:sz w:val="20"/>
          <w:szCs w:val="20"/>
          <w:u w:val="single"/>
          <w:lang w:val="en-US"/>
        </w:rPr>
        <w:t>McLachlin</w:t>
      </w:r>
      <w:proofErr w:type="spellEnd"/>
      <w:r w:rsidRPr="007765E3">
        <w:rPr>
          <w:sz w:val="20"/>
          <w:szCs w:val="20"/>
          <w:u w:val="single"/>
          <w:lang w:val="en-US"/>
        </w:rPr>
        <w:t xml:space="preserve"> C.J. and </w:t>
      </w:r>
      <w:proofErr w:type="spellStart"/>
      <w:r w:rsidRPr="007765E3">
        <w:rPr>
          <w:sz w:val="20"/>
          <w:szCs w:val="20"/>
          <w:u w:val="single"/>
          <w:lang w:val="en-US"/>
        </w:rPr>
        <w:t>Moldaver</w:t>
      </w:r>
      <w:proofErr w:type="spellEnd"/>
      <w:r w:rsidRPr="007765E3">
        <w:rPr>
          <w:sz w:val="20"/>
          <w:szCs w:val="20"/>
          <w:u w:val="single"/>
          <w:lang w:val="en-US"/>
        </w:rPr>
        <w:t xml:space="preserve">, </w:t>
      </w:r>
      <w:proofErr w:type="spellStart"/>
      <w:r w:rsidRPr="007765E3">
        <w:rPr>
          <w:sz w:val="20"/>
          <w:szCs w:val="20"/>
          <w:u w:val="single"/>
          <w:lang w:val="en-US"/>
        </w:rPr>
        <w:t>Karakatsanis</w:t>
      </w:r>
      <w:proofErr w:type="spellEnd"/>
      <w:r w:rsidRPr="007765E3">
        <w:rPr>
          <w:sz w:val="20"/>
          <w:szCs w:val="20"/>
          <w:u w:val="single"/>
          <w:lang w:val="en-US"/>
        </w:rPr>
        <w:t xml:space="preserve">, Wagner, </w:t>
      </w:r>
      <w:proofErr w:type="spellStart"/>
      <w:r w:rsidRPr="007765E3">
        <w:rPr>
          <w:sz w:val="20"/>
          <w:szCs w:val="20"/>
          <w:u w:val="single"/>
          <w:lang w:val="en-US"/>
        </w:rPr>
        <w:t>Gason</w:t>
      </w:r>
      <w:proofErr w:type="spellEnd"/>
      <w:r w:rsidRPr="007765E3">
        <w:rPr>
          <w:sz w:val="20"/>
          <w:szCs w:val="20"/>
          <w:u w:val="single"/>
          <w:lang w:val="en-US"/>
        </w:rPr>
        <w:t xml:space="preserve">, </w:t>
      </w:r>
      <w:proofErr w:type="spellStart"/>
      <w:r w:rsidRPr="007765E3">
        <w:rPr>
          <w:sz w:val="20"/>
          <w:szCs w:val="20"/>
          <w:u w:val="single"/>
          <w:lang w:val="en-US"/>
        </w:rPr>
        <w:t>Côté</w:t>
      </w:r>
      <w:proofErr w:type="spellEnd"/>
      <w:r w:rsidRPr="007765E3">
        <w:rPr>
          <w:sz w:val="20"/>
          <w:szCs w:val="20"/>
          <w:u w:val="single"/>
          <w:lang w:val="en-US"/>
        </w:rPr>
        <w:t xml:space="preserve"> and Brown JJ.</w:t>
      </w:r>
    </w:p>
    <w:p w:rsidR="00DF79B1" w:rsidRPr="007765E3" w:rsidRDefault="00DF79B1" w:rsidP="00DF79B1">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79B1" w:rsidRPr="007765E3" w:rsidTr="00576E8D">
        <w:tc>
          <w:tcPr>
            <w:tcW w:w="4380" w:type="dxa"/>
            <w:shd w:val="clear" w:color="auto" w:fill="auto"/>
            <w:tcMar>
              <w:left w:w="0" w:type="dxa"/>
              <w:right w:w="0" w:type="dxa"/>
            </w:tcMar>
          </w:tcPr>
          <w:p w:rsidR="00DF79B1" w:rsidRPr="007765E3" w:rsidRDefault="00DF79B1" w:rsidP="00576E8D">
            <w:pPr>
              <w:widowControl w:val="0"/>
              <w:rPr>
                <w:b/>
                <w:sz w:val="20"/>
                <w:szCs w:val="20"/>
                <w:lang w:val="en-US"/>
              </w:rPr>
            </w:pPr>
            <w:r w:rsidRPr="007765E3">
              <w:rPr>
                <w:b/>
                <w:sz w:val="20"/>
                <w:szCs w:val="20"/>
                <w:lang w:val="en-US"/>
              </w:rPr>
              <w:t>Corporation of the City of Nelson</w:t>
            </w:r>
          </w:p>
          <w:p w:rsidR="00DF79B1" w:rsidRPr="007765E3" w:rsidRDefault="00DF79B1" w:rsidP="00576E8D">
            <w:pPr>
              <w:widowControl w:val="0"/>
              <w:rPr>
                <w:b/>
                <w:sz w:val="20"/>
                <w:szCs w:val="20"/>
                <w:lang w:val="en-US"/>
              </w:rPr>
            </w:pPr>
          </w:p>
          <w:p w:rsidR="00DF79B1" w:rsidRPr="007765E3" w:rsidRDefault="00DF79B1" w:rsidP="00576E8D">
            <w:pPr>
              <w:widowControl w:val="0"/>
              <w:rPr>
                <w:b/>
                <w:sz w:val="20"/>
                <w:szCs w:val="20"/>
                <w:lang w:val="en-US"/>
              </w:rPr>
            </w:pPr>
            <w:r w:rsidRPr="007765E3">
              <w:rPr>
                <w:b/>
                <w:sz w:val="20"/>
                <w:szCs w:val="20"/>
                <w:lang w:val="en-US"/>
              </w:rPr>
              <w:tab/>
              <w:t xml:space="preserve">v. </w:t>
            </w:r>
            <w:r w:rsidRPr="007765E3">
              <w:rPr>
                <w:sz w:val="20"/>
                <w:szCs w:val="20"/>
                <w:lang w:val="en-US"/>
              </w:rPr>
              <w:t>(</w:t>
            </w:r>
            <w:hyperlink r:id="rId73" w:history="1">
              <w:r w:rsidRPr="007765E3">
                <w:rPr>
                  <w:rStyle w:val="Hyperlink"/>
                  <w:sz w:val="20"/>
                  <w:szCs w:val="20"/>
                  <w:lang w:val="en-US"/>
                </w:rPr>
                <w:t>36999</w:t>
              </w:r>
            </w:hyperlink>
            <w:r w:rsidRPr="007765E3">
              <w:rPr>
                <w:sz w:val="20"/>
                <w:szCs w:val="20"/>
                <w:lang w:val="en-US"/>
              </w:rPr>
              <w:t>)</w:t>
            </w:r>
          </w:p>
          <w:p w:rsidR="00DF79B1" w:rsidRPr="007765E3" w:rsidRDefault="00DF79B1" w:rsidP="00576E8D">
            <w:pPr>
              <w:widowControl w:val="0"/>
              <w:rPr>
                <w:b/>
                <w:sz w:val="20"/>
                <w:szCs w:val="20"/>
                <w:lang w:val="en-US"/>
              </w:rPr>
            </w:pPr>
          </w:p>
          <w:p w:rsidR="00DF79B1" w:rsidRPr="007765E3" w:rsidRDefault="00DF79B1" w:rsidP="00DF79B1">
            <w:pPr>
              <w:widowControl w:val="0"/>
              <w:rPr>
                <w:sz w:val="20"/>
                <w:szCs w:val="20"/>
                <w:lang w:val="en-US"/>
              </w:rPr>
            </w:pPr>
            <w:r w:rsidRPr="007765E3">
              <w:rPr>
                <w:b/>
                <w:sz w:val="20"/>
                <w:szCs w:val="20"/>
                <w:lang w:val="en-US"/>
              </w:rPr>
              <w:t xml:space="preserve">Mary Geraldine </w:t>
            </w:r>
            <w:proofErr w:type="spellStart"/>
            <w:r w:rsidRPr="007765E3">
              <w:rPr>
                <w:b/>
                <w:sz w:val="20"/>
                <w:szCs w:val="20"/>
                <w:lang w:val="en-US"/>
              </w:rPr>
              <w:t>Mowatt</w:t>
            </w:r>
            <w:proofErr w:type="spellEnd"/>
            <w:r w:rsidRPr="007765E3">
              <w:rPr>
                <w:b/>
                <w:sz w:val="20"/>
                <w:szCs w:val="20"/>
                <w:lang w:val="en-US"/>
              </w:rPr>
              <w:t xml:space="preserve"> et al. (B.C.) (Civil) (By Leave)</w:t>
            </w:r>
            <w:r w:rsidRPr="007765E3">
              <w:rPr>
                <w:sz w:val="20"/>
                <w:szCs w:val="20"/>
                <w:lang w:val="en-US"/>
              </w:rPr>
              <w:t xml:space="preserve"> </w:t>
            </w:r>
          </w:p>
        </w:tc>
        <w:tc>
          <w:tcPr>
            <w:tcW w:w="720" w:type="dxa"/>
            <w:shd w:val="clear" w:color="auto" w:fill="auto"/>
            <w:tcMar>
              <w:left w:w="0" w:type="dxa"/>
              <w:right w:w="0" w:type="dxa"/>
            </w:tcMar>
          </w:tcPr>
          <w:p w:rsidR="00DF79B1" w:rsidRPr="007765E3" w:rsidRDefault="00DF79B1" w:rsidP="00576E8D">
            <w:pPr>
              <w:widowControl w:val="0"/>
              <w:jc w:val="center"/>
              <w:rPr>
                <w:sz w:val="20"/>
                <w:szCs w:val="20"/>
                <w:lang w:val="en-US"/>
              </w:rPr>
            </w:pPr>
          </w:p>
        </w:tc>
        <w:tc>
          <w:tcPr>
            <w:tcW w:w="4380" w:type="dxa"/>
            <w:shd w:val="clear" w:color="auto" w:fill="auto"/>
            <w:tcMar>
              <w:left w:w="0" w:type="dxa"/>
              <w:right w:w="0" w:type="dxa"/>
            </w:tcMar>
          </w:tcPr>
          <w:p w:rsidR="00DF79B1" w:rsidRPr="007765E3" w:rsidRDefault="00DF79B1" w:rsidP="00DF79B1">
            <w:pPr>
              <w:widowControl w:val="0"/>
              <w:jc w:val="both"/>
              <w:rPr>
                <w:sz w:val="20"/>
                <w:szCs w:val="20"/>
                <w:lang w:val="en-US"/>
              </w:rPr>
            </w:pPr>
            <w:r w:rsidRPr="007765E3">
              <w:rPr>
                <w:sz w:val="20"/>
                <w:szCs w:val="20"/>
                <w:lang w:val="en-US"/>
              </w:rPr>
              <w:t xml:space="preserve">Ryan D.W. Dalziel, A. Scott </w:t>
            </w:r>
            <w:proofErr w:type="spellStart"/>
            <w:r w:rsidRPr="007765E3">
              <w:rPr>
                <w:sz w:val="20"/>
                <w:szCs w:val="20"/>
                <w:lang w:val="en-US"/>
              </w:rPr>
              <w:t>McW</w:t>
            </w:r>
            <w:proofErr w:type="spellEnd"/>
            <w:r w:rsidRPr="007765E3">
              <w:rPr>
                <w:sz w:val="20"/>
                <w:szCs w:val="20"/>
                <w:lang w:val="en-US"/>
              </w:rPr>
              <w:t>. Boucher and Daniel R. Bennett, Q.C. for the appellant.</w:t>
            </w:r>
          </w:p>
          <w:p w:rsidR="00DF79B1" w:rsidRPr="007765E3" w:rsidRDefault="00DF79B1" w:rsidP="00DF79B1">
            <w:pPr>
              <w:widowControl w:val="0"/>
              <w:jc w:val="both"/>
              <w:rPr>
                <w:sz w:val="20"/>
                <w:szCs w:val="20"/>
                <w:lang w:val="en-US"/>
              </w:rPr>
            </w:pPr>
          </w:p>
          <w:p w:rsidR="00DF79B1" w:rsidRPr="007765E3" w:rsidRDefault="00DF79B1" w:rsidP="00DF79B1">
            <w:pPr>
              <w:widowControl w:val="0"/>
              <w:jc w:val="both"/>
              <w:rPr>
                <w:sz w:val="20"/>
                <w:szCs w:val="20"/>
                <w:lang w:val="en-US"/>
              </w:rPr>
            </w:pPr>
            <w:r w:rsidRPr="007765E3">
              <w:rPr>
                <w:sz w:val="20"/>
                <w:szCs w:val="20"/>
                <w:lang w:val="en-US"/>
              </w:rPr>
              <w:t>Barbara Carmichael and Cory R. Bargen for the intervener Attorney General of British Columbia.</w:t>
            </w:r>
          </w:p>
          <w:p w:rsidR="00DF79B1" w:rsidRPr="007765E3" w:rsidRDefault="00DF79B1" w:rsidP="00DF79B1">
            <w:pPr>
              <w:widowControl w:val="0"/>
              <w:jc w:val="both"/>
              <w:rPr>
                <w:sz w:val="20"/>
                <w:szCs w:val="20"/>
                <w:lang w:val="en-US"/>
              </w:rPr>
            </w:pPr>
          </w:p>
          <w:p w:rsidR="00DF79B1" w:rsidRPr="007765E3" w:rsidRDefault="00DF79B1" w:rsidP="00DF79B1">
            <w:pPr>
              <w:widowControl w:val="0"/>
              <w:jc w:val="both"/>
              <w:rPr>
                <w:sz w:val="20"/>
                <w:szCs w:val="20"/>
                <w:lang w:val="en-US"/>
              </w:rPr>
            </w:pPr>
            <w:r w:rsidRPr="007765E3">
              <w:rPr>
                <w:sz w:val="20"/>
                <w:szCs w:val="20"/>
                <w:lang w:val="en-US"/>
              </w:rPr>
              <w:t xml:space="preserve">K. Michael Stephens, Stephanie McHugh and Ryan J.M. </w:t>
            </w:r>
            <w:proofErr w:type="spellStart"/>
            <w:r w:rsidRPr="007765E3">
              <w:rPr>
                <w:sz w:val="20"/>
                <w:szCs w:val="20"/>
                <w:lang w:val="en-US"/>
              </w:rPr>
              <w:t>Androsoff</w:t>
            </w:r>
            <w:proofErr w:type="spellEnd"/>
            <w:r w:rsidRPr="007765E3">
              <w:rPr>
                <w:sz w:val="20"/>
                <w:szCs w:val="20"/>
                <w:lang w:val="en-US"/>
              </w:rPr>
              <w:t xml:space="preserve"> for the respondents.</w:t>
            </w:r>
          </w:p>
        </w:tc>
      </w:tr>
    </w:tbl>
    <w:p w:rsidR="00DF79B1" w:rsidRPr="007765E3" w:rsidRDefault="00DF79B1" w:rsidP="00DF79B1">
      <w:pPr>
        <w:widowControl w:val="0"/>
        <w:rPr>
          <w:sz w:val="20"/>
          <w:szCs w:val="20"/>
          <w:lang w:val="en-US"/>
        </w:rPr>
      </w:pPr>
    </w:p>
    <w:p w:rsidR="00DF79B1" w:rsidRPr="007765E3" w:rsidRDefault="00DF79B1" w:rsidP="00DF79B1">
      <w:pPr>
        <w:widowControl w:val="0"/>
        <w:rPr>
          <w:sz w:val="20"/>
          <w:szCs w:val="20"/>
          <w:lang w:val="fr-CA"/>
        </w:rPr>
      </w:pPr>
      <w:r w:rsidRPr="007765E3">
        <w:rPr>
          <w:b/>
          <w:sz w:val="20"/>
          <w:szCs w:val="20"/>
          <w:lang w:val="fr-CA"/>
        </w:rPr>
        <w:t>RESERVED / EN DÉLIBÉRÉ</w:t>
      </w:r>
    </w:p>
    <w:p w:rsidR="00DF79B1" w:rsidRPr="007765E3" w:rsidRDefault="00DF79B1" w:rsidP="00DF79B1">
      <w:pPr>
        <w:rPr>
          <w:lang w:val="fr-CA"/>
        </w:rPr>
      </w:pPr>
    </w:p>
    <w:p w:rsidR="000E6D1D" w:rsidRPr="007765E3" w:rsidRDefault="000E6D1D">
      <w:r w:rsidRPr="007765E3">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79B1" w:rsidRPr="007765E3" w:rsidTr="00576E8D">
        <w:tc>
          <w:tcPr>
            <w:tcW w:w="4380" w:type="dxa"/>
            <w:tcMar>
              <w:left w:w="0" w:type="dxa"/>
              <w:right w:w="0" w:type="dxa"/>
            </w:tcMar>
          </w:tcPr>
          <w:p w:rsidR="00DF79B1" w:rsidRPr="007765E3" w:rsidRDefault="00DF79B1" w:rsidP="00576E8D">
            <w:pPr>
              <w:widowControl w:val="0"/>
              <w:jc w:val="both"/>
              <w:rPr>
                <w:b/>
                <w:sz w:val="20"/>
                <w:szCs w:val="20"/>
                <w:u w:val="single"/>
              </w:rPr>
            </w:pPr>
            <w:r w:rsidRPr="007765E3">
              <w:rPr>
                <w:b/>
                <w:sz w:val="20"/>
                <w:szCs w:val="20"/>
                <w:u w:val="single"/>
                <w:lang w:val="en-US"/>
              </w:rPr>
              <w:lastRenderedPageBreak/>
              <w:t xml:space="preserve">Nature </w:t>
            </w:r>
            <w:r w:rsidRPr="007765E3">
              <w:rPr>
                <w:b/>
                <w:sz w:val="20"/>
                <w:szCs w:val="20"/>
                <w:u w:val="single"/>
              </w:rPr>
              <w:t>of the case:</w:t>
            </w:r>
          </w:p>
          <w:p w:rsidR="00DF79B1" w:rsidRPr="007765E3" w:rsidRDefault="00DF79B1" w:rsidP="00576E8D">
            <w:pPr>
              <w:widowControl w:val="0"/>
              <w:jc w:val="both"/>
              <w:rPr>
                <w:b/>
                <w:sz w:val="20"/>
                <w:szCs w:val="20"/>
              </w:rPr>
            </w:pPr>
          </w:p>
          <w:p w:rsidR="00DF79B1" w:rsidRPr="007765E3" w:rsidRDefault="00DF79B1" w:rsidP="00576E8D">
            <w:pPr>
              <w:widowControl w:val="0"/>
              <w:jc w:val="both"/>
              <w:rPr>
                <w:b/>
                <w:sz w:val="20"/>
                <w:szCs w:val="20"/>
              </w:rPr>
            </w:pPr>
            <w:r w:rsidRPr="007765E3">
              <w:rPr>
                <w:sz w:val="20"/>
                <w:szCs w:val="20"/>
              </w:rPr>
              <w:t xml:space="preserve">Property - Real property - Acquisition of title by way of adverse possession - Does s. 20 of the </w:t>
            </w:r>
            <w:r w:rsidRPr="007765E3">
              <w:rPr>
                <w:i/>
                <w:sz w:val="20"/>
                <w:szCs w:val="20"/>
              </w:rPr>
              <w:t>Land Title Act</w:t>
            </w:r>
            <w:r w:rsidRPr="007765E3">
              <w:rPr>
                <w:sz w:val="20"/>
                <w:szCs w:val="20"/>
              </w:rPr>
              <w:t xml:space="preserve">, R.S.B.C. 1996 c. 250 preclude de </w:t>
            </w:r>
            <w:proofErr w:type="spellStart"/>
            <w:r w:rsidRPr="007765E3">
              <w:rPr>
                <w:sz w:val="20"/>
                <w:szCs w:val="20"/>
              </w:rPr>
              <w:t>Mowatts</w:t>
            </w:r>
            <w:proofErr w:type="spellEnd"/>
            <w:r w:rsidRPr="007765E3">
              <w:rPr>
                <w:sz w:val="20"/>
                <w:szCs w:val="20"/>
              </w:rPr>
              <w:t xml:space="preserve"> from asserting title to the Disputed Area? - Is the doctrine of inconsistent use fatal to the </w:t>
            </w:r>
            <w:proofErr w:type="spellStart"/>
            <w:r w:rsidRPr="007765E3">
              <w:rPr>
                <w:sz w:val="20"/>
                <w:szCs w:val="20"/>
              </w:rPr>
              <w:t>Mowatts</w:t>
            </w:r>
            <w:proofErr w:type="spellEnd"/>
            <w:r w:rsidRPr="007765E3">
              <w:rPr>
                <w:sz w:val="20"/>
                <w:szCs w:val="20"/>
              </w:rPr>
              <w:t>’ historical adverse possession argument? - Did the Court of Appeal err in substituting its view of whether there was continuous adverse possession for that of Kelleher J.?</w:t>
            </w:r>
          </w:p>
        </w:tc>
        <w:tc>
          <w:tcPr>
            <w:tcW w:w="720" w:type="dxa"/>
            <w:tcMar>
              <w:left w:w="0" w:type="dxa"/>
              <w:right w:w="0" w:type="dxa"/>
            </w:tcMar>
          </w:tcPr>
          <w:p w:rsidR="00DF79B1" w:rsidRPr="007765E3" w:rsidRDefault="00DF79B1" w:rsidP="00576E8D">
            <w:pPr>
              <w:widowControl w:val="0"/>
              <w:jc w:val="center"/>
              <w:rPr>
                <w:sz w:val="20"/>
                <w:szCs w:val="20"/>
              </w:rPr>
            </w:pPr>
          </w:p>
        </w:tc>
        <w:tc>
          <w:tcPr>
            <w:tcW w:w="4380" w:type="dxa"/>
            <w:tcMar>
              <w:left w:w="0" w:type="dxa"/>
              <w:right w:w="0" w:type="dxa"/>
            </w:tcMar>
          </w:tcPr>
          <w:p w:rsidR="00DF79B1" w:rsidRPr="007765E3" w:rsidRDefault="00DF79B1" w:rsidP="00576E8D">
            <w:pPr>
              <w:widowControl w:val="0"/>
              <w:jc w:val="both"/>
              <w:rPr>
                <w:b/>
                <w:sz w:val="20"/>
                <w:szCs w:val="20"/>
                <w:u w:val="single"/>
                <w:lang w:val="fr-CA"/>
              </w:rPr>
            </w:pPr>
            <w:r w:rsidRPr="007765E3">
              <w:rPr>
                <w:b/>
                <w:sz w:val="20"/>
                <w:szCs w:val="20"/>
                <w:u w:val="single"/>
                <w:lang w:val="fr-CA"/>
              </w:rPr>
              <w:t>Nature de la cause :</w:t>
            </w:r>
          </w:p>
          <w:p w:rsidR="00DF79B1" w:rsidRPr="007765E3" w:rsidRDefault="00DF79B1" w:rsidP="00576E8D">
            <w:pPr>
              <w:widowControl w:val="0"/>
              <w:jc w:val="both"/>
              <w:rPr>
                <w:sz w:val="20"/>
                <w:szCs w:val="20"/>
                <w:lang w:val="fr-CA"/>
              </w:rPr>
            </w:pPr>
          </w:p>
          <w:p w:rsidR="00DF79B1" w:rsidRPr="007765E3" w:rsidRDefault="00DF79B1" w:rsidP="00576E8D">
            <w:pPr>
              <w:widowControl w:val="0"/>
              <w:jc w:val="both"/>
              <w:rPr>
                <w:sz w:val="20"/>
                <w:szCs w:val="20"/>
                <w:lang w:val="fr-CA"/>
              </w:rPr>
            </w:pPr>
            <w:r w:rsidRPr="007765E3">
              <w:rPr>
                <w:sz w:val="20"/>
                <w:szCs w:val="20"/>
                <w:lang w:val="fr-CA"/>
              </w:rPr>
              <w:t xml:space="preserve">Biens - Biens réels - Acquisition d’un titre par possession acquisitive - L’art. 20 de la </w:t>
            </w:r>
            <w:r w:rsidRPr="007765E3">
              <w:rPr>
                <w:i/>
                <w:sz w:val="20"/>
                <w:szCs w:val="20"/>
                <w:lang w:val="fr-CA"/>
              </w:rPr>
              <w:t xml:space="preserve">Land </w:t>
            </w:r>
            <w:proofErr w:type="spellStart"/>
            <w:r w:rsidRPr="007765E3">
              <w:rPr>
                <w:i/>
                <w:sz w:val="20"/>
                <w:szCs w:val="20"/>
                <w:lang w:val="fr-CA"/>
              </w:rPr>
              <w:t>Title</w:t>
            </w:r>
            <w:proofErr w:type="spellEnd"/>
            <w:r w:rsidRPr="007765E3">
              <w:rPr>
                <w:i/>
                <w:sz w:val="20"/>
                <w:szCs w:val="20"/>
                <w:lang w:val="fr-CA"/>
              </w:rPr>
              <w:t xml:space="preserve"> </w:t>
            </w:r>
            <w:proofErr w:type="spellStart"/>
            <w:r w:rsidRPr="007765E3">
              <w:rPr>
                <w:i/>
                <w:sz w:val="20"/>
                <w:szCs w:val="20"/>
                <w:lang w:val="fr-CA"/>
              </w:rPr>
              <w:t>Act</w:t>
            </w:r>
            <w:proofErr w:type="spellEnd"/>
            <w:r w:rsidRPr="007765E3">
              <w:rPr>
                <w:sz w:val="20"/>
                <w:szCs w:val="20"/>
                <w:lang w:val="fr-CA"/>
              </w:rPr>
              <w:t xml:space="preserve">, R.S.B.C. 1996, c. 250, empêche-t-il les </w:t>
            </w:r>
            <w:proofErr w:type="spellStart"/>
            <w:r w:rsidRPr="007765E3">
              <w:rPr>
                <w:sz w:val="20"/>
                <w:szCs w:val="20"/>
                <w:lang w:val="fr-CA"/>
              </w:rPr>
              <w:t>Mowatt</w:t>
            </w:r>
            <w:proofErr w:type="spellEnd"/>
            <w:r w:rsidRPr="007765E3">
              <w:rPr>
                <w:sz w:val="20"/>
                <w:szCs w:val="20"/>
                <w:lang w:val="fr-CA"/>
              </w:rPr>
              <w:t xml:space="preserve"> de revendiquer le titre sur le terrain litigieux? - La doctrine dite de « l’usage incompatible » est-elle fatale à l’argument des </w:t>
            </w:r>
            <w:proofErr w:type="spellStart"/>
            <w:r w:rsidRPr="007765E3">
              <w:rPr>
                <w:sz w:val="20"/>
                <w:szCs w:val="20"/>
                <w:lang w:val="fr-CA"/>
              </w:rPr>
              <w:t>Mowatt</w:t>
            </w:r>
            <w:proofErr w:type="spellEnd"/>
            <w:r w:rsidRPr="007765E3">
              <w:rPr>
                <w:sz w:val="20"/>
                <w:szCs w:val="20"/>
                <w:lang w:val="fr-CA"/>
              </w:rPr>
              <w:t xml:space="preserve"> fondé sur la possession acquisitive historique? - La Cour d’appel a-t-elle fait erreur en substituant son avis à celui du juge Kelleher sur la question de savoir s’il y avait eu possession acquisitive continue?</w:t>
            </w:r>
          </w:p>
        </w:tc>
      </w:tr>
    </w:tbl>
    <w:p w:rsidR="00DF79B1" w:rsidRPr="007765E3" w:rsidRDefault="007765E3" w:rsidP="00DF79B1">
      <w:pPr>
        <w:widowControl w:val="0"/>
        <w:rPr>
          <w:sz w:val="20"/>
          <w:szCs w:val="20"/>
          <w:lang w:val="fr-CA"/>
        </w:rPr>
      </w:pPr>
      <w:r w:rsidRPr="007765E3">
        <w:rPr>
          <w:sz w:val="20"/>
          <w:szCs w:val="20"/>
          <w:lang w:val="fr-CA"/>
        </w:rPr>
        <w:pict>
          <v:rect id="_x0000_i1074" style="width:2in;height:1pt" o:hrpct="0" o:hralign="center" o:hrstd="t" o:hrnoshade="t" o:hr="t" fillcolor="black [3213]" stroked="f"/>
        </w:pict>
      </w:r>
    </w:p>
    <w:p w:rsidR="00DF79B1" w:rsidRPr="007765E3" w:rsidRDefault="00DF79B1" w:rsidP="00DF79B1">
      <w:pPr>
        <w:widowControl w:val="0"/>
        <w:rPr>
          <w:sz w:val="20"/>
          <w:szCs w:val="20"/>
          <w:lang w:val="fr-CA"/>
        </w:rPr>
      </w:pPr>
    </w:p>
    <w:p w:rsidR="00DF79B1" w:rsidRPr="007765E3" w:rsidRDefault="00DF79B1" w:rsidP="00DF79B1">
      <w:pPr>
        <w:widowControl w:val="0"/>
        <w:rPr>
          <w:sz w:val="20"/>
          <w:szCs w:val="20"/>
          <w:lang w:val="en-US"/>
        </w:rPr>
      </w:pPr>
      <w:r w:rsidRPr="007765E3">
        <w:rPr>
          <w:sz w:val="20"/>
          <w:szCs w:val="20"/>
          <w:lang w:val="en-US"/>
        </w:rPr>
        <w:t>11.10.2016</w:t>
      </w:r>
    </w:p>
    <w:p w:rsidR="00DF79B1" w:rsidRPr="007765E3" w:rsidRDefault="00DF79B1" w:rsidP="00DF79B1">
      <w:pPr>
        <w:widowControl w:val="0"/>
        <w:rPr>
          <w:sz w:val="20"/>
          <w:szCs w:val="20"/>
          <w:lang w:val="en-US"/>
        </w:rPr>
      </w:pPr>
    </w:p>
    <w:p w:rsidR="00DF79B1" w:rsidRPr="007765E3" w:rsidRDefault="00DF79B1" w:rsidP="00DF79B1">
      <w:pPr>
        <w:widowControl w:val="0"/>
        <w:ind w:left="720" w:hanging="720"/>
        <w:rPr>
          <w:sz w:val="20"/>
          <w:szCs w:val="20"/>
          <w:u w:val="single"/>
          <w:lang w:val="en-US"/>
        </w:rPr>
      </w:pPr>
      <w:r w:rsidRPr="007765E3">
        <w:rPr>
          <w:sz w:val="20"/>
          <w:szCs w:val="20"/>
          <w:lang w:val="en-US"/>
        </w:rPr>
        <w:t xml:space="preserve">Coram: </w:t>
      </w:r>
      <w:r w:rsidRPr="007765E3">
        <w:rPr>
          <w:sz w:val="20"/>
          <w:szCs w:val="20"/>
          <w:lang w:val="en-US"/>
        </w:rPr>
        <w:tab/>
      </w:r>
      <w:proofErr w:type="spellStart"/>
      <w:r w:rsidRPr="007765E3">
        <w:rPr>
          <w:sz w:val="20"/>
          <w:szCs w:val="20"/>
          <w:u w:val="single"/>
          <w:lang w:val="en-US"/>
        </w:rPr>
        <w:t>McLachlin</w:t>
      </w:r>
      <w:proofErr w:type="spellEnd"/>
      <w:r w:rsidRPr="007765E3">
        <w:rPr>
          <w:sz w:val="20"/>
          <w:szCs w:val="20"/>
          <w:u w:val="single"/>
          <w:lang w:val="en-US"/>
        </w:rPr>
        <w:t xml:space="preserve"> C.J. and </w:t>
      </w:r>
      <w:proofErr w:type="spellStart"/>
      <w:r w:rsidRPr="007765E3">
        <w:rPr>
          <w:sz w:val="20"/>
          <w:szCs w:val="20"/>
          <w:u w:val="single"/>
          <w:lang w:val="en-US"/>
        </w:rPr>
        <w:t>Moldaver</w:t>
      </w:r>
      <w:proofErr w:type="spellEnd"/>
      <w:r w:rsidRPr="007765E3">
        <w:rPr>
          <w:sz w:val="20"/>
          <w:szCs w:val="20"/>
          <w:u w:val="single"/>
          <w:lang w:val="en-US"/>
        </w:rPr>
        <w:t xml:space="preserve">, </w:t>
      </w:r>
      <w:proofErr w:type="spellStart"/>
      <w:r w:rsidRPr="007765E3">
        <w:rPr>
          <w:sz w:val="20"/>
          <w:szCs w:val="20"/>
          <w:u w:val="single"/>
          <w:lang w:val="en-US"/>
        </w:rPr>
        <w:t>Karakatsanis</w:t>
      </w:r>
      <w:proofErr w:type="spellEnd"/>
      <w:r w:rsidRPr="007765E3">
        <w:rPr>
          <w:sz w:val="20"/>
          <w:szCs w:val="20"/>
          <w:u w:val="single"/>
          <w:lang w:val="en-US"/>
        </w:rPr>
        <w:t xml:space="preserve">, Wagner, </w:t>
      </w:r>
      <w:proofErr w:type="spellStart"/>
      <w:r w:rsidRPr="007765E3">
        <w:rPr>
          <w:sz w:val="20"/>
          <w:szCs w:val="20"/>
          <w:u w:val="single"/>
          <w:lang w:val="en-US"/>
        </w:rPr>
        <w:t>Gascon</w:t>
      </w:r>
      <w:proofErr w:type="spellEnd"/>
      <w:r w:rsidRPr="007765E3">
        <w:rPr>
          <w:sz w:val="20"/>
          <w:szCs w:val="20"/>
          <w:u w:val="single"/>
          <w:lang w:val="en-US"/>
        </w:rPr>
        <w:t xml:space="preserve">, </w:t>
      </w:r>
      <w:proofErr w:type="spellStart"/>
      <w:r w:rsidRPr="007765E3">
        <w:rPr>
          <w:sz w:val="20"/>
          <w:szCs w:val="20"/>
          <w:u w:val="single"/>
          <w:lang w:val="en-US"/>
        </w:rPr>
        <w:t>Côté</w:t>
      </w:r>
      <w:proofErr w:type="spellEnd"/>
      <w:r w:rsidRPr="007765E3">
        <w:rPr>
          <w:sz w:val="20"/>
          <w:szCs w:val="20"/>
          <w:u w:val="single"/>
          <w:lang w:val="en-US"/>
        </w:rPr>
        <w:t xml:space="preserve"> and Brown JJ.</w:t>
      </w:r>
    </w:p>
    <w:p w:rsidR="00DF79B1" w:rsidRPr="007765E3" w:rsidRDefault="00DF79B1" w:rsidP="00DF79B1">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79B1" w:rsidRPr="007765E3" w:rsidTr="00576E8D">
        <w:tc>
          <w:tcPr>
            <w:tcW w:w="4380" w:type="dxa"/>
            <w:shd w:val="clear" w:color="auto" w:fill="auto"/>
            <w:tcMar>
              <w:left w:w="0" w:type="dxa"/>
              <w:right w:w="0" w:type="dxa"/>
            </w:tcMar>
          </w:tcPr>
          <w:p w:rsidR="00DF79B1" w:rsidRPr="007765E3" w:rsidRDefault="00DF79B1" w:rsidP="00576E8D">
            <w:pPr>
              <w:widowControl w:val="0"/>
              <w:rPr>
                <w:b/>
                <w:sz w:val="20"/>
                <w:szCs w:val="20"/>
                <w:lang w:val="en-US"/>
              </w:rPr>
            </w:pPr>
            <w:r w:rsidRPr="007765E3">
              <w:rPr>
                <w:b/>
                <w:sz w:val="20"/>
                <w:szCs w:val="20"/>
                <w:lang w:val="en-US"/>
              </w:rPr>
              <w:t>BC Freedom of Information and Privacy Association</w:t>
            </w:r>
          </w:p>
          <w:p w:rsidR="00DF79B1" w:rsidRPr="007765E3" w:rsidRDefault="00DF79B1" w:rsidP="00576E8D">
            <w:pPr>
              <w:widowControl w:val="0"/>
              <w:rPr>
                <w:b/>
                <w:sz w:val="20"/>
                <w:szCs w:val="20"/>
                <w:lang w:val="en-US"/>
              </w:rPr>
            </w:pPr>
          </w:p>
          <w:p w:rsidR="00DF79B1" w:rsidRPr="007765E3" w:rsidRDefault="00DF79B1" w:rsidP="00576E8D">
            <w:pPr>
              <w:widowControl w:val="0"/>
              <w:rPr>
                <w:b/>
                <w:sz w:val="20"/>
                <w:szCs w:val="20"/>
                <w:lang w:val="en-US"/>
              </w:rPr>
            </w:pPr>
            <w:r w:rsidRPr="007765E3">
              <w:rPr>
                <w:b/>
                <w:sz w:val="20"/>
                <w:szCs w:val="20"/>
                <w:lang w:val="en-US"/>
              </w:rPr>
              <w:tab/>
              <w:t xml:space="preserve">v. </w:t>
            </w:r>
            <w:r w:rsidRPr="007765E3">
              <w:rPr>
                <w:sz w:val="20"/>
                <w:szCs w:val="20"/>
                <w:lang w:val="en-US"/>
              </w:rPr>
              <w:t>(</w:t>
            </w:r>
            <w:hyperlink r:id="rId74" w:history="1">
              <w:r w:rsidRPr="007765E3">
                <w:rPr>
                  <w:rStyle w:val="Hyperlink"/>
                  <w:sz w:val="20"/>
                  <w:szCs w:val="20"/>
                  <w:lang w:val="en-US"/>
                </w:rPr>
                <w:t>36495</w:t>
              </w:r>
            </w:hyperlink>
            <w:r w:rsidRPr="007765E3">
              <w:rPr>
                <w:sz w:val="20"/>
                <w:szCs w:val="20"/>
                <w:lang w:val="en-US"/>
              </w:rPr>
              <w:t>)</w:t>
            </w:r>
          </w:p>
          <w:p w:rsidR="00DF79B1" w:rsidRPr="007765E3" w:rsidRDefault="00DF79B1" w:rsidP="00576E8D">
            <w:pPr>
              <w:widowControl w:val="0"/>
              <w:rPr>
                <w:b/>
                <w:sz w:val="20"/>
                <w:szCs w:val="20"/>
                <w:lang w:val="en-US"/>
              </w:rPr>
            </w:pPr>
          </w:p>
          <w:p w:rsidR="00DF79B1" w:rsidRPr="007765E3" w:rsidRDefault="00DF79B1" w:rsidP="00DF79B1">
            <w:pPr>
              <w:widowControl w:val="0"/>
              <w:rPr>
                <w:sz w:val="20"/>
                <w:szCs w:val="20"/>
                <w:lang w:val="en-US"/>
              </w:rPr>
            </w:pPr>
            <w:r w:rsidRPr="007765E3">
              <w:rPr>
                <w:b/>
                <w:sz w:val="20"/>
                <w:szCs w:val="20"/>
                <w:lang w:val="en-US"/>
              </w:rPr>
              <w:t>Attorney General of British Columbia (B.C.) (Civil) (By Leave)</w:t>
            </w:r>
            <w:r w:rsidRPr="007765E3">
              <w:rPr>
                <w:sz w:val="20"/>
                <w:szCs w:val="20"/>
                <w:lang w:val="en-US"/>
              </w:rPr>
              <w:t xml:space="preserve"> </w:t>
            </w:r>
          </w:p>
        </w:tc>
        <w:tc>
          <w:tcPr>
            <w:tcW w:w="720" w:type="dxa"/>
            <w:shd w:val="clear" w:color="auto" w:fill="auto"/>
            <w:tcMar>
              <w:left w:w="0" w:type="dxa"/>
              <w:right w:w="0" w:type="dxa"/>
            </w:tcMar>
          </w:tcPr>
          <w:p w:rsidR="00DF79B1" w:rsidRPr="007765E3" w:rsidRDefault="00DF79B1" w:rsidP="00576E8D">
            <w:pPr>
              <w:widowControl w:val="0"/>
              <w:jc w:val="center"/>
              <w:rPr>
                <w:sz w:val="20"/>
                <w:szCs w:val="20"/>
                <w:lang w:val="en-US"/>
              </w:rPr>
            </w:pPr>
          </w:p>
        </w:tc>
        <w:tc>
          <w:tcPr>
            <w:tcW w:w="4380" w:type="dxa"/>
            <w:shd w:val="clear" w:color="auto" w:fill="auto"/>
            <w:tcMar>
              <w:left w:w="0" w:type="dxa"/>
              <w:right w:w="0" w:type="dxa"/>
            </w:tcMar>
          </w:tcPr>
          <w:p w:rsidR="00DF79B1" w:rsidRPr="007765E3" w:rsidRDefault="00DF79B1" w:rsidP="000E6D1D">
            <w:pPr>
              <w:jc w:val="both"/>
              <w:rPr>
                <w:sz w:val="20"/>
                <w:szCs w:val="20"/>
                <w:lang w:val="en-US"/>
              </w:rPr>
            </w:pPr>
            <w:r w:rsidRPr="007765E3">
              <w:rPr>
                <w:sz w:val="20"/>
                <w:szCs w:val="20"/>
                <w:lang w:val="en-US"/>
              </w:rPr>
              <w:t xml:space="preserve">Alison M. Latimer and Sean </w:t>
            </w:r>
            <w:proofErr w:type="spellStart"/>
            <w:r w:rsidRPr="007765E3">
              <w:rPr>
                <w:sz w:val="20"/>
                <w:szCs w:val="20"/>
                <w:lang w:val="en-US"/>
              </w:rPr>
              <w:t>Hern</w:t>
            </w:r>
            <w:proofErr w:type="spellEnd"/>
            <w:r w:rsidRPr="007765E3">
              <w:rPr>
                <w:sz w:val="20"/>
                <w:szCs w:val="20"/>
                <w:lang w:val="en-US"/>
              </w:rPr>
              <w:t xml:space="preserve"> for the appellant.</w:t>
            </w:r>
          </w:p>
          <w:p w:rsidR="00DF79B1" w:rsidRPr="007765E3" w:rsidRDefault="00DF79B1" w:rsidP="000E6D1D">
            <w:pPr>
              <w:jc w:val="both"/>
              <w:rPr>
                <w:sz w:val="20"/>
                <w:szCs w:val="20"/>
                <w:lang w:val="en-US"/>
              </w:rPr>
            </w:pPr>
          </w:p>
          <w:p w:rsidR="00DF79B1" w:rsidRPr="007765E3" w:rsidRDefault="00DF79B1" w:rsidP="000E6D1D">
            <w:pPr>
              <w:jc w:val="both"/>
              <w:rPr>
                <w:sz w:val="20"/>
                <w:szCs w:val="20"/>
                <w:lang w:val="en-US"/>
              </w:rPr>
            </w:pPr>
            <w:r w:rsidRPr="007765E3">
              <w:rPr>
                <w:sz w:val="20"/>
                <w:szCs w:val="20"/>
                <w:lang w:val="en-US"/>
              </w:rPr>
              <w:t xml:space="preserve">Sheila Tucker and Joanne </w:t>
            </w:r>
            <w:proofErr w:type="spellStart"/>
            <w:r w:rsidRPr="007765E3">
              <w:rPr>
                <w:sz w:val="20"/>
                <w:szCs w:val="20"/>
                <w:lang w:val="en-US"/>
              </w:rPr>
              <w:t>Lysyk</w:t>
            </w:r>
            <w:proofErr w:type="spellEnd"/>
            <w:r w:rsidRPr="007765E3">
              <w:rPr>
                <w:sz w:val="20"/>
                <w:szCs w:val="20"/>
                <w:lang w:val="en-US"/>
              </w:rPr>
              <w:t xml:space="preserve"> for the intervener Canadian Civil Liberties Association.</w:t>
            </w:r>
          </w:p>
          <w:p w:rsidR="00DF79B1" w:rsidRPr="007765E3" w:rsidRDefault="00DF79B1" w:rsidP="000E6D1D">
            <w:pPr>
              <w:jc w:val="both"/>
              <w:rPr>
                <w:sz w:val="20"/>
                <w:szCs w:val="20"/>
                <w:lang w:val="en-US"/>
              </w:rPr>
            </w:pPr>
          </w:p>
          <w:p w:rsidR="00DF79B1" w:rsidRPr="007765E3" w:rsidRDefault="00DF79B1" w:rsidP="000E6D1D">
            <w:pPr>
              <w:jc w:val="both"/>
              <w:rPr>
                <w:sz w:val="20"/>
                <w:szCs w:val="20"/>
                <w:lang w:val="en-US"/>
              </w:rPr>
            </w:pPr>
            <w:r w:rsidRPr="007765E3">
              <w:rPr>
                <w:sz w:val="20"/>
                <w:szCs w:val="20"/>
                <w:lang w:val="en-US"/>
              </w:rPr>
              <w:t xml:space="preserve">Karen A. </w:t>
            </w:r>
            <w:proofErr w:type="spellStart"/>
            <w:r w:rsidRPr="007765E3">
              <w:rPr>
                <w:sz w:val="20"/>
                <w:szCs w:val="20"/>
                <w:lang w:val="en-US"/>
              </w:rPr>
              <w:t>Horsman</w:t>
            </w:r>
            <w:proofErr w:type="spellEnd"/>
            <w:r w:rsidRPr="007765E3">
              <w:rPr>
                <w:sz w:val="20"/>
                <w:szCs w:val="20"/>
                <w:lang w:val="en-US"/>
              </w:rPr>
              <w:t xml:space="preserve"> and Sarah Bevan</w:t>
            </w:r>
            <w:r w:rsidR="001134D3" w:rsidRPr="007765E3">
              <w:rPr>
                <w:sz w:val="20"/>
                <w:szCs w:val="20"/>
                <w:lang w:val="en-US"/>
              </w:rPr>
              <w:t xml:space="preserve"> for the respondent.</w:t>
            </w:r>
          </w:p>
          <w:p w:rsidR="001134D3" w:rsidRPr="007765E3" w:rsidRDefault="001134D3" w:rsidP="000E6D1D">
            <w:pPr>
              <w:jc w:val="both"/>
              <w:rPr>
                <w:sz w:val="20"/>
                <w:szCs w:val="20"/>
                <w:lang w:val="en-US"/>
              </w:rPr>
            </w:pPr>
          </w:p>
          <w:p w:rsidR="001134D3" w:rsidRPr="007765E3" w:rsidRDefault="001134D3" w:rsidP="000E6D1D">
            <w:pPr>
              <w:jc w:val="both"/>
              <w:rPr>
                <w:sz w:val="20"/>
                <w:szCs w:val="20"/>
                <w:lang w:val="en-US"/>
              </w:rPr>
            </w:pPr>
            <w:r w:rsidRPr="007765E3">
              <w:rPr>
                <w:sz w:val="20"/>
                <w:szCs w:val="20"/>
                <w:lang w:val="en-US"/>
              </w:rPr>
              <w:t>Michael H. Morris for the Intervener Attorney General of Canada.</w:t>
            </w:r>
          </w:p>
          <w:p w:rsidR="001134D3" w:rsidRPr="007765E3" w:rsidRDefault="001134D3" w:rsidP="000E6D1D">
            <w:pPr>
              <w:jc w:val="both"/>
              <w:rPr>
                <w:sz w:val="20"/>
                <w:szCs w:val="20"/>
                <w:lang w:val="en-US"/>
              </w:rPr>
            </w:pPr>
          </w:p>
          <w:p w:rsidR="001134D3" w:rsidRPr="007765E3" w:rsidRDefault="001134D3" w:rsidP="000E6D1D">
            <w:pPr>
              <w:jc w:val="both"/>
              <w:rPr>
                <w:sz w:val="20"/>
                <w:szCs w:val="20"/>
                <w:lang w:val="en-US"/>
              </w:rPr>
            </w:pPr>
            <w:r w:rsidRPr="007765E3">
              <w:rPr>
                <w:sz w:val="20"/>
                <w:szCs w:val="20"/>
                <w:lang w:val="en-US"/>
              </w:rPr>
              <w:t xml:space="preserve">Daniel </w:t>
            </w:r>
            <w:proofErr w:type="spellStart"/>
            <w:r w:rsidRPr="007765E3">
              <w:rPr>
                <w:sz w:val="20"/>
                <w:szCs w:val="20"/>
                <w:lang w:val="en-US"/>
              </w:rPr>
              <w:t>Guttman</w:t>
            </w:r>
            <w:proofErr w:type="spellEnd"/>
            <w:r w:rsidRPr="007765E3">
              <w:rPr>
                <w:sz w:val="20"/>
                <w:szCs w:val="20"/>
                <w:lang w:val="en-US"/>
              </w:rPr>
              <w:t xml:space="preserve"> and Emily </w:t>
            </w:r>
            <w:proofErr w:type="spellStart"/>
            <w:r w:rsidRPr="007765E3">
              <w:rPr>
                <w:sz w:val="20"/>
                <w:szCs w:val="20"/>
                <w:lang w:val="en-US"/>
              </w:rPr>
              <w:t>Bala</w:t>
            </w:r>
            <w:proofErr w:type="spellEnd"/>
            <w:r w:rsidRPr="007765E3">
              <w:rPr>
                <w:sz w:val="20"/>
                <w:szCs w:val="20"/>
                <w:lang w:val="en-US"/>
              </w:rPr>
              <w:t xml:space="preserve"> for the intervener Attorney General of Ontario.</w:t>
            </w:r>
          </w:p>
          <w:p w:rsidR="001134D3" w:rsidRPr="007765E3" w:rsidRDefault="001134D3" w:rsidP="000E6D1D">
            <w:pPr>
              <w:jc w:val="both"/>
              <w:rPr>
                <w:sz w:val="20"/>
                <w:szCs w:val="20"/>
                <w:lang w:val="en-US"/>
              </w:rPr>
            </w:pPr>
          </w:p>
          <w:p w:rsidR="001134D3" w:rsidRPr="007765E3" w:rsidRDefault="001134D3" w:rsidP="000E6D1D">
            <w:pPr>
              <w:jc w:val="both"/>
              <w:rPr>
                <w:sz w:val="20"/>
                <w:szCs w:val="20"/>
                <w:lang w:val="fr-CA"/>
              </w:rPr>
            </w:pPr>
            <w:r w:rsidRPr="007765E3">
              <w:rPr>
                <w:sz w:val="20"/>
                <w:szCs w:val="20"/>
                <w:lang w:val="fr-CA"/>
              </w:rPr>
              <w:t xml:space="preserve">Dominique A. </w:t>
            </w:r>
            <w:proofErr w:type="spellStart"/>
            <w:r w:rsidRPr="007765E3">
              <w:rPr>
                <w:sz w:val="20"/>
                <w:szCs w:val="20"/>
                <w:lang w:val="fr-CA"/>
              </w:rPr>
              <w:t>Jobin</w:t>
            </w:r>
            <w:proofErr w:type="spellEnd"/>
            <w:r w:rsidRPr="007765E3">
              <w:rPr>
                <w:sz w:val="20"/>
                <w:szCs w:val="20"/>
                <w:lang w:val="fr-CA"/>
              </w:rPr>
              <w:t xml:space="preserve"> et Jean-Vincent Lacroix pour l’intervenante Procureure générale du Québec.</w:t>
            </w:r>
          </w:p>
        </w:tc>
      </w:tr>
    </w:tbl>
    <w:p w:rsidR="00DF79B1" w:rsidRPr="007765E3" w:rsidRDefault="00DF79B1" w:rsidP="00DF79B1">
      <w:pPr>
        <w:widowControl w:val="0"/>
        <w:rPr>
          <w:sz w:val="20"/>
          <w:szCs w:val="20"/>
          <w:lang w:val="fr-CA"/>
        </w:rPr>
      </w:pPr>
    </w:p>
    <w:p w:rsidR="00DF79B1" w:rsidRPr="007765E3" w:rsidRDefault="00DF79B1" w:rsidP="00DF79B1">
      <w:pPr>
        <w:widowControl w:val="0"/>
        <w:rPr>
          <w:sz w:val="20"/>
          <w:szCs w:val="20"/>
        </w:rPr>
      </w:pPr>
      <w:r w:rsidRPr="007765E3">
        <w:rPr>
          <w:b/>
          <w:sz w:val="20"/>
          <w:szCs w:val="20"/>
        </w:rPr>
        <w:t xml:space="preserve">RESERVED / </w:t>
      </w:r>
      <w:r w:rsidRPr="007765E3">
        <w:rPr>
          <w:b/>
          <w:sz w:val="20"/>
          <w:szCs w:val="20"/>
          <w:lang w:val="en-US"/>
        </w:rPr>
        <w:t>EN DÉLIBÉRÉ</w:t>
      </w:r>
    </w:p>
    <w:p w:rsidR="00DF79B1" w:rsidRPr="007765E3" w:rsidRDefault="00DF79B1" w:rsidP="00DF79B1"/>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79B1" w:rsidRPr="007765E3" w:rsidTr="00576E8D">
        <w:tc>
          <w:tcPr>
            <w:tcW w:w="4380" w:type="dxa"/>
            <w:tcMar>
              <w:left w:w="0" w:type="dxa"/>
              <w:right w:w="0" w:type="dxa"/>
            </w:tcMar>
          </w:tcPr>
          <w:p w:rsidR="00DF79B1" w:rsidRPr="007765E3" w:rsidRDefault="00DF79B1" w:rsidP="00576E8D">
            <w:pPr>
              <w:widowControl w:val="0"/>
              <w:jc w:val="both"/>
              <w:rPr>
                <w:b/>
                <w:sz w:val="20"/>
                <w:szCs w:val="20"/>
                <w:u w:val="single"/>
              </w:rPr>
            </w:pPr>
            <w:r w:rsidRPr="007765E3">
              <w:rPr>
                <w:b/>
                <w:sz w:val="20"/>
                <w:szCs w:val="20"/>
                <w:u w:val="single"/>
              </w:rPr>
              <w:t>Nature of the case:</w:t>
            </w:r>
          </w:p>
          <w:p w:rsidR="00DF79B1" w:rsidRPr="007765E3" w:rsidRDefault="00DF79B1" w:rsidP="00576E8D">
            <w:pPr>
              <w:widowControl w:val="0"/>
              <w:jc w:val="both"/>
              <w:rPr>
                <w:b/>
                <w:sz w:val="20"/>
                <w:szCs w:val="20"/>
              </w:rPr>
            </w:pPr>
          </w:p>
          <w:p w:rsidR="00DF79B1" w:rsidRPr="007765E3" w:rsidRDefault="00DF79B1" w:rsidP="00DF79B1">
            <w:pPr>
              <w:jc w:val="both"/>
              <w:rPr>
                <w:sz w:val="20"/>
                <w:szCs w:val="20"/>
              </w:rPr>
            </w:pPr>
            <w:r w:rsidRPr="007765E3">
              <w:rPr>
                <w:i/>
                <w:sz w:val="20"/>
                <w:szCs w:val="20"/>
              </w:rPr>
              <w:t>Charter of Rights</w:t>
            </w:r>
            <w:r w:rsidRPr="007765E3">
              <w:rPr>
                <w:sz w:val="20"/>
                <w:szCs w:val="20"/>
              </w:rPr>
              <w:t xml:space="preserve"> - Constitutional law - Freedom of expression - Elections - Election advertising - Third party advertising - Requirement that all third party advertisers register before advertising - Does s. 239 of the </w:t>
            </w:r>
            <w:r w:rsidRPr="007765E3">
              <w:rPr>
                <w:i/>
                <w:sz w:val="20"/>
                <w:szCs w:val="20"/>
              </w:rPr>
              <w:t>Election Act</w:t>
            </w:r>
            <w:r w:rsidRPr="007765E3">
              <w:rPr>
                <w:sz w:val="20"/>
                <w:szCs w:val="20"/>
              </w:rPr>
              <w:t>, R.S.B.C. 1996, c. 106, infringe s. 2(</w:t>
            </w:r>
            <w:r w:rsidRPr="007765E3">
              <w:rPr>
                <w:i/>
                <w:sz w:val="20"/>
                <w:szCs w:val="20"/>
              </w:rPr>
              <w:t>b</w:t>
            </w:r>
            <w:r w:rsidRPr="007765E3">
              <w:rPr>
                <w:sz w:val="20"/>
                <w:szCs w:val="20"/>
              </w:rPr>
              <w:t xml:space="preserve">) of the Canadian </w:t>
            </w:r>
            <w:r w:rsidRPr="007765E3">
              <w:rPr>
                <w:i/>
                <w:sz w:val="20"/>
                <w:szCs w:val="20"/>
              </w:rPr>
              <w:t>Charter of Rights and Freedoms</w:t>
            </w:r>
            <w:r w:rsidRPr="007765E3">
              <w:rPr>
                <w:sz w:val="20"/>
                <w:szCs w:val="20"/>
              </w:rPr>
              <w:t xml:space="preserve"> - If so, is the infringement a reasonable limit prescribed by law as can be demonstrably justified in a free and democratic society under s. 1 of the Canadian </w:t>
            </w:r>
            <w:r w:rsidRPr="007765E3">
              <w:rPr>
                <w:i/>
                <w:sz w:val="20"/>
                <w:szCs w:val="20"/>
              </w:rPr>
              <w:t>Charter of Rights and Freedoms</w:t>
            </w:r>
            <w:r w:rsidRPr="007765E3">
              <w:rPr>
                <w:sz w:val="20"/>
                <w:szCs w:val="20"/>
              </w:rPr>
              <w:t xml:space="preserve"> - What remedy is appropriate?</w:t>
            </w:r>
          </w:p>
          <w:p w:rsidR="00DF79B1" w:rsidRPr="007765E3" w:rsidRDefault="00DF79B1" w:rsidP="00576E8D">
            <w:pPr>
              <w:widowControl w:val="0"/>
              <w:jc w:val="both"/>
              <w:rPr>
                <w:b/>
                <w:sz w:val="20"/>
                <w:szCs w:val="20"/>
              </w:rPr>
            </w:pPr>
          </w:p>
        </w:tc>
        <w:tc>
          <w:tcPr>
            <w:tcW w:w="720" w:type="dxa"/>
            <w:tcMar>
              <w:left w:w="0" w:type="dxa"/>
              <w:right w:w="0" w:type="dxa"/>
            </w:tcMar>
          </w:tcPr>
          <w:p w:rsidR="00DF79B1" w:rsidRPr="007765E3" w:rsidRDefault="00DF79B1" w:rsidP="00576E8D">
            <w:pPr>
              <w:widowControl w:val="0"/>
              <w:jc w:val="center"/>
              <w:rPr>
                <w:sz w:val="20"/>
                <w:szCs w:val="20"/>
              </w:rPr>
            </w:pPr>
          </w:p>
        </w:tc>
        <w:tc>
          <w:tcPr>
            <w:tcW w:w="4380" w:type="dxa"/>
            <w:tcMar>
              <w:left w:w="0" w:type="dxa"/>
              <w:right w:w="0" w:type="dxa"/>
            </w:tcMar>
          </w:tcPr>
          <w:p w:rsidR="00DF79B1" w:rsidRPr="007765E3" w:rsidRDefault="00DF79B1" w:rsidP="00576E8D">
            <w:pPr>
              <w:widowControl w:val="0"/>
              <w:jc w:val="both"/>
              <w:rPr>
                <w:b/>
                <w:sz w:val="20"/>
                <w:szCs w:val="20"/>
                <w:u w:val="single"/>
                <w:lang w:val="fr-CA"/>
              </w:rPr>
            </w:pPr>
            <w:r w:rsidRPr="007765E3">
              <w:rPr>
                <w:b/>
                <w:sz w:val="20"/>
                <w:szCs w:val="20"/>
                <w:u w:val="single"/>
                <w:lang w:val="fr-CA"/>
              </w:rPr>
              <w:t>Nature de la cause :</w:t>
            </w:r>
          </w:p>
          <w:p w:rsidR="00DF79B1" w:rsidRPr="007765E3" w:rsidRDefault="00DF79B1" w:rsidP="00576E8D">
            <w:pPr>
              <w:widowControl w:val="0"/>
              <w:jc w:val="both"/>
              <w:rPr>
                <w:sz w:val="20"/>
                <w:szCs w:val="20"/>
                <w:lang w:val="fr-CA"/>
              </w:rPr>
            </w:pPr>
          </w:p>
          <w:p w:rsidR="00DF79B1" w:rsidRPr="007765E3" w:rsidRDefault="00DF79B1" w:rsidP="00DF79B1">
            <w:pPr>
              <w:jc w:val="both"/>
              <w:rPr>
                <w:sz w:val="20"/>
                <w:szCs w:val="20"/>
                <w:lang w:val="fr-CA"/>
              </w:rPr>
            </w:pPr>
            <w:r w:rsidRPr="007765E3">
              <w:rPr>
                <w:i/>
                <w:sz w:val="20"/>
                <w:szCs w:val="20"/>
                <w:lang w:val="fr-CA"/>
              </w:rPr>
              <w:t>Charte des droits</w:t>
            </w:r>
            <w:r w:rsidRPr="007765E3">
              <w:rPr>
                <w:sz w:val="20"/>
                <w:szCs w:val="20"/>
                <w:lang w:val="fr-CA"/>
              </w:rPr>
              <w:t xml:space="preserve"> - Droit constitutionnel - Liberté d’expression - Élections - Publicité électorale - Publicité par des tiers - Obligation pour tous les tiers annonceurs de s’enregistrer avant de faire de la publicité - L’art. 239 de l’</w:t>
            </w:r>
            <w:proofErr w:type="spellStart"/>
            <w:r w:rsidRPr="007765E3">
              <w:rPr>
                <w:i/>
                <w:sz w:val="20"/>
                <w:szCs w:val="20"/>
                <w:lang w:val="fr-CA"/>
              </w:rPr>
              <w:t>Election</w:t>
            </w:r>
            <w:proofErr w:type="spellEnd"/>
            <w:r w:rsidRPr="007765E3">
              <w:rPr>
                <w:i/>
                <w:sz w:val="20"/>
                <w:szCs w:val="20"/>
                <w:lang w:val="fr-CA"/>
              </w:rPr>
              <w:t xml:space="preserve"> </w:t>
            </w:r>
            <w:proofErr w:type="spellStart"/>
            <w:r w:rsidRPr="007765E3">
              <w:rPr>
                <w:i/>
                <w:sz w:val="20"/>
                <w:szCs w:val="20"/>
                <w:lang w:val="fr-CA"/>
              </w:rPr>
              <w:t>Act</w:t>
            </w:r>
            <w:proofErr w:type="spellEnd"/>
            <w:r w:rsidRPr="007765E3">
              <w:rPr>
                <w:sz w:val="20"/>
                <w:szCs w:val="20"/>
                <w:lang w:val="fr-CA"/>
              </w:rPr>
              <w:t xml:space="preserve">, R.S.B.C. 1996, ch. 106 viole-t-il l’al. 2b) de la </w:t>
            </w:r>
            <w:r w:rsidRPr="007765E3">
              <w:rPr>
                <w:i/>
                <w:sz w:val="20"/>
                <w:szCs w:val="20"/>
                <w:lang w:val="fr-CA"/>
              </w:rPr>
              <w:t>Charte canadienne des droits et libertés</w:t>
            </w:r>
            <w:r w:rsidRPr="007765E3">
              <w:rPr>
                <w:sz w:val="20"/>
                <w:szCs w:val="20"/>
                <w:lang w:val="fr-CA"/>
              </w:rPr>
              <w:t xml:space="preserve">? - Dans l’affirmative, s’agit-il d’une violation constituant une limite raisonnable prescrite par une règle de droit et dont la justification peut se démontrer dans le cadre d’une société libre et démocratique au sens de l’article premier de la </w:t>
            </w:r>
            <w:r w:rsidRPr="007765E3">
              <w:rPr>
                <w:i/>
                <w:sz w:val="20"/>
                <w:szCs w:val="20"/>
                <w:lang w:val="fr-CA"/>
              </w:rPr>
              <w:t>Charte canadienne des droits et libertés</w:t>
            </w:r>
            <w:r w:rsidRPr="007765E3">
              <w:rPr>
                <w:sz w:val="20"/>
                <w:szCs w:val="20"/>
                <w:lang w:val="fr-CA"/>
              </w:rPr>
              <w:t>? - Quelle est la réparation appropriée?</w:t>
            </w:r>
          </w:p>
          <w:p w:rsidR="00DF79B1" w:rsidRPr="007765E3" w:rsidRDefault="00DF79B1" w:rsidP="00576E8D">
            <w:pPr>
              <w:widowControl w:val="0"/>
              <w:jc w:val="both"/>
              <w:rPr>
                <w:sz w:val="20"/>
                <w:szCs w:val="20"/>
                <w:lang w:val="fr-CA"/>
              </w:rPr>
            </w:pPr>
          </w:p>
        </w:tc>
      </w:tr>
    </w:tbl>
    <w:p w:rsidR="00DF79B1" w:rsidRPr="007765E3" w:rsidRDefault="00DF79B1" w:rsidP="00DF79B1">
      <w:pPr>
        <w:widowControl w:val="0"/>
        <w:rPr>
          <w:sz w:val="20"/>
          <w:szCs w:val="20"/>
          <w:lang w:val="fr-CA"/>
        </w:rPr>
      </w:pPr>
    </w:p>
    <w:p w:rsidR="00DF79B1" w:rsidRPr="007765E3" w:rsidRDefault="007765E3" w:rsidP="00DF79B1">
      <w:pPr>
        <w:widowControl w:val="0"/>
        <w:rPr>
          <w:sz w:val="20"/>
          <w:szCs w:val="20"/>
        </w:rPr>
      </w:pPr>
      <w:r w:rsidRPr="007765E3">
        <w:rPr>
          <w:sz w:val="20"/>
          <w:szCs w:val="20"/>
          <w:lang w:val="fr-CA"/>
        </w:rPr>
        <w:pict>
          <v:rect id="_x0000_i1075" style="width:2in;height:1pt" o:hrpct="0" o:hralign="center" o:hrstd="t" o:hrnoshade="t" o:hr="t" fillcolor="black [3213]" stroked="f"/>
        </w:pict>
      </w:r>
    </w:p>
    <w:p w:rsidR="00F96274" w:rsidRPr="007765E3" w:rsidRDefault="00F96274" w:rsidP="00F96274">
      <w:pPr>
        <w:widowControl w:val="0"/>
        <w:rPr>
          <w:sz w:val="20"/>
          <w:szCs w:val="20"/>
          <w:lang w:val="en-US"/>
        </w:rPr>
      </w:pPr>
      <w:r w:rsidRPr="007765E3">
        <w:rPr>
          <w:sz w:val="20"/>
          <w:szCs w:val="20"/>
          <w:lang w:val="en-US"/>
        </w:rPr>
        <w:lastRenderedPageBreak/>
        <w:t>1</w:t>
      </w:r>
      <w:r w:rsidR="00A17446" w:rsidRPr="007765E3">
        <w:rPr>
          <w:sz w:val="20"/>
          <w:szCs w:val="20"/>
          <w:lang w:val="en-US"/>
        </w:rPr>
        <w:t>2</w:t>
      </w:r>
      <w:r w:rsidRPr="007765E3">
        <w:rPr>
          <w:sz w:val="20"/>
          <w:szCs w:val="20"/>
          <w:lang w:val="en-US"/>
        </w:rPr>
        <w:t>.10.2016</w:t>
      </w:r>
    </w:p>
    <w:p w:rsidR="00F96274" w:rsidRPr="007765E3" w:rsidRDefault="00F96274" w:rsidP="00F96274">
      <w:pPr>
        <w:widowControl w:val="0"/>
        <w:rPr>
          <w:sz w:val="20"/>
          <w:szCs w:val="20"/>
          <w:lang w:val="en-US"/>
        </w:rPr>
      </w:pPr>
    </w:p>
    <w:p w:rsidR="00F96274" w:rsidRPr="007765E3" w:rsidRDefault="00F96274" w:rsidP="00F96274">
      <w:pPr>
        <w:widowControl w:val="0"/>
        <w:ind w:left="720" w:hanging="720"/>
        <w:rPr>
          <w:sz w:val="20"/>
          <w:szCs w:val="20"/>
          <w:u w:val="single"/>
          <w:lang w:val="en-US"/>
        </w:rPr>
      </w:pPr>
      <w:r w:rsidRPr="007765E3">
        <w:rPr>
          <w:sz w:val="20"/>
          <w:szCs w:val="20"/>
          <w:lang w:val="en-US"/>
        </w:rPr>
        <w:t xml:space="preserve">Coram: </w:t>
      </w:r>
      <w:r w:rsidRPr="007765E3">
        <w:rPr>
          <w:sz w:val="20"/>
          <w:szCs w:val="20"/>
          <w:lang w:val="en-US"/>
        </w:rPr>
        <w:tab/>
      </w:r>
      <w:proofErr w:type="spellStart"/>
      <w:r w:rsidRPr="007765E3">
        <w:rPr>
          <w:sz w:val="20"/>
          <w:szCs w:val="20"/>
          <w:u w:val="single"/>
          <w:lang w:val="en-US"/>
        </w:rPr>
        <w:t>Karakatsanis</w:t>
      </w:r>
      <w:proofErr w:type="spellEnd"/>
      <w:r w:rsidRPr="007765E3">
        <w:rPr>
          <w:sz w:val="20"/>
          <w:szCs w:val="20"/>
          <w:u w:val="single"/>
          <w:lang w:val="en-US"/>
        </w:rPr>
        <w:t xml:space="preserve">, Wagner, </w:t>
      </w:r>
      <w:proofErr w:type="spellStart"/>
      <w:r w:rsidRPr="007765E3">
        <w:rPr>
          <w:sz w:val="20"/>
          <w:szCs w:val="20"/>
          <w:u w:val="single"/>
          <w:lang w:val="en-US"/>
        </w:rPr>
        <w:t>Gascon</w:t>
      </w:r>
      <w:proofErr w:type="spellEnd"/>
      <w:r w:rsidRPr="007765E3">
        <w:rPr>
          <w:sz w:val="20"/>
          <w:szCs w:val="20"/>
          <w:u w:val="single"/>
          <w:lang w:val="en-US"/>
        </w:rPr>
        <w:t xml:space="preserve">, </w:t>
      </w:r>
      <w:proofErr w:type="spellStart"/>
      <w:r w:rsidRPr="007765E3">
        <w:rPr>
          <w:sz w:val="20"/>
          <w:szCs w:val="20"/>
          <w:u w:val="single"/>
          <w:lang w:val="en-US"/>
        </w:rPr>
        <w:t>Côté</w:t>
      </w:r>
      <w:proofErr w:type="spellEnd"/>
      <w:r w:rsidRPr="007765E3">
        <w:rPr>
          <w:sz w:val="20"/>
          <w:szCs w:val="20"/>
          <w:u w:val="single"/>
          <w:lang w:val="en-US"/>
        </w:rPr>
        <w:t xml:space="preserve"> and Brown JJ.</w:t>
      </w:r>
    </w:p>
    <w:p w:rsidR="00F96274" w:rsidRPr="007765E3" w:rsidRDefault="00F96274" w:rsidP="00F9627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96274" w:rsidRPr="007765E3" w:rsidTr="00576E8D">
        <w:tc>
          <w:tcPr>
            <w:tcW w:w="4380" w:type="dxa"/>
            <w:shd w:val="clear" w:color="auto" w:fill="auto"/>
            <w:tcMar>
              <w:left w:w="0" w:type="dxa"/>
              <w:right w:w="0" w:type="dxa"/>
            </w:tcMar>
          </w:tcPr>
          <w:p w:rsidR="00F96274" w:rsidRPr="007765E3" w:rsidRDefault="00F96274" w:rsidP="00576E8D">
            <w:pPr>
              <w:widowControl w:val="0"/>
              <w:rPr>
                <w:b/>
                <w:sz w:val="20"/>
                <w:szCs w:val="20"/>
                <w:lang w:val="en-US"/>
              </w:rPr>
            </w:pPr>
            <w:r w:rsidRPr="007765E3">
              <w:rPr>
                <w:b/>
                <w:sz w:val="20"/>
                <w:szCs w:val="20"/>
                <w:lang w:val="en-US"/>
              </w:rPr>
              <w:t>Scott Diamond</w:t>
            </w:r>
          </w:p>
          <w:p w:rsidR="00F96274" w:rsidRPr="007765E3" w:rsidRDefault="00F96274" w:rsidP="00576E8D">
            <w:pPr>
              <w:widowControl w:val="0"/>
              <w:rPr>
                <w:b/>
                <w:sz w:val="20"/>
                <w:szCs w:val="20"/>
                <w:lang w:val="en-US"/>
              </w:rPr>
            </w:pPr>
          </w:p>
          <w:p w:rsidR="00F96274" w:rsidRPr="007765E3" w:rsidRDefault="00F96274" w:rsidP="00576E8D">
            <w:pPr>
              <w:widowControl w:val="0"/>
              <w:rPr>
                <w:b/>
                <w:sz w:val="20"/>
                <w:szCs w:val="20"/>
                <w:lang w:val="en-US"/>
              </w:rPr>
            </w:pPr>
            <w:r w:rsidRPr="007765E3">
              <w:rPr>
                <w:b/>
                <w:sz w:val="20"/>
                <w:szCs w:val="20"/>
                <w:lang w:val="en-US"/>
              </w:rPr>
              <w:tab/>
              <w:t xml:space="preserve">v. </w:t>
            </w:r>
            <w:r w:rsidRPr="007765E3">
              <w:rPr>
                <w:sz w:val="20"/>
                <w:szCs w:val="20"/>
                <w:lang w:val="en-US"/>
              </w:rPr>
              <w:t>(</w:t>
            </w:r>
            <w:hyperlink r:id="rId75" w:history="1">
              <w:r w:rsidRPr="007765E3">
                <w:rPr>
                  <w:rStyle w:val="Hyperlink"/>
                  <w:sz w:val="20"/>
                  <w:szCs w:val="20"/>
                  <w:lang w:val="en-US"/>
                </w:rPr>
                <w:t>36816</w:t>
              </w:r>
            </w:hyperlink>
            <w:r w:rsidRPr="007765E3">
              <w:rPr>
                <w:sz w:val="20"/>
                <w:szCs w:val="20"/>
                <w:lang w:val="en-US"/>
              </w:rPr>
              <w:t>)</w:t>
            </w:r>
          </w:p>
          <w:p w:rsidR="00F96274" w:rsidRPr="007765E3" w:rsidRDefault="00F96274" w:rsidP="00576E8D">
            <w:pPr>
              <w:widowControl w:val="0"/>
              <w:rPr>
                <w:b/>
                <w:sz w:val="20"/>
                <w:szCs w:val="20"/>
                <w:lang w:val="en-US"/>
              </w:rPr>
            </w:pPr>
          </w:p>
          <w:p w:rsidR="00F96274" w:rsidRPr="007765E3" w:rsidRDefault="00F96274" w:rsidP="00576E8D">
            <w:pPr>
              <w:widowControl w:val="0"/>
              <w:rPr>
                <w:sz w:val="20"/>
                <w:szCs w:val="20"/>
                <w:lang w:val="en-US"/>
              </w:rPr>
            </w:pPr>
            <w:r w:rsidRPr="007765E3">
              <w:rPr>
                <w:b/>
                <w:sz w:val="20"/>
                <w:szCs w:val="20"/>
                <w:lang w:val="en-US"/>
              </w:rPr>
              <w:t>Her Majesty the Queen in Right of Newfoundland and Labrador et al. (N.L.) (Crim.) (As of Right)</w:t>
            </w:r>
            <w:r w:rsidRPr="007765E3">
              <w:rPr>
                <w:sz w:val="20"/>
                <w:szCs w:val="20"/>
                <w:lang w:val="en-US"/>
              </w:rPr>
              <w:t xml:space="preserve"> </w:t>
            </w:r>
          </w:p>
        </w:tc>
        <w:tc>
          <w:tcPr>
            <w:tcW w:w="720" w:type="dxa"/>
            <w:shd w:val="clear" w:color="auto" w:fill="auto"/>
            <w:tcMar>
              <w:left w:w="0" w:type="dxa"/>
              <w:right w:w="0" w:type="dxa"/>
            </w:tcMar>
          </w:tcPr>
          <w:p w:rsidR="00F96274" w:rsidRPr="007765E3" w:rsidRDefault="00F96274" w:rsidP="00576E8D">
            <w:pPr>
              <w:widowControl w:val="0"/>
              <w:jc w:val="center"/>
              <w:rPr>
                <w:sz w:val="20"/>
                <w:szCs w:val="20"/>
                <w:lang w:val="en-US"/>
              </w:rPr>
            </w:pPr>
          </w:p>
        </w:tc>
        <w:tc>
          <w:tcPr>
            <w:tcW w:w="4380" w:type="dxa"/>
            <w:shd w:val="clear" w:color="auto" w:fill="auto"/>
            <w:tcMar>
              <w:left w:w="0" w:type="dxa"/>
              <w:right w:w="0" w:type="dxa"/>
            </w:tcMar>
          </w:tcPr>
          <w:p w:rsidR="00F96274" w:rsidRPr="007765E3" w:rsidRDefault="00F96274" w:rsidP="000E6D1D">
            <w:pPr>
              <w:jc w:val="both"/>
              <w:rPr>
                <w:sz w:val="20"/>
                <w:szCs w:val="20"/>
                <w:lang w:val="en-US"/>
              </w:rPr>
            </w:pPr>
            <w:r w:rsidRPr="007765E3">
              <w:rPr>
                <w:sz w:val="20"/>
                <w:szCs w:val="20"/>
                <w:lang w:val="en-US"/>
              </w:rPr>
              <w:t>Jason Edwards for the appellant.</w:t>
            </w:r>
          </w:p>
          <w:p w:rsidR="00F96274" w:rsidRPr="007765E3" w:rsidRDefault="00F96274" w:rsidP="000E6D1D">
            <w:pPr>
              <w:jc w:val="both"/>
              <w:rPr>
                <w:sz w:val="20"/>
                <w:szCs w:val="20"/>
                <w:lang w:val="en-US"/>
              </w:rPr>
            </w:pPr>
          </w:p>
          <w:p w:rsidR="00F96274" w:rsidRPr="007765E3" w:rsidRDefault="00F96274" w:rsidP="000E6D1D">
            <w:pPr>
              <w:jc w:val="both"/>
              <w:rPr>
                <w:sz w:val="20"/>
                <w:szCs w:val="20"/>
                <w:lang w:val="en-US"/>
              </w:rPr>
            </w:pPr>
            <w:r w:rsidRPr="007765E3">
              <w:rPr>
                <w:sz w:val="20"/>
                <w:szCs w:val="20"/>
                <w:lang w:val="en-US"/>
              </w:rPr>
              <w:t>Lloyd M. Strickland for the respondent Her Majesty the Queen in Right of Newfoundland and Labrador.</w:t>
            </w:r>
          </w:p>
          <w:p w:rsidR="00F96274" w:rsidRPr="007765E3" w:rsidRDefault="00F96274" w:rsidP="000E6D1D">
            <w:pPr>
              <w:jc w:val="both"/>
              <w:rPr>
                <w:sz w:val="20"/>
                <w:szCs w:val="20"/>
                <w:lang w:val="en-US"/>
              </w:rPr>
            </w:pPr>
          </w:p>
          <w:p w:rsidR="00F96274" w:rsidRPr="007765E3" w:rsidRDefault="00F96274" w:rsidP="000E6D1D">
            <w:pPr>
              <w:jc w:val="both"/>
              <w:rPr>
                <w:sz w:val="20"/>
                <w:szCs w:val="20"/>
                <w:lang w:val="en-US"/>
              </w:rPr>
            </w:pPr>
            <w:r w:rsidRPr="007765E3">
              <w:rPr>
                <w:sz w:val="20"/>
                <w:szCs w:val="20"/>
                <w:lang w:val="en-US"/>
              </w:rPr>
              <w:t>Paul Adams and Robin Fowler for the respondent Her Majesty the Queen in Right of Canada.</w:t>
            </w:r>
          </w:p>
        </w:tc>
      </w:tr>
    </w:tbl>
    <w:p w:rsidR="00F96274" w:rsidRPr="007765E3" w:rsidRDefault="00F96274" w:rsidP="00F96274">
      <w:pPr>
        <w:widowControl w:val="0"/>
        <w:rPr>
          <w:sz w:val="20"/>
          <w:szCs w:val="20"/>
          <w:lang w:val="en-US"/>
        </w:rPr>
      </w:pPr>
    </w:p>
    <w:p w:rsidR="00F96274" w:rsidRPr="007765E3" w:rsidRDefault="00F96274" w:rsidP="00F96274">
      <w:pPr>
        <w:widowControl w:val="0"/>
        <w:rPr>
          <w:sz w:val="20"/>
          <w:szCs w:val="20"/>
        </w:rPr>
      </w:pPr>
      <w:r w:rsidRPr="007765E3">
        <w:rPr>
          <w:b/>
          <w:sz w:val="20"/>
          <w:szCs w:val="20"/>
        </w:rPr>
        <w:t xml:space="preserve">RESERVED / </w:t>
      </w:r>
      <w:r w:rsidRPr="007765E3">
        <w:rPr>
          <w:b/>
          <w:sz w:val="20"/>
          <w:szCs w:val="20"/>
          <w:lang w:val="en-US"/>
        </w:rPr>
        <w:t>EN DÉLIBÉRÉ</w:t>
      </w:r>
    </w:p>
    <w:p w:rsidR="00F96274" w:rsidRPr="007765E3" w:rsidRDefault="00F96274" w:rsidP="00F9627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96274" w:rsidRPr="007765E3" w:rsidTr="00576E8D">
        <w:tc>
          <w:tcPr>
            <w:tcW w:w="4380" w:type="dxa"/>
            <w:tcMar>
              <w:left w:w="0" w:type="dxa"/>
              <w:right w:w="0" w:type="dxa"/>
            </w:tcMar>
          </w:tcPr>
          <w:p w:rsidR="00F96274" w:rsidRPr="007765E3" w:rsidRDefault="00F96274" w:rsidP="00576E8D">
            <w:pPr>
              <w:widowControl w:val="0"/>
              <w:jc w:val="both"/>
              <w:rPr>
                <w:b/>
                <w:sz w:val="20"/>
                <w:szCs w:val="20"/>
                <w:u w:val="single"/>
              </w:rPr>
            </w:pPr>
            <w:r w:rsidRPr="007765E3">
              <w:rPr>
                <w:b/>
                <w:sz w:val="20"/>
                <w:szCs w:val="20"/>
                <w:u w:val="single"/>
              </w:rPr>
              <w:t>Nature of the case:</w:t>
            </w:r>
          </w:p>
          <w:p w:rsidR="00F96274" w:rsidRPr="007765E3" w:rsidRDefault="00F96274" w:rsidP="00576E8D">
            <w:pPr>
              <w:widowControl w:val="0"/>
              <w:jc w:val="both"/>
              <w:rPr>
                <w:b/>
                <w:sz w:val="20"/>
                <w:szCs w:val="20"/>
              </w:rPr>
            </w:pPr>
          </w:p>
          <w:p w:rsidR="00F96274" w:rsidRPr="007765E3" w:rsidRDefault="00F96274" w:rsidP="00576E8D">
            <w:pPr>
              <w:jc w:val="both"/>
              <w:rPr>
                <w:sz w:val="20"/>
                <w:szCs w:val="20"/>
              </w:rPr>
            </w:pPr>
            <w:r w:rsidRPr="007765E3">
              <w:rPr>
                <w:i/>
                <w:sz w:val="20"/>
                <w:szCs w:val="20"/>
              </w:rPr>
              <w:t>Charter of Rights</w:t>
            </w:r>
            <w:r w:rsidRPr="007765E3">
              <w:rPr>
                <w:sz w:val="20"/>
                <w:szCs w:val="20"/>
              </w:rPr>
              <w:t xml:space="preserve"> - Constitutional law - Freedom of expression - Elections - Election advertising - Third party advertising - Requirement that all third party advertisers register before advertising - Does s. 239 of the </w:t>
            </w:r>
            <w:r w:rsidRPr="007765E3">
              <w:rPr>
                <w:i/>
                <w:sz w:val="20"/>
                <w:szCs w:val="20"/>
              </w:rPr>
              <w:t>Election Act</w:t>
            </w:r>
            <w:r w:rsidRPr="007765E3">
              <w:rPr>
                <w:sz w:val="20"/>
                <w:szCs w:val="20"/>
              </w:rPr>
              <w:t>, R.S.B.C. 1996, c. 106, infringe s. 2(</w:t>
            </w:r>
            <w:r w:rsidRPr="007765E3">
              <w:rPr>
                <w:i/>
                <w:sz w:val="20"/>
                <w:szCs w:val="20"/>
              </w:rPr>
              <w:t>b</w:t>
            </w:r>
            <w:r w:rsidRPr="007765E3">
              <w:rPr>
                <w:sz w:val="20"/>
                <w:szCs w:val="20"/>
              </w:rPr>
              <w:t xml:space="preserve">) of the Canadian </w:t>
            </w:r>
            <w:r w:rsidRPr="007765E3">
              <w:rPr>
                <w:i/>
                <w:sz w:val="20"/>
                <w:szCs w:val="20"/>
              </w:rPr>
              <w:t>Charter of Rights and Freedoms</w:t>
            </w:r>
            <w:r w:rsidRPr="007765E3">
              <w:rPr>
                <w:sz w:val="20"/>
                <w:szCs w:val="20"/>
              </w:rPr>
              <w:t xml:space="preserve"> - If so, is the infringement a reasonable limit prescribed by law as can be demonstrably justified in a free and democratic society under s. 1 of the Canadian </w:t>
            </w:r>
            <w:r w:rsidRPr="007765E3">
              <w:rPr>
                <w:i/>
                <w:sz w:val="20"/>
                <w:szCs w:val="20"/>
              </w:rPr>
              <w:t>Charter of Rights and Freedoms</w:t>
            </w:r>
            <w:r w:rsidRPr="007765E3">
              <w:rPr>
                <w:sz w:val="20"/>
                <w:szCs w:val="20"/>
              </w:rPr>
              <w:t xml:space="preserve"> - What remedy is appropriate?</w:t>
            </w:r>
          </w:p>
          <w:p w:rsidR="00F96274" w:rsidRPr="007765E3" w:rsidRDefault="00F96274" w:rsidP="00576E8D">
            <w:pPr>
              <w:widowControl w:val="0"/>
              <w:jc w:val="both"/>
              <w:rPr>
                <w:b/>
                <w:sz w:val="20"/>
                <w:szCs w:val="20"/>
              </w:rPr>
            </w:pPr>
          </w:p>
        </w:tc>
        <w:tc>
          <w:tcPr>
            <w:tcW w:w="720" w:type="dxa"/>
            <w:tcMar>
              <w:left w:w="0" w:type="dxa"/>
              <w:right w:w="0" w:type="dxa"/>
            </w:tcMar>
          </w:tcPr>
          <w:p w:rsidR="00F96274" w:rsidRPr="007765E3" w:rsidRDefault="00F96274" w:rsidP="00576E8D">
            <w:pPr>
              <w:widowControl w:val="0"/>
              <w:jc w:val="center"/>
              <w:rPr>
                <w:sz w:val="20"/>
                <w:szCs w:val="20"/>
              </w:rPr>
            </w:pPr>
          </w:p>
        </w:tc>
        <w:tc>
          <w:tcPr>
            <w:tcW w:w="4380" w:type="dxa"/>
            <w:tcMar>
              <w:left w:w="0" w:type="dxa"/>
              <w:right w:w="0" w:type="dxa"/>
            </w:tcMar>
          </w:tcPr>
          <w:p w:rsidR="00F96274" w:rsidRPr="007765E3" w:rsidRDefault="00F96274" w:rsidP="00576E8D">
            <w:pPr>
              <w:widowControl w:val="0"/>
              <w:jc w:val="both"/>
              <w:rPr>
                <w:b/>
                <w:sz w:val="20"/>
                <w:szCs w:val="20"/>
                <w:u w:val="single"/>
                <w:lang w:val="fr-CA"/>
              </w:rPr>
            </w:pPr>
            <w:r w:rsidRPr="007765E3">
              <w:rPr>
                <w:b/>
                <w:sz w:val="20"/>
                <w:szCs w:val="20"/>
                <w:u w:val="single"/>
                <w:lang w:val="fr-CA"/>
              </w:rPr>
              <w:t>Nature de la cause :</w:t>
            </w:r>
          </w:p>
          <w:p w:rsidR="00F96274" w:rsidRPr="007765E3" w:rsidRDefault="00F96274" w:rsidP="00576E8D">
            <w:pPr>
              <w:widowControl w:val="0"/>
              <w:jc w:val="both"/>
              <w:rPr>
                <w:sz w:val="20"/>
                <w:szCs w:val="20"/>
                <w:lang w:val="fr-CA"/>
              </w:rPr>
            </w:pPr>
          </w:p>
          <w:p w:rsidR="00F96274" w:rsidRPr="007765E3" w:rsidRDefault="00F96274" w:rsidP="00576E8D">
            <w:pPr>
              <w:jc w:val="both"/>
              <w:rPr>
                <w:sz w:val="20"/>
                <w:szCs w:val="20"/>
                <w:lang w:val="fr-CA"/>
              </w:rPr>
            </w:pPr>
            <w:r w:rsidRPr="007765E3">
              <w:rPr>
                <w:i/>
                <w:sz w:val="20"/>
                <w:szCs w:val="20"/>
                <w:lang w:val="fr-CA"/>
              </w:rPr>
              <w:t>Charte des droits</w:t>
            </w:r>
            <w:r w:rsidRPr="007765E3">
              <w:rPr>
                <w:sz w:val="20"/>
                <w:szCs w:val="20"/>
                <w:lang w:val="fr-CA"/>
              </w:rPr>
              <w:t xml:space="preserve"> - Droit constitutionnel - Liberté d’expression - Élections - Publicité électorale - Publicité par des tiers - Obligation pour tous les tiers annonceurs de s’enregistrer avant de faire de la publicité - L’art. 239 de l’</w:t>
            </w:r>
            <w:proofErr w:type="spellStart"/>
            <w:r w:rsidRPr="007765E3">
              <w:rPr>
                <w:i/>
                <w:sz w:val="20"/>
                <w:szCs w:val="20"/>
                <w:lang w:val="fr-CA"/>
              </w:rPr>
              <w:t>Election</w:t>
            </w:r>
            <w:proofErr w:type="spellEnd"/>
            <w:r w:rsidRPr="007765E3">
              <w:rPr>
                <w:i/>
                <w:sz w:val="20"/>
                <w:szCs w:val="20"/>
                <w:lang w:val="fr-CA"/>
              </w:rPr>
              <w:t xml:space="preserve"> </w:t>
            </w:r>
            <w:proofErr w:type="spellStart"/>
            <w:r w:rsidRPr="007765E3">
              <w:rPr>
                <w:i/>
                <w:sz w:val="20"/>
                <w:szCs w:val="20"/>
                <w:lang w:val="fr-CA"/>
              </w:rPr>
              <w:t>Act</w:t>
            </w:r>
            <w:proofErr w:type="spellEnd"/>
            <w:r w:rsidRPr="007765E3">
              <w:rPr>
                <w:sz w:val="20"/>
                <w:szCs w:val="20"/>
                <w:lang w:val="fr-CA"/>
              </w:rPr>
              <w:t xml:space="preserve">, R.S.B.C. 1996, ch. 106 viole-t-il l’al. 2b) de la </w:t>
            </w:r>
            <w:r w:rsidRPr="007765E3">
              <w:rPr>
                <w:i/>
                <w:sz w:val="20"/>
                <w:szCs w:val="20"/>
                <w:lang w:val="fr-CA"/>
              </w:rPr>
              <w:t>Charte canadienne des droits et libertés</w:t>
            </w:r>
            <w:r w:rsidRPr="007765E3">
              <w:rPr>
                <w:sz w:val="20"/>
                <w:szCs w:val="20"/>
                <w:lang w:val="fr-CA"/>
              </w:rPr>
              <w:t xml:space="preserve">? - Dans l’affirmative, s’agit-il d’une violation constituant une limite raisonnable prescrite par une règle de droit et dont la justification peut se démontrer dans le cadre d’une société libre et démocratique au sens de l’article premier de la </w:t>
            </w:r>
            <w:r w:rsidRPr="007765E3">
              <w:rPr>
                <w:i/>
                <w:sz w:val="20"/>
                <w:szCs w:val="20"/>
                <w:lang w:val="fr-CA"/>
              </w:rPr>
              <w:t>Charte canadienne des droits et libertés</w:t>
            </w:r>
            <w:r w:rsidRPr="007765E3">
              <w:rPr>
                <w:sz w:val="20"/>
                <w:szCs w:val="20"/>
                <w:lang w:val="fr-CA"/>
              </w:rPr>
              <w:t>? - Quelle est la réparation appropriée?</w:t>
            </w:r>
          </w:p>
          <w:p w:rsidR="00F96274" w:rsidRPr="007765E3" w:rsidRDefault="00F96274" w:rsidP="00576E8D">
            <w:pPr>
              <w:widowControl w:val="0"/>
              <w:jc w:val="both"/>
              <w:rPr>
                <w:sz w:val="20"/>
                <w:szCs w:val="20"/>
                <w:lang w:val="fr-CA"/>
              </w:rPr>
            </w:pPr>
          </w:p>
        </w:tc>
      </w:tr>
    </w:tbl>
    <w:p w:rsidR="00F96274" w:rsidRPr="007765E3" w:rsidRDefault="00F96274" w:rsidP="00F96274">
      <w:pPr>
        <w:widowControl w:val="0"/>
        <w:rPr>
          <w:sz w:val="20"/>
          <w:szCs w:val="20"/>
          <w:lang w:val="fr-CA"/>
        </w:rPr>
      </w:pPr>
    </w:p>
    <w:p w:rsidR="00F96274" w:rsidRPr="007765E3" w:rsidRDefault="007765E3" w:rsidP="00F96274">
      <w:pPr>
        <w:widowControl w:val="0"/>
        <w:rPr>
          <w:sz w:val="20"/>
          <w:szCs w:val="20"/>
        </w:rPr>
      </w:pPr>
      <w:r w:rsidRPr="007765E3">
        <w:rPr>
          <w:sz w:val="20"/>
          <w:szCs w:val="20"/>
          <w:lang w:val="fr-CA"/>
        </w:rPr>
        <w:pict>
          <v:rect id="_x0000_i1076" style="width:2in;height:1pt" o:hrpct="0" o:hralign="center" o:hrstd="t" o:hrnoshade="t" o:hr="t" fillcolor="black [3213]" stroked="f"/>
        </w:pict>
      </w:r>
    </w:p>
    <w:p w:rsidR="00F96274" w:rsidRPr="007765E3" w:rsidRDefault="00F96274" w:rsidP="00F96274">
      <w:pPr>
        <w:widowControl w:val="0"/>
        <w:rPr>
          <w:sz w:val="20"/>
          <w:szCs w:val="20"/>
        </w:rPr>
      </w:pPr>
    </w:p>
    <w:p w:rsidR="00A17446" w:rsidRPr="007765E3" w:rsidRDefault="00A17446" w:rsidP="00A17446">
      <w:pPr>
        <w:widowControl w:val="0"/>
        <w:rPr>
          <w:sz w:val="20"/>
          <w:szCs w:val="20"/>
          <w:lang w:val="en-US"/>
        </w:rPr>
      </w:pPr>
      <w:r w:rsidRPr="007765E3">
        <w:rPr>
          <w:sz w:val="20"/>
          <w:szCs w:val="20"/>
          <w:lang w:val="en-US"/>
        </w:rPr>
        <w:t>13.10.2016</w:t>
      </w:r>
    </w:p>
    <w:p w:rsidR="00A17446" w:rsidRPr="007765E3" w:rsidRDefault="00A17446" w:rsidP="00A17446">
      <w:pPr>
        <w:widowControl w:val="0"/>
        <w:rPr>
          <w:sz w:val="20"/>
          <w:szCs w:val="20"/>
          <w:lang w:val="en-US"/>
        </w:rPr>
      </w:pPr>
    </w:p>
    <w:p w:rsidR="00A17446" w:rsidRPr="007765E3" w:rsidRDefault="00A17446" w:rsidP="00A17446">
      <w:pPr>
        <w:widowControl w:val="0"/>
        <w:ind w:left="720" w:hanging="720"/>
        <w:rPr>
          <w:sz w:val="20"/>
          <w:szCs w:val="20"/>
          <w:u w:val="single"/>
          <w:lang w:val="en-US"/>
        </w:rPr>
      </w:pPr>
      <w:r w:rsidRPr="007765E3">
        <w:rPr>
          <w:sz w:val="20"/>
          <w:szCs w:val="20"/>
          <w:lang w:val="en-US"/>
        </w:rPr>
        <w:t xml:space="preserve">Coram: </w:t>
      </w:r>
      <w:r w:rsidRPr="007765E3">
        <w:rPr>
          <w:sz w:val="20"/>
          <w:szCs w:val="20"/>
          <w:lang w:val="en-US"/>
        </w:rPr>
        <w:tab/>
      </w:r>
      <w:proofErr w:type="spellStart"/>
      <w:r w:rsidRPr="007765E3">
        <w:rPr>
          <w:sz w:val="20"/>
          <w:szCs w:val="20"/>
          <w:u w:val="single"/>
          <w:lang w:val="en-US"/>
        </w:rPr>
        <w:t>McLachlin</w:t>
      </w:r>
      <w:proofErr w:type="spellEnd"/>
      <w:r w:rsidRPr="007765E3">
        <w:rPr>
          <w:sz w:val="20"/>
          <w:szCs w:val="20"/>
          <w:u w:val="single"/>
          <w:lang w:val="en-US"/>
        </w:rPr>
        <w:t xml:space="preserve"> C.J. and </w:t>
      </w:r>
      <w:proofErr w:type="spellStart"/>
      <w:r w:rsidRPr="007765E3">
        <w:rPr>
          <w:sz w:val="20"/>
          <w:szCs w:val="20"/>
          <w:u w:val="single"/>
          <w:lang w:val="en-US"/>
        </w:rPr>
        <w:t>Abella</w:t>
      </w:r>
      <w:proofErr w:type="spellEnd"/>
      <w:r w:rsidRPr="007765E3">
        <w:rPr>
          <w:sz w:val="20"/>
          <w:szCs w:val="20"/>
          <w:u w:val="single"/>
          <w:lang w:val="en-US"/>
        </w:rPr>
        <w:t xml:space="preserve">, </w:t>
      </w:r>
      <w:proofErr w:type="spellStart"/>
      <w:r w:rsidRPr="007765E3">
        <w:rPr>
          <w:sz w:val="20"/>
          <w:szCs w:val="20"/>
          <w:u w:val="single"/>
          <w:lang w:val="en-US"/>
        </w:rPr>
        <w:t>Moldaver</w:t>
      </w:r>
      <w:proofErr w:type="spellEnd"/>
      <w:r w:rsidRPr="007765E3">
        <w:rPr>
          <w:sz w:val="20"/>
          <w:szCs w:val="20"/>
          <w:u w:val="single"/>
          <w:lang w:val="en-US"/>
        </w:rPr>
        <w:t xml:space="preserve">, </w:t>
      </w:r>
      <w:proofErr w:type="spellStart"/>
      <w:r w:rsidRPr="007765E3">
        <w:rPr>
          <w:sz w:val="20"/>
          <w:szCs w:val="20"/>
          <w:u w:val="single"/>
          <w:lang w:val="en-US"/>
        </w:rPr>
        <w:t>Karakatsanis</w:t>
      </w:r>
      <w:proofErr w:type="spellEnd"/>
      <w:r w:rsidRPr="007765E3">
        <w:rPr>
          <w:sz w:val="20"/>
          <w:szCs w:val="20"/>
          <w:u w:val="single"/>
          <w:lang w:val="en-US"/>
        </w:rPr>
        <w:t xml:space="preserve">, </w:t>
      </w:r>
      <w:proofErr w:type="spellStart"/>
      <w:r w:rsidRPr="007765E3">
        <w:rPr>
          <w:sz w:val="20"/>
          <w:szCs w:val="20"/>
          <w:u w:val="single"/>
          <w:lang w:val="en-US"/>
        </w:rPr>
        <w:t>Gascon</w:t>
      </w:r>
      <w:proofErr w:type="spellEnd"/>
      <w:r w:rsidRPr="007765E3">
        <w:rPr>
          <w:sz w:val="20"/>
          <w:szCs w:val="20"/>
          <w:u w:val="single"/>
          <w:lang w:val="en-US"/>
        </w:rPr>
        <w:t xml:space="preserve">, </w:t>
      </w:r>
      <w:proofErr w:type="spellStart"/>
      <w:r w:rsidRPr="007765E3">
        <w:rPr>
          <w:sz w:val="20"/>
          <w:szCs w:val="20"/>
          <w:u w:val="single"/>
          <w:lang w:val="en-US"/>
        </w:rPr>
        <w:t>Côté</w:t>
      </w:r>
      <w:proofErr w:type="spellEnd"/>
      <w:r w:rsidRPr="007765E3">
        <w:rPr>
          <w:sz w:val="20"/>
          <w:szCs w:val="20"/>
          <w:u w:val="single"/>
          <w:lang w:val="en-US"/>
        </w:rPr>
        <w:t xml:space="preserve"> and Brown JJ.</w:t>
      </w:r>
    </w:p>
    <w:p w:rsidR="00A17446" w:rsidRPr="007765E3" w:rsidRDefault="00A17446" w:rsidP="00A17446">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17446" w:rsidRPr="007765E3" w:rsidTr="00576E8D">
        <w:tc>
          <w:tcPr>
            <w:tcW w:w="4380" w:type="dxa"/>
            <w:shd w:val="clear" w:color="auto" w:fill="auto"/>
            <w:tcMar>
              <w:left w:w="0" w:type="dxa"/>
              <w:right w:w="0" w:type="dxa"/>
            </w:tcMar>
          </w:tcPr>
          <w:p w:rsidR="00A17446" w:rsidRPr="007765E3" w:rsidRDefault="00A17446" w:rsidP="00576E8D">
            <w:pPr>
              <w:widowControl w:val="0"/>
              <w:rPr>
                <w:b/>
                <w:sz w:val="20"/>
                <w:szCs w:val="20"/>
                <w:lang w:val="en-US"/>
              </w:rPr>
            </w:pPr>
            <w:r w:rsidRPr="007765E3">
              <w:rPr>
                <w:b/>
                <w:sz w:val="20"/>
                <w:szCs w:val="20"/>
                <w:lang w:val="en-US"/>
              </w:rPr>
              <w:t>Carson Bingley</w:t>
            </w:r>
          </w:p>
          <w:p w:rsidR="00A17446" w:rsidRPr="007765E3" w:rsidRDefault="00A17446" w:rsidP="00576E8D">
            <w:pPr>
              <w:widowControl w:val="0"/>
              <w:rPr>
                <w:b/>
                <w:sz w:val="20"/>
                <w:szCs w:val="20"/>
                <w:lang w:val="en-US"/>
              </w:rPr>
            </w:pPr>
          </w:p>
          <w:p w:rsidR="00A17446" w:rsidRPr="007765E3" w:rsidRDefault="00A17446" w:rsidP="00576E8D">
            <w:pPr>
              <w:widowControl w:val="0"/>
              <w:rPr>
                <w:b/>
                <w:sz w:val="20"/>
                <w:szCs w:val="20"/>
                <w:lang w:val="en-US"/>
              </w:rPr>
            </w:pPr>
            <w:r w:rsidRPr="007765E3">
              <w:rPr>
                <w:b/>
                <w:sz w:val="20"/>
                <w:szCs w:val="20"/>
                <w:lang w:val="en-US"/>
              </w:rPr>
              <w:tab/>
              <w:t xml:space="preserve">v. </w:t>
            </w:r>
            <w:r w:rsidRPr="007765E3">
              <w:rPr>
                <w:sz w:val="20"/>
                <w:szCs w:val="20"/>
                <w:lang w:val="en-US"/>
              </w:rPr>
              <w:t>(</w:t>
            </w:r>
            <w:hyperlink r:id="rId76" w:history="1">
              <w:r w:rsidRPr="007765E3">
                <w:rPr>
                  <w:rStyle w:val="Hyperlink"/>
                  <w:sz w:val="20"/>
                  <w:szCs w:val="20"/>
                  <w:lang w:val="en-US"/>
                </w:rPr>
                <w:t>36610</w:t>
              </w:r>
            </w:hyperlink>
            <w:r w:rsidRPr="007765E3">
              <w:rPr>
                <w:sz w:val="20"/>
                <w:szCs w:val="20"/>
                <w:lang w:val="en-US"/>
              </w:rPr>
              <w:t>)</w:t>
            </w:r>
          </w:p>
          <w:p w:rsidR="00A17446" w:rsidRPr="007765E3" w:rsidRDefault="00A17446" w:rsidP="00576E8D">
            <w:pPr>
              <w:widowControl w:val="0"/>
              <w:rPr>
                <w:b/>
                <w:sz w:val="20"/>
                <w:szCs w:val="20"/>
                <w:lang w:val="en-US"/>
              </w:rPr>
            </w:pPr>
          </w:p>
          <w:p w:rsidR="00A17446" w:rsidRPr="007765E3" w:rsidRDefault="00A17446" w:rsidP="00A17446">
            <w:pPr>
              <w:widowControl w:val="0"/>
              <w:rPr>
                <w:sz w:val="20"/>
                <w:szCs w:val="20"/>
                <w:lang w:val="en-US"/>
              </w:rPr>
            </w:pPr>
            <w:r w:rsidRPr="007765E3">
              <w:rPr>
                <w:b/>
                <w:sz w:val="20"/>
                <w:szCs w:val="20"/>
                <w:lang w:val="en-US"/>
              </w:rPr>
              <w:t>Her Majesty the Queen (Ont.) (Crim.) (By Leave)</w:t>
            </w:r>
            <w:r w:rsidRPr="007765E3">
              <w:rPr>
                <w:sz w:val="20"/>
                <w:szCs w:val="20"/>
                <w:lang w:val="en-US"/>
              </w:rPr>
              <w:t xml:space="preserve"> </w:t>
            </w:r>
          </w:p>
        </w:tc>
        <w:tc>
          <w:tcPr>
            <w:tcW w:w="720" w:type="dxa"/>
            <w:shd w:val="clear" w:color="auto" w:fill="auto"/>
            <w:tcMar>
              <w:left w:w="0" w:type="dxa"/>
              <w:right w:w="0" w:type="dxa"/>
            </w:tcMar>
          </w:tcPr>
          <w:p w:rsidR="00A17446" w:rsidRPr="007765E3" w:rsidRDefault="00A17446" w:rsidP="00576E8D">
            <w:pPr>
              <w:widowControl w:val="0"/>
              <w:jc w:val="center"/>
              <w:rPr>
                <w:sz w:val="20"/>
                <w:szCs w:val="20"/>
                <w:lang w:val="en-US"/>
              </w:rPr>
            </w:pPr>
          </w:p>
        </w:tc>
        <w:tc>
          <w:tcPr>
            <w:tcW w:w="4380" w:type="dxa"/>
            <w:shd w:val="clear" w:color="auto" w:fill="auto"/>
            <w:tcMar>
              <w:left w:w="0" w:type="dxa"/>
              <w:right w:w="0" w:type="dxa"/>
            </w:tcMar>
          </w:tcPr>
          <w:p w:rsidR="00A17446" w:rsidRPr="007765E3" w:rsidRDefault="00A17446" w:rsidP="000E6D1D">
            <w:pPr>
              <w:jc w:val="both"/>
              <w:rPr>
                <w:sz w:val="20"/>
                <w:szCs w:val="20"/>
                <w:lang w:val="en-US"/>
              </w:rPr>
            </w:pPr>
            <w:r w:rsidRPr="007765E3">
              <w:rPr>
                <w:sz w:val="20"/>
                <w:szCs w:val="20"/>
                <w:lang w:val="en-US"/>
              </w:rPr>
              <w:t>Trevor Brown and Eric Granger for the appellant.</w:t>
            </w:r>
          </w:p>
          <w:p w:rsidR="00A17446" w:rsidRPr="007765E3" w:rsidRDefault="00A17446" w:rsidP="000E6D1D">
            <w:pPr>
              <w:jc w:val="both"/>
              <w:rPr>
                <w:sz w:val="20"/>
                <w:szCs w:val="20"/>
                <w:lang w:val="en-US"/>
              </w:rPr>
            </w:pPr>
          </w:p>
          <w:p w:rsidR="00A17446" w:rsidRPr="007765E3" w:rsidRDefault="00A17446" w:rsidP="000E6D1D">
            <w:pPr>
              <w:jc w:val="both"/>
              <w:rPr>
                <w:sz w:val="20"/>
                <w:szCs w:val="20"/>
                <w:lang w:val="en-US"/>
              </w:rPr>
            </w:pPr>
            <w:r w:rsidRPr="007765E3">
              <w:rPr>
                <w:sz w:val="20"/>
                <w:szCs w:val="20"/>
                <w:lang w:val="en-US"/>
              </w:rPr>
              <w:t xml:space="preserve">Jasmine T. </w:t>
            </w:r>
            <w:proofErr w:type="spellStart"/>
            <w:r w:rsidRPr="007765E3">
              <w:rPr>
                <w:sz w:val="20"/>
                <w:szCs w:val="20"/>
                <w:lang w:val="en-US"/>
              </w:rPr>
              <w:t>Akbarali</w:t>
            </w:r>
            <w:proofErr w:type="spellEnd"/>
            <w:r w:rsidRPr="007765E3">
              <w:rPr>
                <w:sz w:val="20"/>
                <w:szCs w:val="20"/>
                <w:lang w:val="en-US"/>
              </w:rPr>
              <w:t xml:space="preserve"> and Stuart A. Zacharias for the intervener Canadian Civil Liberties Association.</w:t>
            </w:r>
          </w:p>
          <w:p w:rsidR="00A17446" w:rsidRPr="007765E3" w:rsidRDefault="00A17446" w:rsidP="000E6D1D">
            <w:pPr>
              <w:jc w:val="both"/>
              <w:rPr>
                <w:sz w:val="20"/>
                <w:szCs w:val="20"/>
                <w:lang w:val="en-US"/>
              </w:rPr>
            </w:pPr>
          </w:p>
          <w:p w:rsidR="00A17446" w:rsidRPr="007765E3" w:rsidRDefault="00A17446" w:rsidP="000E6D1D">
            <w:pPr>
              <w:jc w:val="both"/>
              <w:rPr>
                <w:sz w:val="20"/>
                <w:szCs w:val="20"/>
                <w:lang w:val="en-US"/>
              </w:rPr>
            </w:pPr>
            <w:r w:rsidRPr="007765E3">
              <w:rPr>
                <w:sz w:val="20"/>
                <w:szCs w:val="20"/>
                <w:lang w:val="en-US"/>
              </w:rPr>
              <w:t xml:space="preserve">Mark C. </w:t>
            </w:r>
            <w:proofErr w:type="spellStart"/>
            <w:r w:rsidRPr="007765E3">
              <w:rPr>
                <w:sz w:val="20"/>
                <w:szCs w:val="20"/>
                <w:lang w:val="en-US"/>
              </w:rPr>
              <w:t>Halfyard</w:t>
            </w:r>
            <w:proofErr w:type="spellEnd"/>
            <w:r w:rsidRPr="007765E3">
              <w:rPr>
                <w:sz w:val="20"/>
                <w:szCs w:val="20"/>
                <w:lang w:val="en-US"/>
              </w:rPr>
              <w:t xml:space="preserve"> and Breana </w:t>
            </w:r>
            <w:proofErr w:type="spellStart"/>
            <w:r w:rsidRPr="007765E3">
              <w:rPr>
                <w:sz w:val="20"/>
                <w:szCs w:val="20"/>
                <w:lang w:val="en-US"/>
              </w:rPr>
              <w:t>Vandebeek</w:t>
            </w:r>
            <w:proofErr w:type="spellEnd"/>
            <w:r w:rsidRPr="007765E3">
              <w:rPr>
                <w:sz w:val="20"/>
                <w:szCs w:val="20"/>
                <w:lang w:val="en-US"/>
              </w:rPr>
              <w:t xml:space="preserve"> for the Intervener Criminal Lawyers’ Association (Ontario).</w:t>
            </w:r>
          </w:p>
          <w:p w:rsidR="00A17446" w:rsidRPr="007765E3" w:rsidRDefault="00A17446" w:rsidP="000E6D1D">
            <w:pPr>
              <w:jc w:val="both"/>
              <w:rPr>
                <w:sz w:val="20"/>
                <w:szCs w:val="20"/>
                <w:lang w:val="en-US"/>
              </w:rPr>
            </w:pPr>
          </w:p>
          <w:p w:rsidR="00A17446" w:rsidRPr="007765E3" w:rsidRDefault="00A17446" w:rsidP="000E6D1D">
            <w:pPr>
              <w:jc w:val="both"/>
              <w:rPr>
                <w:sz w:val="20"/>
                <w:szCs w:val="20"/>
                <w:lang w:val="en-US"/>
              </w:rPr>
            </w:pPr>
            <w:r w:rsidRPr="007765E3">
              <w:rPr>
                <w:sz w:val="20"/>
                <w:szCs w:val="20"/>
                <w:lang w:val="en-US"/>
              </w:rPr>
              <w:t>Joan Barrett for the Respondent.</w:t>
            </w:r>
          </w:p>
        </w:tc>
      </w:tr>
    </w:tbl>
    <w:p w:rsidR="00A17446" w:rsidRPr="007765E3" w:rsidRDefault="00A17446" w:rsidP="00A17446">
      <w:pPr>
        <w:widowControl w:val="0"/>
        <w:rPr>
          <w:sz w:val="20"/>
          <w:szCs w:val="20"/>
          <w:lang w:val="en-US"/>
        </w:rPr>
      </w:pPr>
    </w:p>
    <w:p w:rsidR="00A17446" w:rsidRPr="007765E3" w:rsidRDefault="00A17446" w:rsidP="00A17446">
      <w:pPr>
        <w:widowControl w:val="0"/>
        <w:rPr>
          <w:sz w:val="20"/>
          <w:szCs w:val="20"/>
        </w:rPr>
      </w:pPr>
      <w:r w:rsidRPr="007765E3">
        <w:rPr>
          <w:b/>
          <w:sz w:val="20"/>
          <w:szCs w:val="20"/>
        </w:rPr>
        <w:t xml:space="preserve">RESERVED / </w:t>
      </w:r>
      <w:r w:rsidRPr="007765E3">
        <w:rPr>
          <w:b/>
          <w:sz w:val="20"/>
          <w:szCs w:val="20"/>
          <w:lang w:val="en-US"/>
        </w:rPr>
        <w:t>EN DÉLIBÉRÉ</w:t>
      </w:r>
    </w:p>
    <w:p w:rsidR="00A17446" w:rsidRPr="007765E3" w:rsidRDefault="00A17446" w:rsidP="00A17446"/>
    <w:p w:rsidR="000E6D1D" w:rsidRPr="007765E3" w:rsidRDefault="000E6D1D">
      <w:r w:rsidRPr="007765E3">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17446" w:rsidRPr="007765E3" w:rsidTr="00576E8D">
        <w:tc>
          <w:tcPr>
            <w:tcW w:w="4380" w:type="dxa"/>
            <w:tcMar>
              <w:left w:w="0" w:type="dxa"/>
              <w:right w:w="0" w:type="dxa"/>
            </w:tcMar>
          </w:tcPr>
          <w:p w:rsidR="00A17446" w:rsidRPr="007765E3" w:rsidRDefault="00A17446" w:rsidP="00576E8D">
            <w:pPr>
              <w:widowControl w:val="0"/>
              <w:jc w:val="both"/>
              <w:rPr>
                <w:b/>
                <w:sz w:val="20"/>
                <w:szCs w:val="20"/>
                <w:u w:val="single"/>
              </w:rPr>
            </w:pPr>
            <w:r w:rsidRPr="007765E3">
              <w:rPr>
                <w:b/>
                <w:sz w:val="20"/>
                <w:szCs w:val="20"/>
                <w:u w:val="single"/>
              </w:rPr>
              <w:lastRenderedPageBreak/>
              <w:t>Nature of the case:</w:t>
            </w:r>
          </w:p>
          <w:p w:rsidR="00A17446" w:rsidRPr="007765E3" w:rsidRDefault="00A17446" w:rsidP="00576E8D">
            <w:pPr>
              <w:widowControl w:val="0"/>
              <w:jc w:val="both"/>
              <w:rPr>
                <w:b/>
                <w:sz w:val="20"/>
                <w:szCs w:val="20"/>
              </w:rPr>
            </w:pPr>
          </w:p>
          <w:p w:rsidR="00A17446" w:rsidRPr="007765E3" w:rsidRDefault="00A17446" w:rsidP="00A17446">
            <w:pPr>
              <w:jc w:val="both"/>
              <w:rPr>
                <w:sz w:val="20"/>
                <w:szCs w:val="20"/>
              </w:rPr>
            </w:pPr>
            <w:r w:rsidRPr="007765E3">
              <w:rPr>
                <w:sz w:val="20"/>
                <w:szCs w:val="20"/>
              </w:rPr>
              <w:t xml:space="preserve">Criminal law - Evidence - Expert evidence - Opinion evidence - Admissibility - Are the opinions of a Drug Recognition Expert (“DRE”) conducting an evaluation of a suspected drug-impaired driver pursuant to s. 254(3.1) of the </w:t>
            </w:r>
            <w:r w:rsidRPr="007765E3">
              <w:rPr>
                <w:i/>
                <w:sz w:val="20"/>
                <w:szCs w:val="20"/>
              </w:rPr>
              <w:t>Criminal Code</w:t>
            </w:r>
            <w:r w:rsidRPr="007765E3">
              <w:rPr>
                <w:sz w:val="20"/>
                <w:szCs w:val="20"/>
              </w:rPr>
              <w:t xml:space="preserve"> admissible in evidence without a </w:t>
            </w:r>
            <w:proofErr w:type="spellStart"/>
            <w:r w:rsidRPr="007765E3">
              <w:rPr>
                <w:i/>
                <w:sz w:val="20"/>
                <w:szCs w:val="20"/>
              </w:rPr>
              <w:t>voir</w:t>
            </w:r>
            <w:proofErr w:type="spellEnd"/>
            <w:r w:rsidRPr="007765E3">
              <w:rPr>
                <w:i/>
                <w:sz w:val="20"/>
                <w:szCs w:val="20"/>
              </w:rPr>
              <w:t xml:space="preserve"> dire</w:t>
            </w:r>
            <w:r w:rsidRPr="007765E3">
              <w:rPr>
                <w:sz w:val="20"/>
                <w:szCs w:val="20"/>
              </w:rPr>
              <w:t xml:space="preserve"> in accordance with </w:t>
            </w:r>
            <w:r w:rsidRPr="007765E3">
              <w:rPr>
                <w:i/>
                <w:sz w:val="20"/>
                <w:szCs w:val="20"/>
              </w:rPr>
              <w:t>R. v. Mohan</w:t>
            </w:r>
            <w:r w:rsidRPr="007765E3">
              <w:rPr>
                <w:sz w:val="20"/>
                <w:szCs w:val="20"/>
              </w:rPr>
              <w:t xml:space="preserve">, [1994] 2 S.C.R. 9? - In the alternative, are DRE opinions “lay opinions” as contemplated by this Court in </w:t>
            </w:r>
            <w:r w:rsidRPr="007765E3">
              <w:rPr>
                <w:i/>
                <w:sz w:val="20"/>
                <w:szCs w:val="20"/>
              </w:rPr>
              <w:t xml:space="preserve">R. v. </w:t>
            </w:r>
            <w:proofErr w:type="spellStart"/>
            <w:r w:rsidRPr="007765E3">
              <w:rPr>
                <w:i/>
                <w:sz w:val="20"/>
                <w:szCs w:val="20"/>
              </w:rPr>
              <w:t>Graat</w:t>
            </w:r>
            <w:proofErr w:type="spellEnd"/>
            <w:r w:rsidRPr="007765E3">
              <w:rPr>
                <w:sz w:val="20"/>
                <w:szCs w:val="20"/>
              </w:rPr>
              <w:t xml:space="preserve">, [1982] 2 S.C.R. 819, and therefore admissible in evidence without a </w:t>
            </w:r>
            <w:r w:rsidRPr="007765E3">
              <w:rPr>
                <w:i/>
                <w:sz w:val="20"/>
                <w:szCs w:val="20"/>
              </w:rPr>
              <w:t xml:space="preserve">Mohan </w:t>
            </w:r>
            <w:proofErr w:type="spellStart"/>
            <w:r w:rsidRPr="007765E3">
              <w:rPr>
                <w:i/>
                <w:sz w:val="20"/>
                <w:szCs w:val="20"/>
              </w:rPr>
              <w:t>voir</w:t>
            </w:r>
            <w:proofErr w:type="spellEnd"/>
            <w:r w:rsidRPr="007765E3">
              <w:rPr>
                <w:i/>
                <w:sz w:val="20"/>
                <w:szCs w:val="20"/>
              </w:rPr>
              <w:t xml:space="preserve"> dire</w:t>
            </w:r>
            <w:r w:rsidRPr="007765E3">
              <w:rPr>
                <w:sz w:val="20"/>
                <w:szCs w:val="20"/>
              </w:rPr>
              <w:t xml:space="preserve">? - </w:t>
            </w:r>
            <w:r w:rsidRPr="007765E3">
              <w:rPr>
                <w:i/>
                <w:sz w:val="20"/>
                <w:szCs w:val="20"/>
              </w:rPr>
              <w:t>Criminal Code</w:t>
            </w:r>
            <w:r w:rsidRPr="007765E3">
              <w:rPr>
                <w:sz w:val="20"/>
                <w:szCs w:val="20"/>
              </w:rPr>
              <w:t>, R.S.C. 1985, c. C-46, s. 354(3.1).</w:t>
            </w:r>
          </w:p>
        </w:tc>
        <w:tc>
          <w:tcPr>
            <w:tcW w:w="720" w:type="dxa"/>
            <w:tcMar>
              <w:left w:w="0" w:type="dxa"/>
              <w:right w:w="0" w:type="dxa"/>
            </w:tcMar>
          </w:tcPr>
          <w:p w:rsidR="00A17446" w:rsidRPr="007765E3" w:rsidRDefault="00A17446" w:rsidP="00576E8D">
            <w:pPr>
              <w:widowControl w:val="0"/>
              <w:jc w:val="center"/>
              <w:rPr>
                <w:sz w:val="20"/>
                <w:szCs w:val="20"/>
              </w:rPr>
            </w:pPr>
          </w:p>
        </w:tc>
        <w:tc>
          <w:tcPr>
            <w:tcW w:w="4380" w:type="dxa"/>
            <w:tcMar>
              <w:left w:w="0" w:type="dxa"/>
              <w:right w:w="0" w:type="dxa"/>
            </w:tcMar>
          </w:tcPr>
          <w:p w:rsidR="00A17446" w:rsidRPr="007765E3" w:rsidRDefault="00A17446" w:rsidP="00576E8D">
            <w:pPr>
              <w:widowControl w:val="0"/>
              <w:jc w:val="both"/>
              <w:rPr>
                <w:b/>
                <w:sz w:val="20"/>
                <w:szCs w:val="20"/>
                <w:u w:val="single"/>
                <w:lang w:val="fr-CA"/>
              </w:rPr>
            </w:pPr>
            <w:r w:rsidRPr="007765E3">
              <w:rPr>
                <w:b/>
                <w:sz w:val="20"/>
                <w:szCs w:val="20"/>
                <w:u w:val="single"/>
                <w:lang w:val="fr-CA"/>
              </w:rPr>
              <w:t>Nature de la cause :</w:t>
            </w:r>
          </w:p>
          <w:p w:rsidR="00A17446" w:rsidRPr="007765E3" w:rsidRDefault="00A17446" w:rsidP="00576E8D">
            <w:pPr>
              <w:widowControl w:val="0"/>
              <w:jc w:val="both"/>
              <w:rPr>
                <w:sz w:val="20"/>
                <w:szCs w:val="20"/>
                <w:lang w:val="fr-CA"/>
              </w:rPr>
            </w:pPr>
          </w:p>
          <w:p w:rsidR="00A17446" w:rsidRPr="007765E3" w:rsidRDefault="00A17446" w:rsidP="000E6D1D">
            <w:pPr>
              <w:jc w:val="both"/>
              <w:rPr>
                <w:sz w:val="20"/>
                <w:szCs w:val="20"/>
                <w:lang w:val="fr-CA"/>
              </w:rPr>
            </w:pPr>
            <w:r w:rsidRPr="007765E3">
              <w:rPr>
                <w:sz w:val="20"/>
                <w:szCs w:val="20"/>
                <w:lang w:val="fr-CA"/>
              </w:rPr>
              <w:t>Droit criminel - Preuve - Preuve d’expert - Témoignage d’opinion - Admissibilité - Les opinions d’un expert en reconnaissance de drogues (« ERD ») qui effectue l’évaluation d’un conducteur soupçonné d’avoir conduit avec les facultés affaiblies par la drogue en application du par. 254(3.1) du</w:t>
            </w:r>
            <w:r w:rsidRPr="007765E3">
              <w:rPr>
                <w:i/>
                <w:sz w:val="20"/>
                <w:szCs w:val="20"/>
                <w:lang w:val="fr-CA"/>
              </w:rPr>
              <w:t xml:space="preserve"> Code criminel</w:t>
            </w:r>
            <w:r w:rsidRPr="007765E3">
              <w:rPr>
                <w:sz w:val="20"/>
                <w:szCs w:val="20"/>
                <w:lang w:val="fr-CA"/>
              </w:rPr>
              <w:t xml:space="preserve"> sont-elles admissibles sans voir-dire conformément à l’arrêt </w:t>
            </w:r>
            <w:r w:rsidRPr="007765E3">
              <w:rPr>
                <w:i/>
                <w:sz w:val="20"/>
                <w:szCs w:val="20"/>
                <w:lang w:val="fr-CA"/>
              </w:rPr>
              <w:t>R. c. Mohan</w:t>
            </w:r>
            <w:r w:rsidRPr="007765E3">
              <w:rPr>
                <w:sz w:val="20"/>
                <w:szCs w:val="20"/>
                <w:lang w:val="fr-CA"/>
              </w:rPr>
              <w:t xml:space="preserve">, [1994] 2 R.C.S. 9? - Subsidiairement, ces opinions sont-elles des « opinions de non-expert » visées par notre Cour dans </w:t>
            </w:r>
            <w:r w:rsidRPr="007765E3">
              <w:rPr>
                <w:i/>
                <w:sz w:val="20"/>
                <w:szCs w:val="20"/>
                <w:lang w:val="fr-CA"/>
              </w:rPr>
              <w:t xml:space="preserve">R. c. </w:t>
            </w:r>
            <w:proofErr w:type="spellStart"/>
            <w:r w:rsidRPr="007765E3">
              <w:rPr>
                <w:i/>
                <w:sz w:val="20"/>
                <w:szCs w:val="20"/>
                <w:lang w:val="fr-CA"/>
              </w:rPr>
              <w:t>Graat</w:t>
            </w:r>
            <w:proofErr w:type="spellEnd"/>
            <w:r w:rsidRPr="007765E3">
              <w:rPr>
                <w:sz w:val="20"/>
                <w:szCs w:val="20"/>
                <w:lang w:val="fr-CA"/>
              </w:rPr>
              <w:t xml:space="preserve">, [1982] 2 R.C.S. 819, et donc admissibles en preuve sans voir-dire en application de l’arrêt </w:t>
            </w:r>
            <w:r w:rsidRPr="007765E3">
              <w:rPr>
                <w:i/>
                <w:sz w:val="20"/>
                <w:szCs w:val="20"/>
                <w:lang w:val="fr-CA"/>
              </w:rPr>
              <w:t>Mohan</w:t>
            </w:r>
            <w:r w:rsidRPr="007765E3">
              <w:rPr>
                <w:sz w:val="20"/>
                <w:szCs w:val="20"/>
                <w:lang w:val="fr-CA"/>
              </w:rPr>
              <w:t xml:space="preserve">? - </w:t>
            </w:r>
            <w:r w:rsidRPr="007765E3">
              <w:rPr>
                <w:i/>
                <w:sz w:val="20"/>
                <w:szCs w:val="20"/>
                <w:lang w:val="fr-CA"/>
              </w:rPr>
              <w:t>Code criminel</w:t>
            </w:r>
            <w:r w:rsidRPr="007765E3">
              <w:rPr>
                <w:sz w:val="20"/>
                <w:szCs w:val="20"/>
                <w:lang w:val="fr-CA"/>
              </w:rPr>
              <w:t>, L.R.C. 1985, c. C-46, art. 354(3.1).</w:t>
            </w:r>
          </w:p>
        </w:tc>
      </w:tr>
    </w:tbl>
    <w:p w:rsidR="00A17446" w:rsidRPr="007765E3" w:rsidRDefault="00A17446" w:rsidP="00A17446">
      <w:pPr>
        <w:widowControl w:val="0"/>
        <w:rPr>
          <w:sz w:val="20"/>
          <w:szCs w:val="20"/>
          <w:lang w:val="fr-CA"/>
        </w:rPr>
      </w:pPr>
    </w:p>
    <w:p w:rsidR="00E940EB" w:rsidRPr="007765E3" w:rsidRDefault="007765E3" w:rsidP="00A17446">
      <w:pPr>
        <w:widowControl w:val="0"/>
        <w:rPr>
          <w:sz w:val="20"/>
          <w:szCs w:val="20"/>
          <w:lang w:val="fr-CA"/>
        </w:rPr>
      </w:pPr>
      <w:r w:rsidRPr="007765E3">
        <w:rPr>
          <w:sz w:val="20"/>
          <w:szCs w:val="20"/>
          <w:lang w:val="fr-CA"/>
        </w:rPr>
        <w:pict>
          <v:rect id="_x0000_i1077" style="width:2in;height:1pt" o:hrpct="0" o:hralign="center" o:hrstd="t" o:hrnoshade="t" o:hr="t" fillcolor="black [3213]" stroked="f"/>
        </w:pict>
      </w:r>
    </w:p>
    <w:p w:rsidR="00D004FC" w:rsidRPr="007765E3" w:rsidRDefault="00D004FC" w:rsidP="00732DB7">
      <w:pPr>
        <w:widowControl w:val="0"/>
        <w:rPr>
          <w:sz w:val="20"/>
          <w:szCs w:val="20"/>
          <w:lang w:val="fr-CA"/>
        </w:rPr>
      </w:pPr>
    </w:p>
    <w:p w:rsidR="00732DB7" w:rsidRPr="007765E3" w:rsidRDefault="00732DB7" w:rsidP="00732DB7">
      <w:pPr>
        <w:widowControl w:val="0"/>
        <w:rPr>
          <w:sz w:val="20"/>
          <w:szCs w:val="20"/>
          <w:lang w:val="fr-CA"/>
        </w:rPr>
      </w:pPr>
    </w:p>
    <w:p w:rsidR="00732DB7" w:rsidRPr="007765E3" w:rsidRDefault="00732DB7" w:rsidP="00732DB7">
      <w:pPr>
        <w:widowControl w:val="0"/>
        <w:rPr>
          <w:sz w:val="20"/>
          <w:szCs w:val="20"/>
          <w:lang w:val="fr-CA"/>
        </w:rPr>
        <w:sectPr w:rsidR="00732DB7" w:rsidRPr="007765E3" w:rsidSect="00732DB7">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765E3" w:rsidTr="0085476B">
        <w:tc>
          <w:tcPr>
            <w:tcW w:w="4200" w:type="dxa"/>
            <w:tcMar>
              <w:left w:w="0" w:type="dxa"/>
              <w:right w:w="0" w:type="dxa"/>
            </w:tcMar>
          </w:tcPr>
          <w:p w:rsidR="00FF6EEC" w:rsidRPr="007765E3" w:rsidRDefault="00FF6EEC" w:rsidP="0085476B">
            <w:pPr>
              <w:keepNext/>
              <w:keepLines/>
              <w:tabs>
                <w:tab w:val="left" w:pos="-1440"/>
                <w:tab w:val="left" w:pos="-720"/>
              </w:tabs>
              <w:rPr>
                <w:b/>
                <w:szCs w:val="24"/>
              </w:rPr>
            </w:pPr>
            <w:r w:rsidRPr="007765E3">
              <w:rPr>
                <w:b/>
                <w:szCs w:val="24"/>
              </w:rPr>
              <w:lastRenderedPageBreak/>
              <w:t>PRONOUNCEMENTS OF APPEALS</w:t>
            </w:r>
            <w:r w:rsidR="0085476B" w:rsidRPr="007765E3">
              <w:rPr>
                <w:b/>
                <w:szCs w:val="24"/>
              </w:rPr>
              <w:t xml:space="preserve"> </w:t>
            </w:r>
            <w:r w:rsidRPr="007765E3">
              <w:rPr>
                <w:b/>
                <w:szCs w:val="24"/>
              </w:rPr>
              <w:t>RESERVED</w:t>
            </w:r>
          </w:p>
          <w:p w:rsidR="00FF6EEC" w:rsidRPr="007765E3"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7765E3"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7765E3">
              <w:rPr>
                <w:b/>
                <w:szCs w:val="24"/>
              </w:rPr>
              <w:t>Reasons for judgment are available</w:t>
            </w:r>
          </w:p>
        </w:tc>
        <w:tc>
          <w:tcPr>
            <w:tcW w:w="1200" w:type="dxa"/>
            <w:tcMar>
              <w:left w:w="0" w:type="dxa"/>
              <w:right w:w="0" w:type="dxa"/>
            </w:tcMar>
          </w:tcPr>
          <w:p w:rsidR="00FF6EEC" w:rsidRPr="007765E3" w:rsidRDefault="00FF6EEC" w:rsidP="00FF6EEC">
            <w:pPr>
              <w:keepNext/>
              <w:keepLines/>
              <w:tabs>
                <w:tab w:val="left" w:pos="-1440"/>
                <w:tab w:val="left" w:pos="-720"/>
              </w:tabs>
              <w:jc w:val="center"/>
              <w:rPr>
                <w:b/>
                <w:szCs w:val="24"/>
              </w:rPr>
            </w:pPr>
          </w:p>
          <w:p w:rsidR="00FF6EEC" w:rsidRPr="007765E3" w:rsidRDefault="00FF6EEC" w:rsidP="00FF6EEC">
            <w:pPr>
              <w:keepNext/>
              <w:keepLines/>
              <w:tabs>
                <w:tab w:val="left" w:pos="-1440"/>
                <w:tab w:val="left" w:pos="-720"/>
              </w:tabs>
              <w:jc w:val="center"/>
              <w:rPr>
                <w:b/>
                <w:szCs w:val="24"/>
              </w:rPr>
            </w:pPr>
          </w:p>
          <w:p w:rsidR="00FF6EEC" w:rsidRPr="007765E3" w:rsidRDefault="00FF6EEC" w:rsidP="00FF6EEC">
            <w:pPr>
              <w:keepNext/>
              <w:keepLines/>
              <w:tabs>
                <w:tab w:val="left" w:pos="-1440"/>
                <w:tab w:val="left" w:pos="-720"/>
              </w:tabs>
              <w:jc w:val="center"/>
              <w:rPr>
                <w:b/>
                <w:szCs w:val="24"/>
              </w:rPr>
            </w:pPr>
          </w:p>
          <w:p w:rsidR="00FF6EEC" w:rsidRPr="007765E3" w:rsidRDefault="00FF6EEC" w:rsidP="00FF6EEC">
            <w:pPr>
              <w:keepNext/>
              <w:keepLines/>
              <w:tabs>
                <w:tab w:val="left" w:pos="-1440"/>
                <w:tab w:val="left" w:pos="-720"/>
              </w:tabs>
              <w:jc w:val="center"/>
              <w:rPr>
                <w:b/>
                <w:szCs w:val="24"/>
              </w:rPr>
            </w:pPr>
          </w:p>
          <w:p w:rsidR="00FF6EEC" w:rsidRPr="007765E3"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7765E3" w:rsidRDefault="00FF6EEC" w:rsidP="00FF6EEC">
            <w:pPr>
              <w:keepNext/>
              <w:keepLines/>
              <w:tabs>
                <w:tab w:val="left" w:pos="-1440"/>
                <w:tab w:val="left" w:pos="-720"/>
              </w:tabs>
              <w:rPr>
                <w:b/>
                <w:szCs w:val="24"/>
                <w:lang w:val="fr-CA"/>
              </w:rPr>
            </w:pPr>
            <w:r w:rsidRPr="007765E3">
              <w:rPr>
                <w:b/>
                <w:szCs w:val="24"/>
                <w:lang w:val="fr-CA"/>
              </w:rPr>
              <w:t>JUGEMENTS RENDUS SUR LES APPELS EN DÉLIBÉRÉ</w:t>
            </w:r>
          </w:p>
          <w:p w:rsidR="00FF6EEC" w:rsidRPr="007765E3"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7765E3"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7765E3">
              <w:rPr>
                <w:b/>
                <w:szCs w:val="24"/>
                <w:lang w:val="fr-CA"/>
              </w:rPr>
              <w:t>Les motifs de jugement sont disponibles</w:t>
            </w:r>
          </w:p>
        </w:tc>
      </w:tr>
    </w:tbl>
    <w:p w:rsidR="00FF6EEC" w:rsidRPr="007765E3" w:rsidRDefault="00FF6EEC" w:rsidP="00FF6EEC">
      <w:pPr>
        <w:rPr>
          <w:b/>
          <w:sz w:val="20"/>
          <w:szCs w:val="20"/>
          <w:lang w:val="fr-CA"/>
        </w:rPr>
      </w:pPr>
    </w:p>
    <w:p w:rsidR="0052229C" w:rsidRPr="007765E3" w:rsidRDefault="0080245B" w:rsidP="0052229C">
      <w:pPr>
        <w:rPr>
          <w:b/>
          <w:sz w:val="20"/>
          <w:szCs w:val="20"/>
          <w:lang w:val="fr-CA"/>
        </w:rPr>
      </w:pPr>
      <w:r w:rsidRPr="007765E3">
        <w:rPr>
          <w:b/>
          <w:sz w:val="20"/>
          <w:szCs w:val="20"/>
          <w:lang w:val="fr-CA"/>
        </w:rPr>
        <w:t>OCTOBER 14</w:t>
      </w:r>
      <w:r w:rsidR="0052229C" w:rsidRPr="007765E3">
        <w:rPr>
          <w:b/>
          <w:sz w:val="20"/>
          <w:szCs w:val="20"/>
          <w:lang w:val="fr-CA"/>
        </w:rPr>
        <w:t>, 201</w:t>
      </w:r>
      <w:r w:rsidR="00E942C2" w:rsidRPr="007765E3">
        <w:rPr>
          <w:b/>
          <w:sz w:val="20"/>
          <w:szCs w:val="20"/>
          <w:lang w:val="fr-CA"/>
        </w:rPr>
        <w:t>6</w:t>
      </w:r>
      <w:r w:rsidR="0052229C" w:rsidRPr="007765E3">
        <w:rPr>
          <w:b/>
          <w:sz w:val="20"/>
          <w:szCs w:val="20"/>
          <w:lang w:val="fr-CA"/>
        </w:rPr>
        <w:t xml:space="preserve"> / LE </w:t>
      </w:r>
      <w:r w:rsidRPr="007765E3">
        <w:rPr>
          <w:b/>
          <w:sz w:val="20"/>
          <w:szCs w:val="20"/>
          <w:lang w:val="fr-CA"/>
        </w:rPr>
        <w:t>14 OCTOBRE</w:t>
      </w:r>
      <w:r w:rsidR="0052229C" w:rsidRPr="007765E3">
        <w:rPr>
          <w:b/>
          <w:sz w:val="20"/>
          <w:szCs w:val="20"/>
          <w:lang w:val="fr-CA"/>
        </w:rPr>
        <w:t xml:space="preserve"> 201</w:t>
      </w:r>
      <w:r w:rsidR="00E942C2" w:rsidRPr="007765E3">
        <w:rPr>
          <w:b/>
          <w:sz w:val="20"/>
          <w:szCs w:val="20"/>
          <w:lang w:val="fr-CA"/>
        </w:rPr>
        <w:t>6</w:t>
      </w:r>
    </w:p>
    <w:p w:rsidR="0052229C" w:rsidRPr="007765E3" w:rsidRDefault="0052229C" w:rsidP="0052229C">
      <w:pPr>
        <w:rPr>
          <w:sz w:val="20"/>
          <w:szCs w:val="20"/>
          <w:lang w:val="fr-CA"/>
        </w:rPr>
      </w:pPr>
    </w:p>
    <w:p w:rsidR="0052229C" w:rsidRPr="007765E3" w:rsidRDefault="000E27A5" w:rsidP="00F31444">
      <w:pPr>
        <w:ind w:left="1440" w:hanging="1440"/>
        <w:jc w:val="both"/>
        <w:rPr>
          <w:sz w:val="20"/>
          <w:lang w:val="fr-CA"/>
        </w:rPr>
      </w:pPr>
      <w:r w:rsidRPr="007765E3">
        <w:rPr>
          <w:b/>
          <w:sz w:val="20"/>
        </w:rPr>
        <w:fldChar w:fldCharType="begin"/>
      </w:r>
      <w:r w:rsidR="0052229C" w:rsidRPr="007765E3">
        <w:rPr>
          <w:b/>
          <w:sz w:val="20"/>
          <w:lang w:val="fr-CA"/>
        </w:rPr>
        <w:instrText xml:space="preserve"> SEQ CHAPTER \h \r 1</w:instrText>
      </w:r>
      <w:r w:rsidRPr="007765E3">
        <w:rPr>
          <w:b/>
          <w:sz w:val="20"/>
        </w:rPr>
        <w:fldChar w:fldCharType="end"/>
      </w:r>
      <w:r w:rsidR="0052229C" w:rsidRPr="007765E3">
        <w:rPr>
          <w:b/>
          <w:sz w:val="20"/>
          <w:lang w:val="fr-CA"/>
        </w:rPr>
        <w:t>3</w:t>
      </w:r>
      <w:r w:rsidR="00F31444" w:rsidRPr="007765E3">
        <w:rPr>
          <w:b/>
          <w:sz w:val="20"/>
          <w:lang w:val="fr-CA"/>
        </w:rPr>
        <w:t>6165</w:t>
      </w:r>
      <w:r w:rsidR="0052229C" w:rsidRPr="007765E3">
        <w:rPr>
          <w:sz w:val="20"/>
          <w:lang w:val="fr-CA"/>
        </w:rPr>
        <w:tab/>
      </w:r>
      <w:r w:rsidR="00F31444" w:rsidRPr="007765E3">
        <w:rPr>
          <w:b/>
          <w:sz w:val="20"/>
          <w:u w:val="single"/>
          <w:lang w:val="fr-CA"/>
        </w:rPr>
        <w:t xml:space="preserve">Conférence des juges de paix magistrats du Québec, Christine Auger, Jacques Barbès, Réjean Bédard, Dominique Benoît, Georges Benoît, Michel </w:t>
      </w:r>
      <w:proofErr w:type="spellStart"/>
      <w:r w:rsidR="00F31444" w:rsidRPr="007765E3">
        <w:rPr>
          <w:b/>
          <w:sz w:val="20"/>
          <w:u w:val="single"/>
          <w:lang w:val="fr-CA"/>
        </w:rPr>
        <w:t>Boissonneault</w:t>
      </w:r>
      <w:proofErr w:type="spellEnd"/>
      <w:r w:rsidR="00F31444" w:rsidRPr="007765E3">
        <w:rPr>
          <w:b/>
          <w:sz w:val="20"/>
          <w:u w:val="single"/>
          <w:lang w:val="fr-CA"/>
        </w:rPr>
        <w:t xml:space="preserve">, Suzanne Bousquet, Sylvie </w:t>
      </w:r>
      <w:proofErr w:type="spellStart"/>
      <w:r w:rsidR="00F31444" w:rsidRPr="007765E3">
        <w:rPr>
          <w:b/>
          <w:sz w:val="20"/>
          <w:u w:val="single"/>
          <w:lang w:val="fr-CA"/>
        </w:rPr>
        <w:t>Desmeules</w:t>
      </w:r>
      <w:proofErr w:type="spellEnd"/>
      <w:r w:rsidR="00F31444" w:rsidRPr="007765E3">
        <w:rPr>
          <w:b/>
          <w:sz w:val="20"/>
          <w:u w:val="single"/>
          <w:lang w:val="fr-CA"/>
        </w:rPr>
        <w:t xml:space="preserve">, Julie Dionne, Marie-Chantal Doucet, Louis Duguay, Gaby Dumas, Nathalie </w:t>
      </w:r>
      <w:proofErr w:type="spellStart"/>
      <w:r w:rsidR="00F31444" w:rsidRPr="007765E3">
        <w:rPr>
          <w:b/>
          <w:sz w:val="20"/>
          <w:u w:val="single"/>
          <w:lang w:val="fr-CA"/>
        </w:rPr>
        <w:t>Duperron</w:t>
      </w:r>
      <w:proofErr w:type="spellEnd"/>
      <w:r w:rsidR="00F31444" w:rsidRPr="007765E3">
        <w:rPr>
          <w:b/>
          <w:sz w:val="20"/>
          <w:u w:val="single"/>
          <w:lang w:val="fr-CA"/>
        </w:rPr>
        <w:t xml:space="preserve"> Roy, </w:t>
      </w:r>
      <w:proofErr w:type="spellStart"/>
      <w:r w:rsidR="00F31444" w:rsidRPr="007765E3">
        <w:rPr>
          <w:b/>
          <w:sz w:val="20"/>
          <w:u w:val="single"/>
          <w:lang w:val="fr-CA"/>
        </w:rPr>
        <w:t>Réna</w:t>
      </w:r>
      <w:proofErr w:type="spellEnd"/>
      <w:r w:rsidR="00F31444" w:rsidRPr="007765E3">
        <w:rPr>
          <w:b/>
          <w:sz w:val="20"/>
          <w:u w:val="single"/>
          <w:lang w:val="fr-CA"/>
        </w:rPr>
        <w:t xml:space="preserve"> </w:t>
      </w:r>
      <w:proofErr w:type="spellStart"/>
      <w:r w:rsidR="00F31444" w:rsidRPr="007765E3">
        <w:rPr>
          <w:b/>
          <w:sz w:val="20"/>
          <w:u w:val="single"/>
          <w:lang w:val="fr-CA"/>
        </w:rPr>
        <w:t>Émond</w:t>
      </w:r>
      <w:proofErr w:type="spellEnd"/>
      <w:r w:rsidR="00F31444" w:rsidRPr="007765E3">
        <w:rPr>
          <w:b/>
          <w:sz w:val="20"/>
          <w:u w:val="single"/>
          <w:lang w:val="fr-CA"/>
        </w:rPr>
        <w:t xml:space="preserve">, Pierre Fortin, Louise Gallant, Marie-Josée Hénault, François </w:t>
      </w:r>
      <w:proofErr w:type="spellStart"/>
      <w:r w:rsidR="00F31444" w:rsidRPr="007765E3">
        <w:rPr>
          <w:b/>
          <w:sz w:val="20"/>
          <w:u w:val="single"/>
          <w:lang w:val="fr-CA"/>
        </w:rPr>
        <w:t>Kouri</w:t>
      </w:r>
      <w:proofErr w:type="spellEnd"/>
      <w:r w:rsidR="00F31444" w:rsidRPr="007765E3">
        <w:rPr>
          <w:b/>
          <w:sz w:val="20"/>
          <w:u w:val="single"/>
          <w:lang w:val="fr-CA"/>
        </w:rPr>
        <w:t xml:space="preserve">, Jean-Georges </w:t>
      </w:r>
      <w:proofErr w:type="spellStart"/>
      <w:r w:rsidR="00F31444" w:rsidRPr="007765E3">
        <w:rPr>
          <w:b/>
          <w:sz w:val="20"/>
          <w:u w:val="single"/>
          <w:lang w:val="fr-CA"/>
        </w:rPr>
        <w:t>Laliberté</w:t>
      </w:r>
      <w:proofErr w:type="spellEnd"/>
      <w:r w:rsidR="00F31444" w:rsidRPr="007765E3">
        <w:rPr>
          <w:b/>
          <w:sz w:val="20"/>
          <w:u w:val="single"/>
          <w:lang w:val="fr-CA"/>
        </w:rPr>
        <w:t xml:space="preserve">, Robert </w:t>
      </w:r>
      <w:proofErr w:type="spellStart"/>
      <w:r w:rsidR="00F31444" w:rsidRPr="007765E3">
        <w:rPr>
          <w:b/>
          <w:sz w:val="20"/>
          <w:u w:val="single"/>
          <w:lang w:val="fr-CA"/>
        </w:rPr>
        <w:t>Lanctôt</w:t>
      </w:r>
      <w:proofErr w:type="spellEnd"/>
      <w:r w:rsidR="00F31444" w:rsidRPr="007765E3">
        <w:rPr>
          <w:b/>
          <w:sz w:val="20"/>
          <w:u w:val="single"/>
          <w:lang w:val="fr-CA"/>
        </w:rPr>
        <w:t xml:space="preserve">, Luc </w:t>
      </w:r>
      <w:proofErr w:type="spellStart"/>
      <w:r w:rsidR="00F31444" w:rsidRPr="007765E3">
        <w:rPr>
          <w:b/>
          <w:sz w:val="20"/>
          <w:u w:val="single"/>
          <w:lang w:val="fr-CA"/>
        </w:rPr>
        <w:t>Marchildon</w:t>
      </w:r>
      <w:proofErr w:type="spellEnd"/>
      <w:r w:rsidR="00F31444" w:rsidRPr="007765E3">
        <w:rPr>
          <w:b/>
          <w:sz w:val="20"/>
          <w:u w:val="single"/>
          <w:lang w:val="fr-CA"/>
        </w:rPr>
        <w:t xml:space="preserve">, Sylvie Marcotte, Nicole Martin, Danielle Michaud, Gilles Michaud, Lucie Morissette, Monique Perron, Jean-Gilles Racicot, Gaétan </w:t>
      </w:r>
      <w:proofErr w:type="spellStart"/>
      <w:r w:rsidR="00F31444" w:rsidRPr="007765E3">
        <w:rPr>
          <w:b/>
          <w:sz w:val="20"/>
          <w:u w:val="single"/>
          <w:lang w:val="fr-CA"/>
        </w:rPr>
        <w:t>Ratté</w:t>
      </w:r>
      <w:proofErr w:type="spellEnd"/>
      <w:r w:rsidR="00F31444" w:rsidRPr="007765E3">
        <w:rPr>
          <w:b/>
          <w:sz w:val="20"/>
          <w:u w:val="single"/>
          <w:lang w:val="fr-CA"/>
        </w:rPr>
        <w:t xml:space="preserve">, Marc Renaud, Rosaire Vallières, Pierre </w:t>
      </w:r>
      <w:proofErr w:type="spellStart"/>
      <w:r w:rsidR="00F31444" w:rsidRPr="007765E3">
        <w:rPr>
          <w:b/>
          <w:sz w:val="20"/>
          <w:u w:val="single"/>
          <w:lang w:val="fr-CA"/>
        </w:rPr>
        <w:t>Verrette</w:t>
      </w:r>
      <w:proofErr w:type="spellEnd"/>
      <w:r w:rsidR="00F31444" w:rsidRPr="007765E3">
        <w:rPr>
          <w:b/>
          <w:sz w:val="20"/>
          <w:u w:val="single"/>
          <w:lang w:val="fr-CA"/>
        </w:rPr>
        <w:t xml:space="preserve">, Johanne White, Gilles Pigeon, Léopold Goulet, Yannick Couture, Marie-Claude Bélanger et Patricia </w:t>
      </w:r>
      <w:proofErr w:type="spellStart"/>
      <w:r w:rsidR="00F31444" w:rsidRPr="007765E3">
        <w:rPr>
          <w:b/>
          <w:sz w:val="20"/>
          <w:u w:val="single"/>
          <w:lang w:val="fr-CA"/>
        </w:rPr>
        <w:t>Compagnone</w:t>
      </w:r>
      <w:proofErr w:type="spellEnd"/>
      <w:r w:rsidR="00F31444" w:rsidRPr="007765E3">
        <w:rPr>
          <w:b/>
          <w:sz w:val="20"/>
          <w:u w:val="single"/>
          <w:lang w:val="fr-CA"/>
        </w:rPr>
        <w:t xml:space="preserve"> c. Procureure générale du Québec et Ministre de la justice du Québec - et - Procureur général du Canada, procureur général de l’Ontario, Conférence des juges de la Cour du Québec et Association des juges de paix de l’Ontario</w:t>
      </w:r>
      <w:r w:rsidR="00F31444" w:rsidRPr="007765E3">
        <w:rPr>
          <w:b/>
          <w:iCs/>
          <w:sz w:val="20"/>
          <w:u w:val="single"/>
          <w:lang w:val="fr-CA"/>
        </w:rPr>
        <w:t xml:space="preserve"> </w:t>
      </w:r>
      <w:r w:rsidR="0052229C" w:rsidRPr="007765E3">
        <w:rPr>
          <w:iCs/>
          <w:sz w:val="20"/>
          <w:lang w:val="fr-CA"/>
        </w:rPr>
        <w:t>(</w:t>
      </w:r>
      <w:proofErr w:type="spellStart"/>
      <w:r w:rsidR="0052229C" w:rsidRPr="007765E3">
        <w:rPr>
          <w:iCs/>
          <w:sz w:val="20"/>
          <w:lang w:val="fr-CA"/>
        </w:rPr>
        <w:t>Qc</w:t>
      </w:r>
      <w:proofErr w:type="spellEnd"/>
      <w:r w:rsidR="0052229C" w:rsidRPr="007765E3">
        <w:rPr>
          <w:iCs/>
          <w:sz w:val="20"/>
          <w:lang w:val="fr-CA"/>
        </w:rPr>
        <w:t>)</w:t>
      </w:r>
    </w:p>
    <w:p w:rsidR="0052229C" w:rsidRPr="007765E3"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7765E3">
        <w:rPr>
          <w:b/>
          <w:sz w:val="20"/>
          <w:lang w:val="fr-CA"/>
        </w:rPr>
        <w:t>201</w:t>
      </w:r>
      <w:r w:rsidR="00E942C2" w:rsidRPr="007765E3">
        <w:rPr>
          <w:b/>
          <w:sz w:val="20"/>
          <w:lang w:val="fr-CA"/>
        </w:rPr>
        <w:t>6</w:t>
      </w:r>
      <w:r w:rsidR="00F31444" w:rsidRPr="007765E3">
        <w:rPr>
          <w:b/>
          <w:sz w:val="20"/>
          <w:lang w:val="fr-CA"/>
        </w:rPr>
        <w:t xml:space="preserve"> SCC 39</w:t>
      </w:r>
      <w:r w:rsidRPr="007765E3">
        <w:rPr>
          <w:b/>
          <w:sz w:val="20"/>
          <w:lang w:val="fr-CA"/>
        </w:rPr>
        <w:t xml:space="preserve"> / 201</w:t>
      </w:r>
      <w:r w:rsidR="00E942C2" w:rsidRPr="007765E3">
        <w:rPr>
          <w:b/>
          <w:sz w:val="20"/>
          <w:lang w:val="fr-CA"/>
        </w:rPr>
        <w:t>6</w:t>
      </w:r>
      <w:r w:rsidR="00F31444" w:rsidRPr="007765E3">
        <w:rPr>
          <w:b/>
          <w:sz w:val="20"/>
          <w:lang w:val="fr-CA"/>
        </w:rPr>
        <w:t xml:space="preserve"> CSC 39</w:t>
      </w:r>
    </w:p>
    <w:p w:rsidR="0052229C" w:rsidRPr="007765E3"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7765E3" w:rsidRDefault="0052229C" w:rsidP="00F31444">
      <w:pPr>
        <w:ind w:left="1440" w:hanging="1440"/>
        <w:jc w:val="both"/>
        <w:rPr>
          <w:sz w:val="20"/>
          <w:szCs w:val="20"/>
          <w:u w:val="single"/>
          <w:lang w:val="fr-CA"/>
        </w:rPr>
      </w:pPr>
      <w:r w:rsidRPr="007765E3">
        <w:rPr>
          <w:sz w:val="20"/>
          <w:lang w:val="fr-CA"/>
        </w:rPr>
        <w:t>Coram:</w:t>
      </w:r>
      <w:r w:rsidRPr="007765E3">
        <w:rPr>
          <w:sz w:val="20"/>
          <w:lang w:val="fr-CA"/>
        </w:rPr>
        <w:tab/>
      </w:r>
      <w:r w:rsidR="00F31444" w:rsidRPr="007765E3">
        <w:rPr>
          <w:sz w:val="20"/>
          <w:szCs w:val="20"/>
          <w:u w:val="single"/>
          <w:lang w:val="fr-CA"/>
        </w:rPr>
        <w:t xml:space="preserve">La juge en chef </w:t>
      </w:r>
      <w:proofErr w:type="spellStart"/>
      <w:r w:rsidR="00F31444" w:rsidRPr="007765E3">
        <w:rPr>
          <w:sz w:val="20"/>
          <w:szCs w:val="20"/>
          <w:u w:val="single"/>
          <w:lang w:val="fr-CA"/>
        </w:rPr>
        <w:t>McLachlin</w:t>
      </w:r>
      <w:proofErr w:type="spellEnd"/>
      <w:r w:rsidR="00F31444" w:rsidRPr="007765E3">
        <w:rPr>
          <w:sz w:val="20"/>
          <w:szCs w:val="20"/>
          <w:u w:val="single"/>
          <w:lang w:val="fr-CA"/>
        </w:rPr>
        <w:t xml:space="preserve"> et les juges Abella, Cromwell, </w:t>
      </w:r>
      <w:proofErr w:type="spellStart"/>
      <w:r w:rsidR="00F31444" w:rsidRPr="007765E3">
        <w:rPr>
          <w:sz w:val="20"/>
          <w:szCs w:val="20"/>
          <w:u w:val="single"/>
          <w:lang w:val="fr-CA"/>
        </w:rPr>
        <w:t>Moldaver</w:t>
      </w:r>
      <w:proofErr w:type="spellEnd"/>
      <w:r w:rsidR="00F31444" w:rsidRPr="007765E3">
        <w:rPr>
          <w:sz w:val="20"/>
          <w:szCs w:val="20"/>
          <w:u w:val="single"/>
          <w:lang w:val="fr-CA"/>
        </w:rPr>
        <w:t xml:space="preserve">, </w:t>
      </w:r>
      <w:proofErr w:type="spellStart"/>
      <w:r w:rsidR="00F31444" w:rsidRPr="007765E3">
        <w:rPr>
          <w:sz w:val="20"/>
          <w:szCs w:val="20"/>
          <w:u w:val="single"/>
          <w:lang w:val="fr-CA"/>
        </w:rPr>
        <w:t>Karakatsanis</w:t>
      </w:r>
      <w:proofErr w:type="spellEnd"/>
      <w:r w:rsidR="00F31444" w:rsidRPr="007765E3">
        <w:rPr>
          <w:sz w:val="20"/>
          <w:szCs w:val="20"/>
          <w:u w:val="single"/>
          <w:lang w:val="fr-CA"/>
        </w:rPr>
        <w:t>, Wagner, Gascon, Côté et Brown</w:t>
      </w:r>
    </w:p>
    <w:p w:rsidR="00F31444" w:rsidRPr="007765E3" w:rsidRDefault="00F31444" w:rsidP="00F31444">
      <w:pPr>
        <w:ind w:left="1440" w:hanging="1440"/>
        <w:jc w:val="both"/>
        <w:rPr>
          <w:sz w:val="20"/>
          <w:u w:val="single"/>
          <w:lang w:val="fr-CA"/>
        </w:rPr>
      </w:pPr>
    </w:p>
    <w:p w:rsidR="0052229C" w:rsidRPr="007765E3" w:rsidRDefault="0052229C" w:rsidP="00F31444">
      <w:pPr>
        <w:ind w:left="1440" w:hanging="1440"/>
        <w:rPr>
          <w:rFonts w:eastAsia="Calibri"/>
          <w:sz w:val="20"/>
          <w:lang w:val="fr-CA"/>
        </w:rPr>
      </w:pPr>
    </w:p>
    <w:p w:rsidR="00F31444" w:rsidRPr="007765E3" w:rsidRDefault="00F31444" w:rsidP="00F31444">
      <w:pPr>
        <w:jc w:val="both"/>
        <w:rPr>
          <w:rFonts w:eastAsiaTheme="minorEastAsia" w:cs="Times New Roman"/>
          <w:sz w:val="20"/>
          <w:szCs w:val="20"/>
          <w:lang w:val="fr-CA" w:eastAsia="en-CA"/>
        </w:rPr>
      </w:pPr>
      <w:r w:rsidRPr="007765E3">
        <w:rPr>
          <w:sz w:val="20"/>
          <w:szCs w:val="20"/>
          <w:lang w:val="fr-CA"/>
        </w:rPr>
        <w:t xml:space="preserve">L’appel interjeté contre l’arrêt de la Cour d’appel du Québec (Montréal), numéro 500-09-022600-126, 2014 QCCA 1654, daté du 11 septembre 2014, entendu le 18 janvier 2016, est </w:t>
      </w:r>
      <w:r w:rsidRPr="007765E3">
        <w:rPr>
          <w:rFonts w:eastAsiaTheme="minorEastAsia" w:cs="Times New Roman"/>
          <w:sz w:val="20"/>
          <w:szCs w:val="20"/>
          <w:lang w:val="fr-CA" w:eastAsia="en-CA"/>
        </w:rPr>
        <w:t>accueilli en partie, avec dépens en faveur des appelants. Les questions constitutionnelles reçoivent les réponses suivantes :</w:t>
      </w:r>
    </w:p>
    <w:p w:rsidR="00F31444" w:rsidRPr="007765E3" w:rsidRDefault="00F31444" w:rsidP="00F31444">
      <w:pPr>
        <w:jc w:val="both"/>
        <w:rPr>
          <w:rFonts w:cs="Times New Roman"/>
          <w:sz w:val="20"/>
          <w:szCs w:val="20"/>
          <w:lang w:val="fr-CA"/>
        </w:rPr>
      </w:pPr>
    </w:p>
    <w:p w:rsidR="00F31444" w:rsidRPr="007765E3" w:rsidRDefault="00F31444" w:rsidP="00F31444">
      <w:pPr>
        <w:pStyle w:val="ListParagraph"/>
        <w:numPr>
          <w:ilvl w:val="0"/>
          <w:numId w:val="9"/>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 xml:space="preserve">Les articles 27, 30 et 32 de la </w:t>
      </w:r>
      <w:r w:rsidRPr="007765E3">
        <w:rPr>
          <w:rFonts w:eastAsiaTheme="minorEastAsia" w:cs="Times New Roman"/>
          <w:i/>
          <w:iCs/>
          <w:sz w:val="20"/>
          <w:szCs w:val="20"/>
          <w:lang w:val="fr-CA" w:eastAsia="en-CA"/>
        </w:rPr>
        <w:t>Loi modifiant la Loi sur les tribunaux judiciaires et d’autres dispositions législatives eu égard au statut des juges de paix</w:t>
      </w:r>
      <w:r w:rsidRPr="007765E3">
        <w:rPr>
          <w:rFonts w:eastAsiaTheme="minorEastAsia" w:cs="Times New Roman"/>
          <w:sz w:val="20"/>
          <w:szCs w:val="20"/>
          <w:lang w:val="fr-CA" w:eastAsia="en-CA"/>
        </w:rPr>
        <w:t>, L.Q. 2004, c. 12, contreviennent-ils au principe d’indépendance judiciaire garanti par :</w:t>
      </w: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p>
    <w:p w:rsidR="00F31444" w:rsidRPr="007765E3" w:rsidRDefault="00F31444" w:rsidP="00F31444">
      <w:pPr>
        <w:pStyle w:val="ListParagraph"/>
        <w:numPr>
          <w:ilvl w:val="0"/>
          <w:numId w:val="10"/>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 xml:space="preserve">la </w:t>
      </w:r>
      <w:r w:rsidRPr="007765E3">
        <w:rPr>
          <w:rFonts w:eastAsiaTheme="minorEastAsia" w:cs="Times New Roman"/>
          <w:i/>
          <w:iCs/>
          <w:sz w:val="20"/>
          <w:szCs w:val="20"/>
          <w:lang w:val="fr-CA" w:eastAsia="en-CA"/>
        </w:rPr>
        <w:t xml:space="preserve">Loi constitutionnelle de 1867 </w:t>
      </w:r>
      <w:r w:rsidRPr="007765E3">
        <w:rPr>
          <w:rFonts w:eastAsiaTheme="minorEastAsia" w:cs="Times New Roman"/>
          <w:sz w:val="20"/>
          <w:szCs w:val="20"/>
          <w:lang w:val="fr-CA" w:eastAsia="en-CA"/>
        </w:rPr>
        <w:t>ou</w:t>
      </w:r>
    </w:p>
    <w:p w:rsidR="00F31444" w:rsidRPr="007765E3" w:rsidRDefault="00F31444" w:rsidP="00F31444">
      <w:pPr>
        <w:autoSpaceDE w:val="0"/>
        <w:autoSpaceDN w:val="0"/>
        <w:adjustRightInd w:val="0"/>
        <w:jc w:val="both"/>
        <w:rPr>
          <w:rFonts w:eastAsiaTheme="minorEastAsia" w:cs="Times New Roman"/>
          <w:sz w:val="20"/>
          <w:szCs w:val="20"/>
          <w:lang w:eastAsia="en-CA"/>
        </w:rPr>
      </w:pPr>
    </w:p>
    <w:p w:rsidR="00F31444" w:rsidRPr="007765E3" w:rsidRDefault="00F31444" w:rsidP="00F31444">
      <w:pPr>
        <w:pStyle w:val="ListParagraph"/>
        <w:numPr>
          <w:ilvl w:val="0"/>
          <w:numId w:val="10"/>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l’alinéa 11</w:t>
      </w:r>
      <w:r w:rsidRPr="007765E3">
        <w:rPr>
          <w:rFonts w:eastAsiaTheme="minorEastAsia" w:cs="Times New Roman"/>
          <w:i/>
          <w:iCs/>
          <w:sz w:val="20"/>
          <w:szCs w:val="20"/>
          <w:lang w:val="fr-CA" w:eastAsia="en-CA"/>
        </w:rPr>
        <w:t>d</w:t>
      </w:r>
      <w:r w:rsidRPr="007765E3">
        <w:rPr>
          <w:rFonts w:eastAsiaTheme="minorEastAsia" w:cs="Times New Roman"/>
          <w:sz w:val="20"/>
          <w:szCs w:val="20"/>
          <w:lang w:val="fr-CA" w:eastAsia="en-CA"/>
        </w:rPr>
        <w:t xml:space="preserve">) de la </w:t>
      </w:r>
      <w:r w:rsidRPr="007765E3">
        <w:rPr>
          <w:rFonts w:eastAsiaTheme="minorEastAsia" w:cs="Times New Roman"/>
          <w:i/>
          <w:iCs/>
          <w:sz w:val="20"/>
          <w:szCs w:val="20"/>
          <w:lang w:val="fr-CA" w:eastAsia="en-CA"/>
        </w:rPr>
        <w:t>Charte canadienne des droits et libertés</w:t>
      </w:r>
      <w:r w:rsidRPr="007765E3">
        <w:rPr>
          <w:rFonts w:eastAsiaTheme="minorEastAsia" w:cs="Times New Roman"/>
          <w:sz w:val="20"/>
          <w:szCs w:val="20"/>
          <w:lang w:val="fr-CA" w:eastAsia="en-CA"/>
        </w:rPr>
        <w:t>?</w:t>
      </w:r>
    </w:p>
    <w:p w:rsidR="00F31444" w:rsidRPr="007765E3" w:rsidRDefault="00F31444" w:rsidP="00F31444">
      <w:pPr>
        <w:pStyle w:val="ListParagraph"/>
        <w:autoSpaceDE w:val="0"/>
        <w:autoSpaceDN w:val="0"/>
        <w:adjustRightInd w:val="0"/>
        <w:ind w:left="662"/>
        <w:jc w:val="both"/>
        <w:rPr>
          <w:rFonts w:eastAsiaTheme="minorEastAsia" w:cs="Times New Roman"/>
          <w:sz w:val="20"/>
          <w:szCs w:val="20"/>
          <w:u w:val="single"/>
          <w:lang w:val="fr-CA" w:eastAsia="en-CA"/>
        </w:rPr>
      </w:pPr>
    </w:p>
    <w:p w:rsidR="00F31444" w:rsidRPr="007765E3" w:rsidRDefault="00F31444" w:rsidP="00F31444">
      <w:pPr>
        <w:pStyle w:val="ListParagraph"/>
        <w:autoSpaceDE w:val="0"/>
        <w:autoSpaceDN w:val="0"/>
        <w:adjustRightInd w:val="0"/>
        <w:ind w:left="752"/>
        <w:jc w:val="both"/>
        <w:rPr>
          <w:rFonts w:eastAsiaTheme="minorEastAsia" w:cs="Times New Roman"/>
          <w:sz w:val="20"/>
          <w:szCs w:val="20"/>
          <w:lang w:val="fr-CA" w:eastAsia="en-CA"/>
        </w:rPr>
      </w:pPr>
      <w:r w:rsidRPr="007765E3">
        <w:rPr>
          <w:rFonts w:eastAsiaTheme="minorEastAsia" w:cs="Times New Roman"/>
          <w:sz w:val="20"/>
          <w:szCs w:val="20"/>
          <w:u w:val="single"/>
          <w:lang w:val="fr-CA" w:eastAsia="en-CA"/>
        </w:rPr>
        <w:t>Réponse</w:t>
      </w:r>
      <w:r w:rsidRPr="007765E3">
        <w:rPr>
          <w:rFonts w:eastAsiaTheme="minorEastAsia" w:cs="Times New Roman"/>
          <w:sz w:val="20"/>
          <w:szCs w:val="20"/>
          <w:lang w:val="fr-CA" w:eastAsia="en-CA"/>
        </w:rPr>
        <w:t xml:space="preserve"> : Les articles 27, 30 et 32 de la </w:t>
      </w:r>
      <w:r w:rsidRPr="007765E3">
        <w:rPr>
          <w:rFonts w:eastAsiaTheme="minorEastAsia" w:cs="Times New Roman"/>
          <w:iCs/>
          <w:sz w:val="20"/>
          <w:szCs w:val="20"/>
          <w:lang w:val="fr-CA" w:eastAsia="en-CA"/>
        </w:rPr>
        <w:t>Loi</w:t>
      </w:r>
      <w:r w:rsidRPr="007765E3">
        <w:rPr>
          <w:rFonts w:eastAsiaTheme="minorEastAsia" w:cs="Times New Roman"/>
          <w:i/>
          <w:iCs/>
          <w:sz w:val="20"/>
          <w:szCs w:val="20"/>
          <w:lang w:val="fr-CA" w:eastAsia="en-CA"/>
        </w:rPr>
        <w:t xml:space="preserve"> </w:t>
      </w:r>
      <w:r w:rsidRPr="007765E3">
        <w:rPr>
          <w:rFonts w:eastAsiaTheme="minorEastAsia" w:cs="Times New Roman"/>
          <w:sz w:val="20"/>
          <w:szCs w:val="20"/>
          <w:lang w:val="fr-CA" w:eastAsia="en-CA"/>
        </w:rPr>
        <w:t>contreviennent au principe de l’indépendance judiciaire.</w:t>
      </w:r>
    </w:p>
    <w:p w:rsidR="00F31444" w:rsidRPr="007765E3" w:rsidRDefault="00F31444" w:rsidP="00F31444">
      <w:pPr>
        <w:pStyle w:val="ListParagraph"/>
        <w:autoSpaceDE w:val="0"/>
        <w:autoSpaceDN w:val="0"/>
        <w:adjustRightInd w:val="0"/>
        <w:ind w:left="1022" w:hanging="1022"/>
        <w:jc w:val="both"/>
        <w:rPr>
          <w:rFonts w:eastAsiaTheme="minorEastAsia" w:cs="Times New Roman"/>
          <w:sz w:val="20"/>
          <w:szCs w:val="20"/>
          <w:lang w:val="fr-CA" w:eastAsia="en-CA"/>
        </w:rPr>
      </w:pPr>
    </w:p>
    <w:p w:rsidR="00F31444" w:rsidRPr="007765E3" w:rsidRDefault="00F31444" w:rsidP="00F31444">
      <w:pPr>
        <w:pStyle w:val="ListParagraph"/>
        <w:numPr>
          <w:ilvl w:val="0"/>
          <w:numId w:val="9"/>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Dans l’affirmative, quant à l’al. 11</w:t>
      </w:r>
      <w:r w:rsidRPr="007765E3">
        <w:rPr>
          <w:rFonts w:eastAsiaTheme="minorEastAsia" w:cs="Times New Roman"/>
          <w:i/>
          <w:iCs/>
          <w:sz w:val="20"/>
          <w:szCs w:val="20"/>
          <w:lang w:val="fr-CA" w:eastAsia="en-CA"/>
        </w:rPr>
        <w:t>d</w:t>
      </w:r>
      <w:r w:rsidRPr="007765E3">
        <w:rPr>
          <w:rFonts w:eastAsiaTheme="minorEastAsia" w:cs="Times New Roman"/>
          <w:sz w:val="20"/>
          <w:szCs w:val="20"/>
          <w:lang w:val="fr-CA" w:eastAsia="en-CA"/>
        </w:rPr>
        <w:t xml:space="preserve">) de la </w:t>
      </w:r>
      <w:r w:rsidRPr="007765E3">
        <w:rPr>
          <w:rFonts w:eastAsiaTheme="minorEastAsia" w:cs="Times New Roman"/>
          <w:i/>
          <w:iCs/>
          <w:sz w:val="20"/>
          <w:szCs w:val="20"/>
          <w:lang w:val="fr-CA" w:eastAsia="en-CA"/>
        </w:rPr>
        <w:t>Charte canadienne des droits et libertés</w:t>
      </w:r>
      <w:r w:rsidRPr="007765E3">
        <w:rPr>
          <w:rFonts w:eastAsiaTheme="minorEastAsia" w:cs="Times New Roman"/>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7765E3">
        <w:rPr>
          <w:rFonts w:eastAsiaTheme="minorEastAsia" w:cs="Times New Roman"/>
          <w:i/>
          <w:iCs/>
          <w:sz w:val="20"/>
          <w:szCs w:val="20"/>
          <w:lang w:val="fr-CA" w:eastAsia="en-CA"/>
        </w:rPr>
        <w:t>Charte</w:t>
      </w:r>
      <w:r w:rsidRPr="007765E3">
        <w:rPr>
          <w:rFonts w:eastAsiaTheme="minorEastAsia" w:cs="Times New Roman"/>
          <w:sz w:val="20"/>
          <w:szCs w:val="20"/>
          <w:lang w:val="fr-CA" w:eastAsia="en-CA"/>
        </w:rPr>
        <w:t>?</w:t>
      </w: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proofErr w:type="spellStart"/>
      <w:proofErr w:type="gramStart"/>
      <w:r w:rsidRPr="007765E3">
        <w:rPr>
          <w:rFonts w:eastAsiaTheme="minorEastAsia" w:cs="Times New Roman"/>
          <w:sz w:val="20"/>
          <w:szCs w:val="20"/>
          <w:u w:val="single"/>
          <w:lang w:eastAsia="en-CA"/>
        </w:rPr>
        <w:t>Réponse</w:t>
      </w:r>
      <w:proofErr w:type="spellEnd"/>
      <w:r w:rsidRPr="007765E3">
        <w:rPr>
          <w:rFonts w:eastAsiaTheme="minorEastAsia" w:cs="Times New Roman"/>
          <w:sz w:val="20"/>
          <w:szCs w:val="20"/>
          <w:lang w:eastAsia="en-CA"/>
        </w:rPr>
        <w:t> :</w:t>
      </w:r>
      <w:proofErr w:type="gramEnd"/>
      <w:r w:rsidRPr="007765E3">
        <w:rPr>
          <w:rFonts w:eastAsiaTheme="minorEastAsia" w:cs="Times New Roman"/>
          <w:sz w:val="20"/>
          <w:szCs w:val="20"/>
          <w:lang w:eastAsia="en-CA"/>
        </w:rPr>
        <w:t xml:space="preserve"> Non.</w:t>
      </w:r>
    </w:p>
    <w:p w:rsidR="00F31444" w:rsidRPr="007765E3" w:rsidRDefault="00F31444" w:rsidP="00F31444">
      <w:pPr>
        <w:autoSpaceDE w:val="0"/>
        <w:autoSpaceDN w:val="0"/>
        <w:adjustRightInd w:val="0"/>
        <w:jc w:val="both"/>
        <w:rPr>
          <w:rFonts w:eastAsiaTheme="minorEastAsia" w:cs="Times New Roman"/>
          <w:sz w:val="20"/>
          <w:szCs w:val="20"/>
          <w:lang w:eastAsia="en-CA"/>
        </w:rPr>
      </w:pPr>
    </w:p>
    <w:p w:rsidR="00F31444" w:rsidRPr="007765E3" w:rsidRDefault="00F31444" w:rsidP="00F31444">
      <w:pPr>
        <w:pStyle w:val="ListParagraph"/>
        <w:numPr>
          <w:ilvl w:val="0"/>
          <w:numId w:val="9"/>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 xml:space="preserve">L’article 178 de la </w:t>
      </w:r>
      <w:r w:rsidRPr="007765E3">
        <w:rPr>
          <w:rFonts w:eastAsiaTheme="minorEastAsia" w:cs="Times New Roman"/>
          <w:i/>
          <w:iCs/>
          <w:sz w:val="20"/>
          <w:szCs w:val="20"/>
          <w:lang w:val="fr-CA" w:eastAsia="en-CA"/>
        </w:rPr>
        <w:t>Loi sur les tribunaux judiciaires</w:t>
      </w:r>
      <w:r w:rsidRPr="007765E3">
        <w:rPr>
          <w:rFonts w:eastAsiaTheme="minorEastAsia" w:cs="Times New Roman"/>
          <w:sz w:val="20"/>
          <w:szCs w:val="20"/>
          <w:lang w:val="fr-CA" w:eastAsia="en-CA"/>
        </w:rPr>
        <w:t xml:space="preserve">, RLRQ, c. T-16, tel que modifié par la </w:t>
      </w:r>
      <w:r w:rsidRPr="007765E3">
        <w:rPr>
          <w:rFonts w:eastAsiaTheme="minorEastAsia" w:cs="Times New Roman"/>
          <w:i/>
          <w:iCs/>
          <w:sz w:val="20"/>
          <w:szCs w:val="20"/>
          <w:lang w:val="fr-CA" w:eastAsia="en-CA"/>
        </w:rPr>
        <w:t>Loi modifiant la Loi sur les tribunaux judiciaires et d’autres dispositions législatives eu égard au statut des juges de paix</w:t>
      </w:r>
      <w:r w:rsidRPr="007765E3">
        <w:rPr>
          <w:rFonts w:eastAsiaTheme="minorEastAsia" w:cs="Times New Roman"/>
          <w:sz w:val="20"/>
          <w:szCs w:val="20"/>
          <w:lang w:val="fr-CA" w:eastAsia="en-CA"/>
        </w:rPr>
        <w:t>, L.Q. 2004, c. 12, contrevient-il au principe d’indépendance judiciaire garanti par :</w:t>
      </w: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p>
    <w:p w:rsidR="00F31444" w:rsidRPr="007765E3" w:rsidRDefault="00F31444" w:rsidP="00F31444">
      <w:pPr>
        <w:pStyle w:val="ListParagraph"/>
        <w:numPr>
          <w:ilvl w:val="0"/>
          <w:numId w:val="11"/>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 xml:space="preserve">la </w:t>
      </w:r>
      <w:r w:rsidRPr="007765E3">
        <w:rPr>
          <w:rFonts w:eastAsiaTheme="minorEastAsia" w:cs="Times New Roman"/>
          <w:i/>
          <w:iCs/>
          <w:sz w:val="20"/>
          <w:szCs w:val="20"/>
          <w:lang w:val="fr-CA" w:eastAsia="en-CA"/>
        </w:rPr>
        <w:t xml:space="preserve">Loi constitutionnelle de 1867 </w:t>
      </w:r>
      <w:r w:rsidRPr="007765E3">
        <w:rPr>
          <w:rFonts w:eastAsiaTheme="minorEastAsia" w:cs="Times New Roman"/>
          <w:sz w:val="20"/>
          <w:szCs w:val="20"/>
          <w:lang w:val="fr-CA" w:eastAsia="en-CA"/>
        </w:rPr>
        <w:t>ou</w:t>
      </w:r>
    </w:p>
    <w:p w:rsidR="00F31444" w:rsidRPr="007765E3" w:rsidRDefault="00F31444" w:rsidP="00F31444">
      <w:pPr>
        <w:pStyle w:val="ListParagraph"/>
        <w:autoSpaceDE w:val="0"/>
        <w:autoSpaceDN w:val="0"/>
        <w:adjustRightInd w:val="0"/>
        <w:ind w:left="1440"/>
        <w:jc w:val="both"/>
        <w:rPr>
          <w:rFonts w:eastAsiaTheme="minorEastAsia" w:cs="Times New Roman"/>
          <w:sz w:val="20"/>
          <w:szCs w:val="20"/>
          <w:lang w:val="fr-CA" w:eastAsia="en-CA"/>
        </w:rPr>
      </w:pPr>
    </w:p>
    <w:p w:rsidR="00F31444" w:rsidRPr="007765E3" w:rsidRDefault="00F31444" w:rsidP="00F31444">
      <w:pPr>
        <w:pStyle w:val="ListParagraph"/>
        <w:numPr>
          <w:ilvl w:val="0"/>
          <w:numId w:val="11"/>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l’alinéa 11</w:t>
      </w:r>
      <w:r w:rsidRPr="007765E3">
        <w:rPr>
          <w:rFonts w:eastAsiaTheme="minorEastAsia" w:cs="Times New Roman"/>
          <w:i/>
          <w:iCs/>
          <w:sz w:val="20"/>
          <w:szCs w:val="20"/>
          <w:lang w:val="fr-CA" w:eastAsia="en-CA"/>
        </w:rPr>
        <w:t>d</w:t>
      </w:r>
      <w:r w:rsidRPr="007765E3">
        <w:rPr>
          <w:rFonts w:eastAsiaTheme="minorEastAsia" w:cs="Times New Roman"/>
          <w:sz w:val="20"/>
          <w:szCs w:val="20"/>
          <w:lang w:val="fr-CA" w:eastAsia="en-CA"/>
        </w:rPr>
        <w:t xml:space="preserve">) de la </w:t>
      </w:r>
      <w:r w:rsidRPr="007765E3">
        <w:rPr>
          <w:rFonts w:eastAsiaTheme="minorEastAsia" w:cs="Times New Roman"/>
          <w:i/>
          <w:iCs/>
          <w:sz w:val="20"/>
          <w:szCs w:val="20"/>
          <w:lang w:val="fr-CA" w:eastAsia="en-CA"/>
        </w:rPr>
        <w:t>Charte canadienne des droits et libertés</w:t>
      </w:r>
      <w:r w:rsidRPr="007765E3">
        <w:rPr>
          <w:rFonts w:eastAsiaTheme="minorEastAsia" w:cs="Times New Roman"/>
          <w:sz w:val="20"/>
          <w:szCs w:val="20"/>
          <w:lang w:val="fr-CA" w:eastAsia="en-CA"/>
        </w:rPr>
        <w:t>?</w:t>
      </w: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p>
    <w:p w:rsidR="00F31444" w:rsidRPr="007765E3" w:rsidRDefault="00F31444" w:rsidP="00F31444">
      <w:pPr>
        <w:pStyle w:val="ListParagraph"/>
        <w:autoSpaceDE w:val="0"/>
        <w:autoSpaceDN w:val="0"/>
        <w:adjustRightInd w:val="0"/>
        <w:ind w:hanging="58"/>
        <w:jc w:val="both"/>
        <w:rPr>
          <w:rFonts w:eastAsiaTheme="minorEastAsia" w:cs="Times New Roman"/>
          <w:sz w:val="20"/>
          <w:szCs w:val="20"/>
          <w:lang w:val="fr-CA" w:eastAsia="en-CA"/>
        </w:rPr>
      </w:pPr>
      <w:r w:rsidRPr="007765E3">
        <w:rPr>
          <w:rFonts w:eastAsiaTheme="minorEastAsia" w:cs="Times New Roman"/>
          <w:sz w:val="20"/>
          <w:szCs w:val="20"/>
          <w:u w:val="single"/>
          <w:lang w:val="fr-CA" w:eastAsia="en-CA"/>
        </w:rPr>
        <w:t>Réponse</w:t>
      </w:r>
      <w:r w:rsidRPr="007765E3">
        <w:rPr>
          <w:rFonts w:eastAsiaTheme="minorEastAsia" w:cs="Times New Roman"/>
          <w:sz w:val="20"/>
          <w:szCs w:val="20"/>
          <w:lang w:val="fr-CA" w:eastAsia="en-CA"/>
        </w:rPr>
        <w:t> : Non.</w:t>
      </w:r>
    </w:p>
    <w:p w:rsidR="00F31444" w:rsidRPr="007765E3" w:rsidRDefault="00F31444" w:rsidP="00F31444">
      <w:pPr>
        <w:pStyle w:val="ListParagraph"/>
        <w:autoSpaceDE w:val="0"/>
        <w:autoSpaceDN w:val="0"/>
        <w:adjustRightInd w:val="0"/>
        <w:ind w:hanging="720"/>
        <w:jc w:val="both"/>
        <w:rPr>
          <w:rFonts w:eastAsiaTheme="minorEastAsia" w:cs="Times New Roman"/>
          <w:sz w:val="20"/>
          <w:szCs w:val="20"/>
          <w:lang w:val="fr-CA" w:eastAsia="en-CA"/>
        </w:rPr>
      </w:pPr>
    </w:p>
    <w:p w:rsidR="00F31444" w:rsidRPr="007765E3" w:rsidRDefault="00F31444" w:rsidP="00F31444">
      <w:pPr>
        <w:pStyle w:val="ListParagraph"/>
        <w:numPr>
          <w:ilvl w:val="0"/>
          <w:numId w:val="9"/>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lastRenderedPageBreak/>
        <w:t>Dans l’affirmative, quant à l’al. 11</w:t>
      </w:r>
      <w:r w:rsidRPr="007765E3">
        <w:rPr>
          <w:rFonts w:eastAsiaTheme="minorEastAsia" w:cs="Times New Roman"/>
          <w:i/>
          <w:iCs/>
          <w:sz w:val="20"/>
          <w:szCs w:val="20"/>
          <w:lang w:val="fr-CA" w:eastAsia="en-CA"/>
        </w:rPr>
        <w:t>d</w:t>
      </w:r>
      <w:r w:rsidRPr="007765E3">
        <w:rPr>
          <w:rFonts w:eastAsiaTheme="minorEastAsia" w:cs="Times New Roman"/>
          <w:sz w:val="20"/>
          <w:szCs w:val="20"/>
          <w:lang w:val="fr-CA" w:eastAsia="en-CA"/>
        </w:rPr>
        <w:t xml:space="preserve">) de la </w:t>
      </w:r>
      <w:r w:rsidRPr="007765E3">
        <w:rPr>
          <w:rFonts w:eastAsiaTheme="minorEastAsia" w:cs="Times New Roman"/>
          <w:i/>
          <w:iCs/>
          <w:sz w:val="20"/>
          <w:szCs w:val="20"/>
          <w:lang w:val="fr-CA" w:eastAsia="en-CA"/>
        </w:rPr>
        <w:t>Charte canadienne des droits et libertés</w:t>
      </w:r>
      <w:r w:rsidRPr="007765E3">
        <w:rPr>
          <w:rFonts w:eastAsiaTheme="minorEastAsia" w:cs="Times New Roman"/>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7765E3">
        <w:rPr>
          <w:rFonts w:eastAsiaTheme="minorEastAsia" w:cs="Times New Roman"/>
          <w:i/>
          <w:iCs/>
          <w:sz w:val="20"/>
          <w:szCs w:val="20"/>
          <w:lang w:val="fr-CA" w:eastAsia="en-CA"/>
        </w:rPr>
        <w:t>Charte</w:t>
      </w:r>
      <w:r w:rsidRPr="007765E3">
        <w:rPr>
          <w:rFonts w:eastAsiaTheme="minorEastAsia" w:cs="Times New Roman"/>
          <w:sz w:val="20"/>
          <w:szCs w:val="20"/>
          <w:lang w:val="fr-CA" w:eastAsia="en-CA"/>
        </w:rPr>
        <w:t>?</w:t>
      </w: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u w:val="single"/>
          <w:lang w:val="fr-CA" w:eastAsia="en-CA"/>
        </w:rPr>
        <w:t>Réponse</w:t>
      </w:r>
      <w:r w:rsidRPr="007765E3">
        <w:rPr>
          <w:rFonts w:eastAsiaTheme="minorEastAsia" w:cs="Times New Roman"/>
          <w:sz w:val="20"/>
          <w:szCs w:val="20"/>
          <w:lang w:val="fr-CA" w:eastAsia="en-CA"/>
        </w:rPr>
        <w:t> : Il n’est pas nécessaire de répondre à cette question.</w:t>
      </w:r>
    </w:p>
    <w:p w:rsidR="00F31444" w:rsidRPr="007765E3" w:rsidRDefault="00F31444" w:rsidP="00F31444">
      <w:pPr>
        <w:autoSpaceDE w:val="0"/>
        <w:autoSpaceDN w:val="0"/>
        <w:adjustRightInd w:val="0"/>
        <w:jc w:val="both"/>
        <w:rPr>
          <w:rFonts w:eastAsiaTheme="minorEastAsia" w:cs="Times New Roman"/>
          <w:sz w:val="20"/>
          <w:szCs w:val="20"/>
          <w:lang w:val="fr-CA" w:eastAsia="en-CA"/>
        </w:rPr>
      </w:pPr>
    </w:p>
    <w:p w:rsidR="00F31444" w:rsidRPr="007765E3" w:rsidRDefault="00F31444" w:rsidP="00F31444">
      <w:pPr>
        <w:pStyle w:val="ListParagraph"/>
        <w:numPr>
          <w:ilvl w:val="0"/>
          <w:numId w:val="9"/>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Le Décret 932-2008, (2008) 140 G.O. 2, 5681, concernant le traitement et les autres conditions de travail des juges de paix magistrats, contrevient-il au principe d’indépendance judiciaire garanti par :</w:t>
      </w:r>
    </w:p>
    <w:p w:rsidR="00F31444" w:rsidRPr="007765E3" w:rsidRDefault="00F31444" w:rsidP="00F31444">
      <w:pPr>
        <w:pStyle w:val="ListParagraph"/>
        <w:autoSpaceDE w:val="0"/>
        <w:autoSpaceDN w:val="0"/>
        <w:adjustRightInd w:val="0"/>
        <w:jc w:val="both"/>
        <w:rPr>
          <w:rFonts w:eastAsiaTheme="minorEastAsia" w:cs="Times New Roman"/>
          <w:sz w:val="20"/>
          <w:szCs w:val="20"/>
          <w:lang w:val="fr-CA" w:eastAsia="en-CA"/>
        </w:rPr>
      </w:pPr>
    </w:p>
    <w:p w:rsidR="00F31444" w:rsidRPr="007765E3" w:rsidRDefault="00F31444" w:rsidP="00F31444">
      <w:pPr>
        <w:pStyle w:val="ListParagraph"/>
        <w:numPr>
          <w:ilvl w:val="0"/>
          <w:numId w:val="12"/>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 xml:space="preserve">la </w:t>
      </w:r>
      <w:r w:rsidRPr="007765E3">
        <w:rPr>
          <w:rFonts w:eastAsiaTheme="minorEastAsia" w:cs="Times New Roman"/>
          <w:i/>
          <w:iCs/>
          <w:sz w:val="20"/>
          <w:szCs w:val="20"/>
          <w:lang w:val="fr-CA" w:eastAsia="en-CA"/>
        </w:rPr>
        <w:t xml:space="preserve">Loi constitutionnelle de 1867 </w:t>
      </w:r>
      <w:r w:rsidRPr="007765E3">
        <w:rPr>
          <w:rFonts w:eastAsiaTheme="minorEastAsia" w:cs="Times New Roman"/>
          <w:sz w:val="20"/>
          <w:szCs w:val="20"/>
          <w:lang w:val="fr-CA" w:eastAsia="en-CA"/>
        </w:rPr>
        <w:t>ou</w:t>
      </w:r>
    </w:p>
    <w:p w:rsidR="00F31444" w:rsidRPr="007765E3" w:rsidRDefault="00F31444" w:rsidP="00F31444">
      <w:pPr>
        <w:pStyle w:val="ListParagraph"/>
        <w:autoSpaceDE w:val="0"/>
        <w:autoSpaceDN w:val="0"/>
        <w:adjustRightInd w:val="0"/>
        <w:ind w:left="1440"/>
        <w:jc w:val="both"/>
        <w:rPr>
          <w:rFonts w:eastAsiaTheme="minorEastAsia" w:cs="Times New Roman"/>
          <w:sz w:val="20"/>
          <w:szCs w:val="20"/>
          <w:lang w:val="fr-CA" w:eastAsia="en-CA"/>
        </w:rPr>
      </w:pPr>
    </w:p>
    <w:p w:rsidR="00F31444" w:rsidRPr="007765E3" w:rsidRDefault="00F31444" w:rsidP="00F31444">
      <w:pPr>
        <w:pStyle w:val="ListParagraph"/>
        <w:numPr>
          <w:ilvl w:val="0"/>
          <w:numId w:val="12"/>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l’alinéa 11</w:t>
      </w:r>
      <w:r w:rsidRPr="007765E3">
        <w:rPr>
          <w:rFonts w:eastAsiaTheme="minorEastAsia" w:cs="Times New Roman"/>
          <w:i/>
          <w:iCs/>
          <w:sz w:val="20"/>
          <w:szCs w:val="20"/>
          <w:lang w:val="fr-CA" w:eastAsia="en-CA"/>
        </w:rPr>
        <w:t>d</w:t>
      </w:r>
      <w:r w:rsidRPr="007765E3">
        <w:rPr>
          <w:rFonts w:eastAsiaTheme="minorEastAsia" w:cs="Times New Roman"/>
          <w:sz w:val="20"/>
          <w:szCs w:val="20"/>
          <w:lang w:val="fr-CA" w:eastAsia="en-CA"/>
        </w:rPr>
        <w:t xml:space="preserve">) de la </w:t>
      </w:r>
      <w:r w:rsidRPr="007765E3">
        <w:rPr>
          <w:rFonts w:eastAsiaTheme="minorEastAsia" w:cs="Times New Roman"/>
          <w:i/>
          <w:iCs/>
          <w:sz w:val="20"/>
          <w:szCs w:val="20"/>
          <w:lang w:val="fr-CA" w:eastAsia="en-CA"/>
        </w:rPr>
        <w:t>Charte canadienne des droits et libertés</w:t>
      </w:r>
      <w:r w:rsidRPr="007765E3">
        <w:rPr>
          <w:rFonts w:eastAsiaTheme="minorEastAsia" w:cs="Times New Roman"/>
          <w:sz w:val="20"/>
          <w:szCs w:val="20"/>
          <w:lang w:val="fr-CA" w:eastAsia="en-CA"/>
        </w:rPr>
        <w:t>?</w:t>
      </w:r>
    </w:p>
    <w:p w:rsidR="00F31444" w:rsidRPr="007765E3" w:rsidRDefault="00F31444" w:rsidP="00F31444">
      <w:pPr>
        <w:pStyle w:val="ListParagraph"/>
        <w:autoSpaceDE w:val="0"/>
        <w:autoSpaceDN w:val="0"/>
        <w:adjustRightInd w:val="0"/>
        <w:ind w:left="1022"/>
        <w:jc w:val="both"/>
        <w:rPr>
          <w:rFonts w:eastAsiaTheme="minorEastAsia" w:cs="Times New Roman"/>
          <w:sz w:val="20"/>
          <w:szCs w:val="20"/>
          <w:lang w:val="fr-CA" w:eastAsia="en-CA"/>
        </w:rPr>
      </w:pPr>
    </w:p>
    <w:p w:rsidR="00F31444" w:rsidRPr="007765E3" w:rsidRDefault="00F31444" w:rsidP="00F31444">
      <w:pPr>
        <w:autoSpaceDE w:val="0"/>
        <w:autoSpaceDN w:val="0"/>
        <w:adjustRightInd w:val="0"/>
        <w:ind w:firstLine="752"/>
        <w:jc w:val="both"/>
        <w:rPr>
          <w:rFonts w:eastAsiaTheme="minorEastAsia" w:cs="Times New Roman"/>
          <w:sz w:val="20"/>
          <w:szCs w:val="20"/>
          <w:lang w:eastAsia="en-CA"/>
        </w:rPr>
      </w:pPr>
      <w:proofErr w:type="spellStart"/>
      <w:proofErr w:type="gramStart"/>
      <w:r w:rsidRPr="007765E3">
        <w:rPr>
          <w:rFonts w:eastAsiaTheme="minorEastAsia" w:cs="Times New Roman"/>
          <w:sz w:val="20"/>
          <w:szCs w:val="20"/>
          <w:u w:val="single"/>
          <w:lang w:eastAsia="en-CA"/>
        </w:rPr>
        <w:t>Réponse</w:t>
      </w:r>
      <w:proofErr w:type="spellEnd"/>
      <w:r w:rsidRPr="007765E3">
        <w:rPr>
          <w:rFonts w:eastAsiaTheme="minorEastAsia" w:cs="Times New Roman"/>
          <w:sz w:val="20"/>
          <w:szCs w:val="20"/>
          <w:lang w:eastAsia="en-CA"/>
        </w:rPr>
        <w:t> :</w:t>
      </w:r>
      <w:proofErr w:type="gramEnd"/>
      <w:r w:rsidRPr="007765E3">
        <w:rPr>
          <w:rFonts w:eastAsiaTheme="minorEastAsia" w:cs="Times New Roman"/>
          <w:sz w:val="20"/>
          <w:szCs w:val="20"/>
          <w:lang w:eastAsia="en-CA"/>
        </w:rPr>
        <w:t xml:space="preserve"> Non.</w:t>
      </w:r>
    </w:p>
    <w:p w:rsidR="00F31444" w:rsidRPr="007765E3" w:rsidRDefault="00F31444" w:rsidP="00F31444">
      <w:pPr>
        <w:pStyle w:val="ListParagraph"/>
        <w:autoSpaceDE w:val="0"/>
        <w:autoSpaceDN w:val="0"/>
        <w:adjustRightInd w:val="0"/>
        <w:ind w:left="1022" w:hanging="1022"/>
        <w:jc w:val="both"/>
        <w:rPr>
          <w:rFonts w:eastAsiaTheme="minorEastAsia" w:cs="Times New Roman"/>
          <w:sz w:val="20"/>
          <w:szCs w:val="20"/>
          <w:lang w:val="fr-CA" w:eastAsia="en-CA"/>
        </w:rPr>
      </w:pPr>
    </w:p>
    <w:p w:rsidR="00F31444" w:rsidRPr="007765E3" w:rsidRDefault="00F31444" w:rsidP="00F31444">
      <w:pPr>
        <w:pStyle w:val="ListParagraph"/>
        <w:numPr>
          <w:ilvl w:val="0"/>
          <w:numId w:val="9"/>
        </w:numPr>
        <w:autoSpaceDE w:val="0"/>
        <w:autoSpaceDN w:val="0"/>
        <w:adjustRightInd w:val="0"/>
        <w:jc w:val="both"/>
        <w:rPr>
          <w:rFonts w:eastAsiaTheme="minorEastAsia" w:cs="Times New Roman"/>
          <w:sz w:val="20"/>
          <w:szCs w:val="20"/>
          <w:lang w:val="fr-CA" w:eastAsia="en-CA"/>
        </w:rPr>
      </w:pPr>
      <w:r w:rsidRPr="007765E3">
        <w:rPr>
          <w:rFonts w:eastAsiaTheme="minorEastAsia" w:cs="Times New Roman"/>
          <w:sz w:val="20"/>
          <w:szCs w:val="20"/>
          <w:lang w:val="fr-CA" w:eastAsia="en-CA"/>
        </w:rPr>
        <w:t>Dans l’affirmative, quant à l’al. 11</w:t>
      </w:r>
      <w:r w:rsidRPr="007765E3">
        <w:rPr>
          <w:rFonts w:eastAsiaTheme="minorEastAsia" w:cs="Times New Roman"/>
          <w:i/>
          <w:iCs/>
          <w:sz w:val="20"/>
          <w:szCs w:val="20"/>
          <w:lang w:val="fr-CA" w:eastAsia="en-CA"/>
        </w:rPr>
        <w:t>d</w:t>
      </w:r>
      <w:r w:rsidRPr="007765E3">
        <w:rPr>
          <w:rFonts w:eastAsiaTheme="minorEastAsia" w:cs="Times New Roman"/>
          <w:sz w:val="20"/>
          <w:szCs w:val="20"/>
          <w:lang w:val="fr-CA" w:eastAsia="en-CA"/>
        </w:rPr>
        <w:t xml:space="preserve">) de la </w:t>
      </w:r>
      <w:r w:rsidRPr="007765E3">
        <w:rPr>
          <w:rFonts w:eastAsiaTheme="minorEastAsia" w:cs="Times New Roman"/>
          <w:i/>
          <w:iCs/>
          <w:sz w:val="20"/>
          <w:szCs w:val="20"/>
          <w:lang w:val="fr-CA" w:eastAsia="en-CA"/>
        </w:rPr>
        <w:t>Charte canadienne des droits et libertés</w:t>
      </w:r>
      <w:r w:rsidRPr="007765E3">
        <w:rPr>
          <w:rFonts w:eastAsiaTheme="minorEastAsia" w:cs="Times New Roman"/>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7765E3">
        <w:rPr>
          <w:rFonts w:eastAsiaTheme="minorEastAsia" w:cs="Times New Roman"/>
          <w:i/>
          <w:iCs/>
          <w:sz w:val="20"/>
          <w:szCs w:val="20"/>
          <w:lang w:val="fr-CA" w:eastAsia="en-CA"/>
        </w:rPr>
        <w:t>Charte</w:t>
      </w:r>
      <w:r w:rsidRPr="007765E3">
        <w:rPr>
          <w:rFonts w:eastAsiaTheme="minorEastAsia" w:cs="Times New Roman"/>
          <w:sz w:val="20"/>
          <w:szCs w:val="20"/>
          <w:lang w:val="fr-CA" w:eastAsia="en-CA"/>
        </w:rPr>
        <w:t>?</w:t>
      </w:r>
    </w:p>
    <w:p w:rsidR="00F31444" w:rsidRPr="007765E3" w:rsidRDefault="00F31444" w:rsidP="00F31444">
      <w:pPr>
        <w:autoSpaceDE w:val="0"/>
        <w:autoSpaceDN w:val="0"/>
        <w:adjustRightInd w:val="0"/>
        <w:jc w:val="both"/>
        <w:rPr>
          <w:rFonts w:eastAsiaTheme="minorEastAsia" w:cs="Times New Roman"/>
          <w:sz w:val="20"/>
          <w:szCs w:val="20"/>
          <w:lang w:val="fr-CA" w:eastAsia="en-CA"/>
        </w:rPr>
      </w:pPr>
    </w:p>
    <w:p w:rsidR="00F31444" w:rsidRPr="007765E3" w:rsidRDefault="00F31444" w:rsidP="00F31444">
      <w:pPr>
        <w:ind w:left="752"/>
        <w:jc w:val="both"/>
        <w:rPr>
          <w:sz w:val="20"/>
          <w:szCs w:val="20"/>
          <w:lang w:val="fr-CA"/>
        </w:rPr>
      </w:pPr>
      <w:r w:rsidRPr="007765E3">
        <w:rPr>
          <w:rFonts w:eastAsiaTheme="minorEastAsia" w:cs="Times New Roman"/>
          <w:sz w:val="20"/>
          <w:szCs w:val="20"/>
          <w:u w:val="single"/>
          <w:lang w:val="fr-CA" w:eastAsia="en-CA"/>
        </w:rPr>
        <w:t>Réponse</w:t>
      </w:r>
      <w:r w:rsidRPr="007765E3">
        <w:rPr>
          <w:rFonts w:eastAsiaTheme="minorEastAsia" w:cs="Times New Roman"/>
          <w:sz w:val="20"/>
          <w:szCs w:val="20"/>
          <w:lang w:val="fr-CA" w:eastAsia="en-CA"/>
        </w:rPr>
        <w:t> : Il n’est pas nécessaire de répondre à cette question.</w:t>
      </w:r>
    </w:p>
    <w:p w:rsidR="00F31444" w:rsidRPr="007765E3" w:rsidRDefault="00F31444" w:rsidP="00F31444">
      <w:pPr>
        <w:ind w:left="1440" w:hanging="1440"/>
        <w:rPr>
          <w:sz w:val="20"/>
          <w:szCs w:val="20"/>
          <w:lang w:val="fr-CA"/>
        </w:rPr>
      </w:pPr>
    </w:p>
    <w:p w:rsidR="00F31444" w:rsidRPr="007765E3" w:rsidRDefault="00F31444" w:rsidP="00F31444">
      <w:pPr>
        <w:ind w:left="1440" w:hanging="1440"/>
        <w:rPr>
          <w:sz w:val="20"/>
          <w:szCs w:val="20"/>
          <w:lang w:val="fr-CA"/>
        </w:rPr>
      </w:pPr>
    </w:p>
    <w:p w:rsidR="00F31444" w:rsidRPr="007765E3" w:rsidRDefault="00F31444" w:rsidP="00F31444">
      <w:pPr>
        <w:ind w:left="1440" w:hanging="1440"/>
        <w:rPr>
          <w:sz w:val="20"/>
          <w:szCs w:val="20"/>
          <w:lang w:val="fr-CA"/>
        </w:rPr>
      </w:pPr>
    </w:p>
    <w:p w:rsidR="00F31444" w:rsidRPr="007765E3" w:rsidRDefault="00F31444" w:rsidP="00F31444">
      <w:pPr>
        <w:jc w:val="both"/>
        <w:rPr>
          <w:rFonts w:cs="Times New Roman"/>
          <w:sz w:val="20"/>
          <w:szCs w:val="20"/>
        </w:rPr>
      </w:pPr>
      <w:r w:rsidRPr="007765E3">
        <w:rPr>
          <w:sz w:val="20"/>
          <w:szCs w:val="20"/>
        </w:rPr>
        <w:t xml:space="preserve">The appeal from the judgment of the Court of Appeal of Quebec (Montréal), Number 500-09-022600-126, 2014 QCCA 1654, dated September 11, 2014, heard on January 18, 2016, is </w:t>
      </w:r>
      <w:r w:rsidRPr="007765E3">
        <w:rPr>
          <w:rFonts w:cs="Times New Roman"/>
          <w:sz w:val="20"/>
          <w:szCs w:val="20"/>
        </w:rPr>
        <w:t xml:space="preserve">allowed in part, with costs in favour of the appellants. </w:t>
      </w:r>
      <w:r w:rsidRPr="007765E3">
        <w:rPr>
          <w:sz w:val="20"/>
          <w:szCs w:val="20"/>
          <w:lang w:val="en-US"/>
        </w:rPr>
        <w:t>The constitutional questions are answered as follows:</w:t>
      </w:r>
    </w:p>
    <w:p w:rsidR="00F31444" w:rsidRPr="007765E3" w:rsidRDefault="00F31444" w:rsidP="00F31444">
      <w:pPr>
        <w:pStyle w:val="Citation-AltC"/>
        <w:ind w:left="320" w:hanging="320"/>
        <w:rPr>
          <w:sz w:val="20"/>
        </w:rPr>
      </w:pPr>
    </w:p>
    <w:p w:rsidR="00F31444" w:rsidRPr="007765E3" w:rsidRDefault="00F31444" w:rsidP="00F31444">
      <w:pPr>
        <w:pStyle w:val="Citation-AltC"/>
        <w:numPr>
          <w:ilvl w:val="0"/>
          <w:numId w:val="13"/>
        </w:numPr>
        <w:rPr>
          <w:sz w:val="20"/>
        </w:rPr>
      </w:pPr>
      <w:r w:rsidRPr="007765E3">
        <w:rPr>
          <w:sz w:val="20"/>
        </w:rPr>
        <w:t xml:space="preserve">Do ss. 27, 30 and 32 of the </w:t>
      </w:r>
      <w:r w:rsidRPr="007765E3">
        <w:rPr>
          <w:i/>
          <w:sz w:val="20"/>
        </w:rPr>
        <w:t>Act to amend the Courts of Justice Act and other legislative provisions as regards the status of justices of the peace</w:t>
      </w:r>
      <w:r w:rsidRPr="007765E3">
        <w:rPr>
          <w:sz w:val="20"/>
        </w:rPr>
        <w:t>, S.Q. 2004, c. 12, violate the principle of judicial independence guaranteed by:</w:t>
      </w:r>
    </w:p>
    <w:p w:rsidR="00F31444" w:rsidRPr="007765E3" w:rsidRDefault="00F31444" w:rsidP="00F31444">
      <w:pPr>
        <w:pStyle w:val="Citation-AltC"/>
        <w:ind w:left="720"/>
        <w:rPr>
          <w:sz w:val="20"/>
        </w:rPr>
      </w:pPr>
    </w:p>
    <w:p w:rsidR="00F31444" w:rsidRPr="007765E3" w:rsidRDefault="00F31444" w:rsidP="00F31444">
      <w:pPr>
        <w:pStyle w:val="Citation-AltC"/>
        <w:numPr>
          <w:ilvl w:val="0"/>
          <w:numId w:val="14"/>
        </w:numPr>
        <w:rPr>
          <w:sz w:val="20"/>
        </w:rPr>
      </w:pPr>
      <w:r w:rsidRPr="007765E3">
        <w:rPr>
          <w:sz w:val="20"/>
        </w:rPr>
        <w:t xml:space="preserve">the </w:t>
      </w:r>
      <w:r w:rsidRPr="007765E3">
        <w:rPr>
          <w:i/>
          <w:sz w:val="20"/>
        </w:rPr>
        <w:t>Constitution Act, 1867</w:t>
      </w:r>
      <w:r w:rsidRPr="007765E3">
        <w:rPr>
          <w:sz w:val="20"/>
        </w:rPr>
        <w:t xml:space="preserve"> or </w:t>
      </w:r>
    </w:p>
    <w:p w:rsidR="00F31444" w:rsidRPr="007765E3" w:rsidRDefault="00F31444" w:rsidP="00F31444">
      <w:pPr>
        <w:pStyle w:val="Citation-AltC"/>
        <w:ind w:left="1440"/>
        <w:rPr>
          <w:sz w:val="20"/>
        </w:rPr>
      </w:pPr>
    </w:p>
    <w:p w:rsidR="00F31444" w:rsidRPr="007765E3" w:rsidRDefault="00F31444" w:rsidP="00F31444">
      <w:pPr>
        <w:pStyle w:val="Citation-AltC"/>
        <w:numPr>
          <w:ilvl w:val="0"/>
          <w:numId w:val="14"/>
        </w:numPr>
        <w:rPr>
          <w:sz w:val="20"/>
        </w:rPr>
      </w:pPr>
      <w:proofErr w:type="gramStart"/>
      <w:r w:rsidRPr="007765E3">
        <w:rPr>
          <w:sz w:val="20"/>
        </w:rPr>
        <w:t>section</w:t>
      </w:r>
      <w:proofErr w:type="gramEnd"/>
      <w:r w:rsidRPr="007765E3">
        <w:rPr>
          <w:sz w:val="20"/>
        </w:rPr>
        <w:t xml:space="preserve"> 11(</w:t>
      </w:r>
      <w:r w:rsidRPr="007765E3">
        <w:rPr>
          <w:i/>
          <w:sz w:val="20"/>
        </w:rPr>
        <w:t>d</w:t>
      </w:r>
      <w:r w:rsidRPr="007765E3">
        <w:rPr>
          <w:sz w:val="20"/>
        </w:rPr>
        <w:t xml:space="preserve">) of the </w:t>
      </w:r>
      <w:r w:rsidRPr="007765E3">
        <w:rPr>
          <w:i/>
          <w:sz w:val="20"/>
        </w:rPr>
        <w:t>Canadian Charter of Rights and Freedoms</w:t>
      </w:r>
      <w:r w:rsidRPr="007765E3">
        <w:rPr>
          <w:sz w:val="20"/>
        </w:rPr>
        <w:t>?</w:t>
      </w:r>
    </w:p>
    <w:p w:rsidR="00F31444" w:rsidRPr="007765E3" w:rsidRDefault="00F31444" w:rsidP="00F31444">
      <w:pPr>
        <w:pStyle w:val="Citation-AltC"/>
        <w:ind w:left="770"/>
        <w:rPr>
          <w:sz w:val="20"/>
          <w:u w:val="single"/>
        </w:rPr>
      </w:pPr>
    </w:p>
    <w:p w:rsidR="00F31444" w:rsidRPr="007765E3" w:rsidRDefault="00F31444" w:rsidP="00F31444">
      <w:pPr>
        <w:pStyle w:val="Citation-AltC"/>
        <w:ind w:left="770"/>
        <w:rPr>
          <w:sz w:val="20"/>
        </w:rPr>
      </w:pPr>
      <w:r w:rsidRPr="007765E3">
        <w:rPr>
          <w:sz w:val="20"/>
          <w:u w:val="single"/>
        </w:rPr>
        <w:t>Answer</w:t>
      </w:r>
      <w:r w:rsidRPr="007765E3">
        <w:rPr>
          <w:sz w:val="20"/>
        </w:rPr>
        <w:t xml:space="preserve">: </w:t>
      </w:r>
      <w:r w:rsidRPr="007765E3">
        <w:rPr>
          <w:sz w:val="20"/>
          <w:lang w:val="en-US"/>
        </w:rPr>
        <w:t>Sections 27, 30 and 32 of the Act violate the principle of judicial independence.</w:t>
      </w:r>
    </w:p>
    <w:p w:rsidR="00F31444" w:rsidRPr="007765E3" w:rsidRDefault="00F31444" w:rsidP="00F31444">
      <w:pPr>
        <w:pStyle w:val="Citation-AltC"/>
        <w:ind w:left="950" w:hanging="900"/>
        <w:rPr>
          <w:sz w:val="20"/>
        </w:rPr>
      </w:pPr>
    </w:p>
    <w:p w:rsidR="00F31444" w:rsidRPr="007765E3" w:rsidRDefault="00F31444" w:rsidP="00F31444">
      <w:pPr>
        <w:pStyle w:val="Citation-AltC"/>
        <w:numPr>
          <w:ilvl w:val="0"/>
          <w:numId w:val="13"/>
        </w:numPr>
        <w:rPr>
          <w:sz w:val="20"/>
        </w:rPr>
      </w:pPr>
      <w:r w:rsidRPr="007765E3">
        <w:rPr>
          <w:sz w:val="20"/>
        </w:rPr>
        <w:t>If so, in respect of s. 11(</w:t>
      </w:r>
      <w:r w:rsidRPr="007765E3">
        <w:rPr>
          <w:i/>
          <w:sz w:val="20"/>
        </w:rPr>
        <w:t>d</w:t>
      </w:r>
      <w:r w:rsidRPr="007765E3">
        <w:rPr>
          <w:sz w:val="20"/>
        </w:rPr>
        <w:t xml:space="preserve">) of the </w:t>
      </w:r>
      <w:r w:rsidRPr="007765E3">
        <w:rPr>
          <w:i/>
          <w:sz w:val="20"/>
        </w:rPr>
        <w:t>Canadian Charter of Rights and Freedoms</w:t>
      </w:r>
      <w:r w:rsidRPr="007765E3">
        <w:rPr>
          <w:sz w:val="20"/>
        </w:rPr>
        <w:t xml:space="preserve">, is the infringement a reasonable limit prescribed by law as can be demonstrably justified in a free and democratic society under s. 1 of the </w:t>
      </w:r>
      <w:r w:rsidRPr="007765E3">
        <w:rPr>
          <w:i/>
          <w:sz w:val="20"/>
        </w:rPr>
        <w:t>Charter</w:t>
      </w:r>
      <w:r w:rsidRPr="007765E3">
        <w:rPr>
          <w:sz w:val="20"/>
        </w:rPr>
        <w:t>?</w:t>
      </w:r>
    </w:p>
    <w:p w:rsidR="00F31444" w:rsidRPr="007765E3" w:rsidRDefault="00F31444" w:rsidP="00F31444">
      <w:pPr>
        <w:pStyle w:val="Citation-AltC"/>
        <w:ind w:left="720"/>
        <w:rPr>
          <w:sz w:val="20"/>
        </w:rPr>
      </w:pPr>
    </w:p>
    <w:p w:rsidR="00F31444" w:rsidRPr="007765E3" w:rsidRDefault="00F31444" w:rsidP="00F31444">
      <w:pPr>
        <w:pStyle w:val="Citation-AltC"/>
        <w:ind w:left="720"/>
        <w:rPr>
          <w:sz w:val="20"/>
        </w:rPr>
      </w:pPr>
      <w:r w:rsidRPr="007765E3">
        <w:rPr>
          <w:sz w:val="20"/>
          <w:u w:val="single"/>
        </w:rPr>
        <w:t>Answer</w:t>
      </w:r>
      <w:r w:rsidRPr="007765E3">
        <w:rPr>
          <w:sz w:val="20"/>
        </w:rPr>
        <w:t xml:space="preserve">: </w:t>
      </w:r>
      <w:r w:rsidRPr="007765E3">
        <w:rPr>
          <w:sz w:val="20"/>
          <w:lang w:val="en-US"/>
        </w:rPr>
        <w:t>No.</w:t>
      </w:r>
    </w:p>
    <w:p w:rsidR="00F31444" w:rsidRPr="007765E3" w:rsidRDefault="00F31444" w:rsidP="00F31444">
      <w:pPr>
        <w:pStyle w:val="Citation-AltC"/>
        <w:ind w:left="1440" w:hanging="270"/>
        <w:rPr>
          <w:sz w:val="20"/>
        </w:rPr>
      </w:pPr>
    </w:p>
    <w:p w:rsidR="00F31444" w:rsidRPr="007765E3" w:rsidRDefault="00F31444" w:rsidP="00F31444">
      <w:pPr>
        <w:pStyle w:val="Citation-AltC"/>
        <w:numPr>
          <w:ilvl w:val="0"/>
          <w:numId w:val="13"/>
        </w:numPr>
        <w:rPr>
          <w:sz w:val="20"/>
        </w:rPr>
      </w:pPr>
      <w:r w:rsidRPr="007765E3">
        <w:rPr>
          <w:sz w:val="20"/>
        </w:rPr>
        <w:t xml:space="preserve">Does s. 178 of the </w:t>
      </w:r>
      <w:r w:rsidRPr="007765E3">
        <w:rPr>
          <w:i/>
          <w:sz w:val="20"/>
        </w:rPr>
        <w:t>Courts of Justice Act</w:t>
      </w:r>
      <w:r w:rsidRPr="007765E3">
        <w:rPr>
          <w:sz w:val="20"/>
        </w:rPr>
        <w:t xml:space="preserve">, CQLR, c. T-16, as amended by the </w:t>
      </w:r>
      <w:r w:rsidRPr="007765E3">
        <w:rPr>
          <w:i/>
          <w:sz w:val="20"/>
        </w:rPr>
        <w:t>Act to amend the Courts of Justice Act and other legislative provisions as regards the status of justices of the peace</w:t>
      </w:r>
      <w:r w:rsidRPr="007765E3">
        <w:rPr>
          <w:sz w:val="20"/>
        </w:rPr>
        <w:t>, S.Q. 2004, c. 12, violate the principle of judicial independence guaranteed by:</w:t>
      </w:r>
    </w:p>
    <w:p w:rsidR="00F31444" w:rsidRPr="007765E3" w:rsidRDefault="00F31444" w:rsidP="00F31444">
      <w:pPr>
        <w:pStyle w:val="Citation-AltC"/>
        <w:ind w:left="720"/>
        <w:rPr>
          <w:sz w:val="20"/>
        </w:rPr>
      </w:pPr>
    </w:p>
    <w:p w:rsidR="00F31444" w:rsidRPr="007765E3" w:rsidRDefault="00F31444" w:rsidP="00F31444">
      <w:pPr>
        <w:pStyle w:val="Citation-AltC"/>
        <w:numPr>
          <w:ilvl w:val="0"/>
          <w:numId w:val="15"/>
        </w:numPr>
        <w:rPr>
          <w:sz w:val="20"/>
        </w:rPr>
      </w:pPr>
      <w:r w:rsidRPr="007765E3">
        <w:rPr>
          <w:sz w:val="20"/>
        </w:rPr>
        <w:t xml:space="preserve">the </w:t>
      </w:r>
      <w:r w:rsidRPr="007765E3">
        <w:rPr>
          <w:i/>
          <w:sz w:val="20"/>
        </w:rPr>
        <w:t>Constitution Act, 1867</w:t>
      </w:r>
      <w:r w:rsidRPr="007765E3">
        <w:rPr>
          <w:sz w:val="20"/>
        </w:rPr>
        <w:t xml:space="preserve"> or </w:t>
      </w:r>
    </w:p>
    <w:p w:rsidR="00F31444" w:rsidRPr="007765E3" w:rsidRDefault="00F31444" w:rsidP="00F31444">
      <w:pPr>
        <w:pStyle w:val="Citation-AltC"/>
        <w:ind w:left="1440"/>
        <w:rPr>
          <w:sz w:val="20"/>
        </w:rPr>
      </w:pPr>
    </w:p>
    <w:p w:rsidR="00F31444" w:rsidRPr="007765E3" w:rsidRDefault="00F31444" w:rsidP="00F31444">
      <w:pPr>
        <w:pStyle w:val="Citation-AltC"/>
        <w:numPr>
          <w:ilvl w:val="0"/>
          <w:numId w:val="15"/>
        </w:numPr>
        <w:rPr>
          <w:sz w:val="20"/>
        </w:rPr>
      </w:pPr>
      <w:proofErr w:type="gramStart"/>
      <w:r w:rsidRPr="007765E3">
        <w:rPr>
          <w:sz w:val="20"/>
        </w:rPr>
        <w:t>section</w:t>
      </w:r>
      <w:proofErr w:type="gramEnd"/>
      <w:r w:rsidRPr="007765E3">
        <w:rPr>
          <w:sz w:val="20"/>
        </w:rPr>
        <w:t xml:space="preserve"> 11(</w:t>
      </w:r>
      <w:r w:rsidRPr="007765E3">
        <w:rPr>
          <w:i/>
          <w:sz w:val="20"/>
        </w:rPr>
        <w:t>d</w:t>
      </w:r>
      <w:r w:rsidRPr="007765E3">
        <w:rPr>
          <w:sz w:val="20"/>
        </w:rPr>
        <w:t xml:space="preserve">) of the </w:t>
      </w:r>
      <w:r w:rsidRPr="007765E3">
        <w:rPr>
          <w:i/>
          <w:sz w:val="20"/>
        </w:rPr>
        <w:t>Canadian Charter of Rights and Freedoms</w:t>
      </w:r>
      <w:r w:rsidRPr="007765E3">
        <w:rPr>
          <w:sz w:val="20"/>
        </w:rPr>
        <w:t>?</w:t>
      </w:r>
    </w:p>
    <w:p w:rsidR="00F31444" w:rsidRPr="007765E3" w:rsidRDefault="00F31444" w:rsidP="00F31444">
      <w:pPr>
        <w:pStyle w:val="Citation-AltC"/>
        <w:rPr>
          <w:sz w:val="20"/>
        </w:rPr>
      </w:pPr>
    </w:p>
    <w:p w:rsidR="00F31444" w:rsidRPr="007765E3" w:rsidRDefault="00F31444" w:rsidP="00F31444">
      <w:pPr>
        <w:pStyle w:val="Citation-AltC"/>
        <w:ind w:left="1440" w:hanging="670"/>
        <w:rPr>
          <w:sz w:val="20"/>
          <w:lang w:val="en-US"/>
        </w:rPr>
      </w:pPr>
      <w:r w:rsidRPr="007765E3">
        <w:rPr>
          <w:sz w:val="20"/>
          <w:u w:val="single"/>
        </w:rPr>
        <w:t>Answer</w:t>
      </w:r>
      <w:r w:rsidRPr="007765E3">
        <w:rPr>
          <w:sz w:val="20"/>
        </w:rPr>
        <w:t xml:space="preserve">: </w:t>
      </w:r>
      <w:r w:rsidRPr="007765E3">
        <w:rPr>
          <w:sz w:val="20"/>
          <w:lang w:val="en-US"/>
        </w:rPr>
        <w:t>No.</w:t>
      </w:r>
    </w:p>
    <w:p w:rsidR="00F31444" w:rsidRPr="007765E3" w:rsidRDefault="00F31444" w:rsidP="00F31444">
      <w:pPr>
        <w:pStyle w:val="Citation-AltC"/>
        <w:rPr>
          <w:sz w:val="20"/>
        </w:rPr>
      </w:pPr>
    </w:p>
    <w:p w:rsidR="00F31444" w:rsidRPr="007765E3" w:rsidRDefault="00F31444" w:rsidP="00F31444">
      <w:pPr>
        <w:pStyle w:val="Citation-AltC"/>
        <w:numPr>
          <w:ilvl w:val="0"/>
          <w:numId w:val="13"/>
        </w:numPr>
        <w:rPr>
          <w:sz w:val="20"/>
        </w:rPr>
      </w:pPr>
      <w:r w:rsidRPr="007765E3">
        <w:rPr>
          <w:sz w:val="20"/>
        </w:rPr>
        <w:lastRenderedPageBreak/>
        <w:t>If so, in respect of s. 11(</w:t>
      </w:r>
      <w:r w:rsidRPr="007765E3">
        <w:rPr>
          <w:i/>
          <w:sz w:val="20"/>
        </w:rPr>
        <w:t>d</w:t>
      </w:r>
      <w:r w:rsidRPr="007765E3">
        <w:rPr>
          <w:sz w:val="20"/>
        </w:rPr>
        <w:t xml:space="preserve">) of the </w:t>
      </w:r>
      <w:r w:rsidRPr="007765E3">
        <w:rPr>
          <w:i/>
          <w:sz w:val="20"/>
        </w:rPr>
        <w:t>Canadian Charter of Rights and Freedoms</w:t>
      </w:r>
      <w:r w:rsidRPr="007765E3">
        <w:rPr>
          <w:sz w:val="20"/>
        </w:rPr>
        <w:t xml:space="preserve">, is the infringement a reasonable limit prescribed by law as can be demonstrably justified in a free and democratic society under s. 1 of the </w:t>
      </w:r>
      <w:r w:rsidRPr="007765E3">
        <w:rPr>
          <w:i/>
          <w:sz w:val="20"/>
        </w:rPr>
        <w:t>Charter</w:t>
      </w:r>
      <w:r w:rsidRPr="007765E3">
        <w:rPr>
          <w:sz w:val="20"/>
        </w:rPr>
        <w:t>?</w:t>
      </w:r>
    </w:p>
    <w:p w:rsidR="00F31444" w:rsidRPr="007765E3" w:rsidRDefault="00F31444" w:rsidP="00F31444">
      <w:pPr>
        <w:pStyle w:val="Citation-AltC"/>
        <w:ind w:left="720"/>
        <w:rPr>
          <w:sz w:val="20"/>
        </w:rPr>
      </w:pPr>
    </w:p>
    <w:p w:rsidR="00F31444" w:rsidRPr="007765E3" w:rsidRDefault="00F31444" w:rsidP="00F31444">
      <w:pPr>
        <w:pStyle w:val="Citation-AltC"/>
        <w:ind w:left="720"/>
        <w:rPr>
          <w:sz w:val="20"/>
        </w:rPr>
      </w:pPr>
      <w:r w:rsidRPr="007765E3">
        <w:rPr>
          <w:sz w:val="20"/>
          <w:u w:val="single"/>
        </w:rPr>
        <w:t>Answer</w:t>
      </w:r>
      <w:r w:rsidRPr="007765E3">
        <w:rPr>
          <w:sz w:val="20"/>
        </w:rPr>
        <w:t xml:space="preserve">: </w:t>
      </w:r>
      <w:r w:rsidRPr="007765E3">
        <w:rPr>
          <w:sz w:val="20"/>
          <w:lang w:val="en-US"/>
        </w:rPr>
        <w:t>It is unnecessary to answer this question.</w:t>
      </w:r>
    </w:p>
    <w:p w:rsidR="00F31444" w:rsidRPr="007765E3" w:rsidRDefault="00F31444" w:rsidP="00F31444">
      <w:pPr>
        <w:pStyle w:val="Citation-AltC"/>
        <w:ind w:left="50"/>
        <w:rPr>
          <w:sz w:val="20"/>
          <w:lang w:val="en-US"/>
        </w:rPr>
      </w:pPr>
    </w:p>
    <w:p w:rsidR="00F31444" w:rsidRPr="007765E3" w:rsidRDefault="00F31444" w:rsidP="00F31444">
      <w:pPr>
        <w:pStyle w:val="Citation-AltC"/>
        <w:numPr>
          <w:ilvl w:val="0"/>
          <w:numId w:val="13"/>
        </w:numPr>
        <w:rPr>
          <w:sz w:val="20"/>
        </w:rPr>
      </w:pPr>
      <w:r w:rsidRPr="007765E3">
        <w:rPr>
          <w:sz w:val="20"/>
        </w:rPr>
        <w:t xml:space="preserve">Does the </w:t>
      </w:r>
      <w:proofErr w:type="spellStart"/>
      <w:r w:rsidRPr="007765E3">
        <w:rPr>
          <w:rFonts w:eastAsiaTheme="minorEastAsia"/>
          <w:sz w:val="20"/>
          <w:lang w:val="en-US"/>
        </w:rPr>
        <w:t>Décret</w:t>
      </w:r>
      <w:proofErr w:type="spellEnd"/>
      <w:r w:rsidRPr="007765E3">
        <w:rPr>
          <w:sz w:val="20"/>
        </w:rPr>
        <w:t xml:space="preserve"> 932-2008, (2008) 140 G.O. 2, 5681, concerning the pay and other working conditions of presiding justices of the peace, violate the principle of judicial independence guaranteed by:</w:t>
      </w:r>
    </w:p>
    <w:p w:rsidR="00F31444" w:rsidRPr="007765E3" w:rsidRDefault="00F31444" w:rsidP="00F31444">
      <w:pPr>
        <w:pStyle w:val="Citation-AltC"/>
        <w:ind w:left="720"/>
        <w:rPr>
          <w:sz w:val="20"/>
        </w:rPr>
      </w:pPr>
    </w:p>
    <w:p w:rsidR="00F31444" w:rsidRPr="007765E3" w:rsidRDefault="00F31444" w:rsidP="00F31444">
      <w:pPr>
        <w:pStyle w:val="Citation-AltC"/>
        <w:numPr>
          <w:ilvl w:val="0"/>
          <w:numId w:val="16"/>
        </w:numPr>
        <w:rPr>
          <w:sz w:val="20"/>
        </w:rPr>
      </w:pPr>
      <w:r w:rsidRPr="007765E3">
        <w:rPr>
          <w:sz w:val="20"/>
        </w:rPr>
        <w:t xml:space="preserve">the </w:t>
      </w:r>
      <w:r w:rsidRPr="007765E3">
        <w:rPr>
          <w:i/>
          <w:sz w:val="20"/>
        </w:rPr>
        <w:t>Constitution Act, 1867</w:t>
      </w:r>
      <w:r w:rsidRPr="007765E3">
        <w:rPr>
          <w:sz w:val="20"/>
        </w:rPr>
        <w:t xml:space="preserve"> or </w:t>
      </w:r>
    </w:p>
    <w:p w:rsidR="00F31444" w:rsidRPr="007765E3" w:rsidRDefault="00F31444" w:rsidP="00F31444">
      <w:pPr>
        <w:pStyle w:val="Citation-AltC"/>
        <w:ind w:left="1440"/>
        <w:rPr>
          <w:sz w:val="20"/>
        </w:rPr>
      </w:pPr>
    </w:p>
    <w:p w:rsidR="00F31444" w:rsidRPr="007765E3" w:rsidRDefault="00F31444" w:rsidP="00F31444">
      <w:pPr>
        <w:pStyle w:val="Citation-AltC"/>
        <w:numPr>
          <w:ilvl w:val="0"/>
          <w:numId w:val="16"/>
        </w:numPr>
        <w:rPr>
          <w:sz w:val="20"/>
        </w:rPr>
      </w:pPr>
      <w:proofErr w:type="gramStart"/>
      <w:r w:rsidRPr="007765E3">
        <w:rPr>
          <w:sz w:val="20"/>
        </w:rPr>
        <w:t>section</w:t>
      </w:r>
      <w:proofErr w:type="gramEnd"/>
      <w:r w:rsidRPr="007765E3">
        <w:rPr>
          <w:sz w:val="20"/>
        </w:rPr>
        <w:t xml:space="preserve"> 11(</w:t>
      </w:r>
      <w:r w:rsidRPr="007765E3">
        <w:rPr>
          <w:i/>
          <w:sz w:val="20"/>
        </w:rPr>
        <w:t>d</w:t>
      </w:r>
      <w:r w:rsidRPr="007765E3">
        <w:rPr>
          <w:sz w:val="20"/>
        </w:rPr>
        <w:t xml:space="preserve">) of the </w:t>
      </w:r>
      <w:r w:rsidRPr="007765E3">
        <w:rPr>
          <w:i/>
          <w:sz w:val="20"/>
        </w:rPr>
        <w:t>Canadian Charter of Rights and Freedoms</w:t>
      </w:r>
      <w:r w:rsidRPr="007765E3">
        <w:rPr>
          <w:sz w:val="20"/>
        </w:rPr>
        <w:t>?</w:t>
      </w:r>
    </w:p>
    <w:p w:rsidR="00F31444" w:rsidRPr="007765E3" w:rsidRDefault="00F31444" w:rsidP="00F31444">
      <w:pPr>
        <w:pStyle w:val="Citation-AltC"/>
        <w:ind w:left="1130"/>
        <w:rPr>
          <w:sz w:val="20"/>
        </w:rPr>
      </w:pPr>
    </w:p>
    <w:p w:rsidR="00F31444" w:rsidRPr="007765E3" w:rsidRDefault="00F31444" w:rsidP="00F31444">
      <w:pPr>
        <w:pStyle w:val="Citation-AltC"/>
        <w:ind w:hanging="396"/>
        <w:rPr>
          <w:sz w:val="20"/>
        </w:rPr>
      </w:pPr>
      <w:r w:rsidRPr="007765E3">
        <w:rPr>
          <w:sz w:val="20"/>
          <w:u w:val="single"/>
        </w:rPr>
        <w:t>Answer</w:t>
      </w:r>
      <w:r w:rsidRPr="007765E3">
        <w:rPr>
          <w:sz w:val="20"/>
        </w:rPr>
        <w:t>: No.</w:t>
      </w:r>
    </w:p>
    <w:p w:rsidR="00F31444" w:rsidRPr="007765E3" w:rsidRDefault="00F31444" w:rsidP="00F31444">
      <w:pPr>
        <w:pStyle w:val="Citation-AltC"/>
        <w:ind w:hanging="1166"/>
        <w:rPr>
          <w:sz w:val="20"/>
        </w:rPr>
      </w:pPr>
    </w:p>
    <w:p w:rsidR="00F31444" w:rsidRPr="007765E3" w:rsidRDefault="00F31444" w:rsidP="00F31444">
      <w:pPr>
        <w:pStyle w:val="Citation-AltC"/>
        <w:numPr>
          <w:ilvl w:val="0"/>
          <w:numId w:val="13"/>
        </w:numPr>
        <w:spacing w:after="0"/>
        <w:rPr>
          <w:sz w:val="20"/>
        </w:rPr>
      </w:pPr>
      <w:r w:rsidRPr="007765E3">
        <w:rPr>
          <w:sz w:val="20"/>
        </w:rPr>
        <w:t>If so, in respect of s. 11(</w:t>
      </w:r>
      <w:r w:rsidRPr="007765E3">
        <w:rPr>
          <w:i/>
          <w:sz w:val="20"/>
        </w:rPr>
        <w:t>d</w:t>
      </w:r>
      <w:r w:rsidRPr="007765E3">
        <w:rPr>
          <w:sz w:val="20"/>
        </w:rPr>
        <w:t xml:space="preserve">) of the </w:t>
      </w:r>
      <w:r w:rsidRPr="007765E3">
        <w:rPr>
          <w:i/>
          <w:sz w:val="20"/>
        </w:rPr>
        <w:t>Canadian Charter of Rights and Freedoms</w:t>
      </w:r>
      <w:r w:rsidRPr="007765E3">
        <w:rPr>
          <w:sz w:val="20"/>
        </w:rPr>
        <w:t xml:space="preserve">, is the infringement a reasonable limit prescribed by law as can be demonstrably justified in a free and democratic society under s. 1 of the </w:t>
      </w:r>
      <w:r w:rsidRPr="007765E3">
        <w:rPr>
          <w:i/>
          <w:sz w:val="20"/>
        </w:rPr>
        <w:t>Charter</w:t>
      </w:r>
      <w:r w:rsidRPr="007765E3">
        <w:rPr>
          <w:sz w:val="20"/>
        </w:rPr>
        <w:t>?</w:t>
      </w:r>
    </w:p>
    <w:p w:rsidR="00F31444" w:rsidRPr="007765E3" w:rsidRDefault="00F31444" w:rsidP="00F31444">
      <w:pPr>
        <w:pStyle w:val="Citation-AltC"/>
        <w:spacing w:after="0"/>
        <w:ind w:left="0"/>
        <w:rPr>
          <w:sz w:val="20"/>
        </w:rPr>
      </w:pPr>
    </w:p>
    <w:p w:rsidR="00F31444" w:rsidRPr="007765E3" w:rsidRDefault="00F31444" w:rsidP="00F31444">
      <w:pPr>
        <w:ind w:left="770"/>
        <w:jc w:val="both"/>
        <w:rPr>
          <w:sz w:val="20"/>
          <w:szCs w:val="20"/>
        </w:rPr>
      </w:pPr>
      <w:r w:rsidRPr="007765E3">
        <w:rPr>
          <w:sz w:val="20"/>
          <w:szCs w:val="20"/>
          <w:u w:val="single"/>
        </w:rPr>
        <w:t>Answer</w:t>
      </w:r>
      <w:r w:rsidRPr="007765E3">
        <w:rPr>
          <w:sz w:val="20"/>
          <w:szCs w:val="20"/>
        </w:rPr>
        <w:t xml:space="preserve">: </w:t>
      </w:r>
      <w:r w:rsidRPr="007765E3">
        <w:rPr>
          <w:sz w:val="20"/>
          <w:szCs w:val="20"/>
          <w:lang w:val="en-US"/>
        </w:rPr>
        <w:t>It is unnecessary to answer this question.</w:t>
      </w:r>
    </w:p>
    <w:p w:rsidR="00F31444" w:rsidRPr="007765E3" w:rsidRDefault="00F31444" w:rsidP="00F31444">
      <w:pPr>
        <w:ind w:left="1440" w:hanging="1440"/>
        <w:rPr>
          <w:sz w:val="20"/>
          <w:szCs w:val="20"/>
          <w:lang w:val="en-US"/>
        </w:rPr>
      </w:pPr>
    </w:p>
    <w:p w:rsidR="0052229C" w:rsidRPr="007765E3" w:rsidRDefault="007765E3" w:rsidP="0052229C">
      <w:pPr>
        <w:spacing w:line="0" w:lineRule="atLeast"/>
        <w:rPr>
          <w:sz w:val="20"/>
          <w:szCs w:val="20"/>
        </w:rPr>
      </w:pPr>
      <w:r w:rsidRPr="007765E3">
        <w:rPr>
          <w:b/>
          <w:sz w:val="20"/>
          <w:szCs w:val="20"/>
        </w:rPr>
        <w:pict>
          <v:rect id="_x0000_i1080" style="width:144.3pt;height:1pt" o:hrpct="300" o:hralign="center" o:hrstd="t" o:hrnoshade="t" o:hr="t" fillcolor="black [3213]" stroked="f"/>
        </w:pict>
      </w:r>
    </w:p>
    <w:p w:rsidR="0052229C" w:rsidRPr="007765E3" w:rsidRDefault="0052229C" w:rsidP="0052229C">
      <w:pPr>
        <w:spacing w:line="0" w:lineRule="atLeast"/>
        <w:rPr>
          <w:sz w:val="20"/>
          <w:szCs w:val="20"/>
        </w:rPr>
      </w:pPr>
    </w:p>
    <w:p w:rsidR="00D004FC" w:rsidRPr="007765E3"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7765E3" w:rsidRDefault="00732DB7" w:rsidP="00732DB7">
      <w:pPr>
        <w:widowControl w:val="0"/>
        <w:rPr>
          <w:sz w:val="20"/>
          <w:szCs w:val="20"/>
        </w:rPr>
      </w:pPr>
    </w:p>
    <w:p w:rsidR="00697C62" w:rsidRPr="007765E3" w:rsidRDefault="00697C62" w:rsidP="00732DB7">
      <w:pPr>
        <w:widowControl w:val="0"/>
        <w:rPr>
          <w:sz w:val="20"/>
          <w:szCs w:val="20"/>
        </w:rPr>
        <w:sectPr w:rsidR="00697C62" w:rsidRPr="007765E3" w:rsidSect="00782AE4">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7765E3" w:rsidTr="0085476B">
        <w:tc>
          <w:tcPr>
            <w:tcW w:w="4200" w:type="dxa"/>
            <w:tcMar>
              <w:left w:w="0" w:type="dxa"/>
              <w:right w:w="0" w:type="dxa"/>
            </w:tcMar>
          </w:tcPr>
          <w:p w:rsidR="00782AE4" w:rsidRPr="007765E3" w:rsidRDefault="00782AE4" w:rsidP="00782AE4">
            <w:pPr>
              <w:keepNext/>
              <w:keepLines/>
              <w:jc w:val="both"/>
              <w:rPr>
                <w:b/>
                <w:szCs w:val="24"/>
              </w:rPr>
            </w:pPr>
            <w:r w:rsidRPr="007765E3">
              <w:rPr>
                <w:b/>
                <w:szCs w:val="24"/>
              </w:rPr>
              <w:lastRenderedPageBreak/>
              <w:t>HEADNOTES OF RECENT</w:t>
            </w:r>
          </w:p>
          <w:p w:rsidR="00782AE4" w:rsidRPr="007765E3" w:rsidRDefault="00782AE4" w:rsidP="00782AE4">
            <w:pPr>
              <w:keepNext/>
              <w:keepLines/>
              <w:jc w:val="both"/>
              <w:rPr>
                <w:b/>
                <w:szCs w:val="24"/>
              </w:rPr>
            </w:pPr>
            <w:r w:rsidRPr="007765E3">
              <w:rPr>
                <w:b/>
                <w:szCs w:val="24"/>
              </w:rPr>
              <w:t>JUDGMENTS</w:t>
            </w:r>
          </w:p>
        </w:tc>
        <w:tc>
          <w:tcPr>
            <w:tcW w:w="1200" w:type="dxa"/>
            <w:tcMar>
              <w:left w:w="0" w:type="dxa"/>
              <w:right w:w="0" w:type="dxa"/>
            </w:tcMar>
          </w:tcPr>
          <w:p w:rsidR="00782AE4" w:rsidRPr="007765E3" w:rsidRDefault="00782AE4" w:rsidP="00102926">
            <w:pPr>
              <w:keepNext/>
              <w:keepLines/>
              <w:jc w:val="center"/>
              <w:rPr>
                <w:b/>
                <w:szCs w:val="24"/>
              </w:rPr>
            </w:pPr>
          </w:p>
          <w:p w:rsidR="00782AE4" w:rsidRPr="007765E3" w:rsidRDefault="00782AE4" w:rsidP="00102926">
            <w:pPr>
              <w:keepNext/>
              <w:keepLines/>
              <w:jc w:val="center"/>
              <w:rPr>
                <w:b/>
                <w:szCs w:val="24"/>
              </w:rPr>
            </w:pPr>
          </w:p>
          <w:p w:rsidR="00782AE4" w:rsidRPr="007765E3" w:rsidRDefault="00782AE4" w:rsidP="00102926">
            <w:pPr>
              <w:keepNext/>
              <w:keepLines/>
              <w:jc w:val="center"/>
              <w:rPr>
                <w:b/>
                <w:szCs w:val="24"/>
              </w:rPr>
            </w:pPr>
          </w:p>
        </w:tc>
        <w:tc>
          <w:tcPr>
            <w:tcW w:w="4080" w:type="dxa"/>
            <w:tcMar>
              <w:left w:w="0" w:type="dxa"/>
              <w:right w:w="0" w:type="dxa"/>
            </w:tcMar>
          </w:tcPr>
          <w:p w:rsidR="00782AE4" w:rsidRPr="007765E3" w:rsidRDefault="00782AE4" w:rsidP="00782AE4">
            <w:pPr>
              <w:keepNext/>
              <w:keepLines/>
              <w:rPr>
                <w:b/>
                <w:szCs w:val="24"/>
              </w:rPr>
            </w:pPr>
            <w:r w:rsidRPr="007765E3">
              <w:rPr>
                <w:b/>
                <w:szCs w:val="24"/>
              </w:rPr>
              <w:t>SOMMAIRES DE JUGEMENTS RÉCENTS</w:t>
            </w:r>
          </w:p>
        </w:tc>
      </w:tr>
    </w:tbl>
    <w:p w:rsidR="003B3977" w:rsidRPr="007765E3" w:rsidRDefault="003B3977" w:rsidP="005C6840">
      <w:pPr>
        <w:rPr>
          <w:rFonts w:cs="Times New Roman"/>
          <w:i/>
          <w:sz w:val="20"/>
          <w:szCs w:val="20"/>
        </w:rPr>
      </w:pPr>
    </w:p>
    <w:p w:rsidR="0052229C" w:rsidRPr="007765E3" w:rsidRDefault="003D4D5B" w:rsidP="0052229C">
      <w:pPr>
        <w:ind w:left="1440" w:hanging="1440"/>
        <w:jc w:val="both"/>
        <w:rPr>
          <w:sz w:val="20"/>
          <w:szCs w:val="20"/>
          <w:lang w:val="fr-CA"/>
        </w:rPr>
      </w:pPr>
      <w:r w:rsidRPr="007765E3">
        <w:rPr>
          <w:rFonts w:eastAsia="Calibri"/>
          <w:i/>
          <w:sz w:val="20"/>
          <w:szCs w:val="20"/>
          <w:lang w:val="fr-CA"/>
        </w:rPr>
        <w:t>Conférence des juges de paix magistrats du Québec et autres c. Procureur général du Québec et autre</w:t>
      </w:r>
      <w:r w:rsidR="0052229C" w:rsidRPr="007765E3">
        <w:rPr>
          <w:sz w:val="20"/>
          <w:szCs w:val="20"/>
          <w:lang w:val="fr-CA"/>
        </w:rPr>
        <w:t xml:space="preserve"> (</w:t>
      </w:r>
      <w:proofErr w:type="spellStart"/>
      <w:r w:rsidR="0052229C" w:rsidRPr="007765E3">
        <w:rPr>
          <w:sz w:val="20"/>
          <w:szCs w:val="20"/>
          <w:lang w:val="fr-CA"/>
        </w:rPr>
        <w:t>Qc</w:t>
      </w:r>
      <w:proofErr w:type="spellEnd"/>
      <w:r w:rsidR="0052229C" w:rsidRPr="007765E3">
        <w:rPr>
          <w:sz w:val="20"/>
          <w:szCs w:val="20"/>
          <w:lang w:val="fr-CA"/>
        </w:rPr>
        <w:t>) (</w:t>
      </w:r>
      <w:hyperlink r:id="rId89" w:history="1">
        <w:r w:rsidR="0052229C" w:rsidRPr="007765E3">
          <w:rPr>
            <w:rStyle w:val="Hyperlink"/>
            <w:sz w:val="20"/>
            <w:szCs w:val="20"/>
            <w:lang w:val="fr-CA"/>
          </w:rPr>
          <w:t>3</w:t>
        </w:r>
        <w:r w:rsidRPr="007765E3">
          <w:rPr>
            <w:rStyle w:val="Hyperlink"/>
            <w:sz w:val="20"/>
            <w:szCs w:val="20"/>
            <w:lang w:val="fr-CA"/>
          </w:rPr>
          <w:t>6165</w:t>
        </w:r>
      </w:hyperlink>
      <w:r w:rsidR="0052229C" w:rsidRPr="007765E3">
        <w:rPr>
          <w:sz w:val="20"/>
          <w:szCs w:val="20"/>
          <w:lang w:val="fr-CA"/>
        </w:rPr>
        <w:t>)</w:t>
      </w:r>
    </w:p>
    <w:p w:rsidR="0052229C" w:rsidRPr="007765E3" w:rsidRDefault="0052229C" w:rsidP="0052229C">
      <w:pPr>
        <w:jc w:val="both"/>
        <w:rPr>
          <w:b/>
          <w:sz w:val="20"/>
          <w:szCs w:val="20"/>
          <w:lang w:val="fr-CA"/>
        </w:rPr>
      </w:pPr>
      <w:proofErr w:type="spellStart"/>
      <w:r w:rsidRPr="007765E3">
        <w:rPr>
          <w:b/>
          <w:sz w:val="20"/>
          <w:szCs w:val="20"/>
          <w:lang w:val="fr-CA"/>
        </w:rPr>
        <w:t>Indexed</w:t>
      </w:r>
      <w:proofErr w:type="spellEnd"/>
      <w:r w:rsidRPr="007765E3">
        <w:rPr>
          <w:b/>
          <w:sz w:val="20"/>
          <w:szCs w:val="20"/>
          <w:lang w:val="fr-CA"/>
        </w:rPr>
        <w:t xml:space="preserve"> as</w:t>
      </w:r>
      <w:proofErr w:type="gramStart"/>
      <w:r w:rsidRPr="007765E3">
        <w:rPr>
          <w:b/>
          <w:sz w:val="20"/>
          <w:szCs w:val="20"/>
          <w:lang w:val="fr-CA"/>
        </w:rPr>
        <w:t xml:space="preserve">:  </w:t>
      </w:r>
      <w:r w:rsidR="003D4D5B" w:rsidRPr="007765E3">
        <w:rPr>
          <w:b/>
          <w:sz w:val="20"/>
          <w:szCs w:val="20"/>
          <w:lang w:val="fr-CA"/>
        </w:rPr>
        <w:t>Conférence</w:t>
      </w:r>
      <w:proofErr w:type="gramEnd"/>
      <w:r w:rsidR="003D4D5B" w:rsidRPr="007765E3">
        <w:rPr>
          <w:b/>
          <w:sz w:val="20"/>
          <w:szCs w:val="20"/>
          <w:lang w:val="fr-CA"/>
        </w:rPr>
        <w:t xml:space="preserve"> des juges de paix magistrats du Québec </w:t>
      </w:r>
      <w:r w:rsidR="003D4D5B" w:rsidRPr="007765E3">
        <w:rPr>
          <w:b/>
          <w:i/>
          <w:sz w:val="20"/>
          <w:szCs w:val="20"/>
          <w:lang w:val="fr-CA"/>
        </w:rPr>
        <w:t>v.</w:t>
      </w:r>
      <w:r w:rsidR="003D4D5B" w:rsidRPr="007765E3">
        <w:rPr>
          <w:b/>
          <w:sz w:val="20"/>
          <w:szCs w:val="20"/>
          <w:lang w:val="fr-CA"/>
        </w:rPr>
        <w:t xml:space="preserve"> </w:t>
      </w:r>
      <w:proofErr w:type="spellStart"/>
      <w:r w:rsidR="003D4D5B" w:rsidRPr="007765E3">
        <w:rPr>
          <w:b/>
          <w:sz w:val="20"/>
          <w:szCs w:val="20"/>
          <w:lang w:val="fr-CA"/>
        </w:rPr>
        <w:t>Quebec</w:t>
      </w:r>
      <w:proofErr w:type="spellEnd"/>
      <w:r w:rsidR="003D4D5B" w:rsidRPr="007765E3">
        <w:rPr>
          <w:b/>
          <w:sz w:val="20"/>
          <w:szCs w:val="20"/>
          <w:lang w:val="fr-CA"/>
        </w:rPr>
        <w:t xml:space="preserve"> (Attorney General) </w:t>
      </w:r>
      <w:r w:rsidRPr="007765E3">
        <w:rPr>
          <w:rStyle w:val="SCCRespondentForIndexChar"/>
          <w:rFonts w:eastAsiaTheme="minorHAnsi"/>
          <w:sz w:val="20"/>
          <w:lang w:val="fr-CA"/>
        </w:rPr>
        <w:t xml:space="preserve">/ </w:t>
      </w:r>
      <w:r w:rsidRPr="007765E3">
        <w:rPr>
          <w:b/>
          <w:sz w:val="20"/>
          <w:szCs w:val="20"/>
          <w:lang w:val="fr-CA"/>
        </w:rPr>
        <w:t>Répertorié : </w:t>
      </w:r>
      <w:r w:rsidR="003D4D5B" w:rsidRPr="007765E3">
        <w:rPr>
          <w:b/>
          <w:sz w:val="20"/>
          <w:szCs w:val="20"/>
          <w:lang w:val="fr-CA"/>
        </w:rPr>
        <w:t xml:space="preserve">Conférence des juges de paix magistrats du Québec </w:t>
      </w:r>
      <w:r w:rsidR="003D4D5B" w:rsidRPr="007765E3">
        <w:rPr>
          <w:b/>
          <w:i/>
          <w:sz w:val="20"/>
          <w:szCs w:val="20"/>
          <w:lang w:val="fr-CA"/>
        </w:rPr>
        <w:t>c.</w:t>
      </w:r>
      <w:r w:rsidR="003D4D5B" w:rsidRPr="007765E3">
        <w:rPr>
          <w:b/>
          <w:sz w:val="20"/>
          <w:szCs w:val="20"/>
          <w:lang w:val="fr-CA"/>
        </w:rPr>
        <w:t xml:space="preserve"> Québec (Procureure générale)</w:t>
      </w:r>
    </w:p>
    <w:p w:rsidR="0052229C" w:rsidRPr="007765E3" w:rsidRDefault="0052229C" w:rsidP="0052229C">
      <w:pPr>
        <w:pStyle w:val="SCCSystemYear"/>
        <w:jc w:val="both"/>
        <w:rPr>
          <w:sz w:val="20"/>
        </w:rPr>
      </w:pPr>
      <w:proofErr w:type="spellStart"/>
      <w:r w:rsidRPr="007765E3">
        <w:rPr>
          <w:sz w:val="20"/>
        </w:rPr>
        <w:t>Neutral</w:t>
      </w:r>
      <w:proofErr w:type="spellEnd"/>
      <w:r w:rsidRPr="007765E3">
        <w:rPr>
          <w:sz w:val="20"/>
        </w:rPr>
        <w:t xml:space="preserve"> citation</w:t>
      </w:r>
      <w:proofErr w:type="gramStart"/>
      <w:r w:rsidRPr="007765E3">
        <w:rPr>
          <w:sz w:val="20"/>
        </w:rPr>
        <w:t xml:space="preserve">:  </w:t>
      </w:r>
      <w:r w:rsidR="0030050B" w:rsidRPr="007765E3">
        <w:rPr>
          <w:sz w:val="20"/>
        </w:rPr>
        <w:t>2016</w:t>
      </w:r>
      <w:proofErr w:type="gramEnd"/>
      <w:r w:rsidRPr="007765E3">
        <w:rPr>
          <w:sz w:val="20"/>
        </w:rPr>
        <w:t xml:space="preserve"> SC</w:t>
      </w:r>
      <w:r w:rsidR="003D4D5B" w:rsidRPr="007765E3">
        <w:rPr>
          <w:sz w:val="20"/>
        </w:rPr>
        <w:t>C 39</w:t>
      </w:r>
      <w:r w:rsidRPr="007765E3">
        <w:rPr>
          <w:sz w:val="20"/>
        </w:rPr>
        <w:t xml:space="preserve"> / Référence neutre : </w:t>
      </w:r>
      <w:r w:rsidR="0030050B" w:rsidRPr="007765E3">
        <w:rPr>
          <w:sz w:val="20"/>
        </w:rPr>
        <w:t>2016</w:t>
      </w:r>
      <w:r w:rsidR="003D4D5B" w:rsidRPr="007765E3">
        <w:rPr>
          <w:sz w:val="20"/>
        </w:rPr>
        <w:t xml:space="preserve"> CSC 39</w:t>
      </w:r>
    </w:p>
    <w:p w:rsidR="0052229C" w:rsidRPr="007765E3" w:rsidRDefault="0052229C" w:rsidP="0052229C">
      <w:pPr>
        <w:rPr>
          <w:rFonts w:cs="Times New Roman"/>
          <w:sz w:val="20"/>
          <w:szCs w:val="20"/>
          <w:lang w:val="fr-CA"/>
        </w:rPr>
      </w:pPr>
      <w:proofErr w:type="spellStart"/>
      <w:r w:rsidRPr="007765E3">
        <w:rPr>
          <w:rFonts w:cs="Times New Roman"/>
          <w:sz w:val="20"/>
          <w:szCs w:val="20"/>
          <w:lang w:val="fr-CA"/>
        </w:rPr>
        <w:t>Hearing</w:t>
      </w:r>
      <w:proofErr w:type="spellEnd"/>
      <w:proofErr w:type="gramStart"/>
      <w:r w:rsidRPr="007765E3">
        <w:rPr>
          <w:rFonts w:cs="Times New Roman"/>
          <w:sz w:val="20"/>
          <w:szCs w:val="20"/>
          <w:lang w:val="fr-CA"/>
        </w:rPr>
        <w:t xml:space="preserve">:  </w:t>
      </w:r>
      <w:proofErr w:type="spellStart"/>
      <w:r w:rsidR="003D4D5B" w:rsidRPr="007765E3">
        <w:rPr>
          <w:rFonts w:cs="Times New Roman"/>
          <w:sz w:val="20"/>
          <w:szCs w:val="20"/>
          <w:lang w:val="fr-CA"/>
        </w:rPr>
        <w:t>January</w:t>
      </w:r>
      <w:proofErr w:type="spellEnd"/>
      <w:proofErr w:type="gramEnd"/>
      <w:r w:rsidR="003D4D5B" w:rsidRPr="007765E3">
        <w:rPr>
          <w:rFonts w:cs="Times New Roman"/>
          <w:sz w:val="20"/>
          <w:szCs w:val="20"/>
          <w:lang w:val="fr-CA"/>
        </w:rPr>
        <w:t xml:space="preserve"> 18</w:t>
      </w:r>
      <w:r w:rsidRPr="007765E3">
        <w:rPr>
          <w:rFonts w:cs="Times New Roman"/>
          <w:sz w:val="20"/>
          <w:szCs w:val="20"/>
          <w:lang w:val="fr-CA"/>
        </w:rPr>
        <w:t>, 201</w:t>
      </w:r>
      <w:r w:rsidR="003D4D5B" w:rsidRPr="007765E3">
        <w:rPr>
          <w:rFonts w:cs="Times New Roman"/>
          <w:sz w:val="20"/>
          <w:szCs w:val="20"/>
          <w:lang w:val="fr-CA"/>
        </w:rPr>
        <w:t>6</w:t>
      </w:r>
      <w:r w:rsidRPr="007765E3">
        <w:rPr>
          <w:rFonts w:cs="Times New Roman"/>
          <w:sz w:val="20"/>
          <w:szCs w:val="20"/>
          <w:lang w:val="fr-CA"/>
        </w:rPr>
        <w:t xml:space="preserve"> / </w:t>
      </w:r>
      <w:proofErr w:type="spellStart"/>
      <w:r w:rsidRPr="007765E3">
        <w:rPr>
          <w:rFonts w:cs="Times New Roman"/>
          <w:sz w:val="20"/>
          <w:szCs w:val="20"/>
          <w:lang w:val="fr-CA"/>
        </w:rPr>
        <w:t>Judgment</w:t>
      </w:r>
      <w:proofErr w:type="spellEnd"/>
      <w:r w:rsidRPr="007765E3">
        <w:rPr>
          <w:rFonts w:cs="Times New Roman"/>
          <w:sz w:val="20"/>
          <w:szCs w:val="20"/>
          <w:lang w:val="fr-CA"/>
        </w:rPr>
        <w:t xml:space="preserve">:  </w:t>
      </w:r>
      <w:proofErr w:type="spellStart"/>
      <w:r w:rsidR="003D4D5B" w:rsidRPr="007765E3">
        <w:rPr>
          <w:rFonts w:cs="Times New Roman"/>
          <w:sz w:val="20"/>
          <w:szCs w:val="20"/>
          <w:lang w:val="fr-CA"/>
        </w:rPr>
        <w:t>October</w:t>
      </w:r>
      <w:proofErr w:type="spellEnd"/>
      <w:r w:rsidR="003D4D5B" w:rsidRPr="007765E3">
        <w:rPr>
          <w:rFonts w:cs="Times New Roman"/>
          <w:sz w:val="20"/>
          <w:szCs w:val="20"/>
          <w:lang w:val="fr-CA"/>
        </w:rPr>
        <w:t xml:space="preserve"> 14</w:t>
      </w:r>
      <w:r w:rsidRPr="007765E3">
        <w:rPr>
          <w:rFonts w:cs="Times New Roman"/>
          <w:sz w:val="20"/>
          <w:szCs w:val="20"/>
          <w:lang w:val="fr-CA"/>
        </w:rPr>
        <w:t xml:space="preserve">, </w:t>
      </w:r>
      <w:r w:rsidR="0030050B" w:rsidRPr="007765E3">
        <w:rPr>
          <w:rFonts w:cs="Times New Roman"/>
          <w:sz w:val="20"/>
          <w:szCs w:val="20"/>
          <w:lang w:val="fr-CA"/>
        </w:rPr>
        <w:t>2016</w:t>
      </w:r>
    </w:p>
    <w:p w:rsidR="0052229C" w:rsidRPr="007765E3" w:rsidRDefault="0052229C" w:rsidP="0052229C">
      <w:pPr>
        <w:rPr>
          <w:rFonts w:cs="Times New Roman"/>
          <w:sz w:val="20"/>
          <w:szCs w:val="20"/>
          <w:lang w:val="fr-CA"/>
        </w:rPr>
      </w:pPr>
      <w:r w:rsidRPr="007765E3">
        <w:rPr>
          <w:rFonts w:cs="Times New Roman"/>
          <w:sz w:val="20"/>
          <w:szCs w:val="20"/>
          <w:lang w:val="fr-CA"/>
        </w:rPr>
        <w:t xml:space="preserve">Audition : Le </w:t>
      </w:r>
      <w:r w:rsidR="003D4D5B" w:rsidRPr="007765E3">
        <w:rPr>
          <w:rFonts w:cs="Times New Roman"/>
          <w:sz w:val="20"/>
          <w:szCs w:val="20"/>
          <w:lang w:val="fr-CA"/>
        </w:rPr>
        <w:t>18 janvier</w:t>
      </w:r>
      <w:r w:rsidRPr="007765E3">
        <w:rPr>
          <w:rFonts w:cs="Times New Roman"/>
          <w:sz w:val="20"/>
          <w:szCs w:val="20"/>
          <w:lang w:val="fr-CA"/>
        </w:rPr>
        <w:t xml:space="preserve"> 201</w:t>
      </w:r>
      <w:r w:rsidR="003D4D5B" w:rsidRPr="007765E3">
        <w:rPr>
          <w:rFonts w:cs="Times New Roman"/>
          <w:sz w:val="20"/>
          <w:szCs w:val="20"/>
          <w:lang w:val="fr-CA"/>
        </w:rPr>
        <w:t>6</w:t>
      </w:r>
      <w:r w:rsidRPr="007765E3">
        <w:rPr>
          <w:rFonts w:cs="Times New Roman"/>
          <w:sz w:val="20"/>
          <w:szCs w:val="20"/>
          <w:lang w:val="fr-CA"/>
        </w:rPr>
        <w:t xml:space="preserve"> / Jugement : Le </w:t>
      </w:r>
      <w:r w:rsidR="003D4D5B" w:rsidRPr="007765E3">
        <w:rPr>
          <w:rFonts w:cs="Times New Roman"/>
          <w:sz w:val="20"/>
          <w:szCs w:val="20"/>
          <w:lang w:val="fr-CA"/>
        </w:rPr>
        <w:t>14 octobre</w:t>
      </w:r>
      <w:r w:rsidRPr="007765E3">
        <w:rPr>
          <w:rFonts w:cs="Times New Roman"/>
          <w:sz w:val="20"/>
          <w:szCs w:val="20"/>
          <w:lang w:val="fr-CA"/>
        </w:rPr>
        <w:t xml:space="preserve"> </w:t>
      </w:r>
      <w:r w:rsidR="0030050B" w:rsidRPr="007765E3">
        <w:rPr>
          <w:rFonts w:cs="Times New Roman"/>
          <w:sz w:val="20"/>
          <w:szCs w:val="20"/>
          <w:lang w:val="fr-CA"/>
        </w:rPr>
        <w:t>2016</w:t>
      </w:r>
    </w:p>
    <w:p w:rsidR="005C6840" w:rsidRPr="007765E3" w:rsidRDefault="007765E3" w:rsidP="005C6840">
      <w:pPr>
        <w:rPr>
          <w:rFonts w:cs="Times New Roman"/>
          <w:sz w:val="20"/>
          <w:szCs w:val="20"/>
          <w:lang w:val="fr-CA"/>
        </w:rPr>
      </w:pPr>
      <w:r w:rsidRPr="007765E3">
        <w:rPr>
          <w:rFonts w:cs="Times New Roman"/>
          <w:i/>
          <w:sz w:val="20"/>
          <w:szCs w:val="20"/>
        </w:rPr>
        <w:pict>
          <v:rect id="_x0000_i1083" style="width:480.95pt;height:1pt" o:hralign="center" o:hrstd="t" o:hrnoshade="t" o:hr="t" fillcolor="black [3213]" stroked="f"/>
        </w:pict>
      </w:r>
    </w:p>
    <w:p w:rsidR="005C6840" w:rsidRPr="007765E3" w:rsidRDefault="005C6840" w:rsidP="005C6840">
      <w:pPr>
        <w:rPr>
          <w:rFonts w:cs="Times New Roman"/>
          <w:sz w:val="20"/>
          <w:szCs w:val="20"/>
          <w:lang w:val="fr-CA"/>
        </w:rPr>
      </w:pPr>
    </w:p>
    <w:p w:rsidR="003D4D5B" w:rsidRPr="007765E3" w:rsidRDefault="003D4D5B" w:rsidP="003D4D5B">
      <w:pPr>
        <w:jc w:val="both"/>
        <w:rPr>
          <w:sz w:val="20"/>
          <w:szCs w:val="20"/>
          <w:lang w:val="fr-CA"/>
        </w:rPr>
      </w:pPr>
      <w:r w:rsidRPr="007765E3">
        <w:rPr>
          <w:sz w:val="20"/>
          <w:szCs w:val="20"/>
          <w:lang w:val="fr-CA"/>
        </w:rPr>
        <w:t xml:space="preserve">Présents : La juge en chef </w:t>
      </w:r>
      <w:proofErr w:type="spellStart"/>
      <w:r w:rsidRPr="007765E3">
        <w:rPr>
          <w:sz w:val="20"/>
          <w:szCs w:val="20"/>
          <w:lang w:val="fr-CA"/>
        </w:rPr>
        <w:t>McLachlin</w:t>
      </w:r>
      <w:proofErr w:type="spellEnd"/>
      <w:r w:rsidRPr="007765E3">
        <w:rPr>
          <w:sz w:val="20"/>
          <w:szCs w:val="20"/>
          <w:lang w:val="fr-CA"/>
        </w:rPr>
        <w:t xml:space="preserve"> et les juges Abella, Cromwell, </w:t>
      </w:r>
      <w:proofErr w:type="spellStart"/>
      <w:r w:rsidRPr="007765E3">
        <w:rPr>
          <w:sz w:val="20"/>
          <w:szCs w:val="20"/>
          <w:lang w:val="fr-CA"/>
        </w:rPr>
        <w:t>Moldaver</w:t>
      </w:r>
      <w:proofErr w:type="spellEnd"/>
      <w:r w:rsidRPr="007765E3">
        <w:rPr>
          <w:sz w:val="20"/>
          <w:szCs w:val="20"/>
          <w:lang w:val="fr-CA"/>
        </w:rPr>
        <w:t xml:space="preserve">, </w:t>
      </w:r>
      <w:proofErr w:type="spellStart"/>
      <w:r w:rsidRPr="007765E3">
        <w:rPr>
          <w:sz w:val="20"/>
          <w:szCs w:val="20"/>
          <w:lang w:val="fr-CA"/>
        </w:rPr>
        <w:t>Karakatsanis</w:t>
      </w:r>
      <w:proofErr w:type="spellEnd"/>
      <w:r w:rsidRPr="007765E3">
        <w:rPr>
          <w:sz w:val="20"/>
          <w:szCs w:val="20"/>
          <w:lang w:val="fr-CA"/>
        </w:rPr>
        <w:t>, Wagner, Gascon, Côté et Brown.</w:t>
      </w:r>
    </w:p>
    <w:p w:rsidR="003D4D5B" w:rsidRPr="007765E3" w:rsidRDefault="003D4D5B" w:rsidP="003D4D5B">
      <w:pPr>
        <w:jc w:val="both"/>
        <w:rPr>
          <w:smallCaps/>
          <w:sz w:val="20"/>
          <w:szCs w:val="20"/>
          <w:lang w:val="fr-CA"/>
        </w:rPr>
      </w:pPr>
    </w:p>
    <w:p w:rsidR="003D4D5B" w:rsidRPr="007765E3" w:rsidRDefault="003D4D5B" w:rsidP="003D4D5B">
      <w:pPr>
        <w:pStyle w:val="SCCNormalDoubleSpacing"/>
        <w:spacing w:line="240" w:lineRule="auto"/>
        <w:rPr>
          <w:i/>
          <w:sz w:val="20"/>
          <w:lang w:val="fr-CA"/>
        </w:rPr>
      </w:pPr>
      <w:r w:rsidRPr="007765E3">
        <w:rPr>
          <w:i/>
          <w:sz w:val="20"/>
          <w:lang w:val="fr-CA"/>
        </w:rPr>
        <w:tab/>
        <w:t xml:space="preserve">Droit constitutionnel — Indépendance judiciaire — Sécurité financière — Juges de paix — Réforme judiciaire — Statut des juges de paix, dont les conditions d’emploi, la rémunération et le régime de retraite, modifié par législation provinciale — Y </w:t>
      </w:r>
      <w:proofErr w:type="spellStart"/>
      <w:r w:rsidRPr="007765E3">
        <w:rPr>
          <w:i/>
          <w:sz w:val="20"/>
          <w:lang w:val="fr-CA"/>
        </w:rPr>
        <w:t>a</w:t>
      </w:r>
      <w:r w:rsidRPr="007765E3">
        <w:rPr>
          <w:i/>
          <w:sz w:val="20"/>
          <w:lang w:val="fr-CA"/>
        </w:rPr>
        <w:noBreakHyphen/>
        <w:t>t</w:t>
      </w:r>
      <w:r w:rsidRPr="007765E3">
        <w:rPr>
          <w:i/>
          <w:sz w:val="20"/>
          <w:lang w:val="fr-CA"/>
        </w:rPr>
        <w:noBreakHyphen/>
        <w:t>il</w:t>
      </w:r>
      <w:proofErr w:type="spellEnd"/>
      <w:r w:rsidRPr="007765E3">
        <w:rPr>
          <w:i/>
          <w:sz w:val="20"/>
          <w:lang w:val="fr-CA"/>
        </w:rPr>
        <w:t xml:space="preserve"> eu création d’une nouvelle charge judiciaire? — Un examen de la rémunération et du régime de retraite par un comité est</w:t>
      </w:r>
      <w:r w:rsidRPr="007765E3">
        <w:rPr>
          <w:i/>
          <w:sz w:val="20"/>
          <w:lang w:val="fr-CA"/>
        </w:rPr>
        <w:noBreakHyphen/>
        <w:t>il nécessaire et, dans l’affirmative, à quel moment l’examen doit</w:t>
      </w:r>
      <w:r w:rsidRPr="007765E3">
        <w:rPr>
          <w:i/>
          <w:sz w:val="20"/>
          <w:lang w:val="fr-CA"/>
        </w:rPr>
        <w:noBreakHyphen/>
        <w:t>il intervenir? — La loi porte</w:t>
      </w:r>
      <w:r w:rsidRPr="007765E3">
        <w:rPr>
          <w:i/>
          <w:sz w:val="20"/>
          <w:lang w:val="fr-CA"/>
        </w:rPr>
        <w:noBreakHyphen/>
        <w:t>t</w:t>
      </w:r>
      <w:r w:rsidRPr="007765E3">
        <w:rPr>
          <w:i/>
          <w:sz w:val="20"/>
          <w:lang w:val="fr-CA"/>
        </w:rPr>
        <w:noBreakHyphen/>
        <w:t>elle atteinte à la garantie constitutionnelle d’indépendance judiciaire? — Dans l’affirmative, l’atteinte se justifie</w:t>
      </w:r>
      <w:r w:rsidRPr="007765E3">
        <w:rPr>
          <w:i/>
          <w:sz w:val="20"/>
          <w:lang w:val="fr-CA"/>
        </w:rPr>
        <w:noBreakHyphen/>
        <w:t>t</w:t>
      </w:r>
      <w:r w:rsidRPr="007765E3">
        <w:rPr>
          <w:i/>
          <w:sz w:val="20"/>
          <w:lang w:val="fr-CA"/>
        </w:rPr>
        <w:noBreakHyphen/>
        <w:t>elle? — Loi constitutionnelle de 1867, préambule — Charte canadienne des droits et libertés, art. 1, 11d) — Loi modifiant la Loi sur les tribunaux judiciaires et d’autres dispositions législatives eu égard au statut des juges de paix, L.Q. 2004, c. 12, art. 27, 30 et 32 — Décret 932</w:t>
      </w:r>
      <w:r w:rsidRPr="007765E3">
        <w:rPr>
          <w:i/>
          <w:sz w:val="20"/>
          <w:lang w:val="fr-CA"/>
        </w:rPr>
        <w:noBreakHyphen/>
        <w:t>2008, (2008) 140 G.O. 2, 5681.</w:t>
      </w:r>
    </w:p>
    <w:p w:rsidR="003D4D5B" w:rsidRPr="007765E3" w:rsidRDefault="003D4D5B" w:rsidP="003D4D5B">
      <w:pPr>
        <w:pStyle w:val="SCCNormalDoubleSpacing"/>
        <w:spacing w:line="240" w:lineRule="auto"/>
        <w:rPr>
          <w:i/>
          <w:sz w:val="20"/>
          <w:lang w:val="fr-CA"/>
        </w:rPr>
      </w:pPr>
    </w:p>
    <w:p w:rsidR="003D4D5B" w:rsidRPr="007765E3" w:rsidRDefault="003D4D5B" w:rsidP="003D4D5B">
      <w:pPr>
        <w:pStyle w:val="SCCNormalDoubleSpacing"/>
        <w:spacing w:line="240" w:lineRule="auto"/>
        <w:rPr>
          <w:i/>
          <w:sz w:val="20"/>
          <w:lang w:val="fr-CA"/>
        </w:rPr>
      </w:pPr>
      <w:r w:rsidRPr="007765E3">
        <w:rPr>
          <w:i/>
          <w:sz w:val="20"/>
          <w:lang w:val="fr-CA"/>
        </w:rPr>
        <w:tab/>
        <w:t>Droit constitutionnel — Indépendance judiciaire — Sécurité financière — Régime de retraite — Juges de paix — Réforme judiciaire — Participation des juges de paix au régime de retraite de la fonction publique imposée par l’art. 178 de la Loi sur les tribunaux judiciaires, RLRQ, c. T</w:t>
      </w:r>
      <w:r w:rsidRPr="007765E3">
        <w:rPr>
          <w:i/>
          <w:sz w:val="20"/>
          <w:lang w:val="fr-CA"/>
        </w:rPr>
        <w:noBreakHyphen/>
        <w:t>16 — Le régime de retraite, qui s’inscrit dans la rémunération globale, satisfait</w:t>
      </w:r>
      <w:r w:rsidRPr="007765E3">
        <w:rPr>
          <w:i/>
          <w:sz w:val="20"/>
          <w:lang w:val="fr-CA"/>
        </w:rPr>
        <w:noBreakHyphen/>
        <w:t>il au seuil constitutionnel minimal qu’exige une charge judiciaire?</w:t>
      </w:r>
    </w:p>
    <w:p w:rsidR="003D4D5B" w:rsidRPr="007765E3" w:rsidRDefault="003D4D5B" w:rsidP="003D4D5B">
      <w:pPr>
        <w:pStyle w:val="SCCNormalDoubleSpacing"/>
        <w:spacing w:line="240" w:lineRule="auto"/>
        <w:rPr>
          <w:i/>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En 2004, le gouvernement du Québec a procédé à une réforme du régime applicable aux juges de paix en réponse au jugement de la Cour d’appel déclarant que ce régime ne respectait pas la garantie d’inamovibilité qu’exige l’indépendance judiciaire. Six juges de paix ont été transférés au nouveau régime tout en conservant leur rémunération; toutefois les juges de paix nouvellement nommés touchaient un traitement moins élevé. Aucune des dispositions législatives touchant à la rémunération n’a été soumise à l’examen d’un comité de la rémunération avant 2007; le comité n’a alors fait que des recommandations pour l’avenir. En 2008, la Conférence des juges de paix magistrats du Québec et ses membres (les juges de paix magistrats (« JPM »)) ont contesté </w:t>
      </w:r>
      <w:proofErr w:type="gramStart"/>
      <w:r w:rsidRPr="007765E3">
        <w:rPr>
          <w:sz w:val="20"/>
          <w:lang w:val="fr-CA"/>
        </w:rPr>
        <w:t>les art</w:t>
      </w:r>
      <w:proofErr w:type="gramEnd"/>
      <w:r w:rsidRPr="007765E3">
        <w:rPr>
          <w:sz w:val="20"/>
          <w:lang w:val="fr-CA"/>
        </w:rPr>
        <w:t xml:space="preserve">. 27, 30 et 32 de la </w:t>
      </w:r>
      <w:r w:rsidRPr="007765E3">
        <w:rPr>
          <w:i/>
          <w:sz w:val="20"/>
          <w:lang w:val="fr-CA"/>
        </w:rPr>
        <w:t>Loi modifiant la Loi sur les tribunaux judiciaires et d’autres dispositions législatives eu égard au statut des juges de paix</w:t>
      </w:r>
      <w:r w:rsidRPr="007765E3">
        <w:rPr>
          <w:sz w:val="20"/>
          <w:lang w:val="fr-CA"/>
        </w:rPr>
        <w:t xml:space="preserve"> (la « Loi modificatrice ») et le Décret 932</w:t>
      </w:r>
      <w:r w:rsidRPr="007765E3">
        <w:rPr>
          <w:sz w:val="20"/>
          <w:lang w:val="fr-CA"/>
        </w:rPr>
        <w:noBreakHyphen/>
        <w:t xml:space="preserve">2008 au motif qu’ils ne respectaient pas la garantie de sécurité financière qu’exige l’indépendance judiciaire. En outre, les </w:t>
      </w:r>
      <w:proofErr w:type="gramStart"/>
      <w:r w:rsidRPr="007765E3">
        <w:rPr>
          <w:sz w:val="20"/>
          <w:lang w:val="fr-CA"/>
        </w:rPr>
        <w:t>JPM soutenaient</w:t>
      </w:r>
      <w:proofErr w:type="gramEnd"/>
      <w:r w:rsidRPr="007765E3">
        <w:rPr>
          <w:sz w:val="20"/>
          <w:lang w:val="fr-CA"/>
        </w:rPr>
        <w:t xml:space="preserve"> que l’art. 178 de la </w:t>
      </w:r>
      <w:r w:rsidRPr="007765E3">
        <w:rPr>
          <w:i/>
          <w:sz w:val="20"/>
          <w:lang w:val="fr-CA"/>
        </w:rPr>
        <w:t>Loi sur les tribunaux judiciaires</w:t>
      </w:r>
      <w:r w:rsidRPr="007765E3">
        <w:rPr>
          <w:sz w:val="20"/>
          <w:lang w:val="fr-CA"/>
        </w:rPr>
        <w:t xml:space="preserve"> (la « </w:t>
      </w:r>
      <w:r w:rsidRPr="007765E3">
        <w:rPr>
          <w:i/>
          <w:sz w:val="20"/>
          <w:lang w:val="fr-CA"/>
        </w:rPr>
        <w:t>LTJ</w:t>
      </w:r>
      <w:r w:rsidRPr="007765E3">
        <w:rPr>
          <w:sz w:val="20"/>
          <w:lang w:val="fr-CA"/>
        </w:rPr>
        <w:t> »), en les obligeant à participer au régime de retraite du personnel d’encadrement de la fonction publique, ne respectait pas non plus la garantie de sécurité financière. La Cour supérieure et la Cour d’appel ont conclu que les dispositions ne menaçaient pas l’indépendance judiciaire, car elles s’inscrivaient dans le cadre d’une réforme ayant abouti à la création d’une nouvelle charge judiciaire.</w:t>
      </w:r>
    </w:p>
    <w:p w:rsidR="003D4D5B" w:rsidRPr="007765E3" w:rsidRDefault="003D4D5B" w:rsidP="003D4D5B">
      <w:pPr>
        <w:pStyle w:val="SCCNormalDoubleSpacing"/>
        <w:spacing w:line="240" w:lineRule="auto"/>
        <w:rPr>
          <w:i/>
          <w:sz w:val="20"/>
          <w:lang w:val="fr-CA"/>
        </w:rPr>
      </w:pPr>
    </w:p>
    <w:p w:rsidR="003D4D5B" w:rsidRPr="007765E3" w:rsidRDefault="003D4D5B" w:rsidP="003D4D5B">
      <w:pPr>
        <w:pStyle w:val="SCCNormalDoubleSpacing"/>
        <w:spacing w:line="240" w:lineRule="auto"/>
        <w:rPr>
          <w:sz w:val="20"/>
          <w:lang w:val="fr-CA"/>
        </w:rPr>
      </w:pPr>
      <w:r w:rsidRPr="007765E3">
        <w:rPr>
          <w:i/>
          <w:sz w:val="20"/>
          <w:lang w:val="fr-CA"/>
        </w:rPr>
        <w:tab/>
        <w:t>Arrêt :</w:t>
      </w:r>
      <w:r w:rsidRPr="007765E3">
        <w:rPr>
          <w:sz w:val="20"/>
          <w:lang w:val="fr-CA"/>
        </w:rPr>
        <w:t xml:space="preserve"> L’appel est accueilli en partie. Les articles 27, 30 et 32 de la </w:t>
      </w:r>
      <w:r w:rsidRPr="007765E3">
        <w:rPr>
          <w:i/>
          <w:sz w:val="20"/>
          <w:lang w:val="fr-CA"/>
        </w:rPr>
        <w:t>Loi modifiant la Loi sur les tribunaux judiciaires et d’autres dispositions législatives eu égard au statut des juges de paix</w:t>
      </w:r>
      <w:r w:rsidRPr="007765E3">
        <w:rPr>
          <w:sz w:val="20"/>
          <w:lang w:val="fr-CA"/>
        </w:rPr>
        <w:t xml:space="preserve"> sont inconstitutionnels.</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Il se peut qu’une réforme judiciaire suscite des interrogations concernant l’indépendance judiciaire à l’égard non seulement des juges dont la charge a été modifiée ou abolie, mais aussi de ceux qui sont nommés à une charge nouvellement créée. Toute mesure ayant une incidence sur la rémunération des juges mettra automatiquement en jeu la dimension institutionnelle de la sécurité financière. La rémunération initiale de la nouvelle charge doit satisfaire au minimum constitutionnel requis pour assurer l’intégrité judiciaire. À défaut d’examen de la rémunération initiale par un comité, il n’existe aucune garantie que le minimum constitutionnel est respecté.</w:t>
      </w:r>
      <w:r w:rsidRPr="007765E3" w:rsidDel="001F133B">
        <w:rPr>
          <w:sz w:val="20"/>
          <w:lang w:val="fr-CA"/>
        </w:rPr>
        <w:t xml:space="preserve"> </w:t>
      </w:r>
      <w:r w:rsidRPr="007765E3">
        <w:rPr>
          <w:sz w:val="20"/>
          <w:lang w:val="fr-CA"/>
        </w:rPr>
        <w:t xml:space="preserve">Un examen s’impose également lorsque les nouveaux juges sont transférés d’une ancienne charge judiciaire. Le gouvernement ne saurait simplement remplacer une charge par une autre, en modifier la juridiction, transférer les juges et réduire leur rémunération, sans garantie. Comme les juges en exercice entretiennent déjà des rapports avec le gouvernement, le risque de manipulation est aggravé, ce qui justifie une protection supplémentaire dans leur cas. Ainsi, bien que le gouvernement puisse, en vertu de son pouvoir </w:t>
      </w:r>
      <w:r w:rsidRPr="007765E3">
        <w:rPr>
          <w:sz w:val="20"/>
          <w:lang w:val="fr-CA"/>
        </w:rPr>
        <w:lastRenderedPageBreak/>
        <w:t xml:space="preserve">discrétionnaire, fixer la rémunération des nouveaux juges, il ne peut modifier le traitement des juges en exercice tant que le comité n’a pas procédé à l’examen. </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Pour protéger l’indépendance judiciaire lorsqu’il y a création d’une charge judiciaire, toute rémunération doit être examinée dans un délai raisonnable. Un délai raisonnable s’entend du temps qu’il faut pour effectuer une réforme judiciaire, mettre sur pied le comité d’examen et assurer une participation adéquate des nouveaux juges. Il se calcule de façon générale en mois et non en années. </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Dans le contexte d’une réforme judiciaire, les raisons qui justifient que soit reportée la tenue d’un comité d’examen de la rémunération dans le cas des juges nouvellement nommés s’appliquent tout autant aux juges en exercice qui sont transférés à une nouvelle charge. Exiger un examen préalable dans le cas de juges en exercice retarderait la mise en œuvre des réformes judiciaires fondées sur l’intérêt public et risquerait de prolonger un régime judiciaire inconstitutionnel, de porter atteinte à l’indépendance judiciaire et de miner la perception du public. Le principe de l’indépendance judiciaire existe au profit du public et non du juge. Pour le public, la tenue dans un délai raisonnable d’un examen portant sur la situation de tous les juges protège efficacement la sécurité financière, même si certains juges occupaient antérieurement une autre charge judiciaire. </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Lorsqu’il s’agit de déterminer si une charge a simplement été modifiée ou si une nouvelle charge a été créée, les fonctions de la charge judiciaire et les conditions d’emploi, dont l’inamovibilité, la sécurité financière, la sélection et l’indépendance administrative, constituent des considérations pertinentes. En l’espèce, la réforme de 2004 a créé une nouvelle charge judiciaire. La juridiction des JPM se distingue de celle que prévoyait l’ancien régime : les JPM n’ont pas compétence pour présider les enquêtes sur mise en liberté sous caution et ne peuvent instruire les poursuites sommaires intentées en vertu de la partie XXVII du </w:t>
      </w:r>
      <w:r w:rsidRPr="007765E3">
        <w:rPr>
          <w:i/>
          <w:sz w:val="20"/>
          <w:lang w:val="fr-CA"/>
        </w:rPr>
        <w:t>Code criminel</w:t>
      </w:r>
      <w:r w:rsidRPr="007765E3">
        <w:rPr>
          <w:sz w:val="20"/>
          <w:lang w:val="fr-CA"/>
        </w:rPr>
        <w:t xml:space="preserve">. En outre, dorénavant, les JPM bénéficient de garanties d’indépendance judiciaire plus étendues : ils peuvent siéger jusqu’à l’âge de 70 ans, leur traitement et les autres avantages sont soumis périodiquement à l’examen d’un comité, leurs critères de sélection sont énoncés dans la </w:t>
      </w:r>
      <w:r w:rsidRPr="007765E3">
        <w:rPr>
          <w:i/>
          <w:sz w:val="20"/>
          <w:lang w:val="fr-CA"/>
        </w:rPr>
        <w:t>LTJ</w:t>
      </w:r>
      <w:r w:rsidRPr="007765E3">
        <w:rPr>
          <w:sz w:val="20"/>
          <w:lang w:val="fr-CA"/>
        </w:rPr>
        <w:t xml:space="preserve"> et, enfin, ils relèvent de la Cour du Québec et sont donc soumis à l’autorité du juge en chef de ce tribunal.</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Comme la réforme a créé une nouvelle charge judiciaire, le traitement initial de tous les juges nommés à cette charge (pour la première fois ou après un transfert d’une autre charge) devait être </w:t>
      </w:r>
      <w:proofErr w:type="gramStart"/>
      <w:r w:rsidRPr="007765E3">
        <w:rPr>
          <w:sz w:val="20"/>
          <w:lang w:val="fr-CA"/>
        </w:rPr>
        <w:t>examiné</w:t>
      </w:r>
      <w:proofErr w:type="gramEnd"/>
      <w:r w:rsidRPr="007765E3">
        <w:rPr>
          <w:sz w:val="20"/>
          <w:lang w:val="fr-CA"/>
        </w:rPr>
        <w:t xml:space="preserve"> rétroactivement, dans un délai raisonnable après leur nomination. L’article 32 de la </w:t>
      </w:r>
      <w:r w:rsidRPr="007765E3">
        <w:rPr>
          <w:iCs/>
          <w:sz w:val="20"/>
          <w:lang w:val="fr-CA"/>
        </w:rPr>
        <w:t>Loi</w:t>
      </w:r>
      <w:r w:rsidRPr="007765E3">
        <w:rPr>
          <w:i/>
          <w:iCs/>
          <w:sz w:val="20"/>
          <w:lang w:val="fr-CA"/>
        </w:rPr>
        <w:t xml:space="preserve"> </w:t>
      </w:r>
      <w:r w:rsidRPr="007765E3">
        <w:rPr>
          <w:iCs/>
          <w:sz w:val="20"/>
          <w:lang w:val="fr-CA"/>
        </w:rPr>
        <w:t xml:space="preserve">modificatrice </w:t>
      </w:r>
      <w:r w:rsidRPr="007765E3">
        <w:rPr>
          <w:sz w:val="20"/>
          <w:lang w:val="fr-CA"/>
        </w:rPr>
        <w:t xml:space="preserve">interdit tout examen de la rémunération avant 2007, bien que la charge judiciaire ait été créée en 2004. Il s’agit là d’un manquement à l’exigence constitutionnelle selon laquelle la rémunération initiale des juges occupant une nouvelle charge est examinée par un comité dans un délai raisonnable après leur nomination. Aucune raison valable n’explique pourquoi l’examen ne pouvait être tenu avant 2007. Un délai de trois ans ne constitue pas un délai raisonnable. En conséquence, l’art. 32 de la </w:t>
      </w:r>
      <w:r w:rsidRPr="007765E3">
        <w:rPr>
          <w:iCs/>
          <w:sz w:val="20"/>
          <w:lang w:val="fr-CA"/>
        </w:rPr>
        <w:t>Loi</w:t>
      </w:r>
      <w:r w:rsidRPr="007765E3">
        <w:rPr>
          <w:sz w:val="20"/>
          <w:lang w:val="fr-CA"/>
        </w:rPr>
        <w:t xml:space="preserve"> modificatrice porte atteinte à la garantie de sécurité financière qu’exige l’indépendance judiciaire. En outre, étant donné que </w:t>
      </w:r>
      <w:proofErr w:type="gramStart"/>
      <w:r w:rsidRPr="007765E3">
        <w:rPr>
          <w:sz w:val="20"/>
          <w:lang w:val="fr-CA"/>
        </w:rPr>
        <w:t>les art</w:t>
      </w:r>
      <w:proofErr w:type="gramEnd"/>
      <w:r w:rsidRPr="007765E3">
        <w:rPr>
          <w:sz w:val="20"/>
          <w:lang w:val="fr-CA"/>
        </w:rPr>
        <w:t xml:space="preserve">. 27 et 30 prévoient respectivement un gel de la rémunération des juges transférés et l’établissement de la rémunération des juges nouvellement nommés, mais n’exigent pas l’examen rétroactif de la rémunération par un comité, ces dispositions portent également atteinte à l’indépendance judiciaire. Enfin, l’art. 27 </w:t>
      </w:r>
      <w:proofErr w:type="gramStart"/>
      <w:r w:rsidRPr="007765E3">
        <w:rPr>
          <w:sz w:val="20"/>
          <w:lang w:val="fr-CA"/>
        </w:rPr>
        <w:t>porte atteinte</w:t>
      </w:r>
      <w:proofErr w:type="gramEnd"/>
      <w:r w:rsidRPr="007765E3">
        <w:rPr>
          <w:sz w:val="20"/>
          <w:lang w:val="fr-CA"/>
        </w:rPr>
        <w:t xml:space="preserve"> à l’indépendance judiciaire en ce sens qu’il a pour effet de geler la rémunération de juges en exercice avant qu’un comité n’examine la question, ce qui est contraire aux exigences de la garantie de sécurité financière. En ce qui concerne l’écart salarial entre les juges transférés et les juges nouvellement nommés, en soi, cet écart salarial n’a pas porté atteinte à la garantie de sécurité financière.  </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Étant donné que </w:t>
      </w:r>
      <w:proofErr w:type="gramStart"/>
      <w:r w:rsidRPr="007765E3">
        <w:rPr>
          <w:sz w:val="20"/>
          <w:lang w:val="fr-CA"/>
        </w:rPr>
        <w:t>les art</w:t>
      </w:r>
      <w:proofErr w:type="gramEnd"/>
      <w:r w:rsidRPr="007765E3">
        <w:rPr>
          <w:sz w:val="20"/>
          <w:lang w:val="fr-CA"/>
        </w:rPr>
        <w:t>. 27, 30 et 32 de la Loi modificatrice n’exigent pas l’examen rétroactif de la rémunération par un comité dans un délai raisonnable, ces dispositions portent atteinte à la garantie de sécurité financière institutionnelle qu’exige l’indépendance judiciaire et ne respectent pas l’al. 11</w:t>
      </w:r>
      <w:r w:rsidRPr="007765E3">
        <w:rPr>
          <w:i/>
          <w:sz w:val="20"/>
          <w:lang w:val="fr-CA"/>
        </w:rPr>
        <w:t>d</w:t>
      </w:r>
      <w:r w:rsidRPr="007765E3">
        <w:rPr>
          <w:sz w:val="20"/>
          <w:lang w:val="fr-CA"/>
        </w:rPr>
        <w:t xml:space="preserve">) de la </w:t>
      </w:r>
      <w:r w:rsidRPr="007765E3">
        <w:rPr>
          <w:i/>
          <w:sz w:val="20"/>
          <w:lang w:val="fr-CA"/>
        </w:rPr>
        <w:t>Charte</w:t>
      </w:r>
      <w:r w:rsidRPr="007765E3">
        <w:rPr>
          <w:sz w:val="20"/>
          <w:lang w:val="fr-CA"/>
        </w:rPr>
        <w:t xml:space="preserve"> ainsi que le préambule de la </w:t>
      </w:r>
      <w:r w:rsidRPr="007765E3">
        <w:rPr>
          <w:i/>
          <w:sz w:val="20"/>
          <w:lang w:val="fr-CA"/>
        </w:rPr>
        <w:t>Loi constitutionnelle de 1867</w:t>
      </w:r>
      <w:r w:rsidRPr="007765E3">
        <w:rPr>
          <w:sz w:val="20"/>
          <w:lang w:val="fr-CA"/>
        </w:rPr>
        <w:t xml:space="preserve">. Cette atteinte à l’indépendance judiciaire n’est pas justifiée au regard de l’article premier de la </w:t>
      </w:r>
      <w:r w:rsidRPr="007765E3">
        <w:rPr>
          <w:i/>
          <w:sz w:val="20"/>
          <w:lang w:val="fr-CA"/>
        </w:rPr>
        <w:t>Charte</w:t>
      </w:r>
      <w:r w:rsidRPr="007765E3">
        <w:rPr>
          <w:sz w:val="20"/>
          <w:lang w:val="fr-CA"/>
        </w:rPr>
        <w:t xml:space="preserve"> en l’absence de preuve d’une crise financière exceptionnellement grave. En conséquence, </w:t>
      </w:r>
      <w:proofErr w:type="gramStart"/>
      <w:r w:rsidRPr="007765E3">
        <w:rPr>
          <w:sz w:val="20"/>
          <w:lang w:val="fr-CA"/>
        </w:rPr>
        <w:t>les art</w:t>
      </w:r>
      <w:proofErr w:type="gramEnd"/>
      <w:r w:rsidRPr="007765E3">
        <w:rPr>
          <w:sz w:val="20"/>
          <w:lang w:val="fr-CA"/>
        </w:rPr>
        <w:t xml:space="preserve">. 27, 30 et 32 sont inconstitutionnels. Comme l’atteinte découle de l’absence d’examen par un comité entre 2004 et 2007, un examen de la rémunération de tous les JPM par un comité est ordonné pour cette période, à titre de réparation. Le comité doit tenir compte de tous les facteurs ayant une incidence sur la rémunération, y compris la rémunération associée à la charge judiciaire antérieure. Même si la garantie d’indépendance judiciaire a été compromise entre 2004 et 2007, les décisions judiciaires rendues par les JPM durant cette période sont valides. </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Comme le gouvernement s’est conformé dès 2007 à son obligation constitutionnelle de soumettre périodiquement à l’examen d’un comité la rémunération des JPM, la confiance du public à l’égard de l’indépendance </w:t>
      </w:r>
      <w:r w:rsidRPr="007765E3">
        <w:rPr>
          <w:sz w:val="20"/>
          <w:lang w:val="fr-CA"/>
        </w:rPr>
        <w:lastRenderedPageBreak/>
        <w:t>judiciaire n’a en aucun cas été minée depuis. Il n’y a donc pas eu d’atteinte à l’indépendance judiciaire après 2007, et le Décret 932</w:t>
      </w:r>
      <w:r w:rsidRPr="007765E3">
        <w:rPr>
          <w:sz w:val="20"/>
          <w:lang w:val="fr-CA"/>
        </w:rPr>
        <w:noBreakHyphen/>
        <w:t>2008 n’est entaché d’aucun vice. De surcroît, si tant est que l’absence d’examen, entre 2004 et 2007, ait eu sur la rémunération des JPM après 2007 une incidence, on ne peut dire que cette dernière ait soulevé des préoccupations d’ordre constitutionnel.</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Enfin, l’art. 178 de la </w:t>
      </w:r>
      <w:r w:rsidRPr="007765E3">
        <w:rPr>
          <w:i/>
          <w:sz w:val="20"/>
          <w:lang w:val="fr-CA"/>
        </w:rPr>
        <w:t>LTJ</w:t>
      </w:r>
      <w:r w:rsidRPr="007765E3">
        <w:rPr>
          <w:sz w:val="20"/>
          <w:lang w:val="fr-CA"/>
        </w:rPr>
        <w:t xml:space="preserve"> est valide. Bien que le régime de retraite du personnel d’encadrement ne soit pas aussi avantageux que celui des juges de la Cour du Québec, considéré dans le cadre de la rémunération globale, il respecte le seuil minimal constitutionnel requis pour une charge judiciaire de sorte que les JPM ne soient pas perçus comme étant vulnérables aux pressions politiques exercées par le biais de la manipulation financière.</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sz w:val="20"/>
          <w:lang w:val="fr-CA"/>
        </w:rPr>
        <w:tab/>
        <w:t xml:space="preserve">POURVOI contre un arrêt de la Cour d’appel du Québec (les juges </w:t>
      </w:r>
      <w:proofErr w:type="spellStart"/>
      <w:r w:rsidRPr="007765E3">
        <w:rPr>
          <w:sz w:val="20"/>
          <w:lang w:val="fr-CA"/>
        </w:rPr>
        <w:t>Dalphond</w:t>
      </w:r>
      <w:proofErr w:type="spellEnd"/>
      <w:r w:rsidRPr="007765E3">
        <w:rPr>
          <w:sz w:val="20"/>
          <w:lang w:val="fr-CA"/>
        </w:rPr>
        <w:t xml:space="preserve">, Bouchard et </w:t>
      </w:r>
      <w:proofErr w:type="spellStart"/>
      <w:r w:rsidRPr="007765E3">
        <w:rPr>
          <w:sz w:val="20"/>
          <w:lang w:val="fr-CA"/>
        </w:rPr>
        <w:t>Vauclair</w:t>
      </w:r>
      <w:proofErr w:type="spellEnd"/>
      <w:r w:rsidRPr="007765E3">
        <w:rPr>
          <w:sz w:val="20"/>
          <w:lang w:val="fr-CA"/>
        </w:rPr>
        <w:t>), 2014 QCCA 1654, [2014] AZ</w:t>
      </w:r>
      <w:r w:rsidRPr="007765E3">
        <w:rPr>
          <w:sz w:val="20"/>
          <w:lang w:val="fr-CA"/>
        </w:rPr>
        <w:noBreakHyphen/>
        <w:t>51107397, [2014] J.Q. n</w:t>
      </w:r>
      <w:r w:rsidRPr="007765E3">
        <w:rPr>
          <w:sz w:val="20"/>
          <w:vertAlign w:val="superscript"/>
          <w:lang w:val="fr-CA"/>
        </w:rPr>
        <w:t>o</w:t>
      </w:r>
      <w:r w:rsidRPr="007765E3">
        <w:rPr>
          <w:sz w:val="20"/>
          <w:lang w:val="fr-CA"/>
        </w:rPr>
        <w:t xml:space="preserve"> 9733 (QL), 2014 </w:t>
      </w:r>
      <w:proofErr w:type="spellStart"/>
      <w:r w:rsidRPr="007765E3">
        <w:rPr>
          <w:sz w:val="20"/>
          <w:lang w:val="fr-CA"/>
        </w:rPr>
        <w:t>CarswellQue</w:t>
      </w:r>
      <w:proofErr w:type="spellEnd"/>
      <w:r w:rsidRPr="007765E3">
        <w:rPr>
          <w:sz w:val="20"/>
          <w:lang w:val="fr-CA"/>
        </w:rPr>
        <w:t xml:space="preserve"> 9133 (WL Can.), qui a confirmé une décision du juge </w:t>
      </w:r>
      <w:proofErr w:type="spellStart"/>
      <w:r w:rsidRPr="007765E3">
        <w:rPr>
          <w:sz w:val="20"/>
          <w:lang w:val="fr-CA"/>
        </w:rPr>
        <w:t>Mongeon</w:t>
      </w:r>
      <w:proofErr w:type="spellEnd"/>
      <w:r w:rsidRPr="007765E3">
        <w:rPr>
          <w:sz w:val="20"/>
          <w:lang w:val="fr-CA"/>
        </w:rPr>
        <w:t>, 2012 QCCS 1021, [2012] R.J.Q. 729, [2012] AZ</w:t>
      </w:r>
      <w:r w:rsidRPr="007765E3">
        <w:rPr>
          <w:sz w:val="20"/>
          <w:lang w:val="fr-CA"/>
        </w:rPr>
        <w:noBreakHyphen/>
        <w:t>50840226, [2012] J.Q. n</w:t>
      </w:r>
      <w:r w:rsidRPr="007765E3">
        <w:rPr>
          <w:sz w:val="20"/>
          <w:vertAlign w:val="superscript"/>
          <w:lang w:val="fr-CA"/>
        </w:rPr>
        <w:t>o</w:t>
      </w:r>
      <w:r w:rsidRPr="007765E3">
        <w:rPr>
          <w:sz w:val="20"/>
          <w:lang w:val="fr-CA"/>
        </w:rPr>
        <w:t xml:space="preserve"> 2260 (QL), 2012 </w:t>
      </w:r>
      <w:proofErr w:type="spellStart"/>
      <w:r w:rsidRPr="007765E3">
        <w:rPr>
          <w:sz w:val="20"/>
          <w:lang w:val="fr-CA"/>
        </w:rPr>
        <w:t>CarswellQue</w:t>
      </w:r>
      <w:proofErr w:type="spellEnd"/>
      <w:r w:rsidRPr="007765E3">
        <w:rPr>
          <w:sz w:val="20"/>
          <w:lang w:val="fr-CA"/>
        </w:rPr>
        <w:t xml:space="preserve"> 2373 (WL Can.). Pourvoi accueilli en partie.</w:t>
      </w:r>
    </w:p>
    <w:p w:rsidR="003D4D5B" w:rsidRPr="007765E3" w:rsidRDefault="003D4D5B" w:rsidP="003D4D5B">
      <w:pPr>
        <w:pStyle w:val="SCCNormalDoubleSpacing"/>
        <w:spacing w:line="240" w:lineRule="auto"/>
        <w:rPr>
          <w:sz w:val="20"/>
          <w:lang w:val="fr-CA"/>
        </w:rPr>
      </w:pPr>
      <w:r w:rsidRPr="007765E3">
        <w:rPr>
          <w:i/>
          <w:sz w:val="20"/>
          <w:lang w:val="fr-CA"/>
        </w:rPr>
        <w:tab/>
        <w:t xml:space="preserve">Raymond </w:t>
      </w:r>
      <w:proofErr w:type="spellStart"/>
      <w:r w:rsidRPr="007765E3">
        <w:rPr>
          <w:i/>
          <w:sz w:val="20"/>
          <w:lang w:val="fr-CA"/>
        </w:rPr>
        <w:t>Doray</w:t>
      </w:r>
      <w:proofErr w:type="spellEnd"/>
      <w:r w:rsidRPr="007765E3">
        <w:rPr>
          <w:sz w:val="20"/>
          <w:lang w:val="fr-CA"/>
        </w:rPr>
        <w:t xml:space="preserve"> et </w:t>
      </w:r>
      <w:r w:rsidRPr="007765E3">
        <w:rPr>
          <w:i/>
          <w:sz w:val="20"/>
          <w:lang w:val="fr-CA"/>
        </w:rPr>
        <w:t xml:space="preserve">Loïc </w:t>
      </w:r>
      <w:proofErr w:type="spellStart"/>
      <w:r w:rsidRPr="007765E3">
        <w:rPr>
          <w:i/>
          <w:sz w:val="20"/>
          <w:lang w:val="fr-CA"/>
        </w:rPr>
        <w:t>Berdnikoff</w:t>
      </w:r>
      <w:proofErr w:type="spellEnd"/>
      <w:r w:rsidRPr="007765E3">
        <w:rPr>
          <w:sz w:val="20"/>
          <w:lang w:val="fr-CA"/>
        </w:rPr>
        <w:t>, pour les appelants.</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i/>
          <w:sz w:val="20"/>
          <w:lang w:val="fr-CA"/>
        </w:rPr>
        <w:tab/>
        <w:t>Sébastien Rochette</w:t>
      </w:r>
      <w:r w:rsidRPr="007765E3">
        <w:rPr>
          <w:sz w:val="20"/>
          <w:lang w:val="fr-CA"/>
        </w:rPr>
        <w:t xml:space="preserve"> et </w:t>
      </w:r>
      <w:r w:rsidRPr="007765E3">
        <w:rPr>
          <w:i/>
          <w:sz w:val="20"/>
          <w:lang w:val="fr-CA"/>
        </w:rPr>
        <w:t>Brigitte Bussières</w:t>
      </w:r>
      <w:r w:rsidRPr="007765E3">
        <w:rPr>
          <w:sz w:val="20"/>
          <w:lang w:val="fr-CA"/>
        </w:rPr>
        <w:t>, pour les intimées.</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i/>
          <w:sz w:val="20"/>
          <w:lang w:val="fr-CA"/>
        </w:rPr>
        <w:tab/>
        <w:t xml:space="preserve">François </w:t>
      </w:r>
      <w:proofErr w:type="spellStart"/>
      <w:r w:rsidRPr="007765E3">
        <w:rPr>
          <w:i/>
          <w:sz w:val="20"/>
          <w:lang w:val="fr-CA"/>
        </w:rPr>
        <w:t>Joyal</w:t>
      </w:r>
      <w:proofErr w:type="spellEnd"/>
      <w:r w:rsidRPr="007765E3">
        <w:rPr>
          <w:sz w:val="20"/>
          <w:lang w:val="fr-CA"/>
        </w:rPr>
        <w:t xml:space="preserve"> et </w:t>
      </w:r>
      <w:r w:rsidRPr="007765E3">
        <w:rPr>
          <w:i/>
          <w:sz w:val="20"/>
          <w:lang w:val="fr-CA"/>
        </w:rPr>
        <w:t>Catherine Lawrence</w:t>
      </w:r>
      <w:r w:rsidRPr="007765E3">
        <w:rPr>
          <w:sz w:val="20"/>
          <w:lang w:val="fr-CA"/>
        </w:rPr>
        <w:t>, pour l’intervenant le procureur général du Canada.</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i/>
          <w:sz w:val="20"/>
          <w:lang w:val="fr-CA"/>
        </w:rPr>
        <w:tab/>
        <w:t xml:space="preserve">Sarah </w:t>
      </w:r>
      <w:proofErr w:type="spellStart"/>
      <w:r w:rsidRPr="007765E3">
        <w:rPr>
          <w:i/>
          <w:sz w:val="20"/>
          <w:lang w:val="fr-CA"/>
        </w:rPr>
        <w:t>Kraicer</w:t>
      </w:r>
      <w:proofErr w:type="spellEnd"/>
      <w:r w:rsidRPr="007765E3">
        <w:rPr>
          <w:sz w:val="20"/>
          <w:lang w:val="fr-CA"/>
        </w:rPr>
        <w:t xml:space="preserve"> et </w:t>
      </w:r>
      <w:r w:rsidRPr="007765E3">
        <w:rPr>
          <w:i/>
          <w:sz w:val="20"/>
          <w:lang w:val="fr-CA"/>
        </w:rPr>
        <w:t>Josh Hunter</w:t>
      </w:r>
      <w:r w:rsidRPr="007765E3">
        <w:rPr>
          <w:sz w:val="20"/>
          <w:lang w:val="fr-CA"/>
        </w:rPr>
        <w:t>, pour l’intervenant le procureur général de l’Ontario.</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i/>
          <w:sz w:val="20"/>
          <w:lang w:val="fr-CA"/>
        </w:rPr>
        <w:tab/>
      </w:r>
      <w:proofErr w:type="spellStart"/>
      <w:r w:rsidRPr="007765E3">
        <w:rPr>
          <w:i/>
          <w:sz w:val="20"/>
          <w:lang w:val="fr-CA"/>
        </w:rPr>
        <w:t>Joel</w:t>
      </w:r>
      <w:proofErr w:type="spellEnd"/>
      <w:r w:rsidRPr="007765E3">
        <w:rPr>
          <w:i/>
          <w:sz w:val="20"/>
          <w:lang w:val="fr-CA"/>
        </w:rPr>
        <w:t xml:space="preserve"> Mercier</w:t>
      </w:r>
      <w:r w:rsidRPr="007765E3">
        <w:rPr>
          <w:sz w:val="20"/>
          <w:lang w:val="fr-CA"/>
        </w:rPr>
        <w:t xml:space="preserve"> et </w:t>
      </w:r>
      <w:r w:rsidRPr="007765E3">
        <w:rPr>
          <w:i/>
          <w:sz w:val="20"/>
          <w:lang w:val="fr-CA"/>
        </w:rPr>
        <w:t>Christine Baudouin</w:t>
      </w:r>
      <w:r w:rsidRPr="007765E3">
        <w:rPr>
          <w:sz w:val="20"/>
          <w:lang w:val="fr-CA"/>
        </w:rPr>
        <w:t>, pour l’intervenante la Conférence des juges de la Cour du Québec.</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lang w:val="fr-CA"/>
        </w:rPr>
      </w:pPr>
      <w:r w:rsidRPr="007765E3">
        <w:rPr>
          <w:i/>
          <w:sz w:val="20"/>
          <w:lang w:val="fr-CA"/>
        </w:rPr>
        <w:tab/>
        <w:t>J. Thomas Curry</w:t>
      </w:r>
      <w:r w:rsidRPr="007765E3">
        <w:rPr>
          <w:sz w:val="20"/>
          <w:lang w:val="fr-CA"/>
        </w:rPr>
        <w:t xml:space="preserve"> et </w:t>
      </w:r>
      <w:r w:rsidRPr="007765E3">
        <w:rPr>
          <w:i/>
          <w:sz w:val="20"/>
          <w:lang w:val="fr-CA"/>
        </w:rPr>
        <w:t>Paul</w:t>
      </w:r>
      <w:r w:rsidRPr="007765E3">
        <w:rPr>
          <w:i/>
          <w:sz w:val="20"/>
          <w:lang w:val="fr-CA"/>
        </w:rPr>
        <w:noBreakHyphen/>
        <w:t xml:space="preserve">Erik </w:t>
      </w:r>
      <w:proofErr w:type="spellStart"/>
      <w:r w:rsidRPr="007765E3">
        <w:rPr>
          <w:i/>
          <w:sz w:val="20"/>
          <w:lang w:val="fr-CA"/>
        </w:rPr>
        <w:t>Veel</w:t>
      </w:r>
      <w:proofErr w:type="spellEnd"/>
      <w:r w:rsidRPr="007765E3">
        <w:rPr>
          <w:sz w:val="20"/>
          <w:lang w:val="fr-CA"/>
        </w:rPr>
        <w:t>, pour l’intervenante l’Association des juges de paix de l’Ontario.</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LawFirm"/>
        <w:spacing w:line="240" w:lineRule="auto"/>
        <w:rPr>
          <w:sz w:val="20"/>
          <w:lang w:val="fr-CA"/>
        </w:rPr>
      </w:pPr>
      <w:r w:rsidRPr="007765E3">
        <w:rPr>
          <w:sz w:val="20"/>
          <w:lang w:val="fr-CA"/>
        </w:rPr>
        <w:tab/>
        <w:t>Procureurs des appelants : </w:t>
      </w:r>
      <w:proofErr w:type="spellStart"/>
      <w:r w:rsidRPr="007765E3">
        <w:rPr>
          <w:sz w:val="20"/>
          <w:lang w:val="fr-CA"/>
        </w:rPr>
        <w:t>Lavery</w:t>
      </w:r>
      <w:proofErr w:type="spellEnd"/>
      <w:r w:rsidRPr="007765E3">
        <w:rPr>
          <w:sz w:val="20"/>
          <w:lang w:val="fr-CA"/>
        </w:rPr>
        <w:t>, de Billy, Montréal.</w:t>
      </w:r>
    </w:p>
    <w:p w:rsidR="003D4D5B" w:rsidRPr="007765E3" w:rsidRDefault="003D4D5B" w:rsidP="003D4D5B">
      <w:pPr>
        <w:pStyle w:val="SCCNormalDoubleSpacing"/>
        <w:spacing w:line="240" w:lineRule="auto"/>
        <w:rPr>
          <w:lang w:val="fr-CA"/>
        </w:rPr>
      </w:pPr>
    </w:p>
    <w:p w:rsidR="003D4D5B" w:rsidRPr="007765E3" w:rsidRDefault="003D4D5B" w:rsidP="003D4D5B">
      <w:pPr>
        <w:pStyle w:val="SCCLawFirm"/>
        <w:spacing w:line="240" w:lineRule="auto"/>
        <w:rPr>
          <w:sz w:val="20"/>
          <w:lang w:val="fr-CA"/>
        </w:rPr>
      </w:pPr>
      <w:r w:rsidRPr="007765E3">
        <w:rPr>
          <w:sz w:val="20"/>
          <w:lang w:val="fr-CA"/>
        </w:rPr>
        <w:tab/>
        <w:t>Procureure des intimées : Procureure générale du Québec, Québec.</w:t>
      </w:r>
    </w:p>
    <w:p w:rsidR="003D4D5B" w:rsidRPr="007765E3" w:rsidRDefault="003D4D5B" w:rsidP="003D4D5B">
      <w:pPr>
        <w:pStyle w:val="SCCNormalDoubleSpacing"/>
        <w:spacing w:line="240" w:lineRule="auto"/>
        <w:rPr>
          <w:lang w:val="fr-CA"/>
        </w:rPr>
      </w:pPr>
    </w:p>
    <w:p w:rsidR="003D4D5B" w:rsidRPr="007765E3" w:rsidRDefault="003D4D5B" w:rsidP="003D4D5B">
      <w:pPr>
        <w:pStyle w:val="SCCLawFirm"/>
        <w:spacing w:line="240" w:lineRule="auto"/>
        <w:rPr>
          <w:sz w:val="20"/>
          <w:lang w:val="fr-CA"/>
        </w:rPr>
      </w:pPr>
      <w:r w:rsidRPr="007765E3">
        <w:rPr>
          <w:sz w:val="20"/>
          <w:lang w:val="fr-CA"/>
        </w:rPr>
        <w:tab/>
        <w:t>Procureur de l’intervenant le procureur général du Canada : Procureur général du Canada, Montréal et Ottawa.</w:t>
      </w:r>
    </w:p>
    <w:p w:rsidR="003D4D5B" w:rsidRPr="007765E3" w:rsidRDefault="003D4D5B" w:rsidP="003D4D5B">
      <w:pPr>
        <w:pStyle w:val="SCCNormalDoubleSpacing"/>
        <w:spacing w:line="240" w:lineRule="auto"/>
        <w:rPr>
          <w:lang w:val="fr-CA"/>
        </w:rPr>
      </w:pPr>
    </w:p>
    <w:p w:rsidR="003D4D5B" w:rsidRPr="007765E3" w:rsidRDefault="003D4D5B" w:rsidP="003D4D5B">
      <w:pPr>
        <w:pStyle w:val="SCCLawFirm"/>
        <w:spacing w:line="240" w:lineRule="auto"/>
        <w:rPr>
          <w:sz w:val="20"/>
          <w:lang w:val="fr-CA"/>
        </w:rPr>
      </w:pPr>
      <w:r w:rsidRPr="007765E3">
        <w:rPr>
          <w:sz w:val="20"/>
          <w:lang w:val="fr-CA"/>
        </w:rPr>
        <w:tab/>
        <w:t>Procureur de l’intervenant le procureur général de l’Ontario : Procureur général de l’Ontario, Toronto.</w:t>
      </w:r>
    </w:p>
    <w:p w:rsidR="003D4D5B" w:rsidRPr="007765E3" w:rsidRDefault="003D4D5B" w:rsidP="003D4D5B">
      <w:pPr>
        <w:pStyle w:val="SCCNormalDoubleSpacing"/>
        <w:spacing w:line="240" w:lineRule="auto"/>
        <w:rPr>
          <w:lang w:val="fr-CA"/>
        </w:rPr>
      </w:pPr>
    </w:p>
    <w:p w:rsidR="003D4D5B" w:rsidRPr="007765E3" w:rsidRDefault="003D4D5B" w:rsidP="003D4D5B">
      <w:pPr>
        <w:pStyle w:val="SCCLawFirm"/>
        <w:spacing w:line="240" w:lineRule="auto"/>
        <w:rPr>
          <w:sz w:val="20"/>
          <w:lang w:val="fr-CA"/>
        </w:rPr>
      </w:pPr>
      <w:r w:rsidRPr="007765E3">
        <w:rPr>
          <w:sz w:val="20"/>
          <w:lang w:val="fr-CA"/>
        </w:rPr>
        <w:tab/>
        <w:t>Procureurs de l’intervenante la Conférence des juges de la Cour du Québec : </w:t>
      </w:r>
      <w:proofErr w:type="spellStart"/>
      <w:r w:rsidRPr="007765E3">
        <w:rPr>
          <w:sz w:val="20"/>
          <w:lang w:val="fr-CA"/>
        </w:rPr>
        <w:t>Casavant</w:t>
      </w:r>
      <w:proofErr w:type="spellEnd"/>
      <w:r w:rsidRPr="007765E3">
        <w:rPr>
          <w:sz w:val="20"/>
          <w:lang w:val="fr-CA"/>
        </w:rPr>
        <w:t xml:space="preserve"> Mercier, Montréal.</w:t>
      </w:r>
    </w:p>
    <w:p w:rsidR="003D4D5B" w:rsidRPr="007765E3" w:rsidRDefault="003D4D5B" w:rsidP="003D4D5B">
      <w:pPr>
        <w:pStyle w:val="SCCNormalDoubleSpacing"/>
        <w:spacing w:line="240" w:lineRule="auto"/>
        <w:rPr>
          <w:lang w:val="fr-CA"/>
        </w:rPr>
      </w:pPr>
    </w:p>
    <w:p w:rsidR="003D4D5B" w:rsidRPr="007765E3" w:rsidRDefault="003D4D5B" w:rsidP="003D4D5B">
      <w:pPr>
        <w:pStyle w:val="SCCLawFirm"/>
        <w:spacing w:line="240" w:lineRule="auto"/>
        <w:rPr>
          <w:sz w:val="20"/>
          <w:lang w:val="fr-CA"/>
        </w:rPr>
      </w:pPr>
      <w:r w:rsidRPr="007765E3">
        <w:rPr>
          <w:sz w:val="20"/>
          <w:lang w:val="fr-CA"/>
        </w:rPr>
        <w:tab/>
        <w:t>Procureurs de l’intervenante l’Association des juges de paix de l’Ontario : </w:t>
      </w:r>
      <w:proofErr w:type="spellStart"/>
      <w:r w:rsidRPr="007765E3">
        <w:rPr>
          <w:sz w:val="20"/>
          <w:lang w:val="fr-CA"/>
        </w:rPr>
        <w:t>Lenczner</w:t>
      </w:r>
      <w:proofErr w:type="spellEnd"/>
      <w:r w:rsidRPr="007765E3">
        <w:rPr>
          <w:sz w:val="20"/>
          <w:lang w:val="fr-CA"/>
        </w:rPr>
        <w:t xml:space="preserve"> </w:t>
      </w:r>
      <w:proofErr w:type="spellStart"/>
      <w:r w:rsidRPr="007765E3">
        <w:rPr>
          <w:sz w:val="20"/>
          <w:lang w:val="fr-CA"/>
        </w:rPr>
        <w:t>Slaght</w:t>
      </w:r>
      <w:proofErr w:type="spellEnd"/>
      <w:r w:rsidRPr="007765E3">
        <w:rPr>
          <w:sz w:val="20"/>
          <w:lang w:val="fr-CA"/>
        </w:rPr>
        <w:t xml:space="preserve"> Royce Smith Griffin, Toronto.</w:t>
      </w:r>
    </w:p>
    <w:p w:rsidR="0052229C" w:rsidRPr="007765E3" w:rsidRDefault="0052229C" w:rsidP="0052229C">
      <w:pPr>
        <w:pStyle w:val="SCCLawFirm"/>
        <w:spacing w:line="240" w:lineRule="auto"/>
        <w:rPr>
          <w:sz w:val="20"/>
          <w:lang w:val="fr-CA"/>
        </w:rPr>
      </w:pPr>
    </w:p>
    <w:p w:rsidR="0052229C" w:rsidRPr="007765E3" w:rsidRDefault="0052229C" w:rsidP="0052229C">
      <w:pPr>
        <w:rPr>
          <w:rFonts w:cs="Times New Roman"/>
          <w:sz w:val="20"/>
          <w:szCs w:val="20"/>
        </w:rPr>
      </w:pPr>
      <w:r w:rsidRPr="007765E3">
        <w:rPr>
          <w:rFonts w:cs="Times New Roman"/>
          <w:sz w:val="20"/>
          <w:szCs w:val="20"/>
        </w:rPr>
        <w:t>________________________</w:t>
      </w:r>
    </w:p>
    <w:p w:rsidR="0052229C" w:rsidRPr="007765E3" w:rsidRDefault="0052229C" w:rsidP="0052229C">
      <w:pPr>
        <w:rPr>
          <w:rFonts w:cs="Times New Roman"/>
          <w:sz w:val="20"/>
          <w:szCs w:val="20"/>
        </w:rPr>
      </w:pPr>
    </w:p>
    <w:p w:rsidR="003D4D5B" w:rsidRPr="007765E3" w:rsidRDefault="003D4D5B" w:rsidP="0052229C">
      <w:pPr>
        <w:rPr>
          <w:rFonts w:cs="Times New Roman"/>
          <w:sz w:val="20"/>
          <w:szCs w:val="20"/>
        </w:rPr>
      </w:pPr>
    </w:p>
    <w:p w:rsidR="003D4D5B" w:rsidRPr="007765E3" w:rsidRDefault="003D4D5B" w:rsidP="003D4D5B">
      <w:pPr>
        <w:jc w:val="both"/>
        <w:rPr>
          <w:sz w:val="20"/>
          <w:szCs w:val="20"/>
        </w:rPr>
      </w:pPr>
      <w:r w:rsidRPr="007765E3">
        <w:rPr>
          <w:sz w:val="20"/>
          <w:szCs w:val="20"/>
        </w:rPr>
        <w:t xml:space="preserve">Present: </w:t>
      </w:r>
      <w:proofErr w:type="spellStart"/>
      <w:r w:rsidRPr="007765E3">
        <w:rPr>
          <w:sz w:val="20"/>
          <w:szCs w:val="20"/>
        </w:rPr>
        <w:t>McLachlin</w:t>
      </w:r>
      <w:proofErr w:type="spellEnd"/>
      <w:r w:rsidRPr="007765E3">
        <w:rPr>
          <w:sz w:val="20"/>
          <w:szCs w:val="20"/>
        </w:rPr>
        <w:t xml:space="preserve"> C.J. and </w:t>
      </w:r>
      <w:proofErr w:type="spellStart"/>
      <w:r w:rsidRPr="007765E3">
        <w:rPr>
          <w:sz w:val="20"/>
          <w:szCs w:val="20"/>
        </w:rPr>
        <w:t>Abella</w:t>
      </w:r>
      <w:proofErr w:type="spellEnd"/>
      <w:r w:rsidRPr="007765E3">
        <w:rPr>
          <w:sz w:val="20"/>
          <w:szCs w:val="20"/>
        </w:rPr>
        <w:t xml:space="preserve">, Cromwell, </w:t>
      </w:r>
      <w:proofErr w:type="spellStart"/>
      <w:r w:rsidRPr="007765E3">
        <w:rPr>
          <w:sz w:val="20"/>
          <w:szCs w:val="20"/>
        </w:rPr>
        <w:t>Moldaver</w:t>
      </w:r>
      <w:proofErr w:type="spellEnd"/>
      <w:r w:rsidRPr="007765E3">
        <w:rPr>
          <w:sz w:val="20"/>
          <w:szCs w:val="20"/>
        </w:rPr>
        <w:t xml:space="preserve">, </w:t>
      </w:r>
      <w:proofErr w:type="spellStart"/>
      <w:r w:rsidRPr="007765E3">
        <w:rPr>
          <w:sz w:val="20"/>
          <w:szCs w:val="20"/>
        </w:rPr>
        <w:t>Karakatsanis</w:t>
      </w:r>
      <w:proofErr w:type="spellEnd"/>
      <w:r w:rsidRPr="007765E3">
        <w:rPr>
          <w:sz w:val="20"/>
          <w:szCs w:val="20"/>
        </w:rPr>
        <w:t xml:space="preserve">, Wagner, </w:t>
      </w:r>
      <w:proofErr w:type="spellStart"/>
      <w:r w:rsidRPr="007765E3">
        <w:rPr>
          <w:sz w:val="20"/>
          <w:szCs w:val="20"/>
        </w:rPr>
        <w:t>Gascon</w:t>
      </w:r>
      <w:proofErr w:type="spellEnd"/>
      <w:r w:rsidRPr="007765E3">
        <w:rPr>
          <w:sz w:val="20"/>
          <w:szCs w:val="20"/>
        </w:rPr>
        <w:t xml:space="preserve">, </w:t>
      </w:r>
      <w:proofErr w:type="spellStart"/>
      <w:r w:rsidRPr="007765E3">
        <w:rPr>
          <w:sz w:val="20"/>
          <w:szCs w:val="20"/>
        </w:rPr>
        <w:t>Côté</w:t>
      </w:r>
      <w:proofErr w:type="spellEnd"/>
      <w:r w:rsidRPr="007765E3">
        <w:rPr>
          <w:sz w:val="20"/>
          <w:szCs w:val="20"/>
        </w:rPr>
        <w:t xml:space="preserve"> and Brown JJ.</w:t>
      </w:r>
    </w:p>
    <w:p w:rsidR="003D4D5B" w:rsidRPr="007765E3" w:rsidRDefault="003D4D5B" w:rsidP="003D4D5B">
      <w:pPr>
        <w:pStyle w:val="SCCNormalDoubleSpacing"/>
        <w:spacing w:line="240" w:lineRule="auto"/>
        <w:rPr>
          <w:i/>
          <w:sz w:val="20"/>
          <w:lang w:val="en-US"/>
        </w:rPr>
      </w:pPr>
    </w:p>
    <w:p w:rsidR="003D4D5B" w:rsidRPr="007765E3" w:rsidRDefault="003D4D5B" w:rsidP="003D4D5B">
      <w:pPr>
        <w:pStyle w:val="SCCNormalDoubleSpacing"/>
        <w:spacing w:line="240" w:lineRule="auto"/>
        <w:rPr>
          <w:i/>
          <w:sz w:val="20"/>
        </w:rPr>
      </w:pPr>
      <w:r w:rsidRPr="007765E3">
        <w:rPr>
          <w:i/>
          <w:sz w:val="20"/>
          <w:lang w:val="en-US"/>
        </w:rPr>
        <w:tab/>
        <w:t xml:space="preserve">Constitutional law </w:t>
      </w:r>
      <w:r w:rsidRPr="007765E3">
        <w:rPr>
          <w:i/>
          <w:sz w:val="20"/>
        </w:rPr>
        <w:t>—</w:t>
      </w:r>
      <w:r w:rsidRPr="007765E3">
        <w:rPr>
          <w:i/>
          <w:sz w:val="20"/>
          <w:lang w:val="en-US"/>
        </w:rPr>
        <w:t xml:space="preserve"> Judicial independence </w:t>
      </w:r>
      <w:r w:rsidRPr="007765E3">
        <w:rPr>
          <w:i/>
          <w:sz w:val="20"/>
        </w:rPr>
        <w:t>—</w:t>
      </w:r>
      <w:r w:rsidRPr="007765E3">
        <w:rPr>
          <w:i/>
          <w:sz w:val="20"/>
          <w:lang w:val="en-US"/>
        </w:rPr>
        <w:t xml:space="preserve"> Financial security</w:t>
      </w:r>
      <w:r w:rsidRPr="007765E3">
        <w:rPr>
          <w:i/>
          <w:sz w:val="20"/>
        </w:rPr>
        <w:t xml:space="preserve"> — Justices of peace — Judicial reform — Provincial legislation amending </w:t>
      </w:r>
      <w:r w:rsidRPr="007765E3">
        <w:rPr>
          <w:i/>
          <w:sz w:val="20"/>
          <w:lang w:val="en-US"/>
        </w:rPr>
        <w:t xml:space="preserve">status of justices of peace, including </w:t>
      </w:r>
      <w:r w:rsidRPr="007765E3">
        <w:rPr>
          <w:i/>
          <w:sz w:val="20"/>
        </w:rPr>
        <w:t>employment conditions,</w:t>
      </w:r>
      <w:r w:rsidRPr="007765E3">
        <w:rPr>
          <w:i/>
          <w:sz w:val="20"/>
          <w:lang w:val="en-US"/>
        </w:rPr>
        <w:t xml:space="preserve"> remuneration</w:t>
      </w:r>
      <w:r w:rsidRPr="007765E3">
        <w:rPr>
          <w:i/>
          <w:sz w:val="20"/>
        </w:rPr>
        <w:t xml:space="preserve"> and pension plan — Whether new judicial office created — Whether c</w:t>
      </w:r>
      <w:proofErr w:type="spellStart"/>
      <w:r w:rsidRPr="007765E3">
        <w:rPr>
          <w:i/>
          <w:sz w:val="20"/>
          <w:lang w:val="en-US"/>
        </w:rPr>
        <w:t>ommittee</w:t>
      </w:r>
      <w:proofErr w:type="spellEnd"/>
      <w:r w:rsidRPr="007765E3">
        <w:rPr>
          <w:i/>
          <w:sz w:val="20"/>
          <w:lang w:val="en-US"/>
        </w:rPr>
        <w:t xml:space="preserve"> review of remuneration and pension plan necessary and if so, when should review occur </w:t>
      </w:r>
      <w:r w:rsidRPr="007765E3">
        <w:rPr>
          <w:i/>
          <w:sz w:val="20"/>
        </w:rPr>
        <w:t>—</w:t>
      </w:r>
      <w:r w:rsidRPr="007765E3">
        <w:rPr>
          <w:i/>
          <w:sz w:val="20"/>
          <w:lang w:val="en-US"/>
        </w:rPr>
        <w:t xml:space="preserve"> </w:t>
      </w:r>
      <w:r w:rsidRPr="007765E3">
        <w:rPr>
          <w:i/>
          <w:sz w:val="20"/>
        </w:rPr>
        <w:t>Whether legislation infringes constitutional guarantee of judicial independence</w:t>
      </w:r>
      <w:r w:rsidRPr="007765E3">
        <w:rPr>
          <w:i/>
          <w:sz w:val="20"/>
          <w:lang w:val="en-US"/>
        </w:rPr>
        <w:t xml:space="preserve"> </w:t>
      </w:r>
      <w:r w:rsidRPr="007765E3">
        <w:rPr>
          <w:i/>
          <w:sz w:val="20"/>
        </w:rPr>
        <w:t xml:space="preserve">— If so, whether infringement justifiable — Constitution Act, 1867, preamble — Canadian Charter of Rights and Freedoms, ss. 1, 11(d) — </w:t>
      </w:r>
      <w:r w:rsidRPr="007765E3">
        <w:rPr>
          <w:i/>
          <w:sz w:val="20"/>
          <w:lang w:val="en-US"/>
        </w:rPr>
        <w:t xml:space="preserve">Act to amend the Courts of Justice Act and other legislative provisions as regards the status of justices of the peace, </w:t>
      </w:r>
      <w:r w:rsidRPr="007765E3">
        <w:rPr>
          <w:i/>
          <w:sz w:val="20"/>
        </w:rPr>
        <w:t xml:space="preserve">S.Q. 2004, c. 12, ss. 27, 30 and 32 — </w:t>
      </w:r>
      <w:proofErr w:type="spellStart"/>
      <w:r w:rsidRPr="007765E3">
        <w:rPr>
          <w:i/>
          <w:sz w:val="20"/>
          <w:lang w:val="en-US"/>
        </w:rPr>
        <w:t>Décret</w:t>
      </w:r>
      <w:proofErr w:type="spellEnd"/>
      <w:r w:rsidRPr="007765E3">
        <w:rPr>
          <w:i/>
          <w:sz w:val="20"/>
          <w:lang w:val="en-US"/>
        </w:rPr>
        <w:t xml:space="preserve"> 932</w:t>
      </w:r>
      <w:r w:rsidRPr="007765E3">
        <w:rPr>
          <w:i/>
          <w:sz w:val="20"/>
          <w:lang w:val="en-US"/>
        </w:rPr>
        <w:noBreakHyphen/>
        <w:t>2008, (2008) 140 G.O. 2, 5681</w:t>
      </w:r>
      <w:r w:rsidRPr="007765E3">
        <w:rPr>
          <w:i/>
          <w:sz w:val="20"/>
        </w:rPr>
        <w:t>.</w:t>
      </w:r>
    </w:p>
    <w:p w:rsidR="003D4D5B" w:rsidRPr="007765E3" w:rsidRDefault="003D4D5B" w:rsidP="003D4D5B">
      <w:pPr>
        <w:pStyle w:val="SCCNormalDoubleSpacing"/>
        <w:spacing w:line="240" w:lineRule="auto"/>
        <w:rPr>
          <w:i/>
          <w:sz w:val="20"/>
        </w:rPr>
      </w:pPr>
    </w:p>
    <w:p w:rsidR="003D4D5B" w:rsidRPr="007765E3" w:rsidRDefault="003D4D5B" w:rsidP="003D4D5B">
      <w:pPr>
        <w:pStyle w:val="SCCNormalDoubleSpacing"/>
        <w:spacing w:line="240" w:lineRule="auto"/>
        <w:rPr>
          <w:i/>
          <w:sz w:val="20"/>
        </w:rPr>
      </w:pPr>
      <w:r w:rsidRPr="007765E3">
        <w:rPr>
          <w:i/>
          <w:sz w:val="20"/>
        </w:rPr>
        <w:lastRenderedPageBreak/>
        <w:tab/>
        <w:t>Constitutional law — Judicial independence — Financial security — Pensions — Justices of peace — Judicial reform — Section 178 of Courts of Justice Act, CQLR, c. T</w:t>
      </w:r>
      <w:r w:rsidRPr="007765E3">
        <w:rPr>
          <w:i/>
          <w:sz w:val="20"/>
        </w:rPr>
        <w:noBreakHyphen/>
        <w:t>16, mandates participation of justices of peace in public service pension plan — Whether pension plan, as part of overall remuneration, meets minimum constitutional threshold required for judicial office.</w:t>
      </w:r>
    </w:p>
    <w:p w:rsidR="003D4D5B" w:rsidRPr="007765E3" w:rsidRDefault="003D4D5B" w:rsidP="003D4D5B">
      <w:pPr>
        <w:pStyle w:val="SCCNormalDoubleSpacing"/>
        <w:spacing w:line="240" w:lineRule="auto"/>
        <w:rPr>
          <w:i/>
          <w:sz w:val="20"/>
        </w:rPr>
      </w:pPr>
    </w:p>
    <w:p w:rsidR="003D4D5B" w:rsidRPr="007765E3" w:rsidRDefault="003D4D5B" w:rsidP="003D4D5B">
      <w:pPr>
        <w:pStyle w:val="SCCNormalDoubleSpacing"/>
        <w:spacing w:line="240" w:lineRule="auto"/>
        <w:rPr>
          <w:sz w:val="20"/>
          <w:lang w:val="en-US"/>
        </w:rPr>
      </w:pPr>
      <w:r w:rsidRPr="007765E3">
        <w:rPr>
          <w:sz w:val="20"/>
        </w:rPr>
        <w:tab/>
        <w:t xml:space="preserve">In 2004, the Quebec government reformed its justices of the peace regime in response to a Court of Appeal judgment declaring that the existing regime violated the tenure security guarantee of judicial independence. </w:t>
      </w:r>
      <w:r w:rsidRPr="007765E3">
        <w:rPr>
          <w:sz w:val="20"/>
          <w:lang w:val="en-US"/>
        </w:rPr>
        <w:t>Six sitting justices of the peace were transitioned to the new regime, with the same remuneration as before; however, justices newly appointed to that office received a lower remuneration. None of the legislative provisions affecting remuneration were put to a reviewing committee before 2007, which then made recommendations only on a forward</w:t>
      </w:r>
      <w:r w:rsidRPr="007765E3">
        <w:rPr>
          <w:sz w:val="20"/>
          <w:lang w:val="en-US"/>
        </w:rPr>
        <w:noBreakHyphen/>
        <w:t xml:space="preserve">looking basis. In 2008, the </w:t>
      </w:r>
      <w:proofErr w:type="spellStart"/>
      <w:r w:rsidRPr="007765E3">
        <w:rPr>
          <w:sz w:val="20"/>
          <w:lang w:val="en-US"/>
        </w:rPr>
        <w:t>Conférence</w:t>
      </w:r>
      <w:proofErr w:type="spellEnd"/>
      <w:r w:rsidRPr="007765E3">
        <w:rPr>
          <w:sz w:val="20"/>
          <w:lang w:val="en-US"/>
        </w:rPr>
        <w:t xml:space="preserve"> des </w:t>
      </w:r>
      <w:proofErr w:type="spellStart"/>
      <w:r w:rsidRPr="007765E3">
        <w:rPr>
          <w:sz w:val="20"/>
          <w:lang w:val="en-US"/>
        </w:rPr>
        <w:t>juges</w:t>
      </w:r>
      <w:proofErr w:type="spellEnd"/>
      <w:r w:rsidRPr="007765E3">
        <w:rPr>
          <w:sz w:val="20"/>
          <w:lang w:val="en-US"/>
        </w:rPr>
        <w:t xml:space="preserve"> de </w:t>
      </w:r>
      <w:proofErr w:type="spellStart"/>
      <w:r w:rsidRPr="007765E3">
        <w:rPr>
          <w:sz w:val="20"/>
          <w:lang w:val="en-US"/>
        </w:rPr>
        <w:t>paix</w:t>
      </w:r>
      <w:proofErr w:type="spellEnd"/>
      <w:r w:rsidRPr="007765E3">
        <w:rPr>
          <w:sz w:val="20"/>
          <w:lang w:val="en-US"/>
        </w:rPr>
        <w:t xml:space="preserve"> </w:t>
      </w:r>
      <w:proofErr w:type="spellStart"/>
      <w:r w:rsidRPr="007765E3">
        <w:rPr>
          <w:sz w:val="20"/>
          <w:lang w:val="en-US"/>
        </w:rPr>
        <w:t>magistrats</w:t>
      </w:r>
      <w:proofErr w:type="spellEnd"/>
      <w:r w:rsidRPr="007765E3">
        <w:rPr>
          <w:sz w:val="20"/>
          <w:lang w:val="en-US"/>
        </w:rPr>
        <w:t xml:space="preserve"> du Québec and its individual members (presiding justices of the peace (“PJPs”)) challenged ss. 27, 30 and 32 of the</w:t>
      </w:r>
      <w:r w:rsidRPr="007765E3">
        <w:rPr>
          <w:i/>
          <w:sz w:val="20"/>
          <w:lang w:val="en-US"/>
        </w:rPr>
        <w:t xml:space="preserve"> Act to amend the Courts of Justice Act and other legislative provisions as regards the status of justices of the peace</w:t>
      </w:r>
      <w:r w:rsidRPr="007765E3">
        <w:rPr>
          <w:sz w:val="20"/>
          <w:lang w:val="en-US"/>
        </w:rPr>
        <w:t xml:space="preserve"> (the “amending Act”) and executive Order 932</w:t>
      </w:r>
      <w:r w:rsidRPr="007765E3">
        <w:rPr>
          <w:sz w:val="20"/>
          <w:lang w:val="en-US"/>
        </w:rPr>
        <w:noBreakHyphen/>
        <w:t xml:space="preserve">2008, </w:t>
      </w:r>
      <w:r w:rsidRPr="007765E3">
        <w:rPr>
          <w:sz w:val="20"/>
        </w:rPr>
        <w:t>as infringing</w:t>
      </w:r>
      <w:r w:rsidRPr="007765E3">
        <w:rPr>
          <w:sz w:val="20"/>
          <w:lang w:val="en-US"/>
        </w:rPr>
        <w:t xml:space="preserve"> the financial security guarantee of judicial independence. In addition, the PJPs argued that s. 178 of the </w:t>
      </w:r>
      <w:r w:rsidRPr="007765E3">
        <w:rPr>
          <w:i/>
          <w:sz w:val="20"/>
          <w:lang w:val="en-US"/>
        </w:rPr>
        <w:t>Courts of Justice Act</w:t>
      </w:r>
      <w:r w:rsidRPr="007765E3">
        <w:rPr>
          <w:sz w:val="20"/>
          <w:lang w:val="en-US"/>
        </w:rPr>
        <w:t xml:space="preserve"> (“</w:t>
      </w:r>
      <w:r w:rsidRPr="007765E3">
        <w:rPr>
          <w:i/>
          <w:sz w:val="20"/>
          <w:lang w:val="en-US"/>
        </w:rPr>
        <w:t>CJA</w:t>
      </w:r>
      <w:r w:rsidRPr="007765E3">
        <w:rPr>
          <w:sz w:val="20"/>
          <w:lang w:val="en-US"/>
        </w:rPr>
        <w:t>”)</w:t>
      </w:r>
      <w:r w:rsidRPr="007765E3">
        <w:rPr>
          <w:sz w:val="20"/>
        </w:rPr>
        <w:t>, which mandates</w:t>
      </w:r>
      <w:r w:rsidRPr="007765E3">
        <w:rPr>
          <w:sz w:val="20"/>
          <w:lang w:val="en-US"/>
        </w:rPr>
        <w:t xml:space="preserve"> their participation in the public service Pension Plan of Management Personnel, also infringes the financial security guarantee. Both the Superior Court and the Court of Appeal, in turn, found no violation of judicial independence because the provisions were part of a reform resulting in the creation of a new judicial office.</w:t>
      </w:r>
    </w:p>
    <w:p w:rsidR="003D4D5B" w:rsidRPr="007765E3" w:rsidRDefault="003D4D5B" w:rsidP="003D4D5B">
      <w:pPr>
        <w:pStyle w:val="SCCNormalDoubleSpacing"/>
        <w:spacing w:line="240" w:lineRule="auto"/>
        <w:rPr>
          <w:i/>
          <w:sz w:val="20"/>
        </w:rPr>
      </w:pPr>
    </w:p>
    <w:p w:rsidR="003D4D5B" w:rsidRPr="007765E3" w:rsidRDefault="003D4D5B" w:rsidP="003D4D5B">
      <w:pPr>
        <w:pStyle w:val="SCCNormalDoubleSpacing"/>
        <w:spacing w:line="240" w:lineRule="auto"/>
        <w:rPr>
          <w:sz w:val="20"/>
        </w:rPr>
      </w:pPr>
      <w:r w:rsidRPr="007765E3">
        <w:rPr>
          <w:i/>
          <w:sz w:val="20"/>
        </w:rPr>
        <w:tab/>
        <w:t>Held:</w:t>
      </w:r>
      <w:r w:rsidRPr="007765E3">
        <w:rPr>
          <w:sz w:val="20"/>
        </w:rPr>
        <w:t xml:space="preserve"> The appeal should be</w:t>
      </w:r>
      <w:r w:rsidRPr="007765E3">
        <w:rPr>
          <w:i/>
          <w:sz w:val="20"/>
        </w:rPr>
        <w:t xml:space="preserve"> </w:t>
      </w:r>
      <w:r w:rsidRPr="007765E3">
        <w:rPr>
          <w:sz w:val="20"/>
        </w:rPr>
        <w:t xml:space="preserve">allowed in part. Sections 27, 30 and 32 of </w:t>
      </w:r>
      <w:r w:rsidRPr="007765E3">
        <w:rPr>
          <w:sz w:val="20"/>
          <w:lang w:val="en-US"/>
        </w:rPr>
        <w:t>the</w:t>
      </w:r>
      <w:r w:rsidRPr="007765E3">
        <w:rPr>
          <w:i/>
          <w:sz w:val="20"/>
          <w:lang w:val="en-US"/>
        </w:rPr>
        <w:t xml:space="preserve"> Act to amend the Courts of Justice Act and other legislative provisions as regards the status of justices of the peace</w:t>
      </w:r>
      <w:r w:rsidRPr="007765E3">
        <w:rPr>
          <w:sz w:val="20"/>
          <w:lang w:val="en-US"/>
        </w:rPr>
        <w:t xml:space="preserve"> </w:t>
      </w:r>
      <w:r w:rsidRPr="007765E3">
        <w:rPr>
          <w:sz w:val="20"/>
        </w:rPr>
        <w:t>are unconstitutional.</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tab/>
        <w:t>A judicial reform may raise questions of judicial independence both for judges occupying offices that are reformed or abolished, and for judges appointed to newly created positions. Any measure that affects remuneration will automatically trigger the institutional dimension of financial security. The initial remuneration for the new office must meet the constitutional minimum required to ensure judicial integrity. Without committee review of the initial remuneration, there is no guarantee that the constitutional minimum is met. A review is also required where the new judges were transferred from an old judicial office. The government should not be able to replace one office with another, adjust the jurisdiction, transfer the judges and change the remuneration, without any safeguards. Because sitting judges are in an existing relationship with the government, their relationship is more susceptible to the risk of manipulation. This warrants additional protection for sitting judges. Thus, while the government retains the discretion to set the remuneration of newly appointed judges, it cannot change the remuneration of sitting judges until after committee review.</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tab/>
        <w:t xml:space="preserve">To protect judicial independence when a new judicial office is created, all remuneration must be reviewed within a reasonable time. A reasonable time refers to the time required to implement a judicial reform, to establish the appropriate review committee and to ensure proper participation by the new judges. It will generally be measured in months, and not in years. </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tab/>
        <w:t xml:space="preserve">In the context of a judicial reform, the same reasons that justify deferring committee review of the remuneration for newly appointed judges apply equally to sitting judges who are transferred to a new office. Requiring prior review for sitting judges would create delays for judicial reforms that are in the public interest, potentially prolong an unconstitutional judicial regime, undermine judicial independence and negatively impact public perception. The principle of judicial independence exists for the benefit of the public, not for the judge. Viewed from the perspective of the public, a review within a reasonable time for all judges is an effective safeguard for financial security, even if some judges were previously serving in another judicial office. </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tab/>
        <w:t>In determining whether a judicial office has merely been changed, or a new judicial office has been created,</w:t>
      </w:r>
      <w:r w:rsidRPr="007765E3">
        <w:rPr>
          <w:sz w:val="20"/>
          <w:lang w:val="en-US"/>
        </w:rPr>
        <w:t xml:space="preserve"> </w:t>
      </w:r>
      <w:r w:rsidRPr="007765E3">
        <w:rPr>
          <w:sz w:val="20"/>
        </w:rPr>
        <w:t xml:space="preserve">the judicial function and the conditions of employment, including tenure, financial security, selection and administrative independence, are relevant considerations. In this case, the 2004 reform created a new judicial office. The PJPs have a different jurisdiction than under the previous regime: they do not have jurisdiction to preside over bail hearings and do not hear summary prosecutions under Part XXVII of the </w:t>
      </w:r>
      <w:r w:rsidRPr="007765E3">
        <w:rPr>
          <w:i/>
          <w:sz w:val="20"/>
        </w:rPr>
        <w:t>Criminal Code</w:t>
      </w:r>
      <w:r w:rsidRPr="007765E3">
        <w:rPr>
          <w:sz w:val="20"/>
        </w:rPr>
        <w:t xml:space="preserve">. In addition, the PJPs now benefit from greater judicial independence guarantees: they enjoy tenure until the age of 70; their remuneration and other benefits are subject to periodic committee review; their selection criteria are set out in the </w:t>
      </w:r>
      <w:r w:rsidRPr="007765E3">
        <w:rPr>
          <w:i/>
          <w:sz w:val="20"/>
        </w:rPr>
        <w:t>CJA</w:t>
      </w:r>
      <w:r w:rsidRPr="007765E3">
        <w:rPr>
          <w:sz w:val="20"/>
        </w:rPr>
        <w:t xml:space="preserve">; and finally, they are integrated into the Court of Québec and are thus subject to the authority of its Chief Judge. </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lastRenderedPageBreak/>
        <w:tab/>
        <w:t>Because the reform created a new judicial office, the remuneration of all the judges appointed to it (whether they were appointed for the first time or transferred from another office) needed to be reviewed retroactively, within a reasonable time after their appointment. Section 32 of the amending Act prohibits any review of the remuneration before 2007, although the judicial office was established in 2004. This contravenes the constitutional requirement that the initial remuneration of judges occupying a new office be reviewed by a committee within a reasonable time after their appointment. There were no compelling reasons why a review could not proceed before 2007. Three years is not a reasonable time. As such, s. 32 of the amending Act infringes the financial security guarantee of judicial independence. In addition, as ss. 27 and 30 provide for a freeze in the remuneration of the sitting judges and the establishment of the remuneration of the newly appointed judges, respectively, without referencing the need to retroactively submit the remuneration to a committee, these sections also infringe judicial independence. Finally, s. 27 infringes judicial independence because it freezes the remuneration of sitting judges before a committee has reviewed this remuneration, contrary to the financial security guarantee. As for the salary gap between the sitting judges and those newly appointed, the gap, by itself, did not infringe the financial security guarantee.</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tab/>
        <w:t>As ss. 27, 30 and 32 of the amending Act did not provide for retroactive</w:t>
      </w:r>
      <w:r w:rsidRPr="007765E3">
        <w:rPr>
          <w:sz w:val="20"/>
          <w:lang w:val="en-US"/>
        </w:rPr>
        <w:t xml:space="preserve"> committee review within a reasonable time, these sections </w:t>
      </w:r>
      <w:r w:rsidRPr="007765E3">
        <w:rPr>
          <w:sz w:val="20"/>
        </w:rPr>
        <w:t>infringe the institutional financial security guarantee of judicial independence, and are thus contrary to s. 11(</w:t>
      </w:r>
      <w:r w:rsidRPr="007765E3">
        <w:rPr>
          <w:i/>
          <w:sz w:val="20"/>
        </w:rPr>
        <w:t>d</w:t>
      </w:r>
      <w:r w:rsidRPr="007765E3">
        <w:rPr>
          <w:sz w:val="20"/>
        </w:rPr>
        <w:t xml:space="preserve">) of the </w:t>
      </w:r>
      <w:r w:rsidRPr="007765E3">
        <w:rPr>
          <w:i/>
          <w:sz w:val="20"/>
        </w:rPr>
        <w:t>Charter</w:t>
      </w:r>
      <w:r w:rsidRPr="007765E3">
        <w:rPr>
          <w:sz w:val="20"/>
        </w:rPr>
        <w:t xml:space="preserve"> and the preamble to the </w:t>
      </w:r>
      <w:r w:rsidRPr="007765E3">
        <w:rPr>
          <w:i/>
          <w:sz w:val="20"/>
        </w:rPr>
        <w:t>Constitution Act, 1867</w:t>
      </w:r>
      <w:r w:rsidRPr="007765E3">
        <w:rPr>
          <w:sz w:val="20"/>
        </w:rPr>
        <w:t xml:space="preserve">. This infringement of judicial independence is not justified under s. 1 of the </w:t>
      </w:r>
      <w:r w:rsidRPr="007765E3">
        <w:rPr>
          <w:i/>
          <w:sz w:val="20"/>
        </w:rPr>
        <w:t>Charter</w:t>
      </w:r>
      <w:r w:rsidRPr="007765E3">
        <w:rPr>
          <w:sz w:val="20"/>
        </w:rPr>
        <w:t xml:space="preserve">, because there is no evidence of a dire and exceptional financial emergency. Therefore, ss. 27, 30 and 32 are unconstitutional. Because the infringement arises from the lack of committee review between 2004 and 2007, a review for this period is required for all PJPs as a remedy. The committee must consider all factors bearing on remuneration, including the remuneration of the previous judicial office. While the guarantee of judicial independence was compromised between 2004 and 2007, however, the judicial decisions rendered by the PJPs throughout that period are valid. </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tab/>
        <w:t>Since the government complied with its constitutional obligation to periodically submit PJPs remuneration to a committee from 2007 onwards, public confidence in judicial independence was in no way undermined for that later period. As such, there was no violation of judicial independence after 2007 and no defect in the executive Order 932</w:t>
      </w:r>
      <w:r w:rsidRPr="007765E3">
        <w:rPr>
          <w:sz w:val="20"/>
        </w:rPr>
        <w:noBreakHyphen/>
        <w:t>2008. Moreover, any impact that the lack of committee review from 2004 to 2007 may have had on PJPs remuneration after 2007 cannot be said to have raised constitutional concerns.</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sz w:val="20"/>
        </w:rPr>
        <w:tab/>
        <w:t xml:space="preserve">Finally, s. 178 of the </w:t>
      </w:r>
      <w:r w:rsidRPr="007765E3">
        <w:rPr>
          <w:i/>
          <w:sz w:val="20"/>
        </w:rPr>
        <w:t>CJA</w:t>
      </w:r>
      <w:r w:rsidRPr="007765E3">
        <w:rPr>
          <w:sz w:val="20"/>
        </w:rPr>
        <w:t xml:space="preserve"> is valid.</w:t>
      </w:r>
      <w:r w:rsidRPr="007765E3">
        <w:rPr>
          <w:sz w:val="20"/>
          <w:lang w:val="en-US"/>
        </w:rPr>
        <w:t xml:space="preserve"> While the </w:t>
      </w:r>
      <w:r w:rsidRPr="007765E3">
        <w:rPr>
          <w:sz w:val="20"/>
        </w:rPr>
        <w:t>Pension Plan of Management Personnel</w:t>
      </w:r>
      <w:r w:rsidRPr="007765E3">
        <w:rPr>
          <w:sz w:val="20"/>
          <w:lang w:val="en-US"/>
        </w:rPr>
        <w:t xml:space="preserve"> may not be as beneficial as that of the judges of the </w:t>
      </w:r>
      <w:r w:rsidRPr="007765E3">
        <w:rPr>
          <w:sz w:val="20"/>
        </w:rPr>
        <w:t>Court of Québec</w:t>
      </w:r>
      <w:r w:rsidRPr="007765E3">
        <w:rPr>
          <w:sz w:val="20"/>
          <w:lang w:val="en-US"/>
        </w:rPr>
        <w:t xml:space="preserve">, as part of overall remuneration, it meets the minimum constitutional threshold required for the office of a judge such that the PJPs are not </w:t>
      </w:r>
      <w:r w:rsidRPr="007765E3">
        <w:rPr>
          <w:sz w:val="20"/>
        </w:rPr>
        <w:t>perceived as susceptible to political pressure through economic manipulation.</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b/>
          <w:sz w:val="20"/>
        </w:rPr>
      </w:pPr>
    </w:p>
    <w:p w:rsidR="003D4D5B" w:rsidRPr="007765E3" w:rsidRDefault="003D4D5B" w:rsidP="003D4D5B">
      <w:pPr>
        <w:pStyle w:val="SCCNormalDoubleSpacing"/>
        <w:spacing w:line="240" w:lineRule="auto"/>
        <w:rPr>
          <w:sz w:val="20"/>
        </w:rPr>
      </w:pPr>
      <w:r w:rsidRPr="007765E3">
        <w:rPr>
          <w:sz w:val="20"/>
          <w:lang w:val="en-US"/>
        </w:rPr>
        <w:tab/>
      </w:r>
      <w:r w:rsidRPr="007765E3">
        <w:rPr>
          <w:sz w:val="20"/>
        </w:rPr>
        <w:t>APPEAL from a judgment of the Quebec Court of Appeal (</w:t>
      </w:r>
      <w:proofErr w:type="spellStart"/>
      <w:r w:rsidRPr="007765E3">
        <w:rPr>
          <w:sz w:val="20"/>
        </w:rPr>
        <w:t>Dalphond</w:t>
      </w:r>
      <w:proofErr w:type="spellEnd"/>
      <w:r w:rsidRPr="007765E3">
        <w:rPr>
          <w:sz w:val="20"/>
        </w:rPr>
        <w:t xml:space="preserve">, Bouchard and </w:t>
      </w:r>
      <w:proofErr w:type="spellStart"/>
      <w:r w:rsidRPr="007765E3">
        <w:rPr>
          <w:sz w:val="20"/>
        </w:rPr>
        <w:t>Vauclair</w:t>
      </w:r>
      <w:proofErr w:type="spellEnd"/>
      <w:r w:rsidRPr="007765E3">
        <w:rPr>
          <w:sz w:val="20"/>
        </w:rPr>
        <w:t> JJ.A.), 2014 QCCA 1654, [2014] AZ</w:t>
      </w:r>
      <w:r w:rsidRPr="007765E3">
        <w:rPr>
          <w:sz w:val="20"/>
        </w:rPr>
        <w:noBreakHyphen/>
        <w:t xml:space="preserve">51107397, [2014] Q.J. No. 9733 (QL), 2014 </w:t>
      </w:r>
      <w:proofErr w:type="spellStart"/>
      <w:r w:rsidRPr="007765E3">
        <w:rPr>
          <w:sz w:val="20"/>
        </w:rPr>
        <w:t>CarswellQue</w:t>
      </w:r>
      <w:proofErr w:type="spellEnd"/>
      <w:r w:rsidRPr="007765E3">
        <w:rPr>
          <w:sz w:val="20"/>
        </w:rPr>
        <w:t xml:space="preserve"> 14611 (WL Can.), affirming a decision of </w:t>
      </w:r>
      <w:proofErr w:type="spellStart"/>
      <w:r w:rsidRPr="007765E3">
        <w:rPr>
          <w:sz w:val="20"/>
        </w:rPr>
        <w:t>Mongeon</w:t>
      </w:r>
      <w:proofErr w:type="spellEnd"/>
      <w:r w:rsidRPr="007765E3">
        <w:rPr>
          <w:sz w:val="20"/>
        </w:rPr>
        <w:t> J., 2012 QCCS 1021, [2012] R.J.Q. 729, [2012] AZ</w:t>
      </w:r>
      <w:r w:rsidRPr="007765E3">
        <w:rPr>
          <w:sz w:val="20"/>
        </w:rPr>
        <w:noBreakHyphen/>
        <w:t>50840226, [2012] J.Q. n</w:t>
      </w:r>
      <w:r w:rsidRPr="007765E3">
        <w:rPr>
          <w:sz w:val="20"/>
          <w:vertAlign w:val="superscript"/>
        </w:rPr>
        <w:t>o</w:t>
      </w:r>
      <w:r w:rsidRPr="007765E3">
        <w:rPr>
          <w:sz w:val="20"/>
        </w:rPr>
        <w:t xml:space="preserve"> 2260 (QL), 2012 </w:t>
      </w:r>
      <w:proofErr w:type="spellStart"/>
      <w:r w:rsidRPr="007765E3">
        <w:rPr>
          <w:sz w:val="20"/>
        </w:rPr>
        <w:t>CarswellQue</w:t>
      </w:r>
      <w:proofErr w:type="spellEnd"/>
      <w:r w:rsidRPr="007765E3">
        <w:rPr>
          <w:sz w:val="20"/>
        </w:rPr>
        <w:t xml:space="preserve"> 2373 (WL Can.). Appeal allowed in part.</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i/>
          <w:sz w:val="20"/>
        </w:rPr>
        <w:tab/>
        <w:t xml:space="preserve">Raymond </w:t>
      </w:r>
      <w:proofErr w:type="spellStart"/>
      <w:r w:rsidRPr="007765E3">
        <w:rPr>
          <w:i/>
          <w:sz w:val="20"/>
        </w:rPr>
        <w:t>Doray</w:t>
      </w:r>
      <w:proofErr w:type="spellEnd"/>
      <w:r w:rsidRPr="007765E3">
        <w:rPr>
          <w:sz w:val="20"/>
        </w:rPr>
        <w:t xml:space="preserve"> and </w:t>
      </w:r>
      <w:proofErr w:type="spellStart"/>
      <w:r w:rsidRPr="007765E3">
        <w:rPr>
          <w:i/>
          <w:sz w:val="20"/>
        </w:rPr>
        <w:t>Loïc</w:t>
      </w:r>
      <w:proofErr w:type="spellEnd"/>
      <w:r w:rsidRPr="007765E3">
        <w:rPr>
          <w:i/>
          <w:sz w:val="20"/>
        </w:rPr>
        <w:t xml:space="preserve"> </w:t>
      </w:r>
      <w:proofErr w:type="spellStart"/>
      <w:r w:rsidRPr="007765E3">
        <w:rPr>
          <w:i/>
          <w:sz w:val="20"/>
        </w:rPr>
        <w:t>Berdnikoff</w:t>
      </w:r>
      <w:proofErr w:type="spellEnd"/>
      <w:r w:rsidRPr="007765E3">
        <w:rPr>
          <w:sz w:val="20"/>
        </w:rPr>
        <w:t>, for the appellants.</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i/>
          <w:sz w:val="20"/>
        </w:rPr>
        <w:tab/>
      </w:r>
      <w:proofErr w:type="spellStart"/>
      <w:r w:rsidRPr="007765E3">
        <w:rPr>
          <w:i/>
          <w:sz w:val="20"/>
        </w:rPr>
        <w:t>Sébastien</w:t>
      </w:r>
      <w:proofErr w:type="spellEnd"/>
      <w:r w:rsidRPr="007765E3">
        <w:rPr>
          <w:i/>
          <w:sz w:val="20"/>
        </w:rPr>
        <w:t xml:space="preserve"> </w:t>
      </w:r>
      <w:proofErr w:type="spellStart"/>
      <w:r w:rsidRPr="007765E3">
        <w:rPr>
          <w:i/>
          <w:sz w:val="20"/>
        </w:rPr>
        <w:t>Rochette</w:t>
      </w:r>
      <w:proofErr w:type="spellEnd"/>
      <w:r w:rsidRPr="007765E3">
        <w:rPr>
          <w:sz w:val="20"/>
        </w:rPr>
        <w:t xml:space="preserve"> and </w:t>
      </w:r>
      <w:r w:rsidRPr="007765E3">
        <w:rPr>
          <w:i/>
          <w:sz w:val="20"/>
        </w:rPr>
        <w:t xml:space="preserve">Brigitte </w:t>
      </w:r>
      <w:proofErr w:type="spellStart"/>
      <w:r w:rsidRPr="007765E3">
        <w:rPr>
          <w:i/>
          <w:sz w:val="20"/>
        </w:rPr>
        <w:t>Bussières</w:t>
      </w:r>
      <w:proofErr w:type="spellEnd"/>
      <w:r w:rsidRPr="007765E3">
        <w:rPr>
          <w:sz w:val="20"/>
        </w:rPr>
        <w:t>, for the respondents.</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i/>
          <w:sz w:val="20"/>
        </w:rPr>
        <w:tab/>
        <w:t xml:space="preserve">François </w:t>
      </w:r>
      <w:proofErr w:type="spellStart"/>
      <w:r w:rsidRPr="007765E3">
        <w:rPr>
          <w:i/>
          <w:sz w:val="20"/>
        </w:rPr>
        <w:t>Joyal</w:t>
      </w:r>
      <w:proofErr w:type="spellEnd"/>
      <w:r w:rsidRPr="007765E3">
        <w:rPr>
          <w:sz w:val="20"/>
        </w:rPr>
        <w:t xml:space="preserve"> and </w:t>
      </w:r>
      <w:r w:rsidRPr="007765E3">
        <w:rPr>
          <w:i/>
          <w:sz w:val="20"/>
        </w:rPr>
        <w:t>Catherine Lawrence</w:t>
      </w:r>
      <w:r w:rsidRPr="007765E3">
        <w:rPr>
          <w:sz w:val="20"/>
        </w:rPr>
        <w:t>, for the intervener the Attorney General of Canada.</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rPr>
      </w:pPr>
      <w:r w:rsidRPr="007765E3">
        <w:rPr>
          <w:i/>
          <w:sz w:val="20"/>
        </w:rPr>
        <w:tab/>
        <w:t xml:space="preserve">Sarah </w:t>
      </w:r>
      <w:proofErr w:type="spellStart"/>
      <w:r w:rsidRPr="007765E3">
        <w:rPr>
          <w:i/>
          <w:sz w:val="20"/>
        </w:rPr>
        <w:t>Kraicer</w:t>
      </w:r>
      <w:proofErr w:type="spellEnd"/>
      <w:r w:rsidRPr="007765E3">
        <w:rPr>
          <w:sz w:val="20"/>
        </w:rPr>
        <w:t xml:space="preserve"> and </w:t>
      </w:r>
      <w:r w:rsidRPr="007765E3">
        <w:rPr>
          <w:i/>
          <w:sz w:val="20"/>
        </w:rPr>
        <w:t>Josh Hunter</w:t>
      </w:r>
      <w:r w:rsidRPr="007765E3">
        <w:rPr>
          <w:sz w:val="20"/>
        </w:rPr>
        <w:t>, for the intervener the Attorney General of Ontario.</w:t>
      </w:r>
    </w:p>
    <w:p w:rsidR="003D4D5B" w:rsidRPr="007765E3" w:rsidRDefault="003D4D5B" w:rsidP="003D4D5B">
      <w:pPr>
        <w:pStyle w:val="SCCNormalDoubleSpacing"/>
        <w:spacing w:line="240" w:lineRule="auto"/>
        <w:rPr>
          <w:sz w:val="20"/>
        </w:rPr>
      </w:pPr>
    </w:p>
    <w:p w:rsidR="003D4D5B" w:rsidRPr="007765E3" w:rsidRDefault="003D4D5B" w:rsidP="003D4D5B">
      <w:pPr>
        <w:pStyle w:val="SCCNormalDoubleSpacing"/>
        <w:spacing w:line="240" w:lineRule="auto"/>
        <w:rPr>
          <w:sz w:val="20"/>
          <w:lang w:val="fr-CA"/>
        </w:rPr>
      </w:pPr>
      <w:r w:rsidRPr="007765E3">
        <w:rPr>
          <w:i/>
          <w:sz w:val="20"/>
        </w:rPr>
        <w:tab/>
      </w:r>
      <w:r w:rsidRPr="007765E3">
        <w:rPr>
          <w:i/>
          <w:sz w:val="20"/>
          <w:lang w:val="fr-CA"/>
        </w:rPr>
        <w:t>Joël Mercier</w:t>
      </w:r>
      <w:r w:rsidRPr="007765E3">
        <w:rPr>
          <w:sz w:val="20"/>
          <w:lang w:val="fr-CA"/>
        </w:rPr>
        <w:t xml:space="preserve"> and </w:t>
      </w:r>
      <w:r w:rsidRPr="007765E3">
        <w:rPr>
          <w:i/>
          <w:sz w:val="20"/>
          <w:lang w:val="fr-CA"/>
        </w:rPr>
        <w:t>Christine Baudouin</w:t>
      </w:r>
      <w:r w:rsidRPr="007765E3">
        <w:rPr>
          <w:sz w:val="20"/>
          <w:lang w:val="fr-CA"/>
        </w:rPr>
        <w:t xml:space="preserve">, for the </w:t>
      </w:r>
      <w:proofErr w:type="spellStart"/>
      <w:r w:rsidRPr="007765E3">
        <w:rPr>
          <w:sz w:val="20"/>
          <w:lang w:val="fr-CA"/>
        </w:rPr>
        <w:t>intervener</w:t>
      </w:r>
      <w:proofErr w:type="spellEnd"/>
      <w:r w:rsidRPr="007765E3">
        <w:rPr>
          <w:sz w:val="20"/>
          <w:lang w:val="fr-CA"/>
        </w:rPr>
        <w:t xml:space="preserve"> Conférence des juges de la Cour du Québec.</w:t>
      </w:r>
    </w:p>
    <w:p w:rsidR="003D4D5B" w:rsidRPr="007765E3" w:rsidRDefault="003D4D5B" w:rsidP="003D4D5B">
      <w:pPr>
        <w:pStyle w:val="SCCNormalDoubleSpacing"/>
        <w:spacing w:line="240" w:lineRule="auto"/>
        <w:rPr>
          <w:sz w:val="20"/>
          <w:lang w:val="fr-CA"/>
        </w:rPr>
      </w:pPr>
    </w:p>
    <w:p w:rsidR="003D4D5B" w:rsidRPr="007765E3" w:rsidRDefault="003D4D5B" w:rsidP="003D4D5B">
      <w:pPr>
        <w:pStyle w:val="SCCNormalDoubleSpacing"/>
        <w:spacing w:line="240" w:lineRule="auto"/>
        <w:rPr>
          <w:sz w:val="20"/>
        </w:rPr>
      </w:pPr>
      <w:r w:rsidRPr="007765E3">
        <w:rPr>
          <w:i/>
          <w:sz w:val="20"/>
          <w:lang w:val="fr-CA"/>
        </w:rPr>
        <w:tab/>
      </w:r>
      <w:r w:rsidRPr="007765E3">
        <w:rPr>
          <w:i/>
          <w:sz w:val="20"/>
        </w:rPr>
        <w:t>J. Thomas Curry</w:t>
      </w:r>
      <w:r w:rsidRPr="007765E3">
        <w:rPr>
          <w:sz w:val="20"/>
        </w:rPr>
        <w:t xml:space="preserve"> and </w:t>
      </w:r>
      <w:r w:rsidRPr="007765E3">
        <w:rPr>
          <w:i/>
          <w:sz w:val="20"/>
        </w:rPr>
        <w:t>Paul</w:t>
      </w:r>
      <w:r w:rsidRPr="007765E3">
        <w:rPr>
          <w:i/>
          <w:sz w:val="20"/>
        </w:rPr>
        <w:noBreakHyphen/>
        <w:t xml:space="preserve">Erik </w:t>
      </w:r>
      <w:proofErr w:type="spellStart"/>
      <w:r w:rsidRPr="007765E3">
        <w:rPr>
          <w:i/>
          <w:sz w:val="20"/>
        </w:rPr>
        <w:t>Veel</w:t>
      </w:r>
      <w:proofErr w:type="spellEnd"/>
      <w:r w:rsidRPr="007765E3">
        <w:rPr>
          <w:sz w:val="20"/>
        </w:rPr>
        <w:t>, for the intervener the Association of Justices of the Peace of Ontario.</w:t>
      </w:r>
    </w:p>
    <w:p w:rsidR="003D4D5B" w:rsidRPr="007765E3" w:rsidRDefault="003D4D5B" w:rsidP="003D4D5B">
      <w:pPr>
        <w:pStyle w:val="SCCNormalDoubleSpacing"/>
        <w:spacing w:line="240" w:lineRule="auto"/>
        <w:rPr>
          <w:sz w:val="20"/>
        </w:rPr>
      </w:pPr>
    </w:p>
    <w:p w:rsidR="003D4D5B" w:rsidRPr="007765E3" w:rsidRDefault="003D4D5B" w:rsidP="003D4D5B">
      <w:pPr>
        <w:pStyle w:val="SCCLawFirm"/>
        <w:spacing w:line="240" w:lineRule="auto"/>
        <w:rPr>
          <w:sz w:val="20"/>
        </w:rPr>
      </w:pPr>
      <w:r w:rsidRPr="007765E3">
        <w:rPr>
          <w:sz w:val="20"/>
        </w:rPr>
        <w:tab/>
        <w:t>Solicitors for the appellants: </w:t>
      </w:r>
      <w:proofErr w:type="spellStart"/>
      <w:r w:rsidRPr="007765E3">
        <w:rPr>
          <w:sz w:val="20"/>
        </w:rPr>
        <w:t>Lavery</w:t>
      </w:r>
      <w:proofErr w:type="spellEnd"/>
      <w:r w:rsidRPr="007765E3">
        <w:rPr>
          <w:sz w:val="20"/>
        </w:rPr>
        <w:t>, de Billy, Montréal.</w:t>
      </w:r>
    </w:p>
    <w:p w:rsidR="003D4D5B" w:rsidRPr="007765E3" w:rsidRDefault="003D4D5B" w:rsidP="003D4D5B">
      <w:pPr>
        <w:pStyle w:val="SCCNormalDoubleSpacing"/>
        <w:spacing w:line="240" w:lineRule="auto"/>
      </w:pPr>
    </w:p>
    <w:p w:rsidR="003D4D5B" w:rsidRPr="007765E3" w:rsidRDefault="003D4D5B" w:rsidP="003D4D5B">
      <w:pPr>
        <w:pStyle w:val="SCCLawFirm"/>
        <w:spacing w:line="240" w:lineRule="auto"/>
        <w:rPr>
          <w:sz w:val="20"/>
        </w:rPr>
      </w:pPr>
      <w:r w:rsidRPr="007765E3">
        <w:rPr>
          <w:sz w:val="20"/>
        </w:rPr>
        <w:lastRenderedPageBreak/>
        <w:tab/>
        <w:t>Solicitor for the respondents: Attorney General of Quebec, Québec.</w:t>
      </w:r>
    </w:p>
    <w:p w:rsidR="003D4D5B" w:rsidRPr="007765E3" w:rsidRDefault="003D4D5B" w:rsidP="003D4D5B">
      <w:pPr>
        <w:pStyle w:val="SCCNormalDoubleSpacing"/>
        <w:spacing w:line="240" w:lineRule="auto"/>
      </w:pPr>
    </w:p>
    <w:p w:rsidR="003D4D5B" w:rsidRPr="007765E3" w:rsidRDefault="003D4D5B" w:rsidP="003D4D5B">
      <w:pPr>
        <w:pStyle w:val="SCCLawFirm"/>
        <w:spacing w:line="240" w:lineRule="auto"/>
        <w:rPr>
          <w:sz w:val="20"/>
        </w:rPr>
      </w:pPr>
      <w:r w:rsidRPr="007765E3">
        <w:rPr>
          <w:sz w:val="20"/>
        </w:rPr>
        <w:tab/>
        <w:t>Solicitor for the intervener the Attorney General of Canada: Attorney General of Canada, Montréal and Ottawa.</w:t>
      </w:r>
    </w:p>
    <w:p w:rsidR="003D4D5B" w:rsidRPr="007765E3" w:rsidRDefault="003D4D5B" w:rsidP="003D4D5B">
      <w:pPr>
        <w:pStyle w:val="SCCNormalDoubleSpacing"/>
        <w:spacing w:line="240" w:lineRule="auto"/>
      </w:pPr>
    </w:p>
    <w:p w:rsidR="003D4D5B" w:rsidRPr="007765E3" w:rsidRDefault="003D4D5B" w:rsidP="003D4D5B">
      <w:pPr>
        <w:pStyle w:val="SCCLawFirm"/>
        <w:spacing w:line="240" w:lineRule="auto"/>
        <w:rPr>
          <w:sz w:val="20"/>
        </w:rPr>
      </w:pPr>
      <w:r w:rsidRPr="007765E3">
        <w:rPr>
          <w:sz w:val="20"/>
        </w:rPr>
        <w:tab/>
        <w:t>Solicitor for the intervener the Attorney General of Ontario: Attorney General of Ontario, Toronto.</w:t>
      </w:r>
    </w:p>
    <w:p w:rsidR="003D4D5B" w:rsidRPr="007765E3" w:rsidRDefault="003D4D5B" w:rsidP="003D4D5B">
      <w:pPr>
        <w:pStyle w:val="SCCNormalDoubleSpacing"/>
        <w:spacing w:line="240" w:lineRule="auto"/>
      </w:pPr>
    </w:p>
    <w:p w:rsidR="003D4D5B" w:rsidRPr="007765E3" w:rsidRDefault="003D4D5B" w:rsidP="003D4D5B">
      <w:pPr>
        <w:pStyle w:val="SCCLawFirm"/>
        <w:spacing w:line="240" w:lineRule="auto"/>
        <w:rPr>
          <w:sz w:val="20"/>
          <w:lang w:val="fr-CA"/>
        </w:rPr>
      </w:pPr>
      <w:r w:rsidRPr="007765E3">
        <w:rPr>
          <w:sz w:val="20"/>
        </w:rPr>
        <w:tab/>
      </w:r>
      <w:r w:rsidRPr="007765E3">
        <w:rPr>
          <w:sz w:val="20"/>
          <w:lang w:val="fr-CA"/>
        </w:rPr>
        <w:t xml:space="preserve">Solicitors for the </w:t>
      </w:r>
      <w:proofErr w:type="spellStart"/>
      <w:r w:rsidRPr="007765E3">
        <w:rPr>
          <w:sz w:val="20"/>
          <w:lang w:val="fr-CA"/>
        </w:rPr>
        <w:t>intervener</w:t>
      </w:r>
      <w:proofErr w:type="spellEnd"/>
      <w:r w:rsidRPr="007765E3">
        <w:rPr>
          <w:sz w:val="20"/>
          <w:lang w:val="fr-CA"/>
        </w:rPr>
        <w:t xml:space="preserve"> Conférence des juges de la Cour du Québec: </w:t>
      </w:r>
      <w:proofErr w:type="spellStart"/>
      <w:r w:rsidRPr="007765E3">
        <w:rPr>
          <w:sz w:val="20"/>
          <w:lang w:val="fr-CA"/>
        </w:rPr>
        <w:t>Casavant</w:t>
      </w:r>
      <w:proofErr w:type="spellEnd"/>
      <w:r w:rsidRPr="007765E3">
        <w:rPr>
          <w:sz w:val="20"/>
          <w:lang w:val="fr-CA"/>
        </w:rPr>
        <w:t xml:space="preserve"> Mercier, Montréal.</w:t>
      </w:r>
    </w:p>
    <w:p w:rsidR="003D4D5B" w:rsidRPr="007765E3" w:rsidRDefault="003D4D5B" w:rsidP="003D4D5B">
      <w:pPr>
        <w:pStyle w:val="SCCNormalDoubleSpacing"/>
        <w:spacing w:line="240" w:lineRule="auto"/>
        <w:rPr>
          <w:lang w:val="fr-CA"/>
        </w:rPr>
      </w:pPr>
    </w:p>
    <w:p w:rsidR="003D4D5B" w:rsidRPr="007765E3" w:rsidRDefault="003D4D5B" w:rsidP="003D4D5B">
      <w:pPr>
        <w:pStyle w:val="SCCLawFirm"/>
        <w:spacing w:line="240" w:lineRule="auto"/>
        <w:rPr>
          <w:sz w:val="20"/>
        </w:rPr>
      </w:pPr>
      <w:r w:rsidRPr="007765E3">
        <w:rPr>
          <w:sz w:val="20"/>
          <w:lang w:val="fr-CA"/>
        </w:rPr>
        <w:tab/>
      </w:r>
      <w:r w:rsidRPr="007765E3">
        <w:rPr>
          <w:sz w:val="20"/>
        </w:rPr>
        <w:t>Solicitors for the intervener the Association of Justices of the Peace of Ontario: </w:t>
      </w:r>
      <w:proofErr w:type="spellStart"/>
      <w:r w:rsidRPr="007765E3">
        <w:rPr>
          <w:sz w:val="20"/>
        </w:rPr>
        <w:t>Lenczner</w:t>
      </w:r>
      <w:proofErr w:type="spellEnd"/>
      <w:r w:rsidRPr="007765E3">
        <w:rPr>
          <w:sz w:val="20"/>
        </w:rPr>
        <w:t xml:space="preserve"> </w:t>
      </w:r>
      <w:proofErr w:type="spellStart"/>
      <w:r w:rsidRPr="007765E3">
        <w:rPr>
          <w:sz w:val="20"/>
        </w:rPr>
        <w:t>Slaght</w:t>
      </w:r>
      <w:proofErr w:type="spellEnd"/>
      <w:r w:rsidRPr="007765E3">
        <w:rPr>
          <w:sz w:val="20"/>
        </w:rPr>
        <w:t xml:space="preserve"> Royce Smith Griffin, Toronto.</w:t>
      </w:r>
    </w:p>
    <w:p w:rsidR="0080245B" w:rsidRPr="007765E3" w:rsidRDefault="0080245B" w:rsidP="005C6840">
      <w:pPr>
        <w:rPr>
          <w:rFonts w:cs="Times New Roman"/>
          <w:sz w:val="20"/>
          <w:szCs w:val="20"/>
        </w:rPr>
      </w:pPr>
    </w:p>
    <w:p w:rsidR="0080245B" w:rsidRPr="007765E3" w:rsidRDefault="0080245B" w:rsidP="005C6840">
      <w:pPr>
        <w:rPr>
          <w:rFonts w:cs="Times New Roman"/>
          <w:sz w:val="20"/>
          <w:szCs w:val="20"/>
        </w:rPr>
      </w:pPr>
    </w:p>
    <w:p w:rsidR="005C6840" w:rsidRPr="007765E3" w:rsidRDefault="007765E3" w:rsidP="005C6840">
      <w:pPr>
        <w:rPr>
          <w:lang w:val="fr-CA"/>
        </w:rPr>
      </w:pPr>
      <w:r w:rsidRPr="007765E3">
        <w:rPr>
          <w:rFonts w:cs="Times New Roman"/>
          <w:sz w:val="20"/>
          <w:szCs w:val="20"/>
          <w:lang w:val="fr-CA"/>
        </w:rPr>
        <w:pict>
          <v:rect id="_x0000_i1084" style="width:144.3pt;height:1pt" o:hrpct="300" o:hralign="center" o:hrstd="t" o:hrnoshade="t" o:hr="t" fillcolor="black [3213]" stroked="f"/>
        </w:pict>
      </w:r>
    </w:p>
    <w:p w:rsidR="002419EE" w:rsidRPr="007765E3" w:rsidRDefault="002419EE" w:rsidP="005C6840">
      <w:pPr>
        <w:rPr>
          <w:lang w:val="fr-CA"/>
        </w:rPr>
      </w:pPr>
    </w:p>
    <w:p w:rsidR="002419EE" w:rsidRPr="007765E3" w:rsidRDefault="002419EE" w:rsidP="005C6840">
      <w:pPr>
        <w:rPr>
          <w:lang w:val="fr-CA"/>
        </w:rPr>
      </w:pPr>
    </w:p>
    <w:p w:rsidR="005C6840" w:rsidRPr="007765E3" w:rsidRDefault="005C6840" w:rsidP="005C6840">
      <w:pPr>
        <w:jc w:val="both"/>
        <w:rPr>
          <w:sz w:val="20"/>
          <w:szCs w:val="20"/>
        </w:rPr>
      </w:pPr>
    </w:p>
    <w:p w:rsidR="00102926" w:rsidRPr="007765E3" w:rsidRDefault="00102926" w:rsidP="00782AE4">
      <w:pPr>
        <w:jc w:val="both"/>
        <w:rPr>
          <w:sz w:val="20"/>
          <w:szCs w:val="20"/>
        </w:rPr>
        <w:sectPr w:rsidR="00102926" w:rsidRPr="007765E3" w:rsidSect="00782AE4">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576" w:footer="960" w:gutter="0"/>
          <w:cols w:space="720"/>
          <w:titlePg/>
          <w:docGrid w:linePitch="272"/>
        </w:sectPr>
      </w:pPr>
    </w:p>
    <w:bookmarkStart w:id="4" w:name="QuickMark"/>
    <w:bookmarkEnd w:id="4"/>
    <w:p w:rsidR="008902B1" w:rsidRPr="007765E3" w:rsidRDefault="008902B1" w:rsidP="008902B1">
      <w:pPr>
        <w:widowControl w:val="0"/>
        <w:spacing w:line="180" w:lineRule="auto"/>
        <w:jc w:val="center"/>
        <w:rPr>
          <w:rFonts w:asciiTheme="minorHAnsi" w:hAnsiTheme="minorHAnsi" w:cstheme="minorHAnsi"/>
          <w:b/>
          <w:szCs w:val="24"/>
        </w:rPr>
      </w:pPr>
      <w:r w:rsidRPr="007765E3">
        <w:rPr>
          <w:rFonts w:asciiTheme="minorHAnsi" w:hAnsiTheme="minorHAnsi" w:cstheme="minorHAnsi"/>
          <w:b/>
          <w:szCs w:val="24"/>
        </w:rPr>
        <w:lastRenderedPageBreak/>
        <w:fldChar w:fldCharType="begin"/>
      </w:r>
      <w:r w:rsidRPr="007765E3">
        <w:rPr>
          <w:rFonts w:asciiTheme="minorHAnsi" w:hAnsiTheme="minorHAnsi" w:cstheme="minorHAnsi"/>
          <w:b/>
          <w:szCs w:val="24"/>
        </w:rPr>
        <w:instrText xml:space="preserve"> SEQ CHAPTER \h \r 1</w:instrText>
      </w:r>
      <w:r w:rsidRPr="007765E3">
        <w:rPr>
          <w:rFonts w:asciiTheme="minorHAnsi" w:hAnsiTheme="minorHAnsi" w:cstheme="minorHAnsi"/>
          <w:b/>
          <w:szCs w:val="24"/>
        </w:rPr>
        <w:fldChar w:fldCharType="end"/>
      </w:r>
      <w:r w:rsidRPr="007765E3">
        <w:rPr>
          <w:rFonts w:asciiTheme="minorHAnsi" w:hAnsiTheme="minorHAnsi" w:cstheme="minorHAnsi"/>
          <w:b/>
          <w:szCs w:val="24"/>
        </w:rPr>
        <w:t>SUPREME COURT OF CANADA SCHEDULE / CALENDRIER DE LA COUR SUPREME</w:t>
      </w:r>
    </w:p>
    <w:p w:rsidR="0013595D" w:rsidRPr="007765E3" w:rsidRDefault="0013595D" w:rsidP="0013595D">
      <w:pPr>
        <w:widowControl w:val="0"/>
        <w:spacing w:line="180" w:lineRule="auto"/>
        <w:rPr>
          <w:rFonts w:asciiTheme="minorHAnsi" w:hAnsiTheme="minorHAnsi" w:cstheme="minorHAnsi"/>
          <w:szCs w:val="24"/>
        </w:rPr>
      </w:pPr>
    </w:p>
    <w:p w:rsidR="0013595D" w:rsidRPr="007765E3" w:rsidRDefault="0013595D" w:rsidP="0013595D">
      <w:pPr>
        <w:widowControl w:val="0"/>
        <w:tabs>
          <w:tab w:val="center" w:pos="5400"/>
          <w:tab w:val="right" w:pos="10440"/>
        </w:tabs>
        <w:rPr>
          <w:rFonts w:ascii="Arial" w:hAnsi="Arial"/>
          <w:sz w:val="18"/>
        </w:rPr>
      </w:pPr>
      <w:r w:rsidRPr="007765E3">
        <w:rPr>
          <w:rFonts w:ascii="Arial" w:hAnsi="Arial"/>
          <w:sz w:val="18"/>
        </w:rPr>
        <w:tab/>
      </w:r>
      <w:r w:rsidRPr="007765E3">
        <w:rPr>
          <w:rFonts w:ascii="Arial" w:hAnsi="Arial"/>
          <w:i/>
          <w:sz w:val="36"/>
        </w:rPr>
        <w:t xml:space="preserve">- </w:t>
      </w:r>
      <w:r w:rsidRPr="007765E3">
        <w:rPr>
          <w:rFonts w:ascii="Arial" w:hAnsi="Arial"/>
          <w:b/>
          <w:i/>
          <w:sz w:val="36"/>
        </w:rPr>
        <w:t>2016</w:t>
      </w:r>
      <w:r w:rsidRPr="007765E3">
        <w:rPr>
          <w:rFonts w:ascii="Arial" w:hAnsi="Arial"/>
          <w:i/>
          <w:sz w:val="36"/>
        </w:rPr>
        <w:t xml:space="preserve"> -</w:t>
      </w:r>
      <w:r w:rsidRPr="007765E3">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7765E3"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DECEMBER - DÉCEMBRE</w:t>
            </w:r>
          </w:p>
        </w:tc>
      </w:tr>
      <w:tr w:rsidR="0013595D" w:rsidRPr="007765E3"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4"/>
                <w:szCs w:val="14"/>
                <w:lang w:val="fr-FR"/>
              </w:rPr>
            </w:pPr>
            <w:r w:rsidRPr="007765E3">
              <w:rPr>
                <w:rFonts w:ascii="Arial" w:hAnsi="Arial" w:cs="Arial"/>
                <w:b/>
                <w:sz w:val="14"/>
                <w:szCs w:val="14"/>
                <w:lang w:val="fr-FR"/>
              </w:rPr>
              <w:t>S</w:t>
            </w:r>
          </w:p>
          <w:p w:rsidR="0013595D" w:rsidRPr="007765E3" w:rsidRDefault="0013595D" w:rsidP="00E942C2">
            <w:pPr>
              <w:tabs>
                <w:tab w:val="center" w:pos="5220"/>
                <w:tab w:val="right" w:pos="10440"/>
              </w:tabs>
              <w:jc w:val="center"/>
              <w:rPr>
                <w:rFonts w:ascii="Arial" w:hAnsi="Arial" w:cs="Arial"/>
                <w:b/>
                <w:sz w:val="14"/>
                <w:szCs w:val="14"/>
                <w:lang w:val="fr-FR"/>
              </w:rPr>
            </w:pPr>
            <w:r w:rsidRPr="007765E3">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M</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T</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W</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T</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F</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S</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S</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M</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T</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W</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T</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F</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S</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S</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M</w:t>
            </w:r>
          </w:p>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lang w:val="fr-FR"/>
              </w:rPr>
            </w:pPr>
            <w:r w:rsidRPr="007765E3">
              <w:rPr>
                <w:rFonts w:ascii="Arial" w:hAnsi="Arial" w:cs="Arial"/>
                <w:b/>
                <w:sz w:val="13"/>
                <w:szCs w:val="13"/>
                <w:lang w:val="fr-FR"/>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W</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tc>
      </w:tr>
      <w:tr w:rsidR="0013595D" w:rsidRPr="007765E3"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r>
      <w:tr w:rsidR="0013595D" w:rsidRPr="007765E3"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7765E3" w:rsidRDefault="0013595D" w:rsidP="00E942C2">
            <w:pPr>
              <w:jc w:val="center"/>
              <w:rPr>
                <w:rFonts w:ascii="Arial" w:hAnsi="Arial" w:cs="Arial"/>
                <w:b/>
                <w:sz w:val="12"/>
                <w:szCs w:val="12"/>
              </w:rPr>
            </w:pPr>
          </w:p>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7765E3" w:rsidRDefault="0013595D" w:rsidP="00E942C2">
            <w:pPr>
              <w:jc w:val="center"/>
              <w:rPr>
                <w:rFonts w:ascii="Arial" w:hAnsi="Arial" w:cs="Arial"/>
                <w:b/>
                <w:sz w:val="13"/>
                <w:szCs w:val="13"/>
              </w:rPr>
            </w:pPr>
            <w:r w:rsidRPr="007765E3">
              <w:rPr>
                <w:rFonts w:ascii="Arial" w:hAnsi="Arial" w:cs="Arial"/>
                <w:b/>
                <w:sz w:val="13"/>
                <w:szCs w:val="13"/>
              </w:rPr>
              <w:t xml:space="preserve">H </w:t>
            </w:r>
          </w:p>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r>
      <w:tr w:rsidR="0013595D" w:rsidRPr="007765E3"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b/>
                <w:sz w:val="13"/>
                <w:szCs w:val="13"/>
              </w:rPr>
              <w:t xml:space="preserve">H </w:t>
            </w:r>
          </w:p>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209" w:type="pct"/>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51" w:type="pct"/>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10" w:type="pct"/>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17" w:type="pct"/>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218" w:type="pct"/>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18" w:type="pct"/>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r>
      <w:tr w:rsidR="0013595D" w:rsidRPr="007765E3"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c>
          <w:tcPr>
            <w:tcW w:w="267" w:type="pct"/>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209" w:type="pct"/>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10" w:type="pct"/>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r>
      <w:tr w:rsidR="0013595D" w:rsidRPr="007765E3"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7765E3" w:rsidRDefault="0013595D" w:rsidP="00E942C2">
            <w:pPr>
              <w:rPr>
                <w:rFonts w:ascii="Arial" w:hAnsi="Arial" w:cs="Arial"/>
                <w:sz w:val="13"/>
                <w:szCs w:val="13"/>
              </w:rPr>
            </w:pPr>
            <w:r w:rsidRPr="007765E3">
              <w:rPr>
                <w:rFonts w:ascii="Arial" w:hAnsi="Arial" w:cs="Arial"/>
                <w:sz w:val="13"/>
                <w:szCs w:val="13"/>
              </w:rPr>
              <w:t>23</w:t>
            </w:r>
          </w:p>
          <w:p w:rsidR="0013595D" w:rsidRPr="007765E3" w:rsidRDefault="0013595D" w:rsidP="00E942C2">
            <w:pPr>
              <w:jc w:val="center"/>
              <w:rPr>
                <w:rFonts w:ascii="Arial" w:hAnsi="Arial" w:cs="Arial"/>
                <w:sz w:val="13"/>
                <w:szCs w:val="13"/>
              </w:rPr>
            </w:pPr>
            <w:r w:rsidRPr="007765E3">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7765E3" w:rsidRDefault="0013595D" w:rsidP="00E942C2">
            <w:pPr>
              <w:rPr>
                <w:rFonts w:ascii="Arial" w:hAnsi="Arial" w:cs="Arial"/>
                <w:sz w:val="13"/>
                <w:szCs w:val="13"/>
              </w:rPr>
            </w:pPr>
            <w:r w:rsidRPr="007765E3">
              <w:rPr>
                <w:rFonts w:ascii="Arial" w:hAnsi="Arial" w:cs="Arial"/>
                <w:sz w:val="13"/>
                <w:szCs w:val="13"/>
              </w:rPr>
              <w:t>24</w:t>
            </w:r>
          </w:p>
          <w:p w:rsidR="0013595D" w:rsidRPr="007765E3" w:rsidRDefault="0013595D" w:rsidP="00E942C2">
            <w:pPr>
              <w:rPr>
                <w:rFonts w:ascii="Arial" w:hAnsi="Arial" w:cs="Arial"/>
                <w:sz w:val="13"/>
                <w:szCs w:val="13"/>
              </w:rPr>
            </w:pPr>
            <w:r w:rsidRPr="007765E3">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b/>
                <w:sz w:val="13"/>
                <w:szCs w:val="13"/>
              </w:rPr>
            </w:pPr>
          </w:p>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b/>
                <w:sz w:val="13"/>
                <w:szCs w:val="13"/>
              </w:rPr>
            </w:pPr>
            <w:r w:rsidRPr="007765E3">
              <w:rPr>
                <w:rFonts w:ascii="Arial" w:hAnsi="Arial" w:cs="Arial"/>
                <w:b/>
                <w:sz w:val="13"/>
                <w:szCs w:val="13"/>
              </w:rPr>
              <w:t>H</w:t>
            </w:r>
          </w:p>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b/>
                <w:sz w:val="13"/>
                <w:szCs w:val="13"/>
              </w:rPr>
            </w:pPr>
            <w:r w:rsidRPr="007765E3">
              <w:rPr>
                <w:rFonts w:ascii="Arial" w:hAnsi="Arial" w:cs="Arial"/>
                <w:b/>
                <w:sz w:val="13"/>
                <w:szCs w:val="13"/>
              </w:rPr>
              <w:t>H</w:t>
            </w:r>
          </w:p>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31</w:t>
            </w:r>
          </w:p>
        </w:tc>
      </w:tr>
    </w:tbl>
    <w:p w:rsidR="0013595D" w:rsidRPr="007765E3" w:rsidRDefault="0013595D" w:rsidP="0013595D">
      <w:pPr>
        <w:tabs>
          <w:tab w:val="center" w:pos="5220"/>
          <w:tab w:val="right" w:pos="10440"/>
        </w:tabs>
        <w:jc w:val="center"/>
        <w:rPr>
          <w:rFonts w:ascii="Arial" w:hAnsi="Arial" w:cs="Arial"/>
          <w:sz w:val="36"/>
          <w:szCs w:val="36"/>
        </w:rPr>
      </w:pPr>
      <w:r w:rsidRPr="007765E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7765E3"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MARCH - MARS</w:t>
            </w:r>
          </w:p>
        </w:tc>
      </w:tr>
      <w:tr w:rsidR="0013595D" w:rsidRPr="007765E3"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L</w:t>
            </w:r>
          </w:p>
        </w:tc>
        <w:tc>
          <w:tcPr>
            <w:tcW w:w="217"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W</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D</w:t>
            </w:r>
          </w:p>
        </w:tc>
        <w:tc>
          <w:tcPr>
            <w:tcW w:w="208"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L</w:t>
            </w:r>
          </w:p>
        </w:tc>
        <w:tc>
          <w:tcPr>
            <w:tcW w:w="249"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50"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W</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16"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w:t>
            </w:r>
          </w:p>
        </w:tc>
        <w:tc>
          <w:tcPr>
            <w:tcW w:w="217"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D</w:t>
            </w:r>
          </w:p>
        </w:tc>
        <w:tc>
          <w:tcPr>
            <w:tcW w:w="223"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L</w:t>
            </w:r>
          </w:p>
        </w:tc>
        <w:tc>
          <w:tcPr>
            <w:tcW w:w="208"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08"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W</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08"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w:t>
            </w:r>
          </w:p>
        </w:tc>
        <w:tc>
          <w:tcPr>
            <w:tcW w:w="208"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tc>
      </w:tr>
      <w:tr w:rsidR="0013595D" w:rsidRPr="007765E3"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7765E3" w:rsidRDefault="0013595D" w:rsidP="00E942C2">
            <w:pPr>
              <w:jc w:val="center"/>
              <w:rPr>
                <w:rFonts w:ascii="Arial" w:hAnsi="Arial" w:cs="Arial"/>
                <w:b/>
                <w:sz w:val="13"/>
                <w:szCs w:val="13"/>
              </w:rPr>
            </w:pPr>
          </w:p>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7765E3" w:rsidRDefault="0013595D" w:rsidP="00E942C2">
            <w:pPr>
              <w:jc w:val="center"/>
              <w:rPr>
                <w:rFonts w:ascii="Arial" w:hAnsi="Arial" w:cs="Arial"/>
                <w:b/>
                <w:sz w:val="13"/>
                <w:szCs w:val="13"/>
              </w:rPr>
            </w:pPr>
            <w:r w:rsidRPr="007765E3">
              <w:rPr>
                <w:rFonts w:ascii="Arial" w:hAnsi="Arial" w:cs="Arial"/>
                <w:b/>
                <w:sz w:val="13"/>
                <w:szCs w:val="13"/>
              </w:rPr>
              <w:t>H</w:t>
            </w:r>
          </w:p>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c>
          <w:tcPr>
            <w:tcW w:w="225"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23" w:type="pct"/>
            <w:tcMar>
              <w:bottom w:w="43" w:type="dxa"/>
            </w:tcMar>
            <w:vAlign w:val="bottom"/>
          </w:tcPr>
          <w:p w:rsidR="0013595D" w:rsidRPr="007765E3" w:rsidRDefault="0013595D" w:rsidP="00E942C2">
            <w:pPr>
              <w:jc w:val="center"/>
              <w:rPr>
                <w:rFonts w:ascii="Arial" w:hAnsi="Arial" w:cs="Arial"/>
                <w:sz w:val="13"/>
                <w:szCs w:val="13"/>
              </w:rPr>
            </w:pPr>
          </w:p>
        </w:tc>
        <w:tc>
          <w:tcPr>
            <w:tcW w:w="208" w:type="pct"/>
            <w:tcMar>
              <w:bottom w:w="43" w:type="dxa"/>
            </w:tcMar>
            <w:vAlign w:val="bottom"/>
          </w:tcPr>
          <w:p w:rsidR="0013595D" w:rsidRPr="007765E3" w:rsidRDefault="0013595D" w:rsidP="00E942C2">
            <w:pPr>
              <w:jc w:val="center"/>
              <w:rPr>
                <w:rFonts w:ascii="Arial" w:hAnsi="Arial" w:cs="Arial"/>
                <w:sz w:val="13"/>
                <w:szCs w:val="13"/>
              </w:rPr>
            </w:pPr>
          </w:p>
        </w:tc>
        <w:tc>
          <w:tcPr>
            <w:tcW w:w="208" w:type="pct"/>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208" w:type="pct"/>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08" w:type="pct"/>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c>
          <w:tcPr>
            <w:tcW w:w="218"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r>
      <w:tr w:rsidR="0013595D" w:rsidRPr="007765E3"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47"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c>
          <w:tcPr>
            <w:tcW w:w="225"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23" w:type="pct"/>
            <w:tcBorders>
              <w:bottom w:val="single" w:sz="4"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c>
          <w:tcPr>
            <w:tcW w:w="218"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r>
      <w:tr w:rsidR="0013595D" w:rsidRPr="007765E3"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c>
          <w:tcPr>
            <w:tcW w:w="225"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c>
          <w:tcPr>
            <w:tcW w:w="218"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r>
      <w:tr w:rsidR="0013595D" w:rsidRPr="007765E3" w:rsidTr="00E942C2">
        <w:trPr>
          <w:trHeight w:val="288"/>
        </w:trPr>
        <w:tc>
          <w:tcPr>
            <w:tcW w:w="217" w:type="pct"/>
            <w:tcBorders>
              <w:lef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49"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50"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216"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23</w:t>
            </w:r>
          </w:p>
        </w:tc>
        <w:tc>
          <w:tcPr>
            <w:tcW w:w="217"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c>
          <w:tcPr>
            <w:tcW w:w="225" w:type="pct"/>
            <w:tcBorders>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r>
      <w:tr w:rsidR="0013595D" w:rsidRPr="007765E3" w:rsidTr="00E942C2">
        <w:trPr>
          <w:trHeight w:val="288"/>
        </w:trPr>
        <w:tc>
          <w:tcPr>
            <w:tcW w:w="217" w:type="pct"/>
            <w:tcBorders>
              <w:left w:val="double" w:sz="6" w:space="0" w:color="auto"/>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217"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30</w:t>
            </w:r>
          </w:p>
        </w:tc>
        <w:tc>
          <w:tcPr>
            <w:tcW w:w="217"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31</w:t>
            </w:r>
          </w:p>
        </w:tc>
        <w:tc>
          <w:tcPr>
            <w:tcW w:w="233"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08"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49"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50" w:type="pct"/>
            <w:tcBorders>
              <w:bottom w:val="double" w:sz="6" w:space="0" w:color="auto"/>
            </w:tcBorders>
            <w:tcMar>
              <w:bottom w:w="43" w:type="dxa"/>
            </w:tcMar>
            <w:vAlign w:val="bottom"/>
          </w:tcPr>
          <w:p w:rsidR="0013595D" w:rsidRPr="007765E3"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r>
      <w:tr w:rsidR="0013595D" w:rsidRPr="007765E3"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JUNE – JUIN</w:t>
            </w:r>
          </w:p>
        </w:tc>
      </w:tr>
      <w:tr w:rsidR="0013595D" w:rsidRPr="007765E3" w:rsidTr="00E942C2">
        <w:trPr>
          <w:trHeight w:val="270"/>
        </w:trPr>
        <w:tc>
          <w:tcPr>
            <w:tcW w:w="217" w:type="pct"/>
            <w:tcBorders>
              <w:top w:val="double" w:sz="6" w:space="0" w:color="auto"/>
              <w:lef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D</w:t>
            </w:r>
          </w:p>
        </w:tc>
        <w:tc>
          <w:tcPr>
            <w:tcW w:w="217"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L</w:t>
            </w:r>
          </w:p>
        </w:tc>
        <w:tc>
          <w:tcPr>
            <w:tcW w:w="217"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33"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W</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21"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D</w:t>
            </w:r>
          </w:p>
        </w:tc>
        <w:tc>
          <w:tcPr>
            <w:tcW w:w="208"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L</w:t>
            </w:r>
          </w:p>
        </w:tc>
        <w:tc>
          <w:tcPr>
            <w:tcW w:w="249"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50"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W</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16"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w:t>
            </w:r>
          </w:p>
        </w:tc>
        <w:tc>
          <w:tcPr>
            <w:tcW w:w="217" w:type="pct"/>
            <w:tcBorders>
              <w:top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W</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T</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F</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p w:rsidR="0013595D" w:rsidRPr="007765E3" w:rsidRDefault="0013595D" w:rsidP="00E942C2">
            <w:pPr>
              <w:tabs>
                <w:tab w:val="center" w:pos="5220"/>
                <w:tab w:val="right" w:pos="10440"/>
              </w:tabs>
              <w:jc w:val="center"/>
              <w:rPr>
                <w:rFonts w:ascii="Arial" w:hAnsi="Arial" w:cs="Arial"/>
                <w:b/>
                <w:sz w:val="13"/>
                <w:szCs w:val="13"/>
              </w:rPr>
            </w:pPr>
            <w:r w:rsidRPr="007765E3">
              <w:rPr>
                <w:rFonts w:ascii="Arial" w:hAnsi="Arial" w:cs="Arial"/>
                <w:b/>
                <w:sz w:val="13"/>
                <w:szCs w:val="13"/>
              </w:rPr>
              <w:t>S</w:t>
            </w:r>
          </w:p>
        </w:tc>
      </w:tr>
      <w:tr w:rsidR="0013595D" w:rsidRPr="007765E3" w:rsidTr="00E942C2">
        <w:trPr>
          <w:trHeight w:val="288"/>
        </w:trPr>
        <w:tc>
          <w:tcPr>
            <w:tcW w:w="217" w:type="pct"/>
            <w:tcBorders>
              <w:lef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r>
      <w:tr w:rsidR="0013595D" w:rsidRPr="007765E3"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r>
      <w:tr w:rsidR="0013595D" w:rsidRPr="007765E3"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b/>
                <w:sz w:val="13"/>
                <w:szCs w:val="13"/>
              </w:rPr>
            </w:pPr>
            <w:r w:rsidRPr="007765E3">
              <w:rPr>
                <w:rFonts w:ascii="Arial" w:hAnsi="Arial" w:cs="Arial"/>
                <w:b/>
                <w:sz w:val="13"/>
                <w:szCs w:val="13"/>
              </w:rPr>
              <w:t>H</w:t>
            </w:r>
          </w:p>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r>
      <w:tr w:rsidR="0013595D" w:rsidRPr="007765E3"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b/>
                <w:sz w:val="13"/>
                <w:szCs w:val="13"/>
              </w:rPr>
            </w:pPr>
          </w:p>
          <w:p w:rsidR="0013595D" w:rsidRPr="007765E3" w:rsidRDefault="0013595D" w:rsidP="00E942C2">
            <w:pPr>
              <w:jc w:val="center"/>
              <w:rPr>
                <w:rFonts w:ascii="Arial" w:hAnsi="Arial" w:cs="Arial"/>
                <w:sz w:val="13"/>
                <w:szCs w:val="13"/>
              </w:rPr>
            </w:pPr>
            <w:r w:rsidRPr="007765E3">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b/>
                <w:sz w:val="13"/>
                <w:szCs w:val="13"/>
              </w:rPr>
            </w:pPr>
            <w:r w:rsidRPr="007765E3">
              <w:rPr>
                <w:rFonts w:ascii="Arial" w:hAnsi="Arial" w:cs="Arial"/>
                <w:b/>
                <w:sz w:val="13"/>
                <w:szCs w:val="13"/>
              </w:rPr>
              <w:t>H</w:t>
            </w:r>
          </w:p>
          <w:p w:rsidR="0013595D" w:rsidRPr="007765E3" w:rsidRDefault="0013595D" w:rsidP="00E942C2">
            <w:pPr>
              <w:jc w:val="center"/>
              <w:rPr>
                <w:rFonts w:ascii="Arial" w:hAnsi="Arial" w:cs="Arial"/>
                <w:sz w:val="13"/>
                <w:szCs w:val="13"/>
              </w:rPr>
            </w:pPr>
            <w:r w:rsidRPr="007765E3">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765E3" w:rsidRDefault="0013595D" w:rsidP="00E942C2">
            <w:pPr>
              <w:jc w:val="center"/>
              <w:rPr>
                <w:rFonts w:ascii="Arial" w:hAnsi="Arial" w:cs="Arial"/>
                <w:b/>
                <w:sz w:val="13"/>
                <w:szCs w:val="13"/>
              </w:rPr>
            </w:pPr>
            <w:r w:rsidRPr="007765E3">
              <w:rPr>
                <w:rFonts w:ascii="Arial" w:hAnsi="Arial" w:cs="Arial"/>
                <w:b/>
                <w:sz w:val="13"/>
                <w:szCs w:val="13"/>
              </w:rPr>
              <w:t>H</w:t>
            </w:r>
          </w:p>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23</w:t>
            </w:r>
          </w:p>
        </w:tc>
        <w:tc>
          <w:tcPr>
            <w:tcW w:w="250"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c>
          <w:tcPr>
            <w:tcW w:w="216"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217"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19</w:t>
            </w:r>
          </w:p>
        </w:tc>
        <w:tc>
          <w:tcPr>
            <w:tcW w:w="208"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20</w:t>
            </w:r>
          </w:p>
        </w:tc>
        <w:tc>
          <w:tcPr>
            <w:tcW w:w="208"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21</w:t>
            </w:r>
          </w:p>
        </w:tc>
        <w:tc>
          <w:tcPr>
            <w:tcW w:w="208"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22</w:t>
            </w:r>
          </w:p>
        </w:tc>
        <w:tc>
          <w:tcPr>
            <w:tcW w:w="208" w:type="pct"/>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r>
      <w:tr w:rsidR="0013595D" w:rsidRPr="007765E3"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7765E3" w:rsidRDefault="0013595D" w:rsidP="00E942C2">
            <w:pPr>
              <w:rPr>
                <w:rFonts w:ascii="Arial" w:hAnsi="Arial" w:cs="Arial"/>
                <w:sz w:val="13"/>
                <w:szCs w:val="13"/>
              </w:rPr>
            </w:pPr>
            <w:r w:rsidRPr="007765E3">
              <w:rPr>
                <w:rFonts w:ascii="Arial" w:hAnsi="Arial" w:cs="Arial"/>
                <w:sz w:val="13"/>
                <w:szCs w:val="13"/>
              </w:rPr>
              <w:t>23</w:t>
            </w:r>
          </w:p>
          <w:p w:rsidR="0013595D" w:rsidRPr="007765E3" w:rsidRDefault="0013595D" w:rsidP="00E942C2">
            <w:pPr>
              <w:jc w:val="center"/>
              <w:rPr>
                <w:rFonts w:ascii="Arial" w:hAnsi="Arial" w:cs="Arial"/>
                <w:sz w:val="13"/>
                <w:szCs w:val="13"/>
              </w:rPr>
            </w:pPr>
            <w:r w:rsidRPr="007765E3">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249"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30</w:t>
            </w:r>
          </w:p>
        </w:tc>
        <w:tc>
          <w:tcPr>
            <w:tcW w:w="250"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31</w:t>
            </w:r>
          </w:p>
        </w:tc>
        <w:tc>
          <w:tcPr>
            <w:tcW w:w="216"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7765E3"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25</w:t>
            </w:r>
          </w:p>
        </w:tc>
        <w:tc>
          <w:tcPr>
            <w:tcW w:w="223"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26</w:t>
            </w:r>
          </w:p>
        </w:tc>
        <w:tc>
          <w:tcPr>
            <w:tcW w:w="208"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27</w:t>
            </w:r>
          </w:p>
        </w:tc>
        <w:tc>
          <w:tcPr>
            <w:tcW w:w="208"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28</w:t>
            </w:r>
          </w:p>
        </w:tc>
        <w:tc>
          <w:tcPr>
            <w:tcW w:w="208"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29</w:t>
            </w:r>
          </w:p>
        </w:tc>
        <w:tc>
          <w:tcPr>
            <w:tcW w:w="208" w:type="pct"/>
            <w:tcBorders>
              <w:bottom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r w:rsidRPr="007765E3">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7765E3" w:rsidRDefault="0013595D" w:rsidP="00E942C2">
            <w:pPr>
              <w:jc w:val="center"/>
              <w:rPr>
                <w:rFonts w:ascii="Arial" w:hAnsi="Arial" w:cs="Arial"/>
                <w:sz w:val="13"/>
                <w:szCs w:val="13"/>
              </w:rPr>
            </w:pPr>
          </w:p>
        </w:tc>
      </w:tr>
    </w:tbl>
    <w:p w:rsidR="0013595D" w:rsidRPr="007765E3" w:rsidRDefault="0013595D" w:rsidP="0013595D">
      <w:pPr>
        <w:widowControl w:val="0"/>
        <w:tabs>
          <w:tab w:val="center" w:pos="5400"/>
          <w:tab w:val="right" w:pos="10440"/>
        </w:tabs>
        <w:rPr>
          <w:rFonts w:ascii="Arial" w:hAnsi="Arial"/>
          <w:sz w:val="18"/>
        </w:rPr>
      </w:pPr>
    </w:p>
    <w:p w:rsidR="0013595D" w:rsidRPr="007765E3"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7765E3"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7765E3" w:rsidRDefault="0013595D" w:rsidP="00E942C2">
            <w:pPr>
              <w:widowControl w:val="0"/>
              <w:rPr>
                <w:rFonts w:ascii="Arial" w:hAnsi="Arial"/>
                <w:sz w:val="16"/>
              </w:rPr>
            </w:pPr>
            <w:r w:rsidRPr="007765E3">
              <w:rPr>
                <w:rFonts w:ascii="Arial" w:hAnsi="Arial"/>
                <w:sz w:val="16"/>
              </w:rPr>
              <w:t>Sittings of the Court:</w:t>
            </w:r>
          </w:p>
          <w:p w:rsidR="0013595D" w:rsidRPr="007765E3" w:rsidRDefault="0013595D" w:rsidP="00E942C2">
            <w:pPr>
              <w:widowControl w:val="0"/>
              <w:rPr>
                <w:rFonts w:ascii="Arial" w:hAnsi="Arial"/>
                <w:sz w:val="16"/>
              </w:rPr>
            </w:pPr>
            <w:r w:rsidRPr="007765E3">
              <w:rPr>
                <w:rFonts w:ascii="Arial" w:hAnsi="Arial"/>
                <w:sz w:val="16"/>
              </w:rPr>
              <w:t xml:space="preserve">Séances de la </w:t>
            </w:r>
            <w:proofErr w:type="spellStart"/>
            <w:r w:rsidRPr="007765E3">
              <w:rPr>
                <w:rFonts w:ascii="Arial" w:hAnsi="Arial"/>
                <w:sz w:val="16"/>
              </w:rPr>
              <w:t>Cour</w:t>
            </w:r>
            <w:proofErr w:type="spellEnd"/>
            <w:r w:rsidRPr="007765E3">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7765E3" w:rsidRDefault="0013595D" w:rsidP="00E942C2">
            <w:pPr>
              <w:widowControl w:val="0"/>
              <w:rPr>
                <w:rFonts w:ascii="Arial" w:hAnsi="Arial"/>
                <w:sz w:val="16"/>
              </w:rPr>
            </w:pPr>
          </w:p>
          <w:p w:rsidR="0013595D" w:rsidRPr="007765E3"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7765E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765E3">
              <w:rPr>
                <w:rFonts w:ascii="Arial" w:hAnsi="Arial"/>
                <w:b/>
                <w:sz w:val="16"/>
                <w:lang w:val="fr-CA"/>
              </w:rPr>
              <w:t xml:space="preserve">18  </w:t>
            </w:r>
            <w:proofErr w:type="spellStart"/>
            <w:r w:rsidRPr="007765E3">
              <w:rPr>
                <w:rFonts w:ascii="Arial" w:hAnsi="Arial"/>
                <w:b/>
                <w:sz w:val="16"/>
                <w:lang w:val="fr-CA"/>
              </w:rPr>
              <w:t>sitting</w:t>
            </w:r>
            <w:proofErr w:type="spellEnd"/>
            <w:r w:rsidRPr="007765E3">
              <w:rPr>
                <w:rFonts w:ascii="Arial" w:hAnsi="Arial"/>
                <w:b/>
                <w:sz w:val="16"/>
                <w:lang w:val="fr-CA"/>
              </w:rPr>
              <w:t xml:space="preserve"> </w:t>
            </w:r>
            <w:proofErr w:type="spellStart"/>
            <w:r w:rsidRPr="007765E3">
              <w:rPr>
                <w:rFonts w:ascii="Arial" w:hAnsi="Arial"/>
                <w:b/>
                <w:sz w:val="16"/>
                <w:lang w:val="fr-CA"/>
              </w:rPr>
              <w:t>weeks</w:t>
            </w:r>
            <w:proofErr w:type="spellEnd"/>
            <w:r w:rsidRPr="007765E3">
              <w:rPr>
                <w:rFonts w:ascii="Arial" w:hAnsi="Arial"/>
                <w:b/>
                <w:sz w:val="16"/>
                <w:lang w:val="fr-CA"/>
              </w:rPr>
              <w:t xml:space="preserve"> / semaines séances de la cour</w:t>
            </w:r>
          </w:p>
          <w:p w:rsidR="0013595D" w:rsidRPr="007765E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765E3">
              <w:rPr>
                <w:rFonts w:ascii="Arial" w:hAnsi="Arial"/>
                <w:b/>
                <w:sz w:val="16"/>
                <w:lang w:val="fr-CA"/>
              </w:rPr>
              <w:t xml:space="preserve">86  </w:t>
            </w:r>
            <w:proofErr w:type="spellStart"/>
            <w:r w:rsidRPr="007765E3">
              <w:rPr>
                <w:rFonts w:ascii="Arial" w:hAnsi="Arial"/>
                <w:b/>
                <w:sz w:val="16"/>
                <w:lang w:val="fr-CA"/>
              </w:rPr>
              <w:t>sitting</w:t>
            </w:r>
            <w:proofErr w:type="spellEnd"/>
            <w:r w:rsidRPr="007765E3">
              <w:rPr>
                <w:rFonts w:ascii="Arial" w:hAnsi="Arial"/>
                <w:b/>
                <w:sz w:val="16"/>
                <w:lang w:val="fr-CA"/>
              </w:rPr>
              <w:t xml:space="preserve"> </w:t>
            </w:r>
            <w:proofErr w:type="spellStart"/>
            <w:r w:rsidRPr="007765E3">
              <w:rPr>
                <w:rFonts w:ascii="Arial" w:hAnsi="Arial"/>
                <w:b/>
                <w:sz w:val="16"/>
                <w:lang w:val="fr-CA"/>
              </w:rPr>
              <w:t>days</w:t>
            </w:r>
            <w:proofErr w:type="spellEnd"/>
            <w:r w:rsidRPr="007765E3">
              <w:rPr>
                <w:rFonts w:ascii="Arial" w:hAnsi="Arial"/>
                <w:b/>
                <w:sz w:val="16"/>
                <w:lang w:val="fr-CA"/>
              </w:rPr>
              <w:t xml:space="preserve"> / journées séances de la cour</w:t>
            </w:r>
          </w:p>
          <w:p w:rsidR="0013595D" w:rsidRPr="007765E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7765E3">
              <w:rPr>
                <w:rFonts w:ascii="Arial" w:hAnsi="Arial"/>
                <w:b/>
                <w:sz w:val="16"/>
                <w:lang w:val="fr-CA"/>
              </w:rPr>
              <w:t>4</w:t>
            </w:r>
            <w:r w:rsidRPr="007765E3">
              <w:rPr>
                <w:rFonts w:ascii="Arial" w:hAnsi="Arial"/>
                <w:b/>
                <w:sz w:val="16"/>
              </w:rPr>
              <w:t xml:space="preserve">    holidays during sitting days / </w:t>
            </w:r>
            <w:proofErr w:type="spellStart"/>
            <w:r w:rsidRPr="007765E3">
              <w:rPr>
                <w:rFonts w:ascii="Arial" w:hAnsi="Arial"/>
                <w:b/>
                <w:sz w:val="16"/>
              </w:rPr>
              <w:t>jours</w:t>
            </w:r>
            <w:proofErr w:type="spellEnd"/>
            <w:r w:rsidRPr="007765E3">
              <w:rPr>
                <w:rFonts w:ascii="Arial" w:hAnsi="Arial"/>
                <w:b/>
                <w:sz w:val="16"/>
              </w:rPr>
              <w:t xml:space="preserve"> </w:t>
            </w:r>
            <w:proofErr w:type="spellStart"/>
            <w:r w:rsidRPr="007765E3">
              <w:rPr>
                <w:rFonts w:ascii="Arial" w:hAnsi="Arial"/>
                <w:b/>
                <w:sz w:val="16"/>
              </w:rPr>
              <w:t>fériés</w:t>
            </w:r>
            <w:proofErr w:type="spellEnd"/>
            <w:r w:rsidRPr="007765E3">
              <w:rPr>
                <w:rFonts w:ascii="Arial" w:hAnsi="Arial"/>
                <w:b/>
                <w:sz w:val="16"/>
              </w:rPr>
              <w:t xml:space="preserve"> </w:t>
            </w:r>
            <w:proofErr w:type="spellStart"/>
            <w:r w:rsidRPr="007765E3">
              <w:rPr>
                <w:rFonts w:ascii="Arial" w:hAnsi="Arial"/>
                <w:b/>
                <w:sz w:val="16"/>
              </w:rPr>
              <w:t>durant</w:t>
            </w:r>
            <w:proofErr w:type="spellEnd"/>
            <w:r w:rsidRPr="007765E3">
              <w:rPr>
                <w:rFonts w:ascii="Arial" w:hAnsi="Arial"/>
                <w:b/>
                <w:sz w:val="16"/>
              </w:rPr>
              <w:t xml:space="preserve"> les sessions</w:t>
            </w:r>
          </w:p>
          <w:p w:rsidR="0013595D" w:rsidRPr="007765E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7765E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765E3">
              <w:rPr>
                <w:rFonts w:ascii="Arial" w:hAnsi="Arial"/>
                <w:sz w:val="16"/>
              </w:rPr>
              <w:t>Holidays:</w:t>
            </w:r>
          </w:p>
          <w:p w:rsidR="0013595D" w:rsidRPr="007765E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7765E3">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7765E3">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6"/>
      <w:footerReference w:type="default" r:id="rId9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7E" w:rsidRDefault="006F2B7E" w:rsidP="00A87207">
      <w:r>
        <w:separator/>
      </w:r>
    </w:p>
  </w:endnote>
  <w:endnote w:type="continuationSeparator" w:id="0">
    <w:p w:rsidR="006F2B7E" w:rsidRDefault="006F2B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A87207">
    <w:pPr>
      <w:pStyle w:val="Footer"/>
    </w:pPr>
    <w:r>
      <w:pict>
        <v:rect id="_x0000_i1037" style="width:480.95pt;height:1pt" o:hralign="center" o:hrstd="t" o:hrnoshade="t" o:hr="t" fillcolor="black [3213]" stroked="f"/>
      </w:pict>
    </w:r>
  </w:p>
  <w:p w:rsidR="006F2B7E" w:rsidRPr="00B7374B" w:rsidRDefault="006F2B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765E3">
      <w:rPr>
        <w:noProof/>
        <w:szCs w:val="24"/>
      </w:rPr>
      <w:t>1415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EB2B90">
    <w:pPr>
      <w:tabs>
        <w:tab w:val="center" w:pos="4680"/>
      </w:tabs>
    </w:pPr>
    <w:r>
      <w:pict>
        <v:rect id="_x0000_i1072" style="width:480.95pt;height:1pt" o:hralign="center" o:hrstd="t" o:hrnoshade="t" o:hr="t" fillcolor="black [3213]" stroked="f"/>
      </w:pict>
    </w:r>
  </w:p>
  <w:p w:rsidR="006F2B7E" w:rsidRPr="0031432F" w:rsidRDefault="006F2B7E" w:rsidP="00EB2B90">
    <w:pPr>
      <w:tabs>
        <w:tab w:val="center" w:pos="4680"/>
      </w:tabs>
    </w:pPr>
    <w:r>
      <w:tab/>
      <w:t xml:space="preserve">- </w:t>
    </w:r>
    <w:r>
      <w:fldChar w:fldCharType="begin"/>
    </w:r>
    <w:r>
      <w:instrText xml:space="preserve"> PAGE   \* MERGEFORMAT </w:instrText>
    </w:r>
    <w:r>
      <w:fldChar w:fldCharType="separate"/>
    </w:r>
    <w:r w:rsidR="007765E3">
      <w:rPr>
        <w:noProof/>
      </w:rPr>
      <w:t>1439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2B7E" w:rsidRDefault="006F2B7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732DB7">
    <w:r>
      <w:pict>
        <v:rect id="_x0000_i1078" style="width:480.95pt;height:1pt" o:hralign="center" o:hrstd="t" o:hrnoshade="t" o:hr="t" fillcolor="black" stroked="f"/>
      </w:pict>
    </w:r>
  </w:p>
  <w:p w:rsidR="006F2B7E" w:rsidRDefault="006F2B7E">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pPr>
      <w:pStyle w:val="Footer"/>
    </w:pPr>
    <w:r>
      <w:pict>
        <v:rect id="_x0000_i1079" style="width:480.95pt;height:1pt" o:hralign="center" o:hrstd="t" o:hrnoshade="t" o:hr="t" fillcolor="black" stroked="f"/>
      </w:pict>
    </w:r>
  </w:p>
  <w:p w:rsidR="006F2B7E" w:rsidRPr="00283C52" w:rsidRDefault="006F2B7E">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2B7E" w:rsidRDefault="006F2B7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732DB7">
    <w:r>
      <w:pict>
        <v:rect id="_x0000_i1081" style="width:480.95pt;height:1pt" o:hralign="center" o:hrstd="t" o:hrnoshade="t" o:hr="t" fillcolor="black" stroked="f"/>
      </w:pict>
    </w:r>
  </w:p>
  <w:p w:rsidR="006F2B7E" w:rsidRDefault="006F2B7E">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pPr>
      <w:pStyle w:val="Footer"/>
    </w:pPr>
    <w:r>
      <w:pict>
        <v:rect id="_x0000_i1082" style="width:480.95pt;height:1pt" o:hralign="center" o:hrstd="t" o:hrnoshade="t" o:hr="t" fillcolor="black [3213]" stroked="f"/>
      </w:pict>
    </w:r>
  </w:p>
  <w:p w:rsidR="006F2B7E" w:rsidRPr="003C2C0F" w:rsidRDefault="006F2B7E" w:rsidP="00697C62">
    <w:pPr>
      <w:tabs>
        <w:tab w:val="center" w:pos="4680"/>
      </w:tabs>
    </w:pPr>
    <w:r>
      <w:tab/>
      <w:t xml:space="preserve">- </w:t>
    </w:r>
    <w:r>
      <w:fldChar w:fldCharType="begin"/>
    </w:r>
    <w:r>
      <w:instrText xml:space="preserve"> PAGE   \* MERGEFORMAT </w:instrText>
    </w:r>
    <w:r>
      <w:fldChar w:fldCharType="separate"/>
    </w:r>
    <w:r w:rsidR="007765E3">
      <w:rPr>
        <w:noProof/>
      </w:rPr>
      <w:t>1445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2B7E" w:rsidRDefault="006F2B7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2B7E" w:rsidRDefault="007765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5" style="width:480.95pt;height:1pt" o:hralign="center" o:hrstd="t" o:hrnoshade="t" o:hr="t" fillcolor="black [3213]" stroked="f"/>
      </w:pict>
    </w:r>
  </w:p>
  <w:p w:rsidR="006F2B7E" w:rsidRDefault="006F2B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765E3">
      <w:rPr>
        <w:noProof/>
        <w:szCs w:val="24"/>
      </w:rPr>
      <w:t>1453</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782AE4">
    <w:pPr>
      <w:tabs>
        <w:tab w:val="center" w:pos="4680"/>
      </w:tabs>
    </w:pPr>
    <w:r>
      <w:pict>
        <v:rect id="_x0000_i1086" style="width:480.95pt;height:1pt" o:hralign="center" o:hrstd="t" o:hrnoshade="t" o:hr="t" fillcolor="black [3213]" stroked="f"/>
      </w:pict>
    </w:r>
  </w:p>
  <w:p w:rsidR="006F2B7E" w:rsidRDefault="006F2B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765E3">
      <w:rPr>
        <w:noProof/>
        <w:szCs w:val="24"/>
      </w:rPr>
      <w:t>1448</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755F22">
    <w:pPr>
      <w:tabs>
        <w:tab w:val="left" w:pos="-1440"/>
        <w:tab w:val="left" w:pos="-720"/>
      </w:tabs>
    </w:pPr>
    <w:r>
      <w:pict>
        <v:rect id="_x0000_i1038" style="width:480.95pt;height:1pt" o:hralign="center" o:hrstd="t" o:hrnoshade="t" o:hr="t" fillcolor="black [3213]" stroked="f"/>
      </w:pict>
    </w:r>
  </w:p>
  <w:p w:rsidR="006F2B7E" w:rsidRPr="00954D22" w:rsidRDefault="006F2B7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765E3">
      <w:rPr>
        <w:noProof/>
        <w:szCs w:val="24"/>
      </w:rPr>
      <w:t>1414</w:t>
    </w:r>
    <w:r>
      <w:rPr>
        <w:szCs w:val="24"/>
      </w:rPr>
      <w:fldChar w:fldCharType="end"/>
    </w:r>
    <w:r w:rsidRPr="00954D22">
      <w:rPr>
        <w:szCs w:val="24"/>
      </w:rPr>
      <w:t xml:space="preserve"> -</w:t>
    </w:r>
  </w:p>
  <w:p w:rsidR="006F2B7E" w:rsidRDefault="006F2B7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Pr="00924065" w:rsidRDefault="006F2B7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A87207">
    <w:pPr>
      <w:pStyle w:val="Footer"/>
    </w:pPr>
    <w:r>
      <w:pict>
        <v:rect id="_x0000_i1040" style="width:480.95pt;height:1pt" o:hralign="center" o:hrstd="t" o:hrnoshade="t" o:hr="t" fillcolor="black [3213]" stroked="f"/>
      </w:pict>
    </w:r>
  </w:p>
  <w:p w:rsidR="006F2B7E" w:rsidRPr="00B7374B" w:rsidRDefault="006F2B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6F2B7E" w:rsidRPr="00954D22" w:rsidRDefault="006F2B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765E3">
      <w:rPr>
        <w:noProof/>
        <w:szCs w:val="24"/>
      </w:rPr>
      <w:t>1416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2B7E" w:rsidRDefault="006F2B7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6F2B7E" w:rsidRPr="0009648D" w:rsidRDefault="006F2B7E" w:rsidP="00ED7E83">
    <w:pPr>
      <w:tabs>
        <w:tab w:val="center" w:pos="4680"/>
      </w:tabs>
    </w:pPr>
    <w:r>
      <w:tab/>
    </w:r>
    <w:r w:rsidRPr="0009648D">
      <w:t xml:space="preserve">- </w:t>
    </w:r>
    <w:r>
      <w:fldChar w:fldCharType="begin"/>
    </w:r>
    <w:r>
      <w:instrText xml:space="preserve"> PAGE   \* MERGEFORMAT </w:instrText>
    </w:r>
    <w:r>
      <w:fldChar w:fldCharType="separate"/>
    </w:r>
    <w:r w:rsidR="007765E3">
      <w:rPr>
        <w:noProof/>
      </w:rPr>
      <w:t>1432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pPr>
      <w:pStyle w:val="Footer"/>
      <w:rPr>
        <w:lang w:val="fr-CA"/>
      </w:rPr>
    </w:pPr>
    <w:r>
      <w:rPr>
        <w:lang w:val="fr-CA"/>
      </w:rPr>
      <w:pict>
        <v:rect id="_x0000_i1067" style="width:480.95pt;height:1pt" o:hralign="center" o:hrstd="t" o:hrnoshade="t" o:hr="t" fillcolor="black [3213]" stroked="f"/>
      </w:pict>
    </w:r>
  </w:p>
  <w:p w:rsidR="006F2B7E" w:rsidRDefault="006F2B7E" w:rsidP="00245129">
    <w:pPr>
      <w:tabs>
        <w:tab w:val="center" w:pos="4680"/>
      </w:tabs>
    </w:pPr>
    <w:r>
      <w:tab/>
    </w:r>
    <w:r w:rsidRPr="0009648D">
      <w:t xml:space="preserve">- </w:t>
    </w:r>
    <w:r>
      <w:fldChar w:fldCharType="begin"/>
    </w:r>
    <w:r>
      <w:instrText xml:space="preserve"> PAGE   \* MERGEFORMAT </w:instrText>
    </w:r>
    <w:r>
      <w:fldChar w:fldCharType="separate"/>
    </w:r>
    <w:r w:rsidR="007765E3">
      <w:rPr>
        <w:noProof/>
      </w:rPr>
      <w:t>1417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F2B7E" w:rsidRDefault="006F2B7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7765E3" w:rsidP="00755F22">
    <w:pPr>
      <w:tabs>
        <w:tab w:val="left" w:pos="-1440"/>
        <w:tab w:val="left" w:pos="-720"/>
      </w:tabs>
    </w:pPr>
    <w:r>
      <w:pict>
        <v:rect id="_x0000_i1071" style="width:480.95pt;height:1pt" o:hralign="center" o:hrstd="t" o:hrnoshade="t" o:hr="t" fillcolor="black [3213]" stroked="f"/>
      </w:pict>
    </w:r>
  </w:p>
  <w:p w:rsidR="006F2B7E" w:rsidRDefault="006F2B7E" w:rsidP="00EB2B90">
    <w:pPr>
      <w:tabs>
        <w:tab w:val="center" w:pos="4680"/>
      </w:tabs>
    </w:pPr>
    <w:r>
      <w:tab/>
      <w:t xml:space="preserve">- </w:t>
    </w:r>
    <w:r>
      <w:fldChar w:fldCharType="begin"/>
    </w:r>
    <w:r>
      <w:instrText xml:space="preserve"> PAGE   \* MERGEFORMAT </w:instrText>
    </w:r>
    <w:r>
      <w:fldChar w:fldCharType="separate"/>
    </w:r>
    <w:r w:rsidR="007765E3">
      <w:rPr>
        <w:noProof/>
      </w:rPr>
      <w:t>1440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7E" w:rsidRDefault="006F2B7E" w:rsidP="00A87207">
      <w:r>
        <w:separator/>
      </w:r>
    </w:p>
  </w:footnote>
  <w:footnote w:type="continuationSeparator" w:id="0">
    <w:p w:rsidR="006F2B7E" w:rsidRDefault="006F2B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F2B7E" w:rsidRPr="0044776A" w:rsidTr="00245129">
      <w:tc>
        <w:tcPr>
          <w:tcW w:w="4290" w:type="dxa"/>
          <w:tcMar>
            <w:left w:w="0" w:type="dxa"/>
            <w:right w:w="0" w:type="dxa"/>
          </w:tcMar>
        </w:tcPr>
        <w:p w:rsidR="006F2B7E" w:rsidRPr="0044776A" w:rsidRDefault="006F2B7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F2B7E" w:rsidRPr="0044776A" w:rsidRDefault="006F2B7E" w:rsidP="002E2327">
          <w:pPr>
            <w:keepNext/>
            <w:keepLines/>
            <w:tabs>
              <w:tab w:val="left" w:pos="-1440"/>
              <w:tab w:val="left" w:pos="-720"/>
            </w:tabs>
            <w:jc w:val="center"/>
            <w:rPr>
              <w:sz w:val="20"/>
              <w:szCs w:val="20"/>
            </w:rPr>
          </w:pPr>
        </w:p>
        <w:p w:rsidR="006F2B7E" w:rsidRPr="0044776A" w:rsidRDefault="006F2B7E" w:rsidP="002E2327">
          <w:pPr>
            <w:keepNext/>
            <w:keepLines/>
            <w:tabs>
              <w:tab w:val="left" w:pos="-1440"/>
              <w:tab w:val="left" w:pos="-720"/>
            </w:tabs>
            <w:jc w:val="center"/>
            <w:rPr>
              <w:sz w:val="20"/>
              <w:szCs w:val="20"/>
            </w:rPr>
          </w:pPr>
        </w:p>
        <w:p w:rsidR="006F2B7E" w:rsidRPr="0044776A" w:rsidRDefault="006F2B7E" w:rsidP="002E2327">
          <w:pPr>
            <w:keepNext/>
            <w:keepLines/>
            <w:tabs>
              <w:tab w:val="left" w:pos="-1440"/>
              <w:tab w:val="left" w:pos="-720"/>
            </w:tabs>
            <w:jc w:val="center"/>
            <w:rPr>
              <w:sz w:val="20"/>
              <w:szCs w:val="20"/>
            </w:rPr>
          </w:pPr>
        </w:p>
      </w:tc>
      <w:tc>
        <w:tcPr>
          <w:tcW w:w="4320" w:type="dxa"/>
          <w:tcMar>
            <w:left w:w="0" w:type="dxa"/>
            <w:right w:w="0" w:type="dxa"/>
          </w:tcMar>
        </w:tcPr>
        <w:p w:rsidR="006F2B7E" w:rsidRPr="0044776A" w:rsidRDefault="006F2B7E" w:rsidP="002E2327">
          <w:pPr>
            <w:keepLines/>
            <w:rPr>
              <w:sz w:val="20"/>
              <w:szCs w:val="20"/>
              <w:lang w:val="fr-CA"/>
            </w:rPr>
          </w:pPr>
          <w:r w:rsidRPr="0044776A">
            <w:rPr>
              <w:sz w:val="20"/>
              <w:szCs w:val="20"/>
              <w:lang w:val="fr-CA"/>
            </w:rPr>
            <w:t>DEMANDES D'AUTORISATION D'APPEL DÉPOSÉES</w:t>
          </w:r>
        </w:p>
      </w:tc>
    </w:tr>
  </w:tbl>
  <w:p w:rsidR="006F2B7E" w:rsidRDefault="006F2B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2B7E" w:rsidRPr="0014222C">
      <w:tc>
        <w:tcPr>
          <w:tcW w:w="420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2B7E" w:rsidRPr="00283C52"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F2B7E" w:rsidRPr="00283C52"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F2B7E" w:rsidRPr="00283C52"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2B7E" w:rsidRPr="0014222C" w:rsidTr="00245129">
      <w:tc>
        <w:tcPr>
          <w:tcW w:w="4200" w:type="dxa"/>
          <w:tcMar>
            <w:left w:w="0" w:type="dxa"/>
            <w:right w:w="0" w:type="dxa"/>
          </w:tcMar>
        </w:tcPr>
        <w:p w:rsidR="006F2B7E" w:rsidRPr="00732DB7" w:rsidRDefault="006F2B7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F2B7E" w:rsidRPr="00732DB7" w:rsidRDefault="006F2B7E" w:rsidP="00732DB7">
          <w:pPr>
            <w:keepNext/>
            <w:keepLines/>
            <w:tabs>
              <w:tab w:val="left" w:pos="-1440"/>
              <w:tab w:val="left" w:pos="-720"/>
            </w:tabs>
            <w:jc w:val="center"/>
            <w:rPr>
              <w:sz w:val="20"/>
              <w:szCs w:val="20"/>
            </w:rPr>
          </w:pPr>
        </w:p>
        <w:p w:rsidR="006F2B7E" w:rsidRPr="00732DB7" w:rsidRDefault="006F2B7E" w:rsidP="00732DB7">
          <w:pPr>
            <w:keepNext/>
            <w:keepLines/>
            <w:tabs>
              <w:tab w:val="left" w:pos="-1440"/>
              <w:tab w:val="left" w:pos="-720"/>
            </w:tabs>
            <w:jc w:val="center"/>
            <w:rPr>
              <w:sz w:val="20"/>
              <w:szCs w:val="20"/>
            </w:rPr>
          </w:pPr>
        </w:p>
        <w:p w:rsidR="006F2B7E" w:rsidRPr="00732DB7" w:rsidRDefault="006F2B7E" w:rsidP="00732DB7">
          <w:pPr>
            <w:keepNext/>
            <w:keepLines/>
            <w:tabs>
              <w:tab w:val="left" w:pos="-1440"/>
              <w:tab w:val="left" w:pos="-720"/>
            </w:tabs>
            <w:jc w:val="center"/>
            <w:rPr>
              <w:sz w:val="20"/>
              <w:szCs w:val="20"/>
            </w:rPr>
          </w:pPr>
        </w:p>
      </w:tc>
      <w:tc>
        <w:tcPr>
          <w:tcW w:w="4080" w:type="dxa"/>
          <w:tcMar>
            <w:left w:w="0" w:type="dxa"/>
            <w:right w:w="0" w:type="dxa"/>
          </w:tcMar>
        </w:tcPr>
        <w:p w:rsidR="006F2B7E" w:rsidRPr="00732DB7" w:rsidRDefault="006F2B7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F2B7E" w:rsidRPr="00283C52" w:rsidRDefault="006F2B7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2B7E" w:rsidRPr="0014222C">
      <w:tc>
        <w:tcPr>
          <w:tcW w:w="420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F2B7E" w:rsidRPr="003C2C0F"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F2B7E" w:rsidRPr="003C2C0F"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F2B7E" w:rsidRPr="003C2C0F"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2B7E" w:rsidRPr="0014222C" w:rsidTr="00245129">
      <w:tc>
        <w:tcPr>
          <w:tcW w:w="4200" w:type="dxa"/>
          <w:tcMar>
            <w:left w:w="0" w:type="dxa"/>
            <w:right w:w="0" w:type="dxa"/>
          </w:tcMar>
        </w:tcPr>
        <w:p w:rsidR="006F2B7E" w:rsidRPr="00FF6EEC" w:rsidRDefault="006F2B7E" w:rsidP="00FF6EEC">
          <w:pPr>
            <w:rPr>
              <w:sz w:val="20"/>
              <w:szCs w:val="20"/>
            </w:rPr>
          </w:pPr>
          <w:r w:rsidRPr="00FF6EEC">
            <w:rPr>
              <w:sz w:val="20"/>
              <w:szCs w:val="20"/>
            </w:rPr>
            <w:t>PRONOUNCEMENTS OF APPEALS RESERVED</w:t>
          </w:r>
        </w:p>
      </w:tc>
      <w:tc>
        <w:tcPr>
          <w:tcW w:w="1200" w:type="dxa"/>
          <w:tcMar>
            <w:left w:w="0" w:type="dxa"/>
            <w:right w:w="0" w:type="dxa"/>
          </w:tcMar>
        </w:tcPr>
        <w:p w:rsidR="006F2B7E" w:rsidRPr="00FF6EEC" w:rsidRDefault="006F2B7E" w:rsidP="00FF6EEC">
          <w:pPr>
            <w:jc w:val="center"/>
            <w:rPr>
              <w:sz w:val="20"/>
              <w:szCs w:val="20"/>
            </w:rPr>
          </w:pPr>
        </w:p>
        <w:p w:rsidR="006F2B7E" w:rsidRPr="00FF6EEC" w:rsidRDefault="006F2B7E" w:rsidP="00FF6EEC">
          <w:pPr>
            <w:jc w:val="center"/>
            <w:rPr>
              <w:sz w:val="20"/>
              <w:szCs w:val="20"/>
            </w:rPr>
          </w:pPr>
        </w:p>
        <w:p w:rsidR="006F2B7E" w:rsidRPr="00FF6EEC" w:rsidRDefault="006F2B7E" w:rsidP="00FF6EEC">
          <w:pPr>
            <w:jc w:val="center"/>
            <w:rPr>
              <w:sz w:val="20"/>
              <w:szCs w:val="20"/>
            </w:rPr>
          </w:pPr>
        </w:p>
      </w:tc>
      <w:tc>
        <w:tcPr>
          <w:tcW w:w="4080" w:type="dxa"/>
          <w:tcMar>
            <w:left w:w="0" w:type="dxa"/>
            <w:right w:w="0" w:type="dxa"/>
          </w:tcMar>
        </w:tcPr>
        <w:p w:rsidR="006F2B7E" w:rsidRPr="00FF6EEC" w:rsidRDefault="006F2B7E" w:rsidP="00FF6EEC">
          <w:pPr>
            <w:rPr>
              <w:sz w:val="20"/>
              <w:szCs w:val="20"/>
              <w:lang w:val="fr-CA"/>
            </w:rPr>
          </w:pPr>
          <w:r w:rsidRPr="00FF6EEC">
            <w:rPr>
              <w:sz w:val="20"/>
              <w:szCs w:val="20"/>
              <w:lang w:val="fr-CA"/>
            </w:rPr>
            <w:t>JUGEMENTS RENDUS SUR LES APPELS EN DÉLIBÉRÉ</w:t>
          </w:r>
        </w:p>
      </w:tc>
    </w:tr>
  </w:tbl>
  <w:p w:rsidR="006F2B7E" w:rsidRPr="003C2C0F" w:rsidRDefault="006F2B7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F2B7E">
      <w:tc>
        <w:tcPr>
          <w:tcW w:w="423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F2B7E"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F2B7E" w:rsidRPr="00782AE4" w:rsidTr="00245129">
      <w:tc>
        <w:tcPr>
          <w:tcW w:w="4230" w:type="dxa"/>
          <w:tcMar>
            <w:left w:w="0" w:type="dxa"/>
            <w:right w:w="0" w:type="dxa"/>
          </w:tcMar>
        </w:tcPr>
        <w:p w:rsidR="006F2B7E" w:rsidRPr="00782AE4" w:rsidRDefault="006F2B7E" w:rsidP="00102926">
          <w:pPr>
            <w:keepNext/>
            <w:keepLines/>
            <w:tabs>
              <w:tab w:val="left" w:pos="-1440"/>
              <w:tab w:val="left" w:pos="-720"/>
            </w:tabs>
            <w:rPr>
              <w:sz w:val="20"/>
              <w:szCs w:val="20"/>
            </w:rPr>
          </w:pPr>
          <w:r w:rsidRPr="00782AE4">
            <w:rPr>
              <w:sz w:val="20"/>
              <w:szCs w:val="20"/>
            </w:rPr>
            <w:t xml:space="preserve">HEADNOTES OF RECENT </w:t>
          </w:r>
        </w:p>
        <w:p w:rsidR="006F2B7E" w:rsidRPr="00782AE4"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F2B7E" w:rsidRDefault="006F2B7E" w:rsidP="00102926">
          <w:pPr>
            <w:keepNext/>
            <w:keepLines/>
            <w:tabs>
              <w:tab w:val="left" w:pos="-1440"/>
              <w:tab w:val="left" w:pos="-720"/>
            </w:tabs>
            <w:jc w:val="center"/>
            <w:rPr>
              <w:sz w:val="20"/>
              <w:szCs w:val="20"/>
            </w:rPr>
          </w:pPr>
        </w:p>
        <w:p w:rsidR="006F2B7E" w:rsidRDefault="006F2B7E" w:rsidP="00102926">
          <w:pPr>
            <w:keepNext/>
            <w:keepLines/>
            <w:tabs>
              <w:tab w:val="left" w:pos="-1440"/>
              <w:tab w:val="left" w:pos="-720"/>
            </w:tabs>
            <w:jc w:val="center"/>
            <w:rPr>
              <w:sz w:val="20"/>
              <w:szCs w:val="20"/>
            </w:rPr>
          </w:pPr>
        </w:p>
        <w:p w:rsidR="006F2B7E" w:rsidRPr="00782AE4" w:rsidRDefault="006F2B7E" w:rsidP="00102926">
          <w:pPr>
            <w:keepNext/>
            <w:keepLines/>
            <w:tabs>
              <w:tab w:val="left" w:pos="-1440"/>
              <w:tab w:val="left" w:pos="-720"/>
            </w:tabs>
            <w:jc w:val="center"/>
            <w:rPr>
              <w:sz w:val="20"/>
              <w:szCs w:val="20"/>
            </w:rPr>
          </w:pPr>
        </w:p>
      </w:tc>
      <w:tc>
        <w:tcPr>
          <w:tcW w:w="4080" w:type="dxa"/>
          <w:tcMar>
            <w:left w:w="0" w:type="dxa"/>
            <w:right w:w="0" w:type="dxa"/>
          </w:tcMar>
        </w:tcPr>
        <w:p w:rsidR="006F2B7E" w:rsidRPr="00102926"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F2B7E" w:rsidRPr="00782AE4" w:rsidRDefault="006F2B7E" w:rsidP="00102926">
          <w:pPr>
            <w:keepLines/>
            <w:tabs>
              <w:tab w:val="left" w:pos="-1440"/>
              <w:tab w:val="left" w:pos="-720"/>
            </w:tabs>
            <w:rPr>
              <w:sz w:val="20"/>
              <w:szCs w:val="20"/>
            </w:rPr>
          </w:pPr>
          <w:r w:rsidRPr="00102926">
            <w:rPr>
              <w:sz w:val="20"/>
              <w:szCs w:val="20"/>
              <w:lang w:val="fr-CA"/>
            </w:rPr>
            <w:t>RÉCENTS</w:t>
          </w:r>
        </w:p>
      </w:tc>
    </w:tr>
  </w:tbl>
  <w:p w:rsidR="006F2B7E" w:rsidRDefault="006F2B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2B7E" w:rsidRPr="0014222C" w:rsidTr="00245129">
      <w:tc>
        <w:tcPr>
          <w:tcW w:w="4200" w:type="dxa"/>
          <w:tcMar>
            <w:left w:w="0" w:type="dxa"/>
            <w:right w:w="0" w:type="dxa"/>
          </w:tcMar>
        </w:tcPr>
        <w:p w:rsidR="006F2B7E" w:rsidRPr="0044776A" w:rsidRDefault="006F2B7E" w:rsidP="0044776A">
          <w:pPr>
            <w:keepNext/>
            <w:keepLines/>
            <w:widowControl w:val="0"/>
            <w:rPr>
              <w:sz w:val="20"/>
              <w:szCs w:val="20"/>
            </w:rPr>
          </w:pPr>
          <w:r>
            <w:rPr>
              <w:sz w:val="20"/>
              <w:szCs w:val="20"/>
            </w:rPr>
            <w:t>APPLICATIONS FOR LEAVE</w:t>
          </w:r>
        </w:p>
        <w:p w:rsidR="006F2B7E" w:rsidRPr="0044776A" w:rsidRDefault="006F2B7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F2B7E" w:rsidRPr="0044776A" w:rsidRDefault="006F2B7E" w:rsidP="0044776A">
          <w:pPr>
            <w:keepNext/>
            <w:keepLines/>
            <w:widowControl w:val="0"/>
            <w:jc w:val="center"/>
            <w:rPr>
              <w:sz w:val="20"/>
              <w:szCs w:val="20"/>
            </w:rPr>
          </w:pPr>
        </w:p>
        <w:p w:rsidR="006F2B7E" w:rsidRPr="0044776A" w:rsidRDefault="006F2B7E" w:rsidP="0044776A">
          <w:pPr>
            <w:keepNext/>
            <w:keepLines/>
            <w:widowControl w:val="0"/>
            <w:jc w:val="center"/>
            <w:rPr>
              <w:sz w:val="20"/>
              <w:szCs w:val="20"/>
            </w:rPr>
          </w:pPr>
        </w:p>
        <w:p w:rsidR="006F2B7E" w:rsidRPr="0044776A" w:rsidRDefault="006F2B7E" w:rsidP="0044776A">
          <w:pPr>
            <w:keepNext/>
            <w:keepLines/>
            <w:widowControl w:val="0"/>
            <w:jc w:val="center"/>
            <w:rPr>
              <w:sz w:val="20"/>
              <w:szCs w:val="20"/>
            </w:rPr>
          </w:pPr>
        </w:p>
      </w:tc>
      <w:tc>
        <w:tcPr>
          <w:tcW w:w="4080" w:type="dxa"/>
          <w:tcMar>
            <w:left w:w="0" w:type="dxa"/>
            <w:right w:w="0" w:type="dxa"/>
          </w:tcMar>
        </w:tcPr>
        <w:p w:rsidR="006F2B7E" w:rsidRPr="0044776A" w:rsidRDefault="006F2B7E" w:rsidP="0044776A">
          <w:pPr>
            <w:keepLines/>
            <w:widowControl w:val="0"/>
            <w:rPr>
              <w:sz w:val="20"/>
              <w:szCs w:val="20"/>
              <w:lang w:val="fr-CA"/>
            </w:rPr>
          </w:pPr>
          <w:r w:rsidRPr="0044776A">
            <w:rPr>
              <w:sz w:val="20"/>
              <w:szCs w:val="20"/>
              <w:lang w:val="fr-CA"/>
            </w:rPr>
            <w:t>DEMANDES SOUMISES À LA COUR DEPUIS LA DERNIÈRE PARUTION</w:t>
          </w:r>
        </w:p>
        <w:p w:rsidR="006F2B7E" w:rsidRPr="0044776A" w:rsidRDefault="006F2B7E" w:rsidP="0044776A">
          <w:pPr>
            <w:widowControl w:val="0"/>
            <w:rPr>
              <w:sz w:val="20"/>
              <w:szCs w:val="20"/>
              <w:lang w:val="fr-CA"/>
            </w:rPr>
          </w:pPr>
        </w:p>
      </w:tc>
    </w:tr>
  </w:tbl>
  <w:p w:rsidR="006F2B7E" w:rsidRPr="002E2327" w:rsidRDefault="006F2B7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F2B7E" w:rsidRPr="0014222C">
      <w:tc>
        <w:tcPr>
          <w:tcW w:w="420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F2B7E"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2B7E" w:rsidRPr="00FF6BA5"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F2B7E" w:rsidRPr="00FF6BA5"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F2B7E" w:rsidRPr="00FF6BA5"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F2B7E" w:rsidRPr="00FF6BA5"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F2B7E" w:rsidRPr="0014222C" w:rsidTr="00245129">
      <w:tc>
        <w:tcPr>
          <w:tcW w:w="4200" w:type="dxa"/>
          <w:tcMar>
            <w:left w:w="0" w:type="dxa"/>
            <w:right w:w="0" w:type="dxa"/>
          </w:tcMar>
        </w:tcPr>
        <w:p w:rsidR="006F2B7E" w:rsidRPr="00755F22"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F2B7E" w:rsidRPr="00755F22"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F2B7E" w:rsidRPr="00755F22" w:rsidRDefault="006F2B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F2B7E" w:rsidRPr="00755F22" w:rsidRDefault="006F2B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F2B7E" w:rsidRPr="00755F22" w:rsidRDefault="006F2B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F2B7E" w:rsidRPr="00755F22"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F2B7E" w:rsidRPr="00FF6BA5" w:rsidRDefault="006F2B7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E" w:rsidRDefault="006F2B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F2B7E">
      <w:tc>
        <w:tcPr>
          <w:tcW w:w="4230" w:type="dxa"/>
          <w:tcMar>
            <w:left w:w="0" w:type="dxa"/>
            <w:right w:w="0" w:type="dxa"/>
          </w:tcMar>
        </w:tcPr>
        <w:p w:rsidR="006F2B7E" w:rsidRDefault="006F2B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F2B7E"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F2B7E" w:rsidRDefault="006F2B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F2B7E">
      <w:trPr>
        <w:gridAfter w:val="2"/>
        <w:wAfter w:w="5250" w:type="dxa"/>
      </w:trPr>
      <w:tc>
        <w:tcPr>
          <w:tcW w:w="4230" w:type="dxa"/>
          <w:tcMar>
            <w:left w:w="0" w:type="dxa"/>
            <w:right w:w="0" w:type="dxa"/>
          </w:tcMar>
        </w:tcPr>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F2B7E" w:rsidRDefault="006F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F2B7E" w:rsidRPr="00755F22" w:rsidTr="00245129">
      <w:tc>
        <w:tcPr>
          <w:tcW w:w="4230" w:type="dxa"/>
          <w:tcMar>
            <w:left w:w="0" w:type="dxa"/>
            <w:right w:w="0" w:type="dxa"/>
          </w:tcMar>
        </w:tcPr>
        <w:p w:rsidR="006F2B7E" w:rsidRPr="00755F22" w:rsidRDefault="006F2B7E" w:rsidP="00831CA9">
          <w:pPr>
            <w:keepNext/>
            <w:keepLines/>
            <w:rPr>
              <w:sz w:val="20"/>
              <w:szCs w:val="20"/>
            </w:rPr>
          </w:pPr>
          <w:r w:rsidRPr="00755F22">
            <w:rPr>
              <w:sz w:val="20"/>
              <w:szCs w:val="20"/>
            </w:rPr>
            <w:t>MOTIONS</w:t>
          </w:r>
        </w:p>
      </w:tc>
      <w:tc>
        <w:tcPr>
          <w:tcW w:w="1170" w:type="dxa"/>
          <w:tcMar>
            <w:left w:w="0" w:type="dxa"/>
            <w:right w:w="0" w:type="dxa"/>
          </w:tcMar>
        </w:tcPr>
        <w:p w:rsidR="006F2B7E" w:rsidRPr="00755F22" w:rsidRDefault="006F2B7E" w:rsidP="00831CA9">
          <w:pPr>
            <w:keepLines/>
            <w:jc w:val="center"/>
            <w:rPr>
              <w:sz w:val="20"/>
              <w:szCs w:val="20"/>
            </w:rPr>
          </w:pPr>
        </w:p>
        <w:p w:rsidR="006F2B7E" w:rsidRPr="00755F22" w:rsidRDefault="006F2B7E" w:rsidP="00831CA9">
          <w:pPr>
            <w:keepLines/>
            <w:tabs>
              <w:tab w:val="left" w:pos="-1440"/>
              <w:tab w:val="left" w:pos="-720"/>
            </w:tabs>
            <w:jc w:val="center"/>
            <w:rPr>
              <w:sz w:val="20"/>
              <w:szCs w:val="20"/>
            </w:rPr>
          </w:pPr>
        </w:p>
      </w:tc>
      <w:tc>
        <w:tcPr>
          <w:tcW w:w="4080" w:type="dxa"/>
          <w:tcMar>
            <w:left w:w="0" w:type="dxa"/>
            <w:right w:w="0" w:type="dxa"/>
          </w:tcMar>
        </w:tcPr>
        <w:p w:rsidR="006F2B7E" w:rsidRPr="00BA6468" w:rsidRDefault="006F2B7E" w:rsidP="00BA6468">
          <w:pPr>
            <w:keepLines/>
            <w:rPr>
              <w:sz w:val="20"/>
              <w:szCs w:val="20"/>
              <w:lang w:val="fr-CA"/>
            </w:rPr>
          </w:pPr>
          <w:r w:rsidRPr="00BA6468">
            <w:rPr>
              <w:sz w:val="20"/>
              <w:szCs w:val="20"/>
              <w:lang w:val="fr-CA"/>
            </w:rPr>
            <w:t>REQUÊTES</w:t>
          </w:r>
        </w:p>
      </w:tc>
    </w:tr>
  </w:tbl>
  <w:p w:rsidR="006F2B7E" w:rsidRDefault="006F2B7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B00EAB"/>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0"/>
  </w:num>
  <w:num w:numId="10">
    <w:abstractNumId w:val="2"/>
  </w:num>
  <w:num w:numId="11">
    <w:abstractNumId w:val="4"/>
  </w:num>
  <w:num w:numId="12">
    <w:abstractNumId w:val="3"/>
  </w:num>
  <w:num w:numId="13">
    <w:abstractNumId w:val="1"/>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F3"/>
    <w:rsid w:val="00002704"/>
    <w:rsid w:val="00020DC3"/>
    <w:rsid w:val="0003223B"/>
    <w:rsid w:val="000327B2"/>
    <w:rsid w:val="0004528B"/>
    <w:rsid w:val="00064FBA"/>
    <w:rsid w:val="00070F74"/>
    <w:rsid w:val="00076FD9"/>
    <w:rsid w:val="00091FA6"/>
    <w:rsid w:val="00096BD9"/>
    <w:rsid w:val="000B3C9A"/>
    <w:rsid w:val="000B40A2"/>
    <w:rsid w:val="000B4624"/>
    <w:rsid w:val="000C0ACD"/>
    <w:rsid w:val="000C0D2A"/>
    <w:rsid w:val="000C5CE8"/>
    <w:rsid w:val="000E27A5"/>
    <w:rsid w:val="000E2959"/>
    <w:rsid w:val="000E312F"/>
    <w:rsid w:val="000E6D1D"/>
    <w:rsid w:val="000F0B60"/>
    <w:rsid w:val="000F2AF7"/>
    <w:rsid w:val="00102926"/>
    <w:rsid w:val="0010587F"/>
    <w:rsid w:val="00111C6B"/>
    <w:rsid w:val="001134D3"/>
    <w:rsid w:val="0012102B"/>
    <w:rsid w:val="00127038"/>
    <w:rsid w:val="0013369E"/>
    <w:rsid w:val="0013595D"/>
    <w:rsid w:val="0014222C"/>
    <w:rsid w:val="00164E6D"/>
    <w:rsid w:val="00183454"/>
    <w:rsid w:val="00191C50"/>
    <w:rsid w:val="001B157C"/>
    <w:rsid w:val="001B4006"/>
    <w:rsid w:val="001B5C23"/>
    <w:rsid w:val="001D0D5F"/>
    <w:rsid w:val="001D6B8C"/>
    <w:rsid w:val="001F1F83"/>
    <w:rsid w:val="001F40DF"/>
    <w:rsid w:val="001F6B2D"/>
    <w:rsid w:val="002021A9"/>
    <w:rsid w:val="002139A7"/>
    <w:rsid w:val="00215F7C"/>
    <w:rsid w:val="0022323B"/>
    <w:rsid w:val="002410B8"/>
    <w:rsid w:val="002419EE"/>
    <w:rsid w:val="00242AEE"/>
    <w:rsid w:val="00245129"/>
    <w:rsid w:val="00245879"/>
    <w:rsid w:val="00253236"/>
    <w:rsid w:val="00267FD5"/>
    <w:rsid w:val="00274D34"/>
    <w:rsid w:val="00283ED8"/>
    <w:rsid w:val="00284908"/>
    <w:rsid w:val="002868D0"/>
    <w:rsid w:val="002A008C"/>
    <w:rsid w:val="002A27D1"/>
    <w:rsid w:val="002A4AFA"/>
    <w:rsid w:val="002B516C"/>
    <w:rsid w:val="002D72EB"/>
    <w:rsid w:val="002E2327"/>
    <w:rsid w:val="002E3583"/>
    <w:rsid w:val="002E5576"/>
    <w:rsid w:val="0030050B"/>
    <w:rsid w:val="00306B52"/>
    <w:rsid w:val="00331B52"/>
    <w:rsid w:val="003359D3"/>
    <w:rsid w:val="00355967"/>
    <w:rsid w:val="00382C47"/>
    <w:rsid w:val="00384384"/>
    <w:rsid w:val="003866AE"/>
    <w:rsid w:val="003B3977"/>
    <w:rsid w:val="003D4D5B"/>
    <w:rsid w:val="003E1D4C"/>
    <w:rsid w:val="004137A0"/>
    <w:rsid w:val="00422D9A"/>
    <w:rsid w:val="00432989"/>
    <w:rsid w:val="00440E24"/>
    <w:rsid w:val="0044776A"/>
    <w:rsid w:val="00460AFC"/>
    <w:rsid w:val="0047471F"/>
    <w:rsid w:val="004A644E"/>
    <w:rsid w:val="004B195E"/>
    <w:rsid w:val="004B66B4"/>
    <w:rsid w:val="004B7F60"/>
    <w:rsid w:val="004C1AAC"/>
    <w:rsid w:val="004C329F"/>
    <w:rsid w:val="004E1E0A"/>
    <w:rsid w:val="004F090E"/>
    <w:rsid w:val="00501F3C"/>
    <w:rsid w:val="0052229C"/>
    <w:rsid w:val="00527CC7"/>
    <w:rsid w:val="00571CA4"/>
    <w:rsid w:val="00582136"/>
    <w:rsid w:val="0059186F"/>
    <w:rsid w:val="005C6840"/>
    <w:rsid w:val="005F1ED8"/>
    <w:rsid w:val="005F263E"/>
    <w:rsid w:val="00600252"/>
    <w:rsid w:val="00612A40"/>
    <w:rsid w:val="0062714A"/>
    <w:rsid w:val="00675479"/>
    <w:rsid w:val="00680709"/>
    <w:rsid w:val="00681F61"/>
    <w:rsid w:val="00696BF9"/>
    <w:rsid w:val="00697C62"/>
    <w:rsid w:val="006A329B"/>
    <w:rsid w:val="006A7EB8"/>
    <w:rsid w:val="006B6926"/>
    <w:rsid w:val="006C3F47"/>
    <w:rsid w:val="006C5C57"/>
    <w:rsid w:val="006C5F7A"/>
    <w:rsid w:val="006E06AF"/>
    <w:rsid w:val="006F2B7E"/>
    <w:rsid w:val="006F350F"/>
    <w:rsid w:val="00732DB7"/>
    <w:rsid w:val="0074238B"/>
    <w:rsid w:val="00745EF7"/>
    <w:rsid w:val="00755F22"/>
    <w:rsid w:val="00766E4A"/>
    <w:rsid w:val="007765E3"/>
    <w:rsid w:val="007820CE"/>
    <w:rsid w:val="00782AE4"/>
    <w:rsid w:val="0078692F"/>
    <w:rsid w:val="0079724F"/>
    <w:rsid w:val="007A3EAE"/>
    <w:rsid w:val="007C04FC"/>
    <w:rsid w:val="007C3DB0"/>
    <w:rsid w:val="007C47C2"/>
    <w:rsid w:val="007D3E0F"/>
    <w:rsid w:val="007E4282"/>
    <w:rsid w:val="007F1C6A"/>
    <w:rsid w:val="007F387B"/>
    <w:rsid w:val="0080245B"/>
    <w:rsid w:val="00802863"/>
    <w:rsid w:val="008112A9"/>
    <w:rsid w:val="0081473A"/>
    <w:rsid w:val="00815B3C"/>
    <w:rsid w:val="0081610A"/>
    <w:rsid w:val="0082783A"/>
    <w:rsid w:val="00831CA9"/>
    <w:rsid w:val="00850E1F"/>
    <w:rsid w:val="0085476B"/>
    <w:rsid w:val="0086340B"/>
    <w:rsid w:val="00864D71"/>
    <w:rsid w:val="008902B1"/>
    <w:rsid w:val="00890FEB"/>
    <w:rsid w:val="00895E7E"/>
    <w:rsid w:val="008A5C1A"/>
    <w:rsid w:val="008D292F"/>
    <w:rsid w:val="008E03DC"/>
    <w:rsid w:val="00901382"/>
    <w:rsid w:val="00902E51"/>
    <w:rsid w:val="00922775"/>
    <w:rsid w:val="00924065"/>
    <w:rsid w:val="00930D68"/>
    <w:rsid w:val="00932DB4"/>
    <w:rsid w:val="00941A4B"/>
    <w:rsid w:val="00946242"/>
    <w:rsid w:val="0095096B"/>
    <w:rsid w:val="00970CD3"/>
    <w:rsid w:val="009723FA"/>
    <w:rsid w:val="00984546"/>
    <w:rsid w:val="00996510"/>
    <w:rsid w:val="009D1F15"/>
    <w:rsid w:val="009D555E"/>
    <w:rsid w:val="009F3024"/>
    <w:rsid w:val="009F39BA"/>
    <w:rsid w:val="00A016F3"/>
    <w:rsid w:val="00A0355E"/>
    <w:rsid w:val="00A037FF"/>
    <w:rsid w:val="00A17446"/>
    <w:rsid w:val="00A30C1A"/>
    <w:rsid w:val="00A375D1"/>
    <w:rsid w:val="00A51D10"/>
    <w:rsid w:val="00A52A83"/>
    <w:rsid w:val="00A6552C"/>
    <w:rsid w:val="00A7356B"/>
    <w:rsid w:val="00A822FC"/>
    <w:rsid w:val="00A87207"/>
    <w:rsid w:val="00A935AA"/>
    <w:rsid w:val="00A956D3"/>
    <w:rsid w:val="00AB2201"/>
    <w:rsid w:val="00AD1D34"/>
    <w:rsid w:val="00AD3259"/>
    <w:rsid w:val="00AF1715"/>
    <w:rsid w:val="00AF3904"/>
    <w:rsid w:val="00B010C0"/>
    <w:rsid w:val="00B03D90"/>
    <w:rsid w:val="00B4740D"/>
    <w:rsid w:val="00B61629"/>
    <w:rsid w:val="00B7374B"/>
    <w:rsid w:val="00B90DC0"/>
    <w:rsid w:val="00BA116A"/>
    <w:rsid w:val="00BA2F2E"/>
    <w:rsid w:val="00BA5582"/>
    <w:rsid w:val="00BA6468"/>
    <w:rsid w:val="00BB1D44"/>
    <w:rsid w:val="00BD06DA"/>
    <w:rsid w:val="00BD4217"/>
    <w:rsid w:val="00BF25F3"/>
    <w:rsid w:val="00C1697B"/>
    <w:rsid w:val="00C21644"/>
    <w:rsid w:val="00C21CB5"/>
    <w:rsid w:val="00C46376"/>
    <w:rsid w:val="00C50A5C"/>
    <w:rsid w:val="00C50FDF"/>
    <w:rsid w:val="00C63381"/>
    <w:rsid w:val="00C73D06"/>
    <w:rsid w:val="00C73E1B"/>
    <w:rsid w:val="00C759B4"/>
    <w:rsid w:val="00C75B64"/>
    <w:rsid w:val="00C77713"/>
    <w:rsid w:val="00C85BB7"/>
    <w:rsid w:val="00CA2DEA"/>
    <w:rsid w:val="00CB3520"/>
    <w:rsid w:val="00CB43D5"/>
    <w:rsid w:val="00CC228D"/>
    <w:rsid w:val="00CC4D84"/>
    <w:rsid w:val="00CE198A"/>
    <w:rsid w:val="00CF08C8"/>
    <w:rsid w:val="00D004FC"/>
    <w:rsid w:val="00D32532"/>
    <w:rsid w:val="00D60BC2"/>
    <w:rsid w:val="00D64901"/>
    <w:rsid w:val="00D76BDF"/>
    <w:rsid w:val="00D818B6"/>
    <w:rsid w:val="00D862C1"/>
    <w:rsid w:val="00D93B50"/>
    <w:rsid w:val="00D94028"/>
    <w:rsid w:val="00D94670"/>
    <w:rsid w:val="00DA46F6"/>
    <w:rsid w:val="00DA756F"/>
    <w:rsid w:val="00DD0B49"/>
    <w:rsid w:val="00DE0502"/>
    <w:rsid w:val="00DE349D"/>
    <w:rsid w:val="00DE549C"/>
    <w:rsid w:val="00DF79B1"/>
    <w:rsid w:val="00E06DFA"/>
    <w:rsid w:val="00E20A0A"/>
    <w:rsid w:val="00E240C2"/>
    <w:rsid w:val="00E356C7"/>
    <w:rsid w:val="00E414CA"/>
    <w:rsid w:val="00E41A5A"/>
    <w:rsid w:val="00E45FE4"/>
    <w:rsid w:val="00E64FA7"/>
    <w:rsid w:val="00E75CFD"/>
    <w:rsid w:val="00E770CB"/>
    <w:rsid w:val="00E903A1"/>
    <w:rsid w:val="00E940EB"/>
    <w:rsid w:val="00E942C2"/>
    <w:rsid w:val="00E9703F"/>
    <w:rsid w:val="00EB2B90"/>
    <w:rsid w:val="00ED012E"/>
    <w:rsid w:val="00ED7E83"/>
    <w:rsid w:val="00EE091F"/>
    <w:rsid w:val="00EF4B63"/>
    <w:rsid w:val="00F0068D"/>
    <w:rsid w:val="00F0576D"/>
    <w:rsid w:val="00F14E6D"/>
    <w:rsid w:val="00F15EA8"/>
    <w:rsid w:val="00F16C8D"/>
    <w:rsid w:val="00F26C61"/>
    <w:rsid w:val="00F31444"/>
    <w:rsid w:val="00F33CCE"/>
    <w:rsid w:val="00F40249"/>
    <w:rsid w:val="00F526C8"/>
    <w:rsid w:val="00F761A3"/>
    <w:rsid w:val="00F9272D"/>
    <w:rsid w:val="00F9518C"/>
    <w:rsid w:val="00F96274"/>
    <w:rsid w:val="00FA316E"/>
    <w:rsid w:val="00FA3373"/>
    <w:rsid w:val="00FA59EF"/>
    <w:rsid w:val="00FB19A2"/>
    <w:rsid w:val="00FB4A2E"/>
    <w:rsid w:val="00FE330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A73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6B"/>
    <w:rPr>
      <w:rFonts w:ascii="Segoe UI" w:hAnsi="Segoe UI" w:cs="Segoe UI"/>
      <w:sz w:val="18"/>
      <w:szCs w:val="18"/>
      <w:lang w:val="en-CA"/>
    </w:rPr>
  </w:style>
  <w:style w:type="paragraph" w:customStyle="1" w:styleId="SCCBanSummary">
    <w:name w:val="SCC.BanSummary"/>
    <w:basedOn w:val="Normal"/>
    <w:next w:val="Normal"/>
    <w:link w:val="SCCBanSummaryChar"/>
    <w:rsid w:val="004C329F"/>
    <w:pPr>
      <w:jc w:val="both"/>
    </w:pPr>
    <w:rPr>
      <w:smallCaps/>
    </w:rPr>
  </w:style>
  <w:style w:type="character" w:customStyle="1" w:styleId="SCCBanSummaryChar">
    <w:name w:val="SCC.BanSummary Char"/>
    <w:basedOn w:val="DefaultParagraphFont"/>
    <w:link w:val="SCCBanSummary"/>
    <w:rsid w:val="004C329F"/>
    <w:rPr>
      <w:smallCaps/>
      <w:lang w:val="en-CA"/>
    </w:rPr>
  </w:style>
  <w:style w:type="character" w:styleId="FollowedHyperlink">
    <w:name w:val="FollowedHyperlink"/>
    <w:basedOn w:val="DefaultParagraphFont"/>
    <w:uiPriority w:val="99"/>
    <w:semiHidden/>
    <w:unhideWhenUsed/>
    <w:rsid w:val="00DF79B1"/>
    <w:rPr>
      <w:color w:val="800080" w:themeColor="followedHyperlink"/>
      <w:u w:val="single"/>
    </w:rPr>
  </w:style>
  <w:style w:type="paragraph" w:customStyle="1" w:styleId="Citation-AltC">
    <w:name w:val="Citation - Alt C"/>
    <w:uiPriority w:val="2"/>
    <w:qFormat/>
    <w:rsid w:val="00F31444"/>
    <w:pPr>
      <w:spacing w:after="720"/>
      <w:ind w:left="1166"/>
      <w:contextualSpacing/>
      <w:jc w:val="both"/>
    </w:pPr>
    <w:rPr>
      <w:rFonts w:eastAsia="Times New Roman"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abqb/doc/2015/2015abqb115/2015abqb115.html?autocompleteStr=2015%20ABQB%20115&amp;autocompletePos=1" TargetMode="External"/><Relationship Id="rId21" Type="http://schemas.openxmlformats.org/officeDocument/2006/relationships/hyperlink" Target="http://www.canlii.org/fr/qc/qcca/doc/2015/2015qcca1970/2015qcca1970.html?resultIndex=1" TargetMode="External"/><Relationship Id="rId34" Type="http://schemas.openxmlformats.org/officeDocument/2006/relationships/hyperlink" Target="http://www.canlii.org/en/on/onsc/doc/2015/2015onsc2638/2015onsc2638.html" TargetMode="External"/><Relationship Id="rId42" Type="http://schemas.openxmlformats.org/officeDocument/2006/relationships/hyperlink" Target="http://canlii.ca/t/gkfff" TargetMode="External"/><Relationship Id="rId47" Type="http://schemas.openxmlformats.org/officeDocument/2006/relationships/hyperlink" Target="https://www.canlii.org/en/on/onca/doc/2016/2016onca366/2016onca366.html?autocompleteStr=2016%20ONCA%20366&amp;autocompletePos=1" TargetMode="External"/><Relationship Id="rId50" Type="http://schemas.openxmlformats.org/officeDocument/2006/relationships/hyperlink" Target="http://www.canlii.org/en/on/onscdc/doc/2011/2011onsc4134/2011onsc4134.html?autocompleteStr=2011%20ONSC%204134&amp;autocompletePos=1" TargetMode="External"/><Relationship Id="rId55" Type="http://schemas.openxmlformats.org/officeDocument/2006/relationships/hyperlink" Target="http://canlii.ca/t/gpq44" TargetMode="External"/><Relationship Id="rId63" Type="http://schemas.openxmlformats.org/officeDocument/2006/relationships/footer" Target="footer6.xml"/><Relationship Id="rId68" Type="http://schemas.openxmlformats.org/officeDocument/2006/relationships/footer" Target="footer8.xml"/><Relationship Id="rId76" Type="http://schemas.openxmlformats.org/officeDocument/2006/relationships/hyperlink" Target="http://www.scc-csc.ca/case-dossier/info/sum-som-eng.aspx?cas=36610" TargetMode="External"/><Relationship Id="rId84" Type="http://schemas.openxmlformats.org/officeDocument/2006/relationships/header" Target="header15.xml"/><Relationship Id="rId89" Type="http://schemas.openxmlformats.org/officeDocument/2006/relationships/hyperlink" Target="http://www.scc-csc.ca/case-dossier/info/sum-som-fra.aspx?cas=36165" TargetMode="External"/><Relationship Id="rId97" Type="http://schemas.openxmlformats.org/officeDocument/2006/relationships/footer" Target="footer20.xml"/><Relationship Id="rId7" Type="http://schemas.openxmlformats.org/officeDocument/2006/relationships/image" Target="media/image1.wmf"/><Relationship Id="rId71" Type="http://schemas.openxmlformats.org/officeDocument/2006/relationships/footer" Target="footer10.xml"/><Relationship Id="rId92"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ab/abca/doc/2016/2016abca80/2016abca80.html?autocompleteStr=2016%20abca%2080&amp;autocompletePos=1" TargetMode="External"/><Relationship Id="rId11" Type="http://schemas.openxmlformats.org/officeDocument/2006/relationships/footer" Target="footer1.xml"/><Relationship Id="rId24" Type="http://schemas.openxmlformats.org/officeDocument/2006/relationships/hyperlink" Target="http://sct-trp.ca/apption/cms/UploadedDocuments/20117004/135-SCT-7004-11-Doc33(typedsignature)(1).pdf" TargetMode="External"/><Relationship Id="rId32" Type="http://schemas.openxmlformats.org/officeDocument/2006/relationships/hyperlink" Target="http://www.canlii.org/en/on/onca/doc/2016/2016onca227/2016onca227.html?resultIndex=1" TargetMode="External"/><Relationship Id="rId37" Type="http://schemas.openxmlformats.org/officeDocument/2006/relationships/hyperlink" Target="http://www.canlii.org/en/on/onca/doc/2016/2016onca256/2016onca256.html?autocompleteStr=2016%20ONCA%20256&amp;autocompletePos=1" TargetMode="External"/><Relationship Id="rId40" Type="http://schemas.openxmlformats.org/officeDocument/2006/relationships/hyperlink" Target="http://canlii.ca/t/gp3zd" TargetMode="External"/><Relationship Id="rId45" Type="http://schemas.openxmlformats.org/officeDocument/2006/relationships/hyperlink" Target="http://canlii.ca/t/gpq3b" TargetMode="External"/><Relationship Id="rId53" Type="http://schemas.openxmlformats.org/officeDocument/2006/relationships/hyperlink" Target="http://canlii.ca/t/gpq44" TargetMode="External"/><Relationship Id="rId58" Type="http://schemas.openxmlformats.org/officeDocument/2006/relationships/hyperlink" Target="http://www.canlii.org/fr/qc/qccs/doc/2016/2016qccs427/2016qccs427.html?resultIndex=1" TargetMode="External"/><Relationship Id="rId66" Type="http://schemas.openxmlformats.org/officeDocument/2006/relationships/header" Target="header8.xml"/><Relationship Id="rId74" Type="http://schemas.openxmlformats.org/officeDocument/2006/relationships/hyperlink" Target="http://www.scc-csc.ca/case-dossier/info/sum-som-eng.aspx?cas=36495" TargetMode="External"/><Relationship Id="rId79" Type="http://schemas.openxmlformats.org/officeDocument/2006/relationships/footer" Target="footer11.xml"/><Relationship Id="rId87" Type="http://schemas.openxmlformats.org/officeDocument/2006/relationships/header" Target="header16.xml"/><Relationship Id="rId5" Type="http://schemas.openxmlformats.org/officeDocument/2006/relationships/footnotes" Target="footnotes.xml"/><Relationship Id="rId61" Type="http://schemas.openxmlformats.org/officeDocument/2006/relationships/header" Target="header6.xml"/><Relationship Id="rId82" Type="http://schemas.openxmlformats.org/officeDocument/2006/relationships/footer" Target="footer13.xml"/><Relationship Id="rId90" Type="http://schemas.openxmlformats.org/officeDocument/2006/relationships/header" Target="header17.xml"/><Relationship Id="rId95" Type="http://schemas.openxmlformats.org/officeDocument/2006/relationships/footer" Target="footer19.xml"/><Relationship Id="rId19" Type="http://schemas.openxmlformats.org/officeDocument/2006/relationships/hyperlink" Target="http://www.canlii.org/fr/qc/qcca/doc/2015/2015qcca1970/2015qcca1970.html?resultIndex=1" TargetMode="External"/><Relationship Id="rId14" Type="http://schemas.openxmlformats.org/officeDocument/2006/relationships/header" Target="header3.xml"/><Relationship Id="rId22" Type="http://schemas.openxmlformats.org/officeDocument/2006/relationships/hyperlink" Target="http://sct-trp.ca/apption/cms/UploadedDocuments/20117004/135-SCT-7004-11-Doc33(typedsignature)(1).pdf" TargetMode="External"/><Relationship Id="rId27" Type="http://schemas.openxmlformats.org/officeDocument/2006/relationships/hyperlink" Target="https://www.canlii.org/en/ab/abca/doc/2016/2016abca80/2016abca80.html?autocompleteStr=2016%20abca%2080&amp;autocompletePos=1" TargetMode="External"/><Relationship Id="rId30" Type="http://schemas.openxmlformats.org/officeDocument/2006/relationships/hyperlink" Target="http://canlii.ca/t/gp2h5" TargetMode="External"/><Relationship Id="rId35" Type="http://schemas.openxmlformats.org/officeDocument/2006/relationships/hyperlink" Target="http://www.canlii.org/en/on/onca/doc/2016/2016onca256/2016onca256.html?autocompleteStr=2016%20ONCA%20256&amp;autocompletePos=1" TargetMode="External"/><Relationship Id="rId43" Type="http://schemas.openxmlformats.org/officeDocument/2006/relationships/hyperlink" Target="http://canlii.ca/t/gp3zd" TargetMode="External"/><Relationship Id="rId48" Type="http://schemas.openxmlformats.org/officeDocument/2006/relationships/hyperlink" Target="https://www.canlii.org/en/on/onsc/doc/2015/2015onsc6595/2015onsc6595.html?autocompleteStr=2015%20ONsc%206595&amp;autocompletePos=1" TargetMode="External"/><Relationship Id="rId56" Type="http://schemas.openxmlformats.org/officeDocument/2006/relationships/hyperlink" Target="http://www.canlii.org/fr/qc/qccs/doc/2016/2016qccs427/2016qccs427.html?resultIndex=1" TargetMode="External"/><Relationship Id="rId64" Type="http://schemas.openxmlformats.org/officeDocument/2006/relationships/header" Target="header7.xml"/><Relationship Id="rId69" Type="http://schemas.openxmlformats.org/officeDocument/2006/relationships/footer" Target="footer9.xml"/><Relationship Id="rId77" Type="http://schemas.openxmlformats.org/officeDocument/2006/relationships/header" Target="header11.xml"/><Relationship Id="rId8" Type="http://schemas.openxmlformats.org/officeDocument/2006/relationships/hyperlink" Target="http://www.scc-csc.ca" TargetMode="External"/><Relationship Id="rId51" Type="http://schemas.openxmlformats.org/officeDocument/2006/relationships/hyperlink" Target="http://www.canlii.org/en/on/onscdc/doc/2011/2011onsc4134/2011onsc4134.html?autocompleteStr=2011%20ONSC%204134&amp;autocompletePos=1" TargetMode="External"/><Relationship Id="rId72" Type="http://schemas.openxmlformats.org/officeDocument/2006/relationships/hyperlink" Target="http://www.scc-csc.ca/case-dossier/info/sum-som-fra.aspx?cas=36694" TargetMode="External"/><Relationship Id="rId80" Type="http://schemas.openxmlformats.org/officeDocument/2006/relationships/footer" Target="footer12.xml"/><Relationship Id="rId85" Type="http://schemas.openxmlformats.org/officeDocument/2006/relationships/footer" Target="footer14.xml"/><Relationship Id="rId93" Type="http://schemas.openxmlformats.org/officeDocument/2006/relationships/footer" Target="footer18.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en/ca/fca/doc/2016/2016fca63/2016fca63.html?resultIndex=1" TargetMode="External"/><Relationship Id="rId33" Type="http://schemas.openxmlformats.org/officeDocument/2006/relationships/hyperlink" Target="http://www.canlii.org/en/on/onca/doc/2016/2016onca227/2016onca227.html?resultIndex=1" TargetMode="External"/><Relationship Id="rId38" Type="http://schemas.openxmlformats.org/officeDocument/2006/relationships/hyperlink" Target="http://canlii.ca/t/gg50m" TargetMode="External"/><Relationship Id="rId46" Type="http://schemas.openxmlformats.org/officeDocument/2006/relationships/hyperlink" Target="https://www.canlii.org/en/on/onsc/doc/2015/2015onsc6595/2015onsc6595.html?autocompleteStr=2015%20ONsc%206595&amp;autocompletePos=1" TargetMode="External"/><Relationship Id="rId59" Type="http://schemas.openxmlformats.org/officeDocument/2006/relationships/hyperlink" Target="http://www.canlii.org/fr/qc/qcca/doc/2016/2016qcca861/2016qcca861.html" TargetMode="External"/><Relationship Id="rId67" Type="http://schemas.openxmlformats.org/officeDocument/2006/relationships/header" Target="header9.xml"/><Relationship Id="rId20" Type="http://schemas.openxmlformats.org/officeDocument/2006/relationships/hyperlink" Target="http://www.canlii.org/en/qc/qcca/doc/2012/2012qcca1378/2012qcca1378.html?resultIndex=1" TargetMode="External"/><Relationship Id="rId41" Type="http://schemas.openxmlformats.org/officeDocument/2006/relationships/hyperlink" Target="http://canlii.ca/t/gg50m" TargetMode="External"/><Relationship Id="rId54" Type="http://schemas.openxmlformats.org/officeDocument/2006/relationships/hyperlink" Target="http://canlii.ca/t/gh79z" TargetMode="External"/><Relationship Id="rId62" Type="http://schemas.openxmlformats.org/officeDocument/2006/relationships/footer" Target="footer5.xml"/><Relationship Id="rId70" Type="http://schemas.openxmlformats.org/officeDocument/2006/relationships/header" Target="header10.xml"/><Relationship Id="rId75" Type="http://schemas.openxmlformats.org/officeDocument/2006/relationships/hyperlink" Target="http://www.scc-csc.ca/case-dossier/info/sum-som-eng.aspx?cas=36816" TargetMode="External"/><Relationship Id="rId83" Type="http://schemas.openxmlformats.org/officeDocument/2006/relationships/header" Target="header14.xml"/><Relationship Id="rId88" Type="http://schemas.openxmlformats.org/officeDocument/2006/relationships/footer" Target="footer16.xml"/><Relationship Id="rId91" Type="http://schemas.openxmlformats.org/officeDocument/2006/relationships/header" Target="header18.xml"/><Relationship Id="rId96"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en/ca/fca/doc/2016/2016fca63/2016fca63.html?resultIndex=1" TargetMode="External"/><Relationship Id="rId28" Type="http://schemas.openxmlformats.org/officeDocument/2006/relationships/hyperlink" Target="https://www.canlii.org/en/ab/abqb/doc/2015/2015abqb115/2015abqb115.html?autocompleteStr=2015%20ABQB%20115&amp;autocompletePos=1" TargetMode="External"/><Relationship Id="rId36" Type="http://schemas.openxmlformats.org/officeDocument/2006/relationships/hyperlink" Target="http://www.canlii.org/en/on/onsc/doc/2015/2015onsc2638/2015onsc2638.html" TargetMode="External"/><Relationship Id="rId49" Type="http://schemas.openxmlformats.org/officeDocument/2006/relationships/hyperlink" Target="https://www.canlii.org/en/on/onca/doc/2016/2016onca366/2016onca366.html?autocompleteStr=2016%20ONCA%20366&amp;autocompletePos=1" TargetMode="External"/><Relationship Id="rId57" Type="http://schemas.openxmlformats.org/officeDocument/2006/relationships/hyperlink" Target="http://www.canlii.org/fr/qc/qcca/doc/2016/2016qcca861/2016qcca861.html" TargetMode="External"/><Relationship Id="rId10" Type="http://schemas.openxmlformats.org/officeDocument/2006/relationships/header" Target="header1.xml"/><Relationship Id="rId31" Type="http://schemas.openxmlformats.org/officeDocument/2006/relationships/hyperlink" Target="http://canlii.ca/t/gp2h5" TargetMode="External"/><Relationship Id="rId44" Type="http://schemas.openxmlformats.org/officeDocument/2006/relationships/hyperlink" Target="http://canlii.ca/t/gpq3b" TargetMode="External"/><Relationship Id="rId52" Type="http://schemas.openxmlformats.org/officeDocument/2006/relationships/hyperlink" Target="http://canlii.ca/t/gh79z" TargetMode="External"/><Relationship Id="rId60" Type="http://schemas.openxmlformats.org/officeDocument/2006/relationships/header" Target="header5.xml"/><Relationship Id="rId65" Type="http://schemas.openxmlformats.org/officeDocument/2006/relationships/footer" Target="footer7.xml"/><Relationship Id="rId73" Type="http://schemas.openxmlformats.org/officeDocument/2006/relationships/hyperlink" Target="http://www.scc-csc.ca/case-dossier/info/sum-som-eng.aspx?cas=36999" TargetMode="External"/><Relationship Id="rId78" Type="http://schemas.openxmlformats.org/officeDocument/2006/relationships/header" Target="header12.xml"/><Relationship Id="rId81" Type="http://schemas.openxmlformats.org/officeDocument/2006/relationships/header" Target="header13.xml"/><Relationship Id="rId86" Type="http://schemas.openxmlformats.org/officeDocument/2006/relationships/footer" Target="footer15.xml"/><Relationship Id="rId94" Type="http://schemas.openxmlformats.org/officeDocument/2006/relationships/header" Target="header19.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qc/qcca/doc/2012/2012qcca1378/2012qcca1378.html?resultIndex=1" TargetMode="External"/><Relationship Id="rId39" Type="http://schemas.openxmlformats.org/officeDocument/2006/relationships/hyperlink" Target="http://canlii.ca/t/gkf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18075</Words>
  <Characters>103032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2016-10-11T19:23:00Z</dcterms:created>
  <dcterms:modified xsi:type="dcterms:W3CDTF">2016-10-17T14:25:00Z</dcterms:modified>
</cp:coreProperties>
</file>