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D287C" w:rsidRDefault="00382C47" w:rsidP="00C7556C">
      <w:pPr>
        <w:jc w:val="center"/>
      </w:pPr>
      <w:r w:rsidRPr="009D287C">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9D287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D287C" w:rsidTr="002E5576">
        <w:tc>
          <w:tcPr>
            <w:tcW w:w="4518" w:type="dxa"/>
          </w:tcPr>
          <w:p w:rsidR="00BF25F3" w:rsidRPr="009D287C" w:rsidRDefault="00BF25F3" w:rsidP="00BF25F3">
            <w:pPr>
              <w:tabs>
                <w:tab w:val="left" w:pos="6075"/>
              </w:tabs>
              <w:jc w:val="center"/>
              <w:rPr>
                <w:b/>
                <w:sz w:val="32"/>
                <w:szCs w:val="32"/>
              </w:rPr>
            </w:pPr>
            <w:r w:rsidRPr="009D287C">
              <w:rPr>
                <w:b/>
                <w:sz w:val="32"/>
                <w:szCs w:val="32"/>
              </w:rPr>
              <w:t>SUPREME COURT OF CANADA</w:t>
            </w:r>
          </w:p>
        </w:tc>
        <w:tc>
          <w:tcPr>
            <w:tcW w:w="630" w:type="dxa"/>
          </w:tcPr>
          <w:p w:rsidR="00BF25F3" w:rsidRPr="009D287C" w:rsidRDefault="00BF25F3" w:rsidP="00BF25F3">
            <w:pPr>
              <w:tabs>
                <w:tab w:val="left" w:pos="6075"/>
              </w:tabs>
              <w:jc w:val="center"/>
              <w:rPr>
                <w:sz w:val="32"/>
                <w:szCs w:val="32"/>
              </w:rPr>
            </w:pPr>
          </w:p>
        </w:tc>
        <w:tc>
          <w:tcPr>
            <w:tcW w:w="4428" w:type="dxa"/>
          </w:tcPr>
          <w:p w:rsidR="00BF25F3" w:rsidRPr="009D287C" w:rsidRDefault="00BF25F3" w:rsidP="00BF25F3">
            <w:pPr>
              <w:tabs>
                <w:tab w:val="left" w:pos="6075"/>
              </w:tabs>
              <w:jc w:val="center"/>
              <w:rPr>
                <w:b/>
                <w:sz w:val="32"/>
                <w:szCs w:val="32"/>
                <w:lang w:val="fr-CA"/>
              </w:rPr>
            </w:pPr>
            <w:r w:rsidRPr="009D287C">
              <w:rPr>
                <w:b/>
                <w:sz w:val="32"/>
                <w:szCs w:val="32"/>
                <w:lang w:val="fr-CA"/>
              </w:rPr>
              <w:t>COUR SUPRÊME DU CANADA</w:t>
            </w:r>
          </w:p>
        </w:tc>
      </w:tr>
      <w:tr w:rsidR="00BF25F3" w:rsidRPr="009D287C" w:rsidTr="002E5576">
        <w:tc>
          <w:tcPr>
            <w:tcW w:w="4518" w:type="dxa"/>
          </w:tcPr>
          <w:p w:rsidR="00BF25F3" w:rsidRPr="009D287C" w:rsidRDefault="00BF25F3" w:rsidP="00BF25F3">
            <w:pPr>
              <w:tabs>
                <w:tab w:val="left" w:pos="6075"/>
              </w:tabs>
            </w:pPr>
          </w:p>
          <w:p w:rsidR="001B5C23" w:rsidRPr="009D287C" w:rsidRDefault="001B5C23" w:rsidP="00BF25F3">
            <w:pPr>
              <w:tabs>
                <w:tab w:val="left" w:pos="6075"/>
              </w:tabs>
            </w:pPr>
          </w:p>
          <w:p w:rsidR="001B5C23" w:rsidRPr="009D287C" w:rsidRDefault="001B5C23" w:rsidP="00BF25F3">
            <w:pPr>
              <w:tabs>
                <w:tab w:val="left" w:pos="6075"/>
              </w:tabs>
            </w:pPr>
          </w:p>
        </w:tc>
        <w:tc>
          <w:tcPr>
            <w:tcW w:w="630" w:type="dxa"/>
          </w:tcPr>
          <w:p w:rsidR="00BF25F3" w:rsidRPr="009D287C" w:rsidRDefault="00BF25F3" w:rsidP="00BF25F3">
            <w:pPr>
              <w:tabs>
                <w:tab w:val="left" w:pos="6075"/>
              </w:tabs>
            </w:pPr>
          </w:p>
        </w:tc>
        <w:tc>
          <w:tcPr>
            <w:tcW w:w="4428" w:type="dxa"/>
          </w:tcPr>
          <w:p w:rsidR="00BF25F3" w:rsidRPr="009D287C" w:rsidRDefault="00BF25F3" w:rsidP="00BF25F3">
            <w:pPr>
              <w:tabs>
                <w:tab w:val="left" w:pos="6075"/>
              </w:tabs>
              <w:rPr>
                <w:lang w:val="fr-CA"/>
              </w:rPr>
            </w:pPr>
          </w:p>
        </w:tc>
      </w:tr>
      <w:tr w:rsidR="00BF25F3" w:rsidRPr="009D287C" w:rsidTr="002E5576">
        <w:tc>
          <w:tcPr>
            <w:tcW w:w="4518" w:type="dxa"/>
          </w:tcPr>
          <w:p w:rsidR="001B5C23" w:rsidRPr="009D287C" w:rsidRDefault="00BF25F3" w:rsidP="00BF25F3">
            <w:pPr>
              <w:tabs>
                <w:tab w:val="left" w:pos="6075"/>
              </w:tabs>
              <w:jc w:val="center"/>
              <w:rPr>
                <w:sz w:val="28"/>
                <w:szCs w:val="28"/>
              </w:rPr>
            </w:pPr>
            <w:r w:rsidRPr="009D287C">
              <w:rPr>
                <w:sz w:val="28"/>
                <w:szCs w:val="28"/>
              </w:rPr>
              <w:t>BULLETIN OF</w:t>
            </w:r>
          </w:p>
          <w:p w:rsidR="00BF25F3" w:rsidRPr="009D287C" w:rsidRDefault="00BF25F3" w:rsidP="00BF25F3">
            <w:pPr>
              <w:tabs>
                <w:tab w:val="left" w:pos="6075"/>
              </w:tabs>
              <w:jc w:val="center"/>
              <w:rPr>
                <w:sz w:val="28"/>
                <w:szCs w:val="28"/>
              </w:rPr>
            </w:pPr>
            <w:r w:rsidRPr="009D287C">
              <w:rPr>
                <w:sz w:val="28"/>
                <w:szCs w:val="28"/>
              </w:rPr>
              <w:t xml:space="preserve"> PROCEEDINGS</w:t>
            </w:r>
          </w:p>
        </w:tc>
        <w:tc>
          <w:tcPr>
            <w:tcW w:w="630" w:type="dxa"/>
          </w:tcPr>
          <w:p w:rsidR="00BF25F3" w:rsidRPr="009D287C" w:rsidRDefault="00BF25F3" w:rsidP="00BF25F3">
            <w:pPr>
              <w:tabs>
                <w:tab w:val="left" w:pos="6075"/>
              </w:tabs>
            </w:pPr>
          </w:p>
        </w:tc>
        <w:tc>
          <w:tcPr>
            <w:tcW w:w="4428" w:type="dxa"/>
          </w:tcPr>
          <w:p w:rsidR="001B5C23" w:rsidRPr="009D287C" w:rsidRDefault="00BF25F3" w:rsidP="00BF25F3">
            <w:pPr>
              <w:tabs>
                <w:tab w:val="left" w:pos="6075"/>
              </w:tabs>
              <w:jc w:val="center"/>
              <w:rPr>
                <w:sz w:val="28"/>
                <w:szCs w:val="28"/>
                <w:lang w:val="fr-CA"/>
              </w:rPr>
            </w:pPr>
            <w:r w:rsidRPr="009D287C">
              <w:rPr>
                <w:sz w:val="28"/>
                <w:szCs w:val="28"/>
                <w:lang w:val="fr-CA"/>
              </w:rPr>
              <w:t>BULLETIN DES</w:t>
            </w:r>
          </w:p>
          <w:p w:rsidR="00BF25F3" w:rsidRPr="009D287C" w:rsidRDefault="00BF25F3" w:rsidP="00BF25F3">
            <w:pPr>
              <w:tabs>
                <w:tab w:val="left" w:pos="6075"/>
              </w:tabs>
              <w:jc w:val="center"/>
              <w:rPr>
                <w:sz w:val="28"/>
                <w:szCs w:val="28"/>
                <w:lang w:val="fr-CA"/>
              </w:rPr>
            </w:pPr>
            <w:r w:rsidRPr="009D287C">
              <w:rPr>
                <w:sz w:val="28"/>
                <w:szCs w:val="28"/>
                <w:lang w:val="fr-CA"/>
              </w:rPr>
              <w:t xml:space="preserve"> PROCÉDURES</w:t>
            </w:r>
          </w:p>
        </w:tc>
      </w:tr>
      <w:tr w:rsidR="00BF25F3" w:rsidRPr="009D287C" w:rsidTr="002E5576">
        <w:tc>
          <w:tcPr>
            <w:tcW w:w="4518" w:type="dxa"/>
          </w:tcPr>
          <w:p w:rsidR="00BF25F3" w:rsidRPr="009D287C" w:rsidRDefault="00BF25F3" w:rsidP="00BF25F3">
            <w:pPr>
              <w:tabs>
                <w:tab w:val="left" w:pos="6075"/>
              </w:tabs>
            </w:pPr>
          </w:p>
          <w:p w:rsidR="001B5C23" w:rsidRPr="009D287C" w:rsidRDefault="001B5C23" w:rsidP="00BF25F3">
            <w:pPr>
              <w:tabs>
                <w:tab w:val="left" w:pos="6075"/>
              </w:tabs>
            </w:pPr>
          </w:p>
        </w:tc>
        <w:tc>
          <w:tcPr>
            <w:tcW w:w="630" w:type="dxa"/>
          </w:tcPr>
          <w:p w:rsidR="00BF25F3" w:rsidRPr="009D287C" w:rsidRDefault="00BF25F3" w:rsidP="00BF25F3">
            <w:pPr>
              <w:tabs>
                <w:tab w:val="left" w:pos="6075"/>
              </w:tabs>
            </w:pPr>
          </w:p>
        </w:tc>
        <w:tc>
          <w:tcPr>
            <w:tcW w:w="4428" w:type="dxa"/>
          </w:tcPr>
          <w:p w:rsidR="00BF25F3" w:rsidRPr="009D287C" w:rsidRDefault="00BF25F3" w:rsidP="00BF25F3">
            <w:pPr>
              <w:tabs>
                <w:tab w:val="left" w:pos="6075"/>
              </w:tabs>
              <w:rPr>
                <w:lang w:val="fr-CA"/>
              </w:rPr>
            </w:pPr>
          </w:p>
        </w:tc>
      </w:tr>
      <w:tr w:rsidR="00BF25F3" w:rsidRPr="00346C6C" w:rsidTr="002E5576">
        <w:tc>
          <w:tcPr>
            <w:tcW w:w="4518" w:type="dxa"/>
          </w:tcPr>
          <w:p w:rsidR="00BF25F3" w:rsidRPr="009D287C" w:rsidRDefault="00BF25F3" w:rsidP="00BF25F3">
            <w:pPr>
              <w:tabs>
                <w:tab w:val="left" w:pos="6075"/>
              </w:tabs>
              <w:jc w:val="both"/>
              <w:rPr>
                <w:rFonts w:ascii="Arial" w:hAnsi="Arial" w:cs="Arial"/>
                <w:i/>
                <w:sz w:val="20"/>
                <w:szCs w:val="20"/>
              </w:rPr>
            </w:pPr>
            <w:r w:rsidRPr="009D287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D287C" w:rsidRDefault="00BF25F3" w:rsidP="00BF25F3">
            <w:pPr>
              <w:tabs>
                <w:tab w:val="left" w:pos="6075"/>
              </w:tabs>
              <w:jc w:val="both"/>
              <w:rPr>
                <w:rFonts w:ascii="Arial" w:hAnsi="Arial" w:cs="Arial"/>
                <w:i/>
                <w:sz w:val="20"/>
                <w:szCs w:val="20"/>
              </w:rPr>
            </w:pPr>
          </w:p>
        </w:tc>
        <w:tc>
          <w:tcPr>
            <w:tcW w:w="4428" w:type="dxa"/>
          </w:tcPr>
          <w:p w:rsidR="00BF25F3" w:rsidRPr="009D287C" w:rsidRDefault="00BF25F3" w:rsidP="00BF25F3">
            <w:pPr>
              <w:tabs>
                <w:tab w:val="left" w:pos="6075"/>
              </w:tabs>
              <w:jc w:val="both"/>
              <w:rPr>
                <w:rFonts w:ascii="Arial" w:hAnsi="Arial" w:cs="Arial"/>
                <w:i/>
                <w:sz w:val="20"/>
                <w:szCs w:val="20"/>
                <w:lang w:val="fr-CA"/>
              </w:rPr>
            </w:pPr>
            <w:r w:rsidRPr="009D287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46C6C" w:rsidTr="002E5576">
        <w:tc>
          <w:tcPr>
            <w:tcW w:w="4518" w:type="dxa"/>
          </w:tcPr>
          <w:p w:rsidR="00BF25F3" w:rsidRPr="009D287C" w:rsidRDefault="00BF25F3" w:rsidP="00BF25F3">
            <w:pPr>
              <w:tabs>
                <w:tab w:val="left" w:pos="6075"/>
              </w:tabs>
              <w:rPr>
                <w:lang w:val="fr-CA"/>
              </w:rPr>
            </w:pPr>
          </w:p>
          <w:p w:rsidR="00D862C1" w:rsidRPr="009D287C" w:rsidRDefault="00D862C1" w:rsidP="00BF25F3">
            <w:pPr>
              <w:tabs>
                <w:tab w:val="left" w:pos="6075"/>
              </w:tabs>
              <w:rPr>
                <w:lang w:val="fr-CA"/>
              </w:rPr>
            </w:pPr>
          </w:p>
        </w:tc>
        <w:tc>
          <w:tcPr>
            <w:tcW w:w="630" w:type="dxa"/>
          </w:tcPr>
          <w:p w:rsidR="00BF25F3" w:rsidRPr="009D287C" w:rsidRDefault="00BF25F3" w:rsidP="00BF25F3">
            <w:pPr>
              <w:tabs>
                <w:tab w:val="left" w:pos="6075"/>
              </w:tabs>
              <w:rPr>
                <w:lang w:val="fr-CA"/>
              </w:rPr>
            </w:pPr>
          </w:p>
        </w:tc>
        <w:tc>
          <w:tcPr>
            <w:tcW w:w="4428" w:type="dxa"/>
          </w:tcPr>
          <w:p w:rsidR="00BF25F3" w:rsidRPr="009D287C" w:rsidRDefault="00BF25F3" w:rsidP="00BF25F3">
            <w:pPr>
              <w:tabs>
                <w:tab w:val="left" w:pos="6075"/>
              </w:tabs>
              <w:rPr>
                <w:lang w:val="fr-CA"/>
              </w:rPr>
            </w:pPr>
          </w:p>
        </w:tc>
      </w:tr>
      <w:tr w:rsidR="00BF25F3" w:rsidRPr="00346C6C" w:rsidTr="002E5576">
        <w:tc>
          <w:tcPr>
            <w:tcW w:w="4518" w:type="dxa"/>
          </w:tcPr>
          <w:p w:rsidR="00BF25F3" w:rsidRPr="009D287C" w:rsidRDefault="00BF25F3" w:rsidP="009F3024">
            <w:pPr>
              <w:tabs>
                <w:tab w:val="left" w:pos="6075"/>
              </w:tabs>
              <w:jc w:val="both"/>
              <w:rPr>
                <w:rFonts w:ascii="Arial" w:hAnsi="Arial" w:cs="Arial"/>
                <w:i/>
                <w:sz w:val="20"/>
                <w:szCs w:val="20"/>
              </w:rPr>
            </w:pPr>
            <w:r w:rsidRPr="009D287C">
              <w:rPr>
                <w:rFonts w:ascii="Arial" w:hAnsi="Arial" w:cs="Arial"/>
                <w:i/>
                <w:sz w:val="20"/>
                <w:szCs w:val="20"/>
              </w:rPr>
              <w:t xml:space="preserve">During Court sessions </w:t>
            </w:r>
            <w:r w:rsidR="009F3024" w:rsidRPr="009D287C">
              <w:rPr>
                <w:rFonts w:ascii="Arial" w:hAnsi="Arial" w:cs="Arial"/>
                <w:i/>
                <w:sz w:val="20"/>
                <w:szCs w:val="20"/>
              </w:rPr>
              <w:t xml:space="preserve">the Bulletin </w:t>
            </w:r>
            <w:r w:rsidRPr="009D287C">
              <w:rPr>
                <w:rFonts w:ascii="Arial" w:hAnsi="Arial" w:cs="Arial"/>
                <w:i/>
                <w:sz w:val="20"/>
                <w:szCs w:val="20"/>
              </w:rPr>
              <w:t>is usually issued weekly.</w:t>
            </w:r>
          </w:p>
        </w:tc>
        <w:tc>
          <w:tcPr>
            <w:tcW w:w="630" w:type="dxa"/>
          </w:tcPr>
          <w:p w:rsidR="00BF25F3" w:rsidRPr="009D287C" w:rsidRDefault="00BF25F3" w:rsidP="00BF25F3">
            <w:pPr>
              <w:tabs>
                <w:tab w:val="left" w:pos="6075"/>
              </w:tabs>
              <w:jc w:val="both"/>
              <w:rPr>
                <w:rFonts w:ascii="Arial" w:hAnsi="Arial" w:cs="Arial"/>
                <w:i/>
                <w:sz w:val="20"/>
                <w:szCs w:val="20"/>
              </w:rPr>
            </w:pPr>
          </w:p>
        </w:tc>
        <w:tc>
          <w:tcPr>
            <w:tcW w:w="4428" w:type="dxa"/>
          </w:tcPr>
          <w:p w:rsidR="00BF25F3" w:rsidRPr="009D287C" w:rsidRDefault="00BF25F3" w:rsidP="00BF25F3">
            <w:pPr>
              <w:tabs>
                <w:tab w:val="left" w:pos="6075"/>
              </w:tabs>
              <w:jc w:val="both"/>
              <w:rPr>
                <w:rFonts w:ascii="Arial" w:hAnsi="Arial" w:cs="Arial"/>
                <w:i/>
                <w:sz w:val="20"/>
                <w:szCs w:val="20"/>
                <w:lang w:val="fr-CA"/>
              </w:rPr>
            </w:pPr>
            <w:r w:rsidRPr="009D287C">
              <w:rPr>
                <w:rFonts w:ascii="Arial" w:hAnsi="Arial" w:cs="Arial"/>
                <w:i/>
                <w:sz w:val="20"/>
                <w:szCs w:val="20"/>
                <w:lang w:val="fr-CA"/>
              </w:rPr>
              <w:t>Le Bulletin paraît en principe toutes les semaines pendant les sessions de la Cour.</w:t>
            </w:r>
          </w:p>
        </w:tc>
      </w:tr>
      <w:tr w:rsidR="00BF25F3" w:rsidRPr="00346C6C" w:rsidTr="002E5576">
        <w:tc>
          <w:tcPr>
            <w:tcW w:w="4518" w:type="dxa"/>
          </w:tcPr>
          <w:p w:rsidR="00BF25F3" w:rsidRPr="009D287C" w:rsidRDefault="00BF25F3" w:rsidP="00BF25F3">
            <w:pPr>
              <w:tabs>
                <w:tab w:val="left" w:pos="6075"/>
              </w:tabs>
              <w:rPr>
                <w:lang w:val="fr-CA"/>
              </w:rPr>
            </w:pPr>
          </w:p>
          <w:p w:rsidR="00D862C1" w:rsidRPr="009D287C" w:rsidRDefault="00D862C1" w:rsidP="00BF25F3">
            <w:pPr>
              <w:tabs>
                <w:tab w:val="left" w:pos="6075"/>
              </w:tabs>
              <w:rPr>
                <w:lang w:val="fr-CA"/>
              </w:rPr>
            </w:pPr>
          </w:p>
        </w:tc>
        <w:tc>
          <w:tcPr>
            <w:tcW w:w="630" w:type="dxa"/>
          </w:tcPr>
          <w:p w:rsidR="00BF25F3" w:rsidRPr="009D287C" w:rsidRDefault="00BF25F3" w:rsidP="00BF25F3">
            <w:pPr>
              <w:tabs>
                <w:tab w:val="left" w:pos="6075"/>
              </w:tabs>
              <w:rPr>
                <w:lang w:val="fr-CA"/>
              </w:rPr>
            </w:pPr>
          </w:p>
        </w:tc>
        <w:tc>
          <w:tcPr>
            <w:tcW w:w="4428" w:type="dxa"/>
          </w:tcPr>
          <w:p w:rsidR="00BF25F3" w:rsidRPr="009D287C" w:rsidRDefault="00BF25F3" w:rsidP="00BF25F3">
            <w:pPr>
              <w:tabs>
                <w:tab w:val="left" w:pos="6075"/>
              </w:tabs>
              <w:rPr>
                <w:lang w:val="fr-CA"/>
              </w:rPr>
            </w:pPr>
          </w:p>
        </w:tc>
      </w:tr>
      <w:tr w:rsidR="00BF25F3" w:rsidRPr="00346C6C" w:rsidTr="002E5576">
        <w:tc>
          <w:tcPr>
            <w:tcW w:w="4518" w:type="dxa"/>
          </w:tcPr>
          <w:p w:rsidR="00BF25F3" w:rsidRPr="009D287C" w:rsidRDefault="000E27A5" w:rsidP="00BF25F3">
            <w:pPr>
              <w:tabs>
                <w:tab w:val="left" w:pos="6075"/>
              </w:tabs>
              <w:jc w:val="both"/>
              <w:rPr>
                <w:rFonts w:ascii="Arial" w:hAnsi="Arial" w:cs="Arial"/>
                <w:i/>
                <w:sz w:val="20"/>
                <w:szCs w:val="20"/>
              </w:rPr>
            </w:pPr>
            <w:r w:rsidRPr="009D287C">
              <w:rPr>
                <w:rFonts w:ascii="Arial" w:hAnsi="Arial" w:cs="Arial"/>
                <w:i/>
                <w:sz w:val="20"/>
                <w:szCs w:val="20"/>
              </w:rPr>
              <w:fldChar w:fldCharType="begin"/>
            </w:r>
            <w:r w:rsidR="00BF25F3" w:rsidRPr="009D287C">
              <w:rPr>
                <w:rFonts w:ascii="Arial" w:hAnsi="Arial" w:cs="Arial"/>
                <w:i/>
                <w:sz w:val="20"/>
                <w:szCs w:val="20"/>
              </w:rPr>
              <w:instrText xml:space="preserve"> SEQ CHAPTER \h \r 1</w:instrText>
            </w:r>
            <w:r w:rsidRPr="009D287C">
              <w:rPr>
                <w:rFonts w:ascii="Arial" w:hAnsi="Arial" w:cs="Arial"/>
                <w:i/>
                <w:sz w:val="20"/>
                <w:szCs w:val="20"/>
              </w:rPr>
              <w:fldChar w:fldCharType="end"/>
            </w:r>
            <w:r w:rsidR="00BF25F3" w:rsidRPr="009D287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D287C" w:rsidRDefault="00BF25F3" w:rsidP="00BF25F3">
            <w:pPr>
              <w:tabs>
                <w:tab w:val="left" w:pos="6075"/>
              </w:tabs>
              <w:jc w:val="both"/>
              <w:rPr>
                <w:rFonts w:ascii="Arial" w:hAnsi="Arial" w:cs="Arial"/>
                <w:i/>
                <w:sz w:val="20"/>
                <w:szCs w:val="20"/>
              </w:rPr>
            </w:pPr>
          </w:p>
        </w:tc>
        <w:tc>
          <w:tcPr>
            <w:tcW w:w="4428" w:type="dxa"/>
          </w:tcPr>
          <w:p w:rsidR="00BF25F3" w:rsidRPr="009D287C" w:rsidRDefault="000E27A5" w:rsidP="00BF25F3">
            <w:pPr>
              <w:tabs>
                <w:tab w:val="left" w:pos="6075"/>
              </w:tabs>
              <w:jc w:val="both"/>
              <w:rPr>
                <w:rFonts w:ascii="Arial" w:hAnsi="Arial" w:cs="Arial"/>
                <w:i/>
                <w:sz w:val="20"/>
                <w:szCs w:val="20"/>
                <w:lang w:val="fr-CA"/>
              </w:rPr>
            </w:pPr>
            <w:r w:rsidRPr="009D287C">
              <w:rPr>
                <w:rFonts w:ascii="Arial" w:hAnsi="Arial" w:cs="Arial"/>
                <w:i/>
                <w:sz w:val="20"/>
                <w:szCs w:val="20"/>
                <w:lang w:val="fr-CA"/>
              </w:rPr>
              <w:fldChar w:fldCharType="begin"/>
            </w:r>
            <w:r w:rsidR="00BF25F3" w:rsidRPr="009D287C">
              <w:rPr>
                <w:rFonts w:ascii="Arial" w:hAnsi="Arial" w:cs="Arial"/>
                <w:i/>
                <w:sz w:val="20"/>
                <w:szCs w:val="20"/>
                <w:lang w:val="fr-CA"/>
              </w:rPr>
              <w:instrText xml:space="preserve"> SEQ CHAPTER \h \r 1</w:instrText>
            </w:r>
            <w:r w:rsidRPr="009D287C">
              <w:rPr>
                <w:rFonts w:ascii="Arial" w:hAnsi="Arial" w:cs="Arial"/>
                <w:i/>
                <w:sz w:val="20"/>
                <w:szCs w:val="20"/>
                <w:lang w:val="fr-CA"/>
              </w:rPr>
              <w:fldChar w:fldCharType="end"/>
            </w:r>
            <w:r w:rsidR="00BF25F3" w:rsidRPr="009D287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46C6C" w:rsidTr="002E5576">
        <w:tc>
          <w:tcPr>
            <w:tcW w:w="4518" w:type="dxa"/>
          </w:tcPr>
          <w:p w:rsidR="009F3024" w:rsidRPr="009D287C" w:rsidRDefault="009F3024" w:rsidP="009F3024">
            <w:pPr>
              <w:tabs>
                <w:tab w:val="left" w:pos="6075"/>
              </w:tabs>
              <w:rPr>
                <w:rFonts w:cs="Times New Roman"/>
                <w:szCs w:val="24"/>
                <w:lang w:val="fr-CA"/>
              </w:rPr>
            </w:pPr>
          </w:p>
          <w:p w:rsidR="009F3024" w:rsidRPr="009D287C" w:rsidRDefault="009F3024" w:rsidP="009F3024">
            <w:pPr>
              <w:tabs>
                <w:tab w:val="left" w:pos="6075"/>
              </w:tabs>
              <w:rPr>
                <w:rFonts w:cs="Times New Roman"/>
                <w:szCs w:val="24"/>
                <w:lang w:val="fr-CA"/>
              </w:rPr>
            </w:pPr>
          </w:p>
        </w:tc>
        <w:tc>
          <w:tcPr>
            <w:tcW w:w="630" w:type="dxa"/>
          </w:tcPr>
          <w:p w:rsidR="009F3024" w:rsidRPr="009D287C" w:rsidRDefault="009F3024" w:rsidP="009F3024">
            <w:pPr>
              <w:tabs>
                <w:tab w:val="left" w:pos="6075"/>
              </w:tabs>
              <w:rPr>
                <w:rFonts w:cs="Times New Roman"/>
                <w:szCs w:val="24"/>
                <w:lang w:val="fr-CA"/>
              </w:rPr>
            </w:pPr>
          </w:p>
        </w:tc>
        <w:tc>
          <w:tcPr>
            <w:tcW w:w="4428" w:type="dxa"/>
          </w:tcPr>
          <w:p w:rsidR="009F3024" w:rsidRPr="009D287C" w:rsidRDefault="009F3024" w:rsidP="009F3024">
            <w:pPr>
              <w:tabs>
                <w:tab w:val="left" w:pos="6075"/>
              </w:tabs>
              <w:rPr>
                <w:rFonts w:cs="Times New Roman"/>
                <w:szCs w:val="24"/>
                <w:lang w:val="fr-CA"/>
              </w:rPr>
            </w:pPr>
          </w:p>
        </w:tc>
      </w:tr>
      <w:tr w:rsidR="009F3024" w:rsidRPr="00346C6C" w:rsidTr="002E5576">
        <w:tc>
          <w:tcPr>
            <w:tcW w:w="4518" w:type="dxa"/>
          </w:tcPr>
          <w:p w:rsidR="009F3024" w:rsidRPr="009D287C" w:rsidRDefault="009F3024" w:rsidP="00E414CA">
            <w:pPr>
              <w:tabs>
                <w:tab w:val="left" w:pos="6075"/>
              </w:tabs>
              <w:jc w:val="both"/>
              <w:rPr>
                <w:rFonts w:ascii="Arial" w:hAnsi="Arial" w:cs="Arial"/>
                <w:i/>
                <w:sz w:val="20"/>
                <w:szCs w:val="20"/>
              </w:rPr>
            </w:pPr>
            <w:r w:rsidRPr="009D287C">
              <w:rPr>
                <w:rFonts w:ascii="Arial" w:hAnsi="Arial" w:cs="Arial"/>
                <w:i/>
                <w:sz w:val="20"/>
                <w:szCs w:val="20"/>
              </w:rPr>
              <w:t xml:space="preserve">Consult the Supreme Court of Canada website at </w:t>
            </w:r>
            <w:hyperlink r:id="rId8" w:history="1">
              <w:r w:rsidR="00E414CA" w:rsidRPr="009D287C">
                <w:rPr>
                  <w:rStyle w:val="Hyperlink"/>
                  <w:rFonts w:ascii="Arial" w:hAnsi="Arial" w:cs="Arial"/>
                  <w:i/>
                  <w:sz w:val="20"/>
                  <w:szCs w:val="20"/>
                </w:rPr>
                <w:t>www.scc-csc.ca</w:t>
              </w:r>
            </w:hyperlink>
            <w:r w:rsidRPr="009D287C">
              <w:rPr>
                <w:rFonts w:ascii="Arial" w:hAnsi="Arial" w:cs="Arial"/>
                <w:i/>
                <w:sz w:val="20"/>
                <w:szCs w:val="20"/>
              </w:rPr>
              <w:t xml:space="preserve"> for more information.</w:t>
            </w:r>
          </w:p>
        </w:tc>
        <w:tc>
          <w:tcPr>
            <w:tcW w:w="630" w:type="dxa"/>
          </w:tcPr>
          <w:p w:rsidR="009F3024" w:rsidRPr="009D287C" w:rsidRDefault="009F3024" w:rsidP="00BF25F3">
            <w:pPr>
              <w:tabs>
                <w:tab w:val="left" w:pos="6075"/>
              </w:tabs>
              <w:jc w:val="both"/>
              <w:rPr>
                <w:rFonts w:ascii="Arial" w:hAnsi="Arial" w:cs="Arial"/>
                <w:i/>
                <w:sz w:val="20"/>
                <w:szCs w:val="20"/>
              </w:rPr>
            </w:pPr>
          </w:p>
        </w:tc>
        <w:tc>
          <w:tcPr>
            <w:tcW w:w="4428" w:type="dxa"/>
          </w:tcPr>
          <w:p w:rsidR="009F3024" w:rsidRPr="009D287C" w:rsidRDefault="009F3024" w:rsidP="00E414CA">
            <w:pPr>
              <w:tabs>
                <w:tab w:val="left" w:pos="6075"/>
              </w:tabs>
              <w:jc w:val="both"/>
              <w:rPr>
                <w:rFonts w:ascii="Arial" w:hAnsi="Arial" w:cs="Arial"/>
                <w:i/>
                <w:sz w:val="20"/>
                <w:szCs w:val="20"/>
                <w:lang w:val="fr-CA"/>
              </w:rPr>
            </w:pPr>
            <w:r w:rsidRPr="009D287C">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9D287C">
                <w:rPr>
                  <w:rStyle w:val="Hyperlink"/>
                  <w:rFonts w:ascii="Arial" w:hAnsi="Arial" w:cs="Arial"/>
                  <w:i/>
                  <w:sz w:val="20"/>
                  <w:szCs w:val="20"/>
                  <w:lang w:val="fr-CA"/>
                </w:rPr>
                <w:t>www.scc-csc.ca</w:t>
              </w:r>
            </w:hyperlink>
            <w:r w:rsidRPr="009D287C">
              <w:rPr>
                <w:rFonts w:ascii="Arial" w:hAnsi="Arial" w:cs="Arial"/>
                <w:i/>
                <w:sz w:val="20"/>
                <w:szCs w:val="20"/>
                <w:lang w:val="fr-CA"/>
              </w:rPr>
              <w:t xml:space="preserve"> </w:t>
            </w:r>
          </w:p>
        </w:tc>
      </w:tr>
    </w:tbl>
    <w:p w:rsidR="00BF25F3" w:rsidRPr="009D287C" w:rsidRDefault="00BF25F3" w:rsidP="00BF25F3">
      <w:pPr>
        <w:tabs>
          <w:tab w:val="left" w:pos="6075"/>
        </w:tabs>
        <w:rPr>
          <w:lang w:val="fr-CA"/>
        </w:rPr>
      </w:pPr>
    </w:p>
    <w:p w:rsidR="00440E24" w:rsidRPr="009D287C" w:rsidRDefault="00440E24" w:rsidP="00440E24">
      <w:pPr>
        <w:pBdr>
          <w:bottom w:val="single" w:sz="6" w:space="1" w:color="auto"/>
        </w:pBdr>
        <w:tabs>
          <w:tab w:val="left" w:pos="6075"/>
        </w:tabs>
        <w:rPr>
          <w:lang w:val="fr-CA"/>
        </w:rPr>
      </w:pPr>
    </w:p>
    <w:p w:rsidR="00440E24" w:rsidRPr="009D287C" w:rsidRDefault="00440E24" w:rsidP="00440E24">
      <w:pPr>
        <w:rPr>
          <w:lang w:val="fr-CA"/>
        </w:rPr>
      </w:pPr>
    </w:p>
    <w:p w:rsidR="00600252" w:rsidRPr="009D287C" w:rsidRDefault="00187846" w:rsidP="00F0068D">
      <w:pPr>
        <w:pBdr>
          <w:bottom w:val="single" w:sz="6" w:space="1" w:color="auto"/>
        </w:pBdr>
        <w:tabs>
          <w:tab w:val="center" w:pos="4680"/>
          <w:tab w:val="right" w:pos="9360"/>
        </w:tabs>
        <w:rPr>
          <w:lang w:val="fr-CA"/>
        </w:rPr>
      </w:pPr>
      <w:proofErr w:type="spellStart"/>
      <w:r w:rsidRPr="009D287C">
        <w:rPr>
          <w:lang w:val="fr-CA"/>
        </w:rPr>
        <w:t>December</w:t>
      </w:r>
      <w:proofErr w:type="spellEnd"/>
      <w:r w:rsidRPr="009D287C">
        <w:rPr>
          <w:lang w:val="fr-CA"/>
        </w:rPr>
        <w:t xml:space="preserve"> </w:t>
      </w:r>
      <w:r w:rsidR="00020DC3" w:rsidRPr="009D287C">
        <w:rPr>
          <w:lang w:val="fr-CA"/>
        </w:rPr>
        <w:t>9</w:t>
      </w:r>
      <w:r w:rsidR="00440E24" w:rsidRPr="009D287C">
        <w:rPr>
          <w:lang w:val="fr-CA"/>
        </w:rPr>
        <w:t>, 201</w:t>
      </w:r>
      <w:r w:rsidR="0030050B" w:rsidRPr="009D287C">
        <w:rPr>
          <w:lang w:val="fr-CA"/>
        </w:rPr>
        <w:t>6</w:t>
      </w:r>
      <w:r w:rsidR="00F0068D" w:rsidRPr="009D287C">
        <w:rPr>
          <w:lang w:val="fr-CA"/>
        </w:rPr>
        <w:tab/>
        <w:t>1</w:t>
      </w:r>
      <w:r w:rsidR="006F320D" w:rsidRPr="009D287C">
        <w:rPr>
          <w:lang w:val="fr-CA"/>
        </w:rPr>
        <w:t>777</w:t>
      </w:r>
      <w:r w:rsidR="00F0068D" w:rsidRPr="009D287C">
        <w:rPr>
          <w:lang w:val="fr-CA"/>
        </w:rPr>
        <w:t xml:space="preserve"> </w:t>
      </w:r>
      <w:r w:rsidR="006F320D" w:rsidRPr="009D287C">
        <w:rPr>
          <w:lang w:val="fr-CA"/>
        </w:rPr>
        <w:t>–</w:t>
      </w:r>
      <w:r w:rsidR="00F0068D" w:rsidRPr="009D287C">
        <w:rPr>
          <w:lang w:val="fr-CA"/>
        </w:rPr>
        <w:t xml:space="preserve"> </w:t>
      </w:r>
      <w:r w:rsidR="006F320D" w:rsidRPr="009D287C">
        <w:rPr>
          <w:lang w:val="fr-CA"/>
        </w:rPr>
        <w:t>1</w:t>
      </w:r>
      <w:r w:rsidR="00091116" w:rsidRPr="009D287C">
        <w:rPr>
          <w:lang w:val="fr-CA"/>
        </w:rPr>
        <w:t>812</w:t>
      </w:r>
      <w:r w:rsidR="00440E24" w:rsidRPr="009D287C">
        <w:rPr>
          <w:lang w:val="fr-CA"/>
        </w:rPr>
        <w:tab/>
        <w:t>Le</w:t>
      </w:r>
      <w:r w:rsidR="00C73D06" w:rsidRPr="009D287C">
        <w:rPr>
          <w:lang w:val="fr-CA"/>
        </w:rPr>
        <w:t xml:space="preserve"> </w:t>
      </w:r>
      <w:r w:rsidR="00020DC3" w:rsidRPr="009D287C">
        <w:rPr>
          <w:lang w:val="fr-CA"/>
        </w:rPr>
        <w:t>9</w:t>
      </w:r>
      <w:r w:rsidR="00C73D06" w:rsidRPr="009D287C">
        <w:rPr>
          <w:lang w:val="fr-CA"/>
        </w:rPr>
        <w:t xml:space="preserve"> </w:t>
      </w:r>
      <w:r w:rsidRPr="009D287C">
        <w:rPr>
          <w:lang w:val="fr-CA"/>
        </w:rPr>
        <w:t>décembre</w:t>
      </w:r>
      <w:r w:rsidR="00440E24" w:rsidRPr="009D287C">
        <w:rPr>
          <w:lang w:val="fr-CA"/>
        </w:rPr>
        <w:t xml:space="preserve"> 201</w:t>
      </w:r>
      <w:r w:rsidR="0030050B" w:rsidRPr="009D287C">
        <w:rPr>
          <w:lang w:val="fr-CA"/>
        </w:rPr>
        <w:t>6</w:t>
      </w:r>
    </w:p>
    <w:p w:rsidR="00440E24" w:rsidRPr="009D287C" w:rsidRDefault="00440E24" w:rsidP="00440E24">
      <w:pPr>
        <w:pBdr>
          <w:bottom w:val="single" w:sz="6" w:space="1" w:color="auto"/>
        </w:pBdr>
        <w:tabs>
          <w:tab w:val="right" w:pos="9360"/>
        </w:tabs>
        <w:rPr>
          <w:lang w:val="fr-CA"/>
        </w:rPr>
      </w:pPr>
    </w:p>
    <w:p w:rsidR="00440E24" w:rsidRPr="009D287C" w:rsidRDefault="00440E24" w:rsidP="00440E24">
      <w:pPr>
        <w:pBdr>
          <w:bottom w:val="single" w:sz="6" w:space="1" w:color="auto"/>
        </w:pBdr>
        <w:tabs>
          <w:tab w:val="right" w:pos="9360"/>
        </w:tabs>
        <w:rPr>
          <w:sz w:val="18"/>
          <w:szCs w:val="18"/>
          <w:lang w:val="fr-CA"/>
        </w:rPr>
      </w:pPr>
      <w:r w:rsidRPr="009D287C">
        <w:rPr>
          <w:sz w:val="18"/>
          <w:szCs w:val="18"/>
          <w:lang w:val="fr-CA"/>
        </w:rPr>
        <w:t xml:space="preserve">© </w:t>
      </w:r>
      <w:proofErr w:type="spellStart"/>
      <w:r w:rsidRPr="009D287C">
        <w:rPr>
          <w:sz w:val="18"/>
          <w:szCs w:val="18"/>
          <w:lang w:val="fr-CA"/>
        </w:rPr>
        <w:t>Supreme</w:t>
      </w:r>
      <w:proofErr w:type="spellEnd"/>
      <w:r w:rsidRPr="009D287C">
        <w:rPr>
          <w:sz w:val="18"/>
          <w:szCs w:val="18"/>
          <w:lang w:val="fr-CA"/>
        </w:rPr>
        <w:t xml:space="preserve"> Court of Canada (</w:t>
      </w:r>
      <w:r w:rsidR="0030050B" w:rsidRPr="009D287C">
        <w:rPr>
          <w:sz w:val="18"/>
          <w:szCs w:val="18"/>
          <w:lang w:val="fr-CA"/>
        </w:rPr>
        <w:t>2016</w:t>
      </w:r>
      <w:r w:rsidRPr="009D287C">
        <w:rPr>
          <w:sz w:val="18"/>
          <w:szCs w:val="18"/>
          <w:lang w:val="fr-CA"/>
        </w:rPr>
        <w:t>)</w:t>
      </w:r>
      <w:r w:rsidRPr="009D287C">
        <w:rPr>
          <w:sz w:val="18"/>
          <w:szCs w:val="18"/>
          <w:lang w:val="fr-CA"/>
        </w:rPr>
        <w:tab/>
        <w:t>© Cour suprême du Canada (</w:t>
      </w:r>
      <w:r w:rsidR="0030050B" w:rsidRPr="009D287C">
        <w:rPr>
          <w:sz w:val="18"/>
          <w:szCs w:val="18"/>
          <w:lang w:val="fr-CA"/>
        </w:rPr>
        <w:t>2016</w:t>
      </w:r>
      <w:r w:rsidRPr="009D287C">
        <w:rPr>
          <w:sz w:val="18"/>
          <w:szCs w:val="18"/>
          <w:lang w:val="fr-CA"/>
        </w:rPr>
        <w:t>)</w:t>
      </w:r>
    </w:p>
    <w:p w:rsidR="00440E24" w:rsidRPr="009D287C" w:rsidRDefault="00440E24" w:rsidP="00440E24">
      <w:pPr>
        <w:pBdr>
          <w:bottom w:val="single" w:sz="6" w:space="1" w:color="auto"/>
        </w:pBdr>
        <w:tabs>
          <w:tab w:val="right" w:pos="9360"/>
        </w:tabs>
        <w:rPr>
          <w:sz w:val="18"/>
          <w:szCs w:val="18"/>
          <w:lang w:val="fr-CA"/>
        </w:rPr>
      </w:pPr>
      <w:r w:rsidRPr="009D287C">
        <w:rPr>
          <w:sz w:val="18"/>
          <w:szCs w:val="18"/>
          <w:lang w:val="fr-CA"/>
        </w:rPr>
        <w:t>ISSN 1918-8358 (Online)</w:t>
      </w:r>
      <w:r w:rsidRPr="009D287C">
        <w:rPr>
          <w:sz w:val="18"/>
          <w:szCs w:val="18"/>
          <w:lang w:val="fr-CA"/>
        </w:rPr>
        <w:tab/>
        <w:t>ISSN 1918-8358 (En ligne)</w:t>
      </w:r>
    </w:p>
    <w:p w:rsidR="00600252" w:rsidRPr="009D287C" w:rsidRDefault="00600252" w:rsidP="00BF25F3">
      <w:pPr>
        <w:pBdr>
          <w:bottom w:val="single" w:sz="6" w:space="1" w:color="auto"/>
        </w:pBdr>
        <w:tabs>
          <w:tab w:val="left" w:pos="6075"/>
        </w:tabs>
        <w:rPr>
          <w:lang w:val="fr-CA"/>
        </w:rPr>
      </w:pPr>
    </w:p>
    <w:p w:rsidR="0030050B" w:rsidRPr="009D287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D287C" w:rsidTr="00245129">
        <w:tc>
          <w:tcPr>
            <w:tcW w:w="4290" w:type="dxa"/>
            <w:shd w:val="clear" w:color="auto" w:fill="auto"/>
            <w:tcMar>
              <w:left w:w="0" w:type="dxa"/>
              <w:right w:w="0" w:type="dxa"/>
            </w:tcMar>
          </w:tcPr>
          <w:p w:rsidR="00245129" w:rsidRPr="009D287C" w:rsidRDefault="00245129" w:rsidP="00245129">
            <w:pPr>
              <w:jc w:val="both"/>
              <w:rPr>
                <w:rFonts w:eastAsia="Times New Roman" w:cs="Times New Roman"/>
                <w:b/>
                <w:sz w:val="20"/>
                <w:szCs w:val="20"/>
                <w:lang w:eastAsia="en-CA"/>
              </w:rPr>
            </w:pPr>
            <w:r w:rsidRPr="009D287C">
              <w:rPr>
                <w:b/>
              </w:rPr>
              <w:t>CONTENTS</w:t>
            </w:r>
          </w:p>
        </w:tc>
        <w:tc>
          <w:tcPr>
            <w:tcW w:w="1200" w:type="dxa"/>
            <w:shd w:val="clear" w:color="auto" w:fill="auto"/>
            <w:tcMar>
              <w:left w:w="0" w:type="dxa"/>
              <w:right w:w="0" w:type="dxa"/>
            </w:tcMar>
          </w:tcPr>
          <w:p w:rsidR="00245129" w:rsidRPr="009D287C" w:rsidRDefault="00245129" w:rsidP="00245129">
            <w:pPr>
              <w:jc w:val="center"/>
              <w:rPr>
                <w:rFonts w:eastAsia="Times New Roman" w:cs="Times New Roman"/>
                <w:b/>
                <w:sz w:val="20"/>
                <w:szCs w:val="20"/>
                <w:lang w:eastAsia="en-CA"/>
              </w:rPr>
            </w:pPr>
          </w:p>
          <w:p w:rsidR="00245129" w:rsidRPr="009D287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D287C" w:rsidRDefault="00245129" w:rsidP="00245129">
            <w:pPr>
              <w:rPr>
                <w:rFonts w:eastAsia="Times New Roman" w:cs="Times New Roman"/>
                <w:b/>
                <w:sz w:val="20"/>
                <w:szCs w:val="20"/>
                <w:lang w:val="fr-CA" w:eastAsia="en-CA"/>
              </w:rPr>
            </w:pPr>
            <w:r w:rsidRPr="009D287C">
              <w:rPr>
                <w:b/>
                <w:lang w:val="fr-CA"/>
              </w:rPr>
              <w:t>TABLE DES MATIÈRES</w:t>
            </w:r>
          </w:p>
        </w:tc>
      </w:tr>
    </w:tbl>
    <w:p w:rsidR="0095096B" w:rsidRPr="009D287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D287C" w:rsidTr="00164E6D">
        <w:tc>
          <w:tcPr>
            <w:tcW w:w="3708" w:type="dxa"/>
          </w:tcPr>
          <w:p w:rsidR="0095096B" w:rsidRPr="009D287C" w:rsidRDefault="0095096B" w:rsidP="0095096B">
            <w:pPr>
              <w:tabs>
                <w:tab w:val="right" w:pos="9360"/>
              </w:tabs>
              <w:rPr>
                <w:rFonts w:cs="Times New Roman"/>
                <w:sz w:val="20"/>
                <w:szCs w:val="20"/>
              </w:rPr>
            </w:pPr>
            <w:r w:rsidRPr="009D287C">
              <w:rPr>
                <w:rFonts w:cs="Times New Roman"/>
                <w:sz w:val="20"/>
                <w:szCs w:val="20"/>
              </w:rPr>
              <w:t xml:space="preserve">Applications for leave to appeal </w:t>
            </w:r>
          </w:p>
          <w:p w:rsidR="0095096B" w:rsidRPr="009D287C" w:rsidRDefault="0095096B" w:rsidP="0095096B">
            <w:pPr>
              <w:tabs>
                <w:tab w:val="right" w:pos="9360"/>
              </w:tabs>
              <w:rPr>
                <w:rFonts w:cs="Times New Roman"/>
                <w:sz w:val="20"/>
                <w:szCs w:val="20"/>
              </w:rPr>
            </w:pPr>
            <w:r w:rsidRPr="009D287C">
              <w:rPr>
                <w:rFonts w:cs="Times New Roman"/>
                <w:sz w:val="20"/>
                <w:szCs w:val="20"/>
              </w:rPr>
              <w:t>filed</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 xml:space="preserve">Applications for leave submitted </w:t>
            </w:r>
          </w:p>
          <w:p w:rsidR="0095096B" w:rsidRPr="009D287C" w:rsidRDefault="0095096B" w:rsidP="0095096B">
            <w:pPr>
              <w:tabs>
                <w:tab w:val="right" w:pos="9360"/>
              </w:tabs>
              <w:rPr>
                <w:rFonts w:cs="Times New Roman"/>
                <w:sz w:val="20"/>
                <w:szCs w:val="20"/>
              </w:rPr>
            </w:pPr>
            <w:r w:rsidRPr="009D287C">
              <w:rPr>
                <w:rFonts w:cs="Times New Roman"/>
                <w:sz w:val="20"/>
                <w:szCs w:val="20"/>
              </w:rPr>
              <w:t>to Court since last issue</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 xml:space="preserve">Judgments on applications for </w:t>
            </w:r>
          </w:p>
          <w:p w:rsidR="0095096B" w:rsidRPr="009D287C" w:rsidRDefault="0095096B" w:rsidP="0095096B">
            <w:pPr>
              <w:tabs>
                <w:tab w:val="right" w:pos="9360"/>
              </w:tabs>
              <w:rPr>
                <w:rFonts w:cs="Times New Roman"/>
                <w:sz w:val="20"/>
                <w:szCs w:val="20"/>
              </w:rPr>
            </w:pPr>
            <w:r w:rsidRPr="009D287C">
              <w:rPr>
                <w:rFonts w:cs="Times New Roman"/>
                <w:sz w:val="20"/>
                <w:szCs w:val="20"/>
              </w:rPr>
              <w:t>leave</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Motions</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 xml:space="preserve">Notices of appeal filed since last </w:t>
            </w:r>
          </w:p>
          <w:p w:rsidR="0095096B" w:rsidRPr="009D287C" w:rsidRDefault="0095096B" w:rsidP="0095096B">
            <w:pPr>
              <w:tabs>
                <w:tab w:val="right" w:pos="9360"/>
              </w:tabs>
              <w:rPr>
                <w:rFonts w:cs="Times New Roman"/>
                <w:sz w:val="20"/>
                <w:szCs w:val="20"/>
              </w:rPr>
            </w:pPr>
            <w:r w:rsidRPr="009D287C">
              <w:rPr>
                <w:rFonts w:cs="Times New Roman"/>
                <w:sz w:val="20"/>
                <w:szCs w:val="20"/>
              </w:rPr>
              <w:t>issue</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Appeals heard since last issue and disposition</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Pronouncements of appeals reserved</w:t>
            </w: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p>
          <w:p w:rsidR="0095096B" w:rsidRPr="009D287C" w:rsidRDefault="0095096B" w:rsidP="0095096B">
            <w:pPr>
              <w:tabs>
                <w:tab w:val="right" w:pos="9360"/>
              </w:tabs>
              <w:rPr>
                <w:rFonts w:cs="Times New Roman"/>
                <w:sz w:val="20"/>
                <w:szCs w:val="20"/>
              </w:rPr>
            </w:pPr>
            <w:r w:rsidRPr="009D287C">
              <w:rPr>
                <w:rFonts w:cs="Times New Roman"/>
                <w:sz w:val="20"/>
                <w:szCs w:val="20"/>
              </w:rPr>
              <w:t>Headnotes of recent judgments</w:t>
            </w:r>
          </w:p>
          <w:p w:rsidR="00A87207" w:rsidRPr="009D287C" w:rsidRDefault="00A87207" w:rsidP="004449A1">
            <w:pPr>
              <w:tabs>
                <w:tab w:val="right" w:pos="9360"/>
              </w:tabs>
              <w:rPr>
                <w:rFonts w:cs="Times New Roman"/>
                <w:sz w:val="20"/>
                <w:szCs w:val="20"/>
              </w:rPr>
            </w:pPr>
          </w:p>
        </w:tc>
        <w:tc>
          <w:tcPr>
            <w:tcW w:w="1980" w:type="dxa"/>
          </w:tcPr>
          <w:p w:rsidR="0095096B" w:rsidRPr="009D287C" w:rsidRDefault="001E4CBE" w:rsidP="0095096B">
            <w:pPr>
              <w:jc w:val="center"/>
              <w:rPr>
                <w:rFonts w:cs="Times New Roman"/>
                <w:sz w:val="20"/>
                <w:szCs w:val="20"/>
                <w:lang w:val="fr-CA"/>
              </w:rPr>
            </w:pPr>
            <w:r w:rsidRPr="009D287C">
              <w:rPr>
                <w:rFonts w:cs="Times New Roman"/>
                <w:sz w:val="20"/>
                <w:szCs w:val="20"/>
                <w:lang w:val="fr-CA"/>
              </w:rPr>
              <w:t>1777</w:t>
            </w:r>
          </w:p>
          <w:p w:rsidR="0095096B" w:rsidRPr="009D287C" w:rsidRDefault="0095096B" w:rsidP="0095096B">
            <w:pPr>
              <w:jc w:val="center"/>
              <w:rPr>
                <w:rFonts w:cs="Times New Roman"/>
                <w:sz w:val="20"/>
                <w:szCs w:val="20"/>
                <w:lang w:val="fr-CA"/>
              </w:rPr>
            </w:pPr>
          </w:p>
          <w:p w:rsidR="0095096B" w:rsidRPr="009D287C" w:rsidRDefault="0095096B" w:rsidP="0095096B">
            <w:pPr>
              <w:jc w:val="center"/>
              <w:rPr>
                <w:rFonts w:cs="Times New Roman"/>
                <w:sz w:val="20"/>
                <w:szCs w:val="20"/>
                <w:lang w:val="fr-CA"/>
              </w:rPr>
            </w:pPr>
          </w:p>
          <w:p w:rsidR="0095096B" w:rsidRPr="009D287C" w:rsidRDefault="006F320D" w:rsidP="0095096B">
            <w:pPr>
              <w:jc w:val="center"/>
              <w:rPr>
                <w:rFonts w:cs="Times New Roman"/>
                <w:sz w:val="20"/>
                <w:szCs w:val="20"/>
                <w:lang w:val="fr-CA"/>
              </w:rPr>
            </w:pPr>
            <w:r w:rsidRPr="009D287C">
              <w:rPr>
                <w:rFonts w:cs="Times New Roman"/>
                <w:sz w:val="20"/>
                <w:szCs w:val="20"/>
                <w:lang w:val="fr-CA"/>
              </w:rPr>
              <w:t>17</w:t>
            </w:r>
            <w:r w:rsidR="001E4CBE" w:rsidRPr="009D287C">
              <w:rPr>
                <w:rFonts w:cs="Times New Roman"/>
                <w:sz w:val="20"/>
                <w:szCs w:val="20"/>
                <w:lang w:val="fr-CA"/>
              </w:rPr>
              <w:t>78</w:t>
            </w:r>
          </w:p>
          <w:p w:rsidR="0095096B" w:rsidRPr="009D287C" w:rsidRDefault="0095096B" w:rsidP="0095096B">
            <w:pPr>
              <w:jc w:val="center"/>
              <w:rPr>
                <w:rFonts w:cs="Times New Roman"/>
                <w:sz w:val="20"/>
                <w:szCs w:val="20"/>
                <w:lang w:val="fr-CA"/>
              </w:rPr>
            </w:pPr>
          </w:p>
          <w:p w:rsidR="0095096B" w:rsidRPr="009D287C" w:rsidRDefault="0095096B" w:rsidP="0095096B">
            <w:pPr>
              <w:jc w:val="center"/>
              <w:rPr>
                <w:rFonts w:cs="Times New Roman"/>
                <w:sz w:val="20"/>
                <w:szCs w:val="20"/>
                <w:lang w:val="fr-CA"/>
              </w:rPr>
            </w:pPr>
          </w:p>
          <w:p w:rsidR="0095096B" w:rsidRPr="009D287C" w:rsidRDefault="006F320D" w:rsidP="0095096B">
            <w:pPr>
              <w:jc w:val="center"/>
              <w:rPr>
                <w:rFonts w:cs="Times New Roman"/>
                <w:sz w:val="20"/>
                <w:szCs w:val="20"/>
                <w:lang w:val="fr-CA"/>
              </w:rPr>
            </w:pPr>
            <w:r w:rsidRPr="009D287C">
              <w:rPr>
                <w:rFonts w:cs="Times New Roman"/>
                <w:sz w:val="20"/>
                <w:szCs w:val="20"/>
                <w:lang w:val="fr-CA"/>
              </w:rPr>
              <w:t>17</w:t>
            </w:r>
            <w:r w:rsidR="00920690" w:rsidRPr="009D287C">
              <w:rPr>
                <w:rFonts w:cs="Times New Roman"/>
                <w:sz w:val="20"/>
                <w:szCs w:val="20"/>
                <w:lang w:val="fr-CA"/>
              </w:rPr>
              <w:t>79 - 1782</w:t>
            </w:r>
          </w:p>
          <w:p w:rsidR="0095096B" w:rsidRPr="009D287C" w:rsidRDefault="0095096B" w:rsidP="0095096B">
            <w:pPr>
              <w:jc w:val="center"/>
              <w:rPr>
                <w:rFonts w:cs="Times New Roman"/>
                <w:sz w:val="20"/>
                <w:szCs w:val="20"/>
                <w:lang w:val="fr-CA"/>
              </w:rPr>
            </w:pPr>
          </w:p>
          <w:p w:rsidR="0086120A" w:rsidRPr="009D287C" w:rsidRDefault="0086120A" w:rsidP="0095096B">
            <w:pPr>
              <w:jc w:val="center"/>
              <w:rPr>
                <w:rFonts w:cs="Times New Roman"/>
                <w:sz w:val="20"/>
                <w:szCs w:val="20"/>
                <w:lang w:val="fr-CA"/>
              </w:rPr>
            </w:pPr>
          </w:p>
          <w:p w:rsidR="0095096B" w:rsidRPr="009D287C" w:rsidRDefault="006F320D" w:rsidP="0095096B">
            <w:pPr>
              <w:jc w:val="center"/>
              <w:rPr>
                <w:rFonts w:cs="Times New Roman"/>
                <w:sz w:val="20"/>
                <w:szCs w:val="20"/>
                <w:lang w:val="fr-CA"/>
              </w:rPr>
            </w:pPr>
            <w:r w:rsidRPr="009D287C">
              <w:rPr>
                <w:rFonts w:cs="Times New Roman"/>
                <w:sz w:val="20"/>
                <w:szCs w:val="20"/>
                <w:lang w:val="fr-CA"/>
              </w:rPr>
              <w:t>17</w:t>
            </w:r>
            <w:r w:rsidR="00920690" w:rsidRPr="009D287C">
              <w:rPr>
                <w:rFonts w:cs="Times New Roman"/>
                <w:sz w:val="20"/>
                <w:szCs w:val="20"/>
                <w:lang w:val="fr-CA"/>
              </w:rPr>
              <w:t>83</w:t>
            </w:r>
            <w:r w:rsidRPr="009D287C">
              <w:rPr>
                <w:rFonts w:cs="Times New Roman"/>
                <w:sz w:val="20"/>
                <w:szCs w:val="20"/>
                <w:lang w:val="fr-CA"/>
              </w:rPr>
              <w:t xml:space="preserve"> - 17</w:t>
            </w:r>
            <w:r w:rsidR="00920690" w:rsidRPr="009D287C">
              <w:rPr>
                <w:rFonts w:cs="Times New Roman"/>
                <w:sz w:val="20"/>
                <w:szCs w:val="20"/>
                <w:lang w:val="fr-CA"/>
              </w:rPr>
              <w:t>8</w:t>
            </w:r>
            <w:r w:rsidR="002B479F" w:rsidRPr="009D287C">
              <w:rPr>
                <w:rFonts w:cs="Times New Roman"/>
                <w:sz w:val="20"/>
                <w:szCs w:val="20"/>
                <w:lang w:val="fr-CA"/>
              </w:rPr>
              <w:t>8</w:t>
            </w:r>
          </w:p>
          <w:p w:rsidR="0095096B" w:rsidRPr="009D287C" w:rsidRDefault="0095096B" w:rsidP="0095096B">
            <w:pPr>
              <w:jc w:val="center"/>
              <w:rPr>
                <w:rFonts w:cs="Times New Roman"/>
                <w:sz w:val="20"/>
                <w:szCs w:val="20"/>
                <w:lang w:val="fr-CA"/>
              </w:rPr>
            </w:pPr>
          </w:p>
          <w:p w:rsidR="0095096B" w:rsidRPr="009D287C" w:rsidRDefault="002B479F" w:rsidP="0095096B">
            <w:pPr>
              <w:jc w:val="center"/>
              <w:rPr>
                <w:rFonts w:cs="Times New Roman"/>
                <w:sz w:val="20"/>
                <w:szCs w:val="20"/>
                <w:lang w:val="fr-CA"/>
              </w:rPr>
            </w:pPr>
            <w:r w:rsidRPr="009D287C">
              <w:rPr>
                <w:rFonts w:cs="Times New Roman"/>
                <w:sz w:val="20"/>
                <w:szCs w:val="20"/>
                <w:lang w:val="fr-CA"/>
              </w:rPr>
              <w:t>1789</w:t>
            </w:r>
          </w:p>
          <w:p w:rsidR="0095096B" w:rsidRPr="009D287C" w:rsidRDefault="0095096B" w:rsidP="0095096B">
            <w:pPr>
              <w:jc w:val="center"/>
              <w:rPr>
                <w:rFonts w:cs="Times New Roman"/>
                <w:sz w:val="20"/>
                <w:szCs w:val="20"/>
                <w:lang w:val="fr-CA"/>
              </w:rPr>
            </w:pPr>
          </w:p>
          <w:p w:rsidR="0095096B" w:rsidRPr="009D287C" w:rsidRDefault="0095096B" w:rsidP="0095096B">
            <w:pPr>
              <w:jc w:val="center"/>
              <w:rPr>
                <w:rFonts w:cs="Times New Roman"/>
                <w:sz w:val="20"/>
                <w:szCs w:val="20"/>
                <w:lang w:val="fr-CA"/>
              </w:rPr>
            </w:pPr>
          </w:p>
          <w:p w:rsidR="0095096B" w:rsidRPr="009D287C" w:rsidRDefault="006F320D" w:rsidP="0095096B">
            <w:pPr>
              <w:jc w:val="center"/>
              <w:rPr>
                <w:rFonts w:cs="Times New Roman"/>
                <w:sz w:val="20"/>
                <w:szCs w:val="20"/>
                <w:lang w:val="fr-CA"/>
              </w:rPr>
            </w:pPr>
            <w:r w:rsidRPr="009D287C">
              <w:rPr>
                <w:rFonts w:cs="Times New Roman"/>
                <w:sz w:val="20"/>
                <w:szCs w:val="20"/>
                <w:lang w:val="fr-CA"/>
              </w:rPr>
              <w:t>17</w:t>
            </w:r>
            <w:r w:rsidR="002B479F" w:rsidRPr="009D287C">
              <w:rPr>
                <w:rFonts w:cs="Times New Roman"/>
                <w:sz w:val="20"/>
                <w:szCs w:val="20"/>
                <w:lang w:val="fr-CA"/>
              </w:rPr>
              <w:t>90</w:t>
            </w:r>
            <w:r w:rsidR="00F95037" w:rsidRPr="009D287C">
              <w:rPr>
                <w:rFonts w:cs="Times New Roman"/>
                <w:sz w:val="20"/>
                <w:szCs w:val="20"/>
                <w:lang w:val="fr-CA"/>
              </w:rPr>
              <w:t xml:space="preserve"> </w:t>
            </w:r>
            <w:r w:rsidRPr="009D287C">
              <w:rPr>
                <w:rFonts w:cs="Times New Roman"/>
                <w:sz w:val="20"/>
                <w:szCs w:val="20"/>
                <w:lang w:val="fr-CA"/>
              </w:rPr>
              <w:t>- 17</w:t>
            </w:r>
            <w:r w:rsidR="00FF1CCA" w:rsidRPr="009D287C">
              <w:rPr>
                <w:rFonts w:cs="Times New Roman"/>
                <w:sz w:val="20"/>
                <w:szCs w:val="20"/>
                <w:lang w:val="fr-CA"/>
              </w:rPr>
              <w:t>92</w:t>
            </w:r>
          </w:p>
          <w:p w:rsidR="0095096B" w:rsidRPr="009D287C" w:rsidRDefault="0095096B" w:rsidP="0095096B">
            <w:pPr>
              <w:jc w:val="center"/>
              <w:rPr>
                <w:rFonts w:cs="Times New Roman"/>
                <w:sz w:val="20"/>
                <w:szCs w:val="20"/>
                <w:lang w:val="fr-CA"/>
              </w:rPr>
            </w:pPr>
          </w:p>
          <w:p w:rsidR="0086120A" w:rsidRPr="009D287C" w:rsidRDefault="0086120A" w:rsidP="0095096B">
            <w:pPr>
              <w:jc w:val="center"/>
              <w:rPr>
                <w:rFonts w:cs="Times New Roman"/>
                <w:sz w:val="20"/>
                <w:szCs w:val="20"/>
                <w:lang w:val="fr-CA"/>
              </w:rPr>
            </w:pPr>
          </w:p>
          <w:p w:rsidR="0095096B" w:rsidRPr="009D287C" w:rsidRDefault="006F320D" w:rsidP="0095096B">
            <w:pPr>
              <w:jc w:val="center"/>
              <w:rPr>
                <w:rFonts w:cs="Times New Roman"/>
                <w:sz w:val="20"/>
                <w:szCs w:val="20"/>
                <w:lang w:val="fr-CA"/>
              </w:rPr>
            </w:pPr>
            <w:r w:rsidRPr="009D287C">
              <w:rPr>
                <w:rFonts w:cs="Times New Roman"/>
                <w:sz w:val="20"/>
                <w:szCs w:val="20"/>
                <w:lang w:val="fr-CA"/>
              </w:rPr>
              <w:t>17</w:t>
            </w:r>
            <w:r w:rsidR="00FF1CCA" w:rsidRPr="009D287C">
              <w:rPr>
                <w:rFonts w:cs="Times New Roman"/>
                <w:sz w:val="20"/>
                <w:szCs w:val="20"/>
                <w:lang w:val="fr-CA"/>
              </w:rPr>
              <w:t>93</w:t>
            </w:r>
            <w:r w:rsidRPr="009D287C">
              <w:rPr>
                <w:rFonts w:cs="Times New Roman"/>
                <w:sz w:val="20"/>
                <w:szCs w:val="20"/>
                <w:lang w:val="fr-CA"/>
              </w:rPr>
              <w:t xml:space="preserve"> - 17</w:t>
            </w:r>
            <w:r w:rsidR="00D3721B" w:rsidRPr="009D287C">
              <w:rPr>
                <w:rFonts w:cs="Times New Roman"/>
                <w:sz w:val="20"/>
                <w:szCs w:val="20"/>
                <w:lang w:val="fr-CA"/>
              </w:rPr>
              <w:t>94</w:t>
            </w:r>
          </w:p>
          <w:p w:rsidR="0095096B" w:rsidRPr="009D287C" w:rsidRDefault="0095096B" w:rsidP="0095096B">
            <w:pPr>
              <w:jc w:val="center"/>
              <w:rPr>
                <w:rFonts w:cs="Times New Roman"/>
                <w:sz w:val="20"/>
                <w:szCs w:val="20"/>
                <w:lang w:val="fr-CA"/>
              </w:rPr>
            </w:pPr>
          </w:p>
          <w:p w:rsidR="0086120A" w:rsidRPr="009D287C" w:rsidRDefault="0086120A" w:rsidP="0095096B">
            <w:pPr>
              <w:jc w:val="center"/>
              <w:rPr>
                <w:rFonts w:cs="Times New Roman"/>
                <w:sz w:val="20"/>
                <w:szCs w:val="20"/>
                <w:lang w:val="fr-CA"/>
              </w:rPr>
            </w:pPr>
          </w:p>
          <w:p w:rsidR="0095096B" w:rsidRPr="009D287C" w:rsidRDefault="006F320D" w:rsidP="0095096B">
            <w:pPr>
              <w:jc w:val="center"/>
              <w:rPr>
                <w:rFonts w:cs="Times New Roman"/>
                <w:sz w:val="20"/>
                <w:szCs w:val="20"/>
                <w:lang w:val="fr-CA"/>
              </w:rPr>
            </w:pPr>
            <w:r w:rsidRPr="009D287C">
              <w:rPr>
                <w:rFonts w:cs="Times New Roman"/>
                <w:sz w:val="20"/>
                <w:szCs w:val="20"/>
                <w:lang w:val="fr-CA"/>
              </w:rPr>
              <w:t>17</w:t>
            </w:r>
            <w:r w:rsidR="00D3721B" w:rsidRPr="009D287C">
              <w:rPr>
                <w:rFonts w:cs="Times New Roman"/>
                <w:sz w:val="20"/>
                <w:szCs w:val="20"/>
                <w:lang w:val="fr-CA"/>
              </w:rPr>
              <w:t xml:space="preserve">95 </w:t>
            </w:r>
            <w:r w:rsidRPr="009D287C">
              <w:rPr>
                <w:rFonts w:cs="Times New Roman"/>
                <w:sz w:val="20"/>
                <w:szCs w:val="20"/>
                <w:lang w:val="fr-CA"/>
              </w:rPr>
              <w:t xml:space="preserve">- </w:t>
            </w:r>
            <w:r w:rsidR="00091116" w:rsidRPr="009D287C">
              <w:rPr>
                <w:rFonts w:cs="Times New Roman"/>
                <w:sz w:val="20"/>
                <w:szCs w:val="20"/>
                <w:lang w:val="fr-CA"/>
              </w:rPr>
              <w:t>1812</w:t>
            </w:r>
          </w:p>
          <w:p w:rsidR="00A87207" w:rsidRPr="009D287C" w:rsidRDefault="00A87207" w:rsidP="0086120A">
            <w:pPr>
              <w:jc w:val="center"/>
              <w:rPr>
                <w:rFonts w:cs="Times New Roman"/>
                <w:sz w:val="20"/>
                <w:szCs w:val="20"/>
                <w:lang w:val="fr-CA"/>
              </w:rPr>
            </w:pPr>
          </w:p>
        </w:tc>
        <w:tc>
          <w:tcPr>
            <w:tcW w:w="3888" w:type="dxa"/>
          </w:tcPr>
          <w:p w:rsidR="0095096B" w:rsidRPr="009D287C" w:rsidRDefault="000E27A5" w:rsidP="0095096B">
            <w:pPr>
              <w:rPr>
                <w:rFonts w:cs="Times New Roman"/>
                <w:sz w:val="20"/>
                <w:szCs w:val="20"/>
                <w:lang w:val="fr-CA"/>
              </w:rPr>
            </w:pPr>
            <w:r w:rsidRPr="009D287C">
              <w:rPr>
                <w:rFonts w:cs="Times New Roman"/>
                <w:sz w:val="20"/>
                <w:szCs w:val="20"/>
                <w:lang w:val="fr-CA"/>
              </w:rPr>
              <w:fldChar w:fldCharType="begin"/>
            </w:r>
            <w:r w:rsidR="0095096B" w:rsidRPr="009D287C">
              <w:rPr>
                <w:rFonts w:cs="Times New Roman"/>
                <w:sz w:val="20"/>
                <w:szCs w:val="20"/>
                <w:lang w:val="fr-CA"/>
              </w:rPr>
              <w:instrText xml:space="preserve"> SEQ CHAPTER \h \r 1</w:instrText>
            </w:r>
            <w:r w:rsidRPr="009D287C">
              <w:rPr>
                <w:rFonts w:cs="Times New Roman"/>
                <w:sz w:val="20"/>
                <w:szCs w:val="20"/>
                <w:lang w:val="fr-CA"/>
              </w:rPr>
              <w:fldChar w:fldCharType="end"/>
            </w:r>
            <w:r w:rsidR="0095096B" w:rsidRPr="009D287C">
              <w:rPr>
                <w:rFonts w:cs="Times New Roman"/>
                <w:sz w:val="20"/>
                <w:szCs w:val="20"/>
                <w:lang w:val="fr-CA"/>
              </w:rPr>
              <w:t>Demandes d</w:t>
            </w:r>
            <w:r w:rsidR="004137A0" w:rsidRPr="009D287C">
              <w:rPr>
                <w:rFonts w:cs="Times New Roman"/>
                <w:sz w:val="20"/>
                <w:szCs w:val="20"/>
                <w:lang w:val="fr-CA"/>
              </w:rPr>
              <w:t>’</w:t>
            </w:r>
            <w:r w:rsidR="0095096B" w:rsidRPr="009D287C">
              <w:rPr>
                <w:rFonts w:cs="Times New Roman"/>
                <w:sz w:val="20"/>
                <w:szCs w:val="20"/>
                <w:lang w:val="fr-CA"/>
              </w:rPr>
              <w:t>autorisation d</w:t>
            </w:r>
            <w:r w:rsidR="004137A0" w:rsidRPr="009D287C">
              <w:rPr>
                <w:rFonts w:cs="Times New Roman"/>
                <w:sz w:val="20"/>
                <w:szCs w:val="20"/>
                <w:lang w:val="fr-CA"/>
              </w:rPr>
              <w:t>’</w:t>
            </w:r>
            <w:r w:rsidR="0095096B" w:rsidRPr="009D287C">
              <w:rPr>
                <w:rFonts w:cs="Times New Roman"/>
                <w:sz w:val="20"/>
                <w:szCs w:val="20"/>
                <w:lang w:val="fr-CA"/>
              </w:rPr>
              <w:t xml:space="preserve">appel </w:t>
            </w:r>
          </w:p>
          <w:p w:rsidR="0095096B" w:rsidRPr="009D287C" w:rsidRDefault="0095096B" w:rsidP="0095096B">
            <w:pPr>
              <w:rPr>
                <w:rFonts w:cs="Times New Roman"/>
                <w:sz w:val="20"/>
                <w:szCs w:val="20"/>
                <w:lang w:val="fr-CA"/>
              </w:rPr>
            </w:pPr>
            <w:r w:rsidRPr="009D287C">
              <w:rPr>
                <w:rFonts w:cs="Times New Roman"/>
                <w:sz w:val="20"/>
                <w:szCs w:val="20"/>
                <w:lang w:val="fr-CA"/>
              </w:rPr>
              <w:t>déposées</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 xml:space="preserve">Demandes soumises à la Cour depuis la </w:t>
            </w:r>
          </w:p>
          <w:p w:rsidR="0095096B" w:rsidRPr="009D287C" w:rsidRDefault="0095096B" w:rsidP="0095096B">
            <w:pPr>
              <w:rPr>
                <w:rFonts w:cs="Times New Roman"/>
                <w:sz w:val="20"/>
                <w:szCs w:val="20"/>
                <w:lang w:val="fr-CA"/>
              </w:rPr>
            </w:pPr>
            <w:r w:rsidRPr="009D287C">
              <w:rPr>
                <w:rFonts w:cs="Times New Roman"/>
                <w:sz w:val="20"/>
                <w:szCs w:val="20"/>
                <w:lang w:val="fr-CA"/>
              </w:rPr>
              <w:t>dernière parution</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 xml:space="preserve">Jugements rendus sur les demandes </w:t>
            </w:r>
          </w:p>
          <w:p w:rsidR="0095096B" w:rsidRPr="009D287C" w:rsidRDefault="004137A0" w:rsidP="0095096B">
            <w:pPr>
              <w:rPr>
                <w:rFonts w:cs="Times New Roman"/>
                <w:sz w:val="20"/>
                <w:szCs w:val="20"/>
                <w:lang w:val="fr-CA"/>
              </w:rPr>
            </w:pPr>
            <w:r w:rsidRPr="009D287C">
              <w:rPr>
                <w:rFonts w:cs="Times New Roman"/>
                <w:sz w:val="20"/>
                <w:szCs w:val="20"/>
                <w:lang w:val="fr-CA"/>
              </w:rPr>
              <w:t>d’</w:t>
            </w:r>
            <w:r w:rsidR="0095096B" w:rsidRPr="009D287C">
              <w:rPr>
                <w:rFonts w:cs="Times New Roman"/>
                <w:sz w:val="20"/>
                <w:szCs w:val="20"/>
                <w:lang w:val="fr-CA"/>
              </w:rPr>
              <w:t>autorisation</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Requêtes</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Avis d</w:t>
            </w:r>
            <w:r w:rsidR="004137A0" w:rsidRPr="009D287C">
              <w:rPr>
                <w:rFonts w:cs="Times New Roman"/>
                <w:sz w:val="20"/>
                <w:szCs w:val="20"/>
                <w:lang w:val="fr-CA"/>
              </w:rPr>
              <w:t>’</w:t>
            </w:r>
            <w:r w:rsidRPr="009D287C">
              <w:rPr>
                <w:rFonts w:cs="Times New Roman"/>
                <w:sz w:val="20"/>
                <w:szCs w:val="20"/>
                <w:lang w:val="fr-CA"/>
              </w:rPr>
              <w:t xml:space="preserve">appel déposés depuis la dernière </w:t>
            </w:r>
          </w:p>
          <w:p w:rsidR="0095096B" w:rsidRPr="009D287C" w:rsidRDefault="0095096B" w:rsidP="0095096B">
            <w:pPr>
              <w:rPr>
                <w:rFonts w:cs="Times New Roman"/>
                <w:sz w:val="20"/>
                <w:szCs w:val="20"/>
                <w:lang w:val="fr-CA"/>
              </w:rPr>
            </w:pPr>
            <w:r w:rsidRPr="009D287C">
              <w:rPr>
                <w:rFonts w:cs="Times New Roman"/>
                <w:sz w:val="20"/>
                <w:szCs w:val="20"/>
                <w:lang w:val="fr-CA"/>
              </w:rPr>
              <w:t>parution</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 xml:space="preserve">Appels entendus depuis la dernière </w:t>
            </w:r>
          </w:p>
          <w:p w:rsidR="0095096B" w:rsidRPr="009D287C" w:rsidRDefault="0095096B" w:rsidP="0095096B">
            <w:pPr>
              <w:rPr>
                <w:rFonts w:cs="Times New Roman"/>
                <w:sz w:val="20"/>
                <w:szCs w:val="20"/>
                <w:lang w:val="fr-CA"/>
              </w:rPr>
            </w:pPr>
            <w:r w:rsidRPr="009D287C">
              <w:rPr>
                <w:rFonts w:cs="Times New Roman"/>
                <w:sz w:val="20"/>
                <w:szCs w:val="20"/>
                <w:lang w:val="fr-CA"/>
              </w:rPr>
              <w:t>parution et résultat</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 xml:space="preserve">Jugements rendus sur les appels en </w:t>
            </w:r>
          </w:p>
          <w:p w:rsidR="0095096B" w:rsidRPr="009D287C" w:rsidRDefault="0095096B" w:rsidP="0095096B">
            <w:pPr>
              <w:rPr>
                <w:rFonts w:cs="Times New Roman"/>
                <w:sz w:val="20"/>
                <w:szCs w:val="20"/>
                <w:lang w:val="fr-CA"/>
              </w:rPr>
            </w:pPr>
            <w:r w:rsidRPr="009D287C">
              <w:rPr>
                <w:rFonts w:cs="Times New Roman"/>
                <w:sz w:val="20"/>
                <w:szCs w:val="20"/>
                <w:lang w:val="fr-CA"/>
              </w:rPr>
              <w:t>délibéré</w:t>
            </w:r>
          </w:p>
          <w:p w:rsidR="0095096B" w:rsidRPr="009D287C" w:rsidRDefault="0095096B" w:rsidP="0095096B">
            <w:pPr>
              <w:rPr>
                <w:rFonts w:cs="Times New Roman"/>
                <w:sz w:val="20"/>
                <w:szCs w:val="20"/>
                <w:lang w:val="fr-CA"/>
              </w:rPr>
            </w:pPr>
          </w:p>
          <w:p w:rsidR="0095096B" w:rsidRPr="009D287C" w:rsidRDefault="0095096B" w:rsidP="0095096B">
            <w:pPr>
              <w:rPr>
                <w:rFonts w:cs="Times New Roman"/>
                <w:sz w:val="20"/>
                <w:szCs w:val="20"/>
                <w:lang w:val="fr-CA"/>
              </w:rPr>
            </w:pPr>
            <w:r w:rsidRPr="009D287C">
              <w:rPr>
                <w:rFonts w:cs="Times New Roman"/>
                <w:sz w:val="20"/>
                <w:szCs w:val="20"/>
                <w:lang w:val="fr-CA"/>
              </w:rPr>
              <w:t xml:space="preserve">Sommaires de </w:t>
            </w:r>
            <w:r w:rsidR="00C50A5C" w:rsidRPr="009D287C">
              <w:rPr>
                <w:rFonts w:cs="Times New Roman"/>
                <w:sz w:val="20"/>
                <w:szCs w:val="20"/>
                <w:lang w:val="fr-CA"/>
              </w:rPr>
              <w:t>jugements récents</w:t>
            </w:r>
          </w:p>
          <w:p w:rsidR="00A87207" w:rsidRPr="009D287C" w:rsidRDefault="00A87207" w:rsidP="004449A1">
            <w:pPr>
              <w:tabs>
                <w:tab w:val="right" w:pos="9360"/>
              </w:tabs>
              <w:rPr>
                <w:rFonts w:cs="Times New Roman"/>
                <w:sz w:val="20"/>
                <w:szCs w:val="20"/>
                <w:lang w:val="fr-CA"/>
              </w:rPr>
            </w:pPr>
          </w:p>
        </w:tc>
      </w:tr>
    </w:tbl>
    <w:p w:rsidR="0095096B" w:rsidRPr="009D287C"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346C6C" w:rsidTr="0079724F">
        <w:tc>
          <w:tcPr>
            <w:tcW w:w="9576" w:type="dxa"/>
          </w:tcPr>
          <w:p w:rsidR="0079724F" w:rsidRPr="009D287C" w:rsidRDefault="0079724F" w:rsidP="00215F7C">
            <w:pPr>
              <w:keepNext/>
              <w:tabs>
                <w:tab w:val="right" w:pos="9360"/>
              </w:tabs>
              <w:jc w:val="center"/>
              <w:rPr>
                <w:szCs w:val="24"/>
              </w:rPr>
            </w:pPr>
            <w:r w:rsidRPr="009D287C">
              <w:rPr>
                <w:szCs w:val="24"/>
              </w:rPr>
              <w:t>NOTICE</w:t>
            </w:r>
          </w:p>
          <w:p w:rsidR="0079724F" w:rsidRPr="009D287C" w:rsidRDefault="0079724F" w:rsidP="00215F7C">
            <w:pPr>
              <w:keepNext/>
              <w:tabs>
                <w:tab w:val="right" w:pos="9360"/>
              </w:tabs>
              <w:rPr>
                <w:szCs w:val="24"/>
              </w:rPr>
            </w:pPr>
          </w:p>
          <w:p w:rsidR="0079724F" w:rsidRPr="009D287C" w:rsidRDefault="0079724F" w:rsidP="00215F7C">
            <w:pPr>
              <w:keepNext/>
              <w:tabs>
                <w:tab w:val="right" w:pos="9360"/>
              </w:tabs>
              <w:jc w:val="both"/>
              <w:rPr>
                <w:szCs w:val="24"/>
              </w:rPr>
            </w:pPr>
            <w:r w:rsidRPr="009D287C">
              <w:rPr>
                <w:szCs w:val="24"/>
              </w:rPr>
              <w:t>Case summaries included in the Bulletin are prepared by the Office of the Registrar of the Supreme Court of Canada (Law Branch) for information purposes only.</w:t>
            </w:r>
          </w:p>
          <w:p w:rsidR="0079724F" w:rsidRPr="009D287C" w:rsidRDefault="0079724F" w:rsidP="00215F7C">
            <w:pPr>
              <w:keepNext/>
              <w:tabs>
                <w:tab w:val="right" w:pos="9360"/>
              </w:tabs>
              <w:rPr>
                <w:szCs w:val="24"/>
              </w:rPr>
            </w:pPr>
          </w:p>
          <w:p w:rsidR="0079724F" w:rsidRPr="009D287C" w:rsidRDefault="0079724F" w:rsidP="00215F7C">
            <w:pPr>
              <w:keepNext/>
              <w:tabs>
                <w:tab w:val="right" w:pos="9360"/>
              </w:tabs>
              <w:rPr>
                <w:szCs w:val="24"/>
              </w:rPr>
            </w:pPr>
          </w:p>
          <w:p w:rsidR="0079724F" w:rsidRPr="009D287C" w:rsidRDefault="0079724F" w:rsidP="00215F7C">
            <w:pPr>
              <w:keepNext/>
              <w:tabs>
                <w:tab w:val="right" w:pos="9360"/>
              </w:tabs>
              <w:jc w:val="center"/>
              <w:rPr>
                <w:szCs w:val="24"/>
                <w:lang w:val="fr-CA"/>
              </w:rPr>
            </w:pPr>
            <w:r w:rsidRPr="009D287C">
              <w:rPr>
                <w:szCs w:val="24"/>
                <w:lang w:val="fr-CA"/>
              </w:rPr>
              <w:t>AVIS</w:t>
            </w:r>
          </w:p>
          <w:p w:rsidR="0079724F" w:rsidRPr="009D287C" w:rsidRDefault="0079724F" w:rsidP="00215F7C">
            <w:pPr>
              <w:keepNext/>
              <w:tabs>
                <w:tab w:val="right" w:pos="9360"/>
              </w:tabs>
              <w:rPr>
                <w:szCs w:val="24"/>
                <w:lang w:val="fr-CA"/>
              </w:rPr>
            </w:pPr>
          </w:p>
          <w:p w:rsidR="0079724F" w:rsidRPr="009D287C" w:rsidRDefault="0079724F" w:rsidP="00215F7C">
            <w:pPr>
              <w:keepNext/>
              <w:tabs>
                <w:tab w:val="right" w:pos="9360"/>
              </w:tabs>
              <w:jc w:val="both"/>
              <w:rPr>
                <w:sz w:val="20"/>
                <w:szCs w:val="20"/>
                <w:lang w:val="fr-CA"/>
              </w:rPr>
            </w:pPr>
            <w:r w:rsidRPr="009D287C">
              <w:rPr>
                <w:szCs w:val="24"/>
                <w:lang w:val="fr-CA"/>
              </w:rPr>
              <w:t>Les résumés de dossiers publiés dans le bulletin sont préparés par le Bureau du registraire (Direction générale du droit) uniquement à titre d’information.</w:t>
            </w:r>
          </w:p>
        </w:tc>
      </w:tr>
    </w:tbl>
    <w:p w:rsidR="0095096B" w:rsidRPr="009D287C" w:rsidRDefault="0095096B" w:rsidP="0095096B">
      <w:pPr>
        <w:tabs>
          <w:tab w:val="right" w:pos="9360"/>
        </w:tabs>
        <w:rPr>
          <w:lang w:val="fr-CA"/>
        </w:rPr>
      </w:pPr>
    </w:p>
    <w:p w:rsidR="00A87207" w:rsidRPr="009D287C" w:rsidRDefault="00A87207" w:rsidP="0095096B">
      <w:pPr>
        <w:tabs>
          <w:tab w:val="right" w:pos="9360"/>
        </w:tabs>
        <w:rPr>
          <w:lang w:val="fr-CA"/>
        </w:rPr>
        <w:sectPr w:rsidR="00A87207" w:rsidRPr="009D287C"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D287C" w:rsidTr="00245129">
        <w:tc>
          <w:tcPr>
            <w:tcW w:w="4200" w:type="dxa"/>
            <w:shd w:val="clear" w:color="auto" w:fill="auto"/>
            <w:tcMar>
              <w:left w:w="0" w:type="dxa"/>
              <w:right w:w="0" w:type="dxa"/>
            </w:tcMar>
          </w:tcPr>
          <w:p w:rsidR="00A87207" w:rsidRPr="009D287C" w:rsidRDefault="00A87207" w:rsidP="00BA6468">
            <w:pPr>
              <w:rPr>
                <w:rFonts w:eastAsia="Times New Roman" w:cs="Times New Roman"/>
                <w:b/>
                <w:sz w:val="20"/>
                <w:szCs w:val="20"/>
                <w:lang w:eastAsia="en-CA"/>
              </w:rPr>
            </w:pPr>
            <w:r w:rsidRPr="009D287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9D287C" w:rsidRDefault="00A87207" w:rsidP="002E2327">
            <w:pPr>
              <w:jc w:val="center"/>
              <w:rPr>
                <w:rFonts w:eastAsia="Times New Roman" w:cs="Times New Roman"/>
                <w:b/>
                <w:sz w:val="20"/>
                <w:szCs w:val="20"/>
                <w:lang w:eastAsia="en-CA"/>
              </w:rPr>
            </w:pPr>
          </w:p>
          <w:p w:rsidR="00A87207" w:rsidRPr="009D287C" w:rsidRDefault="00A87207" w:rsidP="002E2327">
            <w:pPr>
              <w:jc w:val="center"/>
              <w:rPr>
                <w:rFonts w:eastAsia="Times New Roman" w:cs="Times New Roman"/>
                <w:b/>
                <w:sz w:val="20"/>
                <w:szCs w:val="20"/>
                <w:lang w:eastAsia="en-CA"/>
              </w:rPr>
            </w:pPr>
          </w:p>
          <w:p w:rsidR="00A87207" w:rsidRPr="009D287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D287C" w:rsidRDefault="00A87207" w:rsidP="00A87207">
            <w:pPr>
              <w:rPr>
                <w:rFonts w:eastAsia="Times New Roman" w:cs="Times New Roman"/>
                <w:b/>
                <w:sz w:val="20"/>
                <w:szCs w:val="20"/>
                <w:lang w:val="fr-CA" w:eastAsia="en-CA"/>
              </w:rPr>
            </w:pPr>
            <w:r w:rsidRPr="009D287C">
              <w:rPr>
                <w:rFonts w:eastAsia="Times New Roman" w:cs="Times New Roman"/>
                <w:b/>
                <w:szCs w:val="20"/>
                <w:lang w:val="fr-CA" w:eastAsia="en-CA"/>
              </w:rPr>
              <w:t>DEMANDES D’AUTORISATION D’APPEL DÉPOSÉES</w:t>
            </w:r>
          </w:p>
        </w:tc>
      </w:tr>
    </w:tbl>
    <w:p w:rsidR="00A87207" w:rsidRPr="009D287C" w:rsidRDefault="00A87207" w:rsidP="0095096B">
      <w:pPr>
        <w:tabs>
          <w:tab w:val="right" w:pos="9360"/>
        </w:tabs>
        <w:rPr>
          <w:sz w:val="20"/>
          <w:szCs w:val="20"/>
        </w:rPr>
      </w:pP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7"/>
        <w:gridCol w:w="222"/>
        <w:gridCol w:w="222"/>
      </w:tblGrid>
      <w:tr w:rsidR="00C21644" w:rsidRPr="009D287C" w:rsidTr="001E4CBE">
        <w:tc>
          <w:tcPr>
            <w:tcW w:w="10037" w:type="dxa"/>
            <w:shd w:val="clear" w:color="auto" w:fill="auto"/>
          </w:tcPr>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E4CBE" w:rsidRPr="009D287C" w:rsidTr="003956FF">
              <w:tc>
                <w:tcPr>
                  <w:tcW w:w="4320" w:type="dxa"/>
                  <w:shd w:val="clear" w:color="auto" w:fill="auto"/>
                </w:tcPr>
                <w:p w:rsidR="001E4CBE" w:rsidRPr="009D287C" w:rsidRDefault="001E4CBE" w:rsidP="001E4CBE">
                  <w:pPr>
                    <w:rPr>
                      <w:b/>
                      <w:sz w:val="20"/>
                      <w:szCs w:val="20"/>
                      <w:lang w:val="fr-CA"/>
                    </w:rPr>
                  </w:pPr>
                  <w:r w:rsidRPr="009D287C">
                    <w:rPr>
                      <w:b/>
                      <w:sz w:val="20"/>
                      <w:szCs w:val="20"/>
                      <w:lang w:val="fr-CA"/>
                    </w:rPr>
                    <w:t xml:space="preserve">Granby </w:t>
                  </w:r>
                  <w:proofErr w:type="spellStart"/>
                  <w:r w:rsidRPr="009D287C">
                    <w:rPr>
                      <w:b/>
                      <w:sz w:val="20"/>
                      <w:szCs w:val="20"/>
                      <w:lang w:val="fr-CA"/>
                    </w:rPr>
                    <w:t>Multi-Sports</w:t>
                  </w:r>
                  <w:proofErr w:type="spellEnd"/>
                </w:p>
                <w:p w:rsidR="001E4CBE" w:rsidRPr="009D287C" w:rsidRDefault="001E4CBE" w:rsidP="001E4CBE">
                  <w:pPr>
                    <w:rPr>
                      <w:sz w:val="20"/>
                      <w:szCs w:val="20"/>
                      <w:lang w:val="fr-CA"/>
                    </w:rPr>
                  </w:pPr>
                  <w:r w:rsidRPr="009D287C">
                    <w:rPr>
                      <w:b/>
                      <w:sz w:val="20"/>
                      <w:szCs w:val="20"/>
                      <w:lang w:val="fr-CA"/>
                    </w:rPr>
                    <w:tab/>
                  </w:r>
                  <w:r w:rsidRPr="009D287C">
                    <w:rPr>
                      <w:sz w:val="20"/>
                      <w:szCs w:val="20"/>
                      <w:lang w:val="fr-CA"/>
                    </w:rPr>
                    <w:t>Vanessa Gravel</w:t>
                  </w:r>
                </w:p>
                <w:p w:rsidR="001E4CBE" w:rsidRPr="009D287C" w:rsidRDefault="001E4CBE" w:rsidP="001E4CBE">
                  <w:pPr>
                    <w:rPr>
                      <w:sz w:val="20"/>
                      <w:szCs w:val="20"/>
                      <w:lang w:val="fr-CA"/>
                    </w:rPr>
                  </w:pPr>
                  <w:r w:rsidRPr="009D287C">
                    <w:rPr>
                      <w:sz w:val="20"/>
                      <w:szCs w:val="20"/>
                      <w:lang w:val="fr-CA"/>
                    </w:rPr>
                    <w:tab/>
                  </w:r>
                  <w:proofErr w:type="spellStart"/>
                  <w:r w:rsidRPr="009D287C">
                    <w:rPr>
                      <w:sz w:val="20"/>
                      <w:szCs w:val="20"/>
                      <w:lang w:val="fr-CA"/>
                    </w:rPr>
                    <w:t>Normandin</w:t>
                  </w:r>
                  <w:proofErr w:type="spellEnd"/>
                  <w:r w:rsidRPr="009D287C">
                    <w:rPr>
                      <w:sz w:val="20"/>
                      <w:szCs w:val="20"/>
                      <w:lang w:val="fr-CA"/>
                    </w:rPr>
                    <w:t xml:space="preserve"> Gravel Rhéaume Avocats </w:t>
                  </w:r>
                  <w:proofErr w:type="spellStart"/>
                  <w:r w:rsidRPr="009D287C">
                    <w:rPr>
                      <w:sz w:val="20"/>
                      <w:szCs w:val="20"/>
                      <w:lang w:val="fr-CA"/>
                    </w:rPr>
                    <w:t>inc.</w:t>
                  </w:r>
                  <w:proofErr w:type="spellEnd"/>
                </w:p>
                <w:p w:rsidR="001E4CBE" w:rsidRPr="009D287C" w:rsidRDefault="001E4CBE" w:rsidP="001E4CBE">
                  <w:pPr>
                    <w:rPr>
                      <w:sz w:val="20"/>
                      <w:szCs w:val="20"/>
                      <w:lang w:val="fr-CA"/>
                    </w:rPr>
                  </w:pPr>
                </w:p>
                <w:p w:rsidR="001E4CBE" w:rsidRPr="009D287C" w:rsidRDefault="001E4CBE" w:rsidP="001E4CBE">
                  <w:pPr>
                    <w:rPr>
                      <w:sz w:val="20"/>
                      <w:szCs w:val="20"/>
                      <w:lang w:val="fr-CA"/>
                    </w:rPr>
                  </w:pPr>
                  <w:r w:rsidRPr="009D287C">
                    <w:rPr>
                      <w:sz w:val="20"/>
                      <w:szCs w:val="20"/>
                      <w:lang w:val="fr-CA"/>
                    </w:rPr>
                    <w:tab/>
                    <w:t>c. (37302)</w:t>
                  </w:r>
                </w:p>
                <w:p w:rsidR="001E4CBE" w:rsidRPr="009D287C" w:rsidRDefault="001E4CBE" w:rsidP="001E4CBE">
                  <w:pPr>
                    <w:rPr>
                      <w:sz w:val="20"/>
                      <w:szCs w:val="20"/>
                      <w:lang w:val="fr-CA"/>
                    </w:rPr>
                  </w:pPr>
                </w:p>
                <w:p w:rsidR="001E4CBE" w:rsidRPr="009D287C" w:rsidRDefault="001E4CBE" w:rsidP="001E4CBE">
                  <w:pPr>
                    <w:rPr>
                      <w:b/>
                      <w:sz w:val="20"/>
                      <w:szCs w:val="20"/>
                      <w:lang w:val="fr-CA"/>
                    </w:rPr>
                  </w:pPr>
                  <w:r w:rsidRPr="009D287C">
                    <w:rPr>
                      <w:b/>
                      <w:sz w:val="20"/>
                      <w:szCs w:val="20"/>
                      <w:lang w:val="fr-CA"/>
                    </w:rPr>
                    <w:t>Sébastien Lefebvre et autre (</w:t>
                  </w:r>
                  <w:proofErr w:type="spellStart"/>
                  <w:r w:rsidRPr="009D287C">
                    <w:rPr>
                      <w:b/>
                      <w:sz w:val="20"/>
                      <w:szCs w:val="20"/>
                      <w:lang w:val="fr-CA"/>
                    </w:rPr>
                    <w:t>Qc</w:t>
                  </w:r>
                  <w:proofErr w:type="spellEnd"/>
                  <w:r w:rsidRPr="009D287C">
                    <w:rPr>
                      <w:b/>
                      <w:sz w:val="20"/>
                      <w:szCs w:val="20"/>
                      <w:lang w:val="fr-CA"/>
                    </w:rPr>
                    <w:t>)</w:t>
                  </w:r>
                </w:p>
                <w:p w:rsidR="001E4CBE" w:rsidRPr="009D287C" w:rsidRDefault="001E4CBE" w:rsidP="001E4CBE">
                  <w:pPr>
                    <w:rPr>
                      <w:sz w:val="20"/>
                      <w:szCs w:val="20"/>
                      <w:lang w:val="fr-CA"/>
                    </w:rPr>
                  </w:pPr>
                  <w:r w:rsidRPr="009D287C">
                    <w:rPr>
                      <w:sz w:val="20"/>
                      <w:szCs w:val="20"/>
                      <w:lang w:val="fr-CA"/>
                    </w:rPr>
                    <w:tab/>
                  </w:r>
                  <w:r w:rsidR="003956FF" w:rsidRPr="009D287C">
                    <w:rPr>
                      <w:sz w:val="20"/>
                      <w:szCs w:val="20"/>
                      <w:lang w:val="fr-CA"/>
                    </w:rPr>
                    <w:t>Geneviève Lambert</w:t>
                  </w:r>
                </w:p>
                <w:p w:rsidR="001E4CBE" w:rsidRPr="009D287C" w:rsidRDefault="001E4CBE" w:rsidP="001E4CBE">
                  <w:pPr>
                    <w:rPr>
                      <w:sz w:val="20"/>
                      <w:szCs w:val="20"/>
                      <w:lang w:val="fr-CA"/>
                    </w:rPr>
                  </w:pPr>
                  <w:r w:rsidRPr="009D287C">
                    <w:rPr>
                      <w:sz w:val="20"/>
                      <w:szCs w:val="20"/>
                      <w:lang w:val="fr-CA"/>
                    </w:rPr>
                    <w:tab/>
                  </w:r>
                  <w:r w:rsidR="003956FF" w:rsidRPr="009D287C">
                    <w:rPr>
                      <w:sz w:val="20"/>
                      <w:szCs w:val="20"/>
                      <w:lang w:val="fr-CA"/>
                    </w:rPr>
                    <w:t>CLB &amp; Associés avocats</w:t>
                  </w:r>
                </w:p>
                <w:p w:rsidR="001E4CBE" w:rsidRPr="009D287C" w:rsidRDefault="001E4CBE" w:rsidP="001E4CBE">
                  <w:pPr>
                    <w:rPr>
                      <w:sz w:val="20"/>
                      <w:szCs w:val="20"/>
                      <w:lang w:val="fr-CA"/>
                    </w:rPr>
                  </w:pPr>
                </w:p>
                <w:p w:rsidR="001E4CBE" w:rsidRPr="009D287C" w:rsidRDefault="001E4CBE" w:rsidP="001E4CBE">
                  <w:pPr>
                    <w:rPr>
                      <w:sz w:val="20"/>
                      <w:szCs w:val="20"/>
                      <w:lang w:val="fr-CA"/>
                    </w:rPr>
                  </w:pPr>
                  <w:r w:rsidRPr="009D287C">
                    <w:rPr>
                      <w:sz w:val="20"/>
                      <w:szCs w:val="20"/>
                      <w:lang w:val="fr-CA"/>
                    </w:rPr>
                    <w:t>DATE DE PRODUCTION: 21.11.2016</w:t>
                  </w:r>
                </w:p>
                <w:p w:rsidR="001E4CBE" w:rsidRPr="009D287C" w:rsidRDefault="00346C6C" w:rsidP="001E4CBE">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p w:rsidR="001E4CBE" w:rsidRPr="009D287C" w:rsidRDefault="001E4CBE" w:rsidP="001E4CBE">
                  <w:pPr>
                    <w:jc w:val="center"/>
                    <w:rPr>
                      <w:sz w:val="20"/>
                      <w:szCs w:val="20"/>
                    </w:rPr>
                  </w:pPr>
                </w:p>
              </w:tc>
              <w:tc>
                <w:tcPr>
                  <w:tcW w:w="4320" w:type="dxa"/>
                  <w:shd w:val="clear" w:color="auto" w:fill="auto"/>
                </w:tcPr>
                <w:p w:rsidR="001E4CBE" w:rsidRPr="009D287C" w:rsidRDefault="001E4CBE" w:rsidP="001E4CBE">
                  <w:pPr>
                    <w:rPr>
                      <w:b/>
                      <w:sz w:val="20"/>
                      <w:szCs w:val="20"/>
                      <w:lang w:val="en-US"/>
                    </w:rPr>
                  </w:pPr>
                  <w:r w:rsidRPr="009D287C">
                    <w:rPr>
                      <w:b/>
                      <w:sz w:val="20"/>
                      <w:szCs w:val="20"/>
                      <w:lang w:val="en-US"/>
                    </w:rPr>
                    <w:t xml:space="preserve">Donna Elizabeth </w:t>
                  </w:r>
                  <w:proofErr w:type="spellStart"/>
                  <w:r w:rsidRPr="009D287C">
                    <w:rPr>
                      <w:b/>
                      <w:sz w:val="20"/>
                      <w:szCs w:val="20"/>
                      <w:lang w:val="en-US"/>
                    </w:rPr>
                    <w:t>Gariepy</w:t>
                  </w:r>
                  <w:proofErr w:type="spellEnd"/>
                  <w:r w:rsidRPr="009D287C">
                    <w:rPr>
                      <w:b/>
                      <w:sz w:val="20"/>
                      <w:szCs w:val="20"/>
                      <w:lang w:val="en-US"/>
                    </w:rPr>
                    <w:t xml:space="preserve"> et al.</w:t>
                  </w:r>
                </w:p>
                <w:p w:rsidR="001E4CBE" w:rsidRPr="009D287C" w:rsidRDefault="001E4CBE" w:rsidP="001E4CBE">
                  <w:pPr>
                    <w:rPr>
                      <w:sz w:val="20"/>
                      <w:szCs w:val="20"/>
                      <w:lang w:val="en-US"/>
                    </w:rPr>
                  </w:pPr>
                  <w:r w:rsidRPr="009D287C">
                    <w:rPr>
                      <w:b/>
                      <w:sz w:val="20"/>
                      <w:szCs w:val="20"/>
                      <w:lang w:val="en-US"/>
                    </w:rPr>
                    <w:tab/>
                  </w:r>
                  <w:r w:rsidRPr="009D287C">
                    <w:rPr>
                      <w:sz w:val="20"/>
                      <w:szCs w:val="20"/>
                      <w:lang w:val="en-US"/>
                    </w:rPr>
                    <w:t>Daniel Sandler</w:t>
                  </w:r>
                </w:p>
                <w:p w:rsidR="001E4CBE" w:rsidRPr="009D287C" w:rsidRDefault="001E4CBE" w:rsidP="001E4CBE">
                  <w:pPr>
                    <w:rPr>
                      <w:sz w:val="20"/>
                      <w:szCs w:val="20"/>
                      <w:lang w:val="en-US"/>
                    </w:rPr>
                  </w:pPr>
                  <w:r w:rsidRPr="009D287C">
                    <w:rPr>
                      <w:sz w:val="20"/>
                      <w:szCs w:val="20"/>
                      <w:lang w:val="en-US"/>
                    </w:rPr>
                    <w:tab/>
                    <w:t>EY Law LLP</w:t>
                  </w:r>
                </w:p>
                <w:p w:rsidR="001E4CBE" w:rsidRPr="009D287C" w:rsidRDefault="001E4CBE" w:rsidP="001E4CBE">
                  <w:pPr>
                    <w:rPr>
                      <w:sz w:val="20"/>
                      <w:szCs w:val="20"/>
                      <w:lang w:val="en-US"/>
                    </w:rPr>
                  </w:pPr>
                </w:p>
                <w:p w:rsidR="001E4CBE" w:rsidRPr="009D287C" w:rsidRDefault="001E4CBE" w:rsidP="001E4CBE">
                  <w:pPr>
                    <w:rPr>
                      <w:sz w:val="20"/>
                      <w:szCs w:val="20"/>
                      <w:lang w:val="en-US"/>
                    </w:rPr>
                  </w:pPr>
                  <w:r w:rsidRPr="009D287C">
                    <w:rPr>
                      <w:sz w:val="20"/>
                      <w:szCs w:val="20"/>
                      <w:lang w:val="en-US"/>
                    </w:rPr>
                    <w:tab/>
                    <w:t>v. (37299)</w:t>
                  </w:r>
                </w:p>
                <w:p w:rsidR="001E4CBE" w:rsidRPr="009D287C" w:rsidRDefault="001E4CBE" w:rsidP="001E4CBE">
                  <w:pPr>
                    <w:rPr>
                      <w:sz w:val="20"/>
                      <w:szCs w:val="20"/>
                      <w:lang w:val="en-US"/>
                    </w:rPr>
                  </w:pPr>
                </w:p>
                <w:p w:rsidR="001E4CBE" w:rsidRPr="009D287C" w:rsidRDefault="001E4CBE" w:rsidP="001E4CBE">
                  <w:pPr>
                    <w:rPr>
                      <w:b/>
                      <w:sz w:val="20"/>
                      <w:szCs w:val="20"/>
                      <w:lang w:val="en-US"/>
                    </w:rPr>
                  </w:pPr>
                  <w:r w:rsidRPr="009D287C">
                    <w:rPr>
                      <w:b/>
                      <w:sz w:val="20"/>
                      <w:szCs w:val="20"/>
                      <w:lang w:val="en-US"/>
                    </w:rPr>
                    <w:t>Her Majesty the Queen (F.C.)</w:t>
                  </w:r>
                </w:p>
                <w:p w:rsidR="001E4CBE" w:rsidRPr="009D287C" w:rsidRDefault="001E4CBE" w:rsidP="001E4CBE">
                  <w:pPr>
                    <w:rPr>
                      <w:sz w:val="20"/>
                      <w:szCs w:val="20"/>
                      <w:lang w:val="en-US"/>
                    </w:rPr>
                  </w:pPr>
                  <w:r w:rsidRPr="009D287C">
                    <w:rPr>
                      <w:sz w:val="20"/>
                      <w:szCs w:val="20"/>
                      <w:lang w:val="en-US"/>
                    </w:rPr>
                    <w:tab/>
                  </w:r>
                  <w:r w:rsidR="003956FF" w:rsidRPr="009D287C">
                    <w:rPr>
                      <w:sz w:val="20"/>
                      <w:szCs w:val="20"/>
                      <w:lang w:val="en-US"/>
                    </w:rPr>
                    <w:t>Andrew Miller</w:t>
                  </w:r>
                </w:p>
                <w:p w:rsidR="001E4CBE" w:rsidRPr="009D287C" w:rsidRDefault="003956FF" w:rsidP="001E4CBE">
                  <w:pPr>
                    <w:rPr>
                      <w:sz w:val="20"/>
                      <w:szCs w:val="20"/>
                      <w:lang w:val="en-US"/>
                    </w:rPr>
                  </w:pPr>
                  <w:r w:rsidRPr="009D287C">
                    <w:rPr>
                      <w:sz w:val="20"/>
                      <w:szCs w:val="20"/>
                      <w:lang w:val="en-US"/>
                    </w:rPr>
                    <w:tab/>
                    <w:t>A.G. of Canada</w:t>
                  </w:r>
                </w:p>
                <w:p w:rsidR="001E4CBE" w:rsidRPr="009D287C" w:rsidRDefault="001E4CBE" w:rsidP="001E4CBE">
                  <w:pPr>
                    <w:rPr>
                      <w:sz w:val="20"/>
                      <w:szCs w:val="20"/>
                      <w:lang w:val="en-US"/>
                    </w:rPr>
                  </w:pPr>
                </w:p>
                <w:p w:rsidR="001E4CBE" w:rsidRPr="009D287C" w:rsidRDefault="001E4CBE" w:rsidP="001E4CBE">
                  <w:pPr>
                    <w:rPr>
                      <w:sz w:val="20"/>
                      <w:szCs w:val="20"/>
                      <w:lang w:val="en-US"/>
                    </w:rPr>
                  </w:pPr>
                  <w:r w:rsidRPr="009D287C">
                    <w:rPr>
                      <w:sz w:val="20"/>
                      <w:szCs w:val="20"/>
                      <w:lang w:val="en-US"/>
                    </w:rPr>
                    <w:t>FILING DATE: 21.11.2016</w:t>
                  </w:r>
                </w:p>
                <w:p w:rsidR="001E4CBE" w:rsidRPr="009D287C" w:rsidRDefault="00346C6C" w:rsidP="001E4CBE">
                  <w:pPr>
                    <w:rPr>
                      <w:sz w:val="20"/>
                      <w:szCs w:val="20"/>
                      <w:lang w:val="en-US"/>
                    </w:rPr>
                  </w:pPr>
                  <w:r>
                    <w:rPr>
                      <w:sz w:val="20"/>
                      <w:szCs w:val="20"/>
                      <w:lang w:val="fr-CA"/>
                    </w:rPr>
                    <w:pict>
                      <v:rect id="_x0000_i1026" style="width:108pt;height:1pt" o:hrpct="0" o:hralign="center" o:hrstd="t" o:hrnoshade="t" o:hr="t" fillcolor="black [3213]" stroked="f"/>
                    </w:pict>
                  </w:r>
                </w:p>
              </w:tc>
            </w:tr>
            <w:tr w:rsidR="001E4CBE" w:rsidRPr="009D287C" w:rsidTr="003956FF">
              <w:tc>
                <w:tcPr>
                  <w:tcW w:w="4320" w:type="dxa"/>
                  <w:shd w:val="clear" w:color="auto" w:fill="auto"/>
                </w:tcPr>
                <w:p w:rsidR="001E4CBE" w:rsidRPr="009D287C" w:rsidRDefault="003956FF" w:rsidP="001E4CBE">
                  <w:pPr>
                    <w:rPr>
                      <w:b/>
                      <w:sz w:val="20"/>
                      <w:szCs w:val="20"/>
                    </w:rPr>
                  </w:pPr>
                  <w:r w:rsidRPr="009D287C">
                    <w:rPr>
                      <w:b/>
                      <w:sz w:val="20"/>
                      <w:szCs w:val="20"/>
                    </w:rPr>
                    <w:t>Jensen Building Limited</w:t>
                  </w:r>
                </w:p>
                <w:p w:rsidR="001E4CBE" w:rsidRPr="009D287C" w:rsidRDefault="001E4CBE" w:rsidP="001E4CBE">
                  <w:pPr>
                    <w:rPr>
                      <w:sz w:val="20"/>
                      <w:szCs w:val="20"/>
                    </w:rPr>
                  </w:pPr>
                  <w:r w:rsidRPr="009D287C">
                    <w:rPr>
                      <w:sz w:val="20"/>
                      <w:szCs w:val="20"/>
                    </w:rPr>
                    <w:tab/>
                    <w:t xml:space="preserve">R. Steven Baldwin </w:t>
                  </w:r>
                </w:p>
                <w:p w:rsidR="001E4CBE" w:rsidRPr="009D287C" w:rsidRDefault="001E4CBE" w:rsidP="001E4CBE">
                  <w:pPr>
                    <w:rPr>
                      <w:sz w:val="20"/>
                      <w:szCs w:val="20"/>
                    </w:rPr>
                  </w:pPr>
                  <w:r w:rsidRPr="009D287C">
                    <w:rPr>
                      <w:sz w:val="20"/>
                      <w:szCs w:val="20"/>
                    </w:rPr>
                    <w:tab/>
                    <w:t>Baldwin Law Professional Corporation</w:t>
                  </w:r>
                </w:p>
                <w:p w:rsidR="001E4CBE" w:rsidRPr="009D287C" w:rsidRDefault="001E4CBE" w:rsidP="001E4CBE">
                  <w:pPr>
                    <w:rPr>
                      <w:sz w:val="20"/>
                      <w:szCs w:val="20"/>
                    </w:rPr>
                  </w:pPr>
                </w:p>
                <w:p w:rsidR="001E4CBE" w:rsidRPr="009D287C" w:rsidRDefault="001E4CBE" w:rsidP="001E4CBE">
                  <w:pPr>
                    <w:rPr>
                      <w:sz w:val="20"/>
                      <w:szCs w:val="20"/>
                    </w:rPr>
                  </w:pPr>
                  <w:r w:rsidRPr="009D287C">
                    <w:rPr>
                      <w:sz w:val="20"/>
                      <w:szCs w:val="20"/>
                    </w:rPr>
                    <w:tab/>
                    <w:t>v. (37309)</w:t>
                  </w:r>
                </w:p>
                <w:p w:rsidR="001E4CBE" w:rsidRPr="009D287C" w:rsidRDefault="001E4CBE" w:rsidP="001E4CBE">
                  <w:pPr>
                    <w:rPr>
                      <w:sz w:val="20"/>
                      <w:szCs w:val="20"/>
                    </w:rPr>
                  </w:pPr>
                </w:p>
                <w:p w:rsidR="001E4CBE" w:rsidRPr="009D287C" w:rsidRDefault="003956FF" w:rsidP="001E4CBE">
                  <w:pPr>
                    <w:rPr>
                      <w:b/>
                      <w:sz w:val="20"/>
                      <w:szCs w:val="20"/>
                    </w:rPr>
                  </w:pPr>
                  <w:r w:rsidRPr="009D287C">
                    <w:rPr>
                      <w:b/>
                      <w:sz w:val="20"/>
                      <w:szCs w:val="20"/>
                    </w:rPr>
                    <w:t xml:space="preserve">P.M. </w:t>
                  </w:r>
                  <w:proofErr w:type="spellStart"/>
                  <w:r w:rsidR="001E4CBE" w:rsidRPr="009D287C">
                    <w:rPr>
                      <w:b/>
                      <w:sz w:val="20"/>
                      <w:szCs w:val="20"/>
                    </w:rPr>
                    <w:t>Snelgrove</w:t>
                  </w:r>
                  <w:proofErr w:type="spellEnd"/>
                  <w:r w:rsidR="001E4CBE" w:rsidRPr="009D287C">
                    <w:rPr>
                      <w:b/>
                      <w:sz w:val="20"/>
                      <w:szCs w:val="20"/>
                    </w:rPr>
                    <w:t xml:space="preserve"> General Contractors &amp; Engineers Ltd. et al. (Ont.)</w:t>
                  </w:r>
                </w:p>
                <w:p w:rsidR="001E4CBE" w:rsidRPr="009D287C" w:rsidRDefault="001E4CBE" w:rsidP="001E4CBE">
                  <w:pPr>
                    <w:rPr>
                      <w:sz w:val="20"/>
                      <w:szCs w:val="20"/>
                    </w:rPr>
                  </w:pPr>
                  <w:r w:rsidRPr="009D287C">
                    <w:rPr>
                      <w:sz w:val="20"/>
                      <w:szCs w:val="20"/>
                    </w:rPr>
                    <w:tab/>
                    <w:t xml:space="preserve">John </w:t>
                  </w:r>
                  <w:proofErr w:type="spellStart"/>
                  <w:r w:rsidRPr="009D287C">
                    <w:rPr>
                      <w:sz w:val="20"/>
                      <w:szCs w:val="20"/>
                    </w:rPr>
                    <w:t>Crouchman</w:t>
                  </w:r>
                  <w:proofErr w:type="spellEnd"/>
                </w:p>
                <w:p w:rsidR="001E4CBE" w:rsidRPr="009D287C" w:rsidRDefault="001E4CBE" w:rsidP="001E4CBE">
                  <w:pPr>
                    <w:rPr>
                      <w:sz w:val="20"/>
                      <w:szCs w:val="20"/>
                    </w:rPr>
                  </w:pPr>
                  <w:r w:rsidRPr="009D287C">
                    <w:rPr>
                      <w:sz w:val="20"/>
                      <w:szCs w:val="20"/>
                    </w:rPr>
                    <w:tab/>
                  </w:r>
                  <w:proofErr w:type="spellStart"/>
                  <w:r w:rsidRPr="009D287C">
                    <w:rPr>
                      <w:sz w:val="20"/>
                      <w:szCs w:val="20"/>
                    </w:rPr>
                    <w:t>Templeman</w:t>
                  </w:r>
                  <w:proofErr w:type="spellEnd"/>
                  <w:r w:rsidRPr="009D287C">
                    <w:rPr>
                      <w:sz w:val="20"/>
                      <w:szCs w:val="20"/>
                    </w:rPr>
                    <w:t xml:space="preserve"> </w:t>
                  </w:r>
                  <w:proofErr w:type="spellStart"/>
                  <w:r w:rsidRPr="009D287C">
                    <w:rPr>
                      <w:sz w:val="20"/>
                      <w:szCs w:val="20"/>
                    </w:rPr>
                    <w:t>Menninga</w:t>
                  </w:r>
                  <w:proofErr w:type="spellEnd"/>
                  <w:r w:rsidRPr="009D287C">
                    <w:rPr>
                      <w:sz w:val="20"/>
                      <w:szCs w:val="20"/>
                    </w:rPr>
                    <w:t xml:space="preserve"> LLP</w:t>
                  </w:r>
                </w:p>
                <w:p w:rsidR="001E4CBE" w:rsidRPr="009D287C" w:rsidRDefault="001E4CBE" w:rsidP="001E4CBE">
                  <w:pPr>
                    <w:rPr>
                      <w:sz w:val="20"/>
                      <w:szCs w:val="20"/>
                    </w:rPr>
                  </w:pPr>
                </w:p>
                <w:p w:rsidR="001E4CBE" w:rsidRPr="009D287C" w:rsidRDefault="001E4CBE" w:rsidP="001E4CBE">
                  <w:pPr>
                    <w:rPr>
                      <w:sz w:val="20"/>
                      <w:szCs w:val="20"/>
                    </w:rPr>
                  </w:pPr>
                  <w:r w:rsidRPr="009D287C">
                    <w:rPr>
                      <w:sz w:val="20"/>
                      <w:szCs w:val="20"/>
                    </w:rPr>
                    <w:t>FILING DATE: 21.11.2016</w:t>
                  </w:r>
                </w:p>
                <w:p w:rsidR="001E4CBE" w:rsidRPr="009D287C" w:rsidRDefault="00346C6C" w:rsidP="001E4CBE">
                  <w:pPr>
                    <w:rPr>
                      <w:sz w:val="20"/>
                      <w:szCs w:val="20"/>
                      <w:lang w:val="en-US"/>
                    </w:rPr>
                  </w:pPr>
                  <w:r>
                    <w:rPr>
                      <w:sz w:val="20"/>
                      <w:szCs w:val="20"/>
                      <w:lang w:val="fr-CA"/>
                    </w:rPr>
                    <w:pict>
                      <v:rect id="_x0000_i1027" style="width:108pt;height:1pt" o:hrpct="0" o:hralign="center" o:hrstd="t" o:hrnoshade="t" o:hr="t" fillcolor="black [3213]" stroked="f"/>
                    </w:pict>
                  </w:r>
                </w:p>
                <w:p w:rsidR="001E4CBE" w:rsidRPr="009D287C" w:rsidRDefault="001E4CBE" w:rsidP="001E4CBE">
                  <w:pPr>
                    <w:rPr>
                      <w:sz w:val="20"/>
                      <w:szCs w:val="20"/>
                    </w:rPr>
                  </w:pPr>
                </w:p>
              </w:tc>
              <w:tc>
                <w:tcPr>
                  <w:tcW w:w="1181" w:type="dxa"/>
                  <w:shd w:val="clear" w:color="auto" w:fill="auto"/>
                </w:tcPr>
                <w:p w:rsidR="001E4CBE" w:rsidRPr="009D287C" w:rsidRDefault="001E4CBE" w:rsidP="001E4CBE">
                  <w:pPr>
                    <w:jc w:val="center"/>
                    <w:rPr>
                      <w:sz w:val="20"/>
                      <w:szCs w:val="20"/>
                    </w:rPr>
                  </w:pPr>
                </w:p>
              </w:tc>
              <w:tc>
                <w:tcPr>
                  <w:tcW w:w="4320" w:type="dxa"/>
                  <w:shd w:val="clear" w:color="auto" w:fill="auto"/>
                </w:tcPr>
                <w:p w:rsidR="001E4CBE" w:rsidRPr="009D287C" w:rsidRDefault="001E4CBE" w:rsidP="001E4CBE">
                  <w:pPr>
                    <w:rPr>
                      <w:b/>
                      <w:sz w:val="20"/>
                      <w:szCs w:val="20"/>
                    </w:rPr>
                  </w:pPr>
                  <w:r w:rsidRPr="009D287C">
                    <w:rPr>
                      <w:b/>
                      <w:sz w:val="20"/>
                      <w:szCs w:val="20"/>
                    </w:rPr>
                    <w:t>Her Majesty the Queen</w:t>
                  </w:r>
                </w:p>
                <w:p w:rsidR="001E4CBE" w:rsidRPr="009D287C" w:rsidRDefault="001E4CBE" w:rsidP="001E4CBE">
                  <w:pPr>
                    <w:rPr>
                      <w:sz w:val="20"/>
                      <w:szCs w:val="20"/>
                    </w:rPr>
                  </w:pPr>
                  <w:r w:rsidRPr="009D287C">
                    <w:rPr>
                      <w:b/>
                      <w:sz w:val="20"/>
                      <w:szCs w:val="20"/>
                    </w:rPr>
                    <w:tab/>
                  </w:r>
                  <w:r w:rsidRPr="009D287C">
                    <w:rPr>
                      <w:sz w:val="20"/>
                      <w:szCs w:val="20"/>
                    </w:rPr>
                    <w:t>Andrew S. Davis</w:t>
                  </w:r>
                </w:p>
                <w:p w:rsidR="001E4CBE" w:rsidRPr="009D287C" w:rsidRDefault="001E4CBE" w:rsidP="001E4CBE">
                  <w:pPr>
                    <w:rPr>
                      <w:sz w:val="20"/>
                      <w:szCs w:val="20"/>
                    </w:rPr>
                  </w:pPr>
                  <w:r w:rsidRPr="009D287C">
                    <w:rPr>
                      <w:sz w:val="20"/>
                      <w:szCs w:val="20"/>
                    </w:rPr>
                    <w:tab/>
                    <w:t>A.G. for Saskatchewan</w:t>
                  </w:r>
                </w:p>
                <w:p w:rsidR="001E4CBE" w:rsidRPr="009D287C" w:rsidRDefault="001E4CBE" w:rsidP="001E4CBE">
                  <w:pPr>
                    <w:rPr>
                      <w:sz w:val="20"/>
                      <w:szCs w:val="20"/>
                    </w:rPr>
                  </w:pPr>
                </w:p>
                <w:p w:rsidR="001E4CBE" w:rsidRPr="009D287C" w:rsidRDefault="001E4CBE" w:rsidP="001E4CBE">
                  <w:pPr>
                    <w:rPr>
                      <w:sz w:val="20"/>
                      <w:szCs w:val="20"/>
                    </w:rPr>
                  </w:pPr>
                  <w:r w:rsidRPr="009D287C">
                    <w:rPr>
                      <w:sz w:val="20"/>
                      <w:szCs w:val="20"/>
                    </w:rPr>
                    <w:tab/>
                    <w:t>v. (37304)</w:t>
                  </w:r>
                </w:p>
                <w:p w:rsidR="001E4CBE" w:rsidRPr="009D287C" w:rsidRDefault="001E4CBE" w:rsidP="001E4CBE">
                  <w:pPr>
                    <w:rPr>
                      <w:sz w:val="20"/>
                      <w:szCs w:val="20"/>
                    </w:rPr>
                  </w:pPr>
                </w:p>
                <w:p w:rsidR="001E4CBE" w:rsidRPr="009D287C" w:rsidRDefault="001E4CBE" w:rsidP="001E4CBE">
                  <w:pPr>
                    <w:rPr>
                      <w:b/>
                      <w:sz w:val="20"/>
                      <w:szCs w:val="20"/>
                    </w:rPr>
                  </w:pPr>
                  <w:r w:rsidRPr="009D287C">
                    <w:rPr>
                      <w:b/>
                      <w:sz w:val="20"/>
                      <w:szCs w:val="20"/>
                    </w:rPr>
                    <w:t>Steven Lee Nelson (Sask.)</w:t>
                  </w:r>
                </w:p>
                <w:p w:rsidR="001E4CBE" w:rsidRPr="009D287C" w:rsidRDefault="001E4CBE" w:rsidP="001E4CBE">
                  <w:pPr>
                    <w:rPr>
                      <w:sz w:val="20"/>
                      <w:szCs w:val="20"/>
                    </w:rPr>
                  </w:pPr>
                  <w:r w:rsidRPr="009D287C">
                    <w:rPr>
                      <w:sz w:val="20"/>
                      <w:szCs w:val="20"/>
                    </w:rPr>
                    <w:tab/>
                    <w:t>Aaron A. Fox, Q.C.</w:t>
                  </w:r>
                </w:p>
                <w:p w:rsidR="001E4CBE" w:rsidRPr="009D287C" w:rsidRDefault="001E4CBE" w:rsidP="001E4CBE">
                  <w:pPr>
                    <w:rPr>
                      <w:sz w:val="20"/>
                      <w:szCs w:val="20"/>
                    </w:rPr>
                  </w:pPr>
                  <w:r w:rsidRPr="009D287C">
                    <w:rPr>
                      <w:sz w:val="20"/>
                      <w:szCs w:val="20"/>
                    </w:rPr>
                    <w:tab/>
                    <w:t>McDougall Gauley LLP</w:t>
                  </w:r>
                </w:p>
                <w:p w:rsidR="001E4CBE" w:rsidRPr="009D287C" w:rsidRDefault="001E4CBE" w:rsidP="001E4CBE">
                  <w:pPr>
                    <w:rPr>
                      <w:sz w:val="20"/>
                      <w:szCs w:val="20"/>
                    </w:rPr>
                  </w:pPr>
                </w:p>
                <w:p w:rsidR="001E4CBE" w:rsidRPr="009D287C" w:rsidRDefault="001E4CBE" w:rsidP="001E4CBE">
                  <w:pPr>
                    <w:rPr>
                      <w:sz w:val="20"/>
                      <w:szCs w:val="20"/>
                    </w:rPr>
                  </w:pPr>
                  <w:r w:rsidRPr="009D287C">
                    <w:rPr>
                      <w:sz w:val="20"/>
                      <w:szCs w:val="20"/>
                    </w:rPr>
                    <w:t>FILING DATE: 22.11.2016</w:t>
                  </w:r>
                </w:p>
                <w:p w:rsidR="001E4CBE" w:rsidRPr="009D287C" w:rsidRDefault="00346C6C" w:rsidP="001E4CBE">
                  <w:pPr>
                    <w:rPr>
                      <w:sz w:val="20"/>
                      <w:szCs w:val="20"/>
                    </w:rPr>
                  </w:pPr>
                  <w:r>
                    <w:rPr>
                      <w:sz w:val="20"/>
                      <w:szCs w:val="20"/>
                      <w:lang w:val="fr-CA"/>
                    </w:rPr>
                    <w:pict>
                      <v:rect id="_x0000_i1028" style="width:108pt;height:1pt" o:hrpct="0" o:hralign="center" o:hrstd="t" o:hrnoshade="t" o:hr="t" fillcolor="black [3213]" stroked="f"/>
                    </w:pict>
                  </w:r>
                </w:p>
              </w:tc>
            </w:tr>
            <w:tr w:rsidR="001E4CBE" w:rsidRPr="009D287C" w:rsidTr="003956FF">
              <w:tc>
                <w:tcPr>
                  <w:tcW w:w="4320" w:type="dxa"/>
                  <w:shd w:val="clear" w:color="auto" w:fill="auto"/>
                </w:tcPr>
                <w:p w:rsidR="001E4CBE" w:rsidRPr="009D287C" w:rsidRDefault="001E4CBE" w:rsidP="001E4CBE">
                  <w:pPr>
                    <w:rPr>
                      <w:b/>
                      <w:sz w:val="20"/>
                      <w:szCs w:val="20"/>
                      <w:lang w:val="fr-CA"/>
                    </w:rPr>
                  </w:pPr>
                  <w:r w:rsidRPr="009D287C">
                    <w:rPr>
                      <w:b/>
                      <w:sz w:val="20"/>
                      <w:szCs w:val="20"/>
                      <w:lang w:val="fr-CA"/>
                    </w:rPr>
                    <w:t xml:space="preserve">Pierre-Michel </w:t>
                  </w:r>
                  <w:proofErr w:type="spellStart"/>
                  <w:r w:rsidRPr="009D287C">
                    <w:rPr>
                      <w:b/>
                      <w:sz w:val="20"/>
                      <w:szCs w:val="20"/>
                      <w:lang w:val="fr-CA"/>
                    </w:rPr>
                    <w:t>Lajeunesse</w:t>
                  </w:r>
                  <w:proofErr w:type="spellEnd"/>
                  <w:r w:rsidRPr="009D287C">
                    <w:rPr>
                      <w:b/>
                      <w:sz w:val="20"/>
                      <w:szCs w:val="20"/>
                      <w:lang w:val="fr-CA"/>
                    </w:rPr>
                    <w:t xml:space="preserve"> et autres</w:t>
                  </w:r>
                </w:p>
                <w:p w:rsidR="001E4CBE" w:rsidRPr="009D287C" w:rsidRDefault="001E4CBE" w:rsidP="001E4CBE">
                  <w:pPr>
                    <w:rPr>
                      <w:sz w:val="20"/>
                      <w:szCs w:val="20"/>
                      <w:lang w:val="fr-CA"/>
                    </w:rPr>
                  </w:pPr>
                  <w:r w:rsidRPr="009D287C">
                    <w:rPr>
                      <w:b/>
                      <w:sz w:val="20"/>
                      <w:szCs w:val="20"/>
                      <w:lang w:val="fr-CA"/>
                    </w:rPr>
                    <w:tab/>
                  </w:r>
                  <w:r w:rsidRPr="009D287C">
                    <w:rPr>
                      <w:sz w:val="20"/>
                      <w:szCs w:val="20"/>
                      <w:lang w:val="fr-CA"/>
                    </w:rPr>
                    <w:t>Pierre Grenier</w:t>
                  </w:r>
                </w:p>
                <w:p w:rsidR="001E4CBE" w:rsidRPr="009D287C" w:rsidRDefault="001E4CBE" w:rsidP="001E4CBE">
                  <w:pPr>
                    <w:rPr>
                      <w:sz w:val="20"/>
                      <w:szCs w:val="20"/>
                      <w:lang w:val="fr-CA"/>
                    </w:rPr>
                  </w:pPr>
                  <w:r w:rsidRPr="009D287C">
                    <w:rPr>
                      <w:sz w:val="20"/>
                      <w:szCs w:val="20"/>
                      <w:lang w:val="fr-CA"/>
                    </w:rPr>
                    <w:tab/>
                  </w:r>
                  <w:proofErr w:type="spellStart"/>
                  <w:r w:rsidRPr="009D287C">
                    <w:rPr>
                      <w:sz w:val="20"/>
                      <w:szCs w:val="20"/>
                      <w:lang w:val="fr-CA"/>
                    </w:rPr>
                    <w:t>Melançon</w:t>
                  </w:r>
                  <w:proofErr w:type="spellEnd"/>
                  <w:r w:rsidRPr="009D287C">
                    <w:rPr>
                      <w:sz w:val="20"/>
                      <w:szCs w:val="20"/>
                      <w:lang w:val="fr-CA"/>
                    </w:rPr>
                    <w:t xml:space="preserve">, Marceau, Grenier &amp; </w:t>
                  </w:r>
                  <w:proofErr w:type="spellStart"/>
                  <w:r w:rsidRPr="009D287C">
                    <w:rPr>
                      <w:sz w:val="20"/>
                      <w:szCs w:val="20"/>
                      <w:lang w:val="fr-CA"/>
                    </w:rPr>
                    <w:t>Sciortino</w:t>
                  </w:r>
                  <w:proofErr w:type="spellEnd"/>
                </w:p>
                <w:p w:rsidR="001E4CBE" w:rsidRPr="009D287C" w:rsidRDefault="001E4CBE" w:rsidP="001E4CBE">
                  <w:pPr>
                    <w:rPr>
                      <w:sz w:val="20"/>
                      <w:szCs w:val="20"/>
                      <w:lang w:val="fr-CA"/>
                    </w:rPr>
                  </w:pPr>
                </w:p>
                <w:p w:rsidR="001E4CBE" w:rsidRPr="009D287C" w:rsidRDefault="001E4CBE" w:rsidP="001E4CBE">
                  <w:pPr>
                    <w:rPr>
                      <w:sz w:val="20"/>
                      <w:szCs w:val="20"/>
                      <w:lang w:val="fr-CA"/>
                    </w:rPr>
                  </w:pPr>
                  <w:r w:rsidRPr="009D287C">
                    <w:rPr>
                      <w:sz w:val="20"/>
                      <w:szCs w:val="20"/>
                      <w:lang w:val="fr-CA"/>
                    </w:rPr>
                    <w:tab/>
                    <w:t>c. (37320)</w:t>
                  </w:r>
                </w:p>
                <w:p w:rsidR="001E4CBE" w:rsidRPr="009D287C" w:rsidRDefault="001E4CBE" w:rsidP="001E4CBE">
                  <w:pPr>
                    <w:rPr>
                      <w:sz w:val="20"/>
                      <w:szCs w:val="20"/>
                      <w:lang w:val="fr-CA"/>
                    </w:rPr>
                  </w:pPr>
                </w:p>
                <w:p w:rsidR="001E4CBE" w:rsidRPr="009D287C" w:rsidRDefault="001E4CBE" w:rsidP="001E4CBE">
                  <w:pPr>
                    <w:rPr>
                      <w:b/>
                      <w:sz w:val="20"/>
                      <w:szCs w:val="20"/>
                      <w:lang w:val="fr-CA"/>
                    </w:rPr>
                  </w:pPr>
                  <w:r w:rsidRPr="009D287C">
                    <w:rPr>
                      <w:b/>
                      <w:sz w:val="20"/>
                      <w:szCs w:val="20"/>
                      <w:lang w:val="fr-CA"/>
                    </w:rPr>
                    <w:t>9069-4654 Qué</w:t>
                  </w:r>
                  <w:r w:rsidR="003956FF" w:rsidRPr="009D287C">
                    <w:rPr>
                      <w:b/>
                      <w:sz w:val="20"/>
                      <w:szCs w:val="20"/>
                      <w:lang w:val="fr-CA"/>
                    </w:rPr>
                    <w:t xml:space="preserve">bec </w:t>
                  </w:r>
                  <w:proofErr w:type="spellStart"/>
                  <w:r w:rsidR="003956FF" w:rsidRPr="009D287C">
                    <w:rPr>
                      <w:b/>
                      <w:sz w:val="20"/>
                      <w:szCs w:val="20"/>
                      <w:lang w:val="fr-CA"/>
                    </w:rPr>
                    <w:t>i</w:t>
                  </w:r>
                  <w:r w:rsidRPr="009D287C">
                    <w:rPr>
                      <w:b/>
                      <w:sz w:val="20"/>
                      <w:szCs w:val="20"/>
                      <w:lang w:val="fr-CA"/>
                    </w:rPr>
                    <w:t>nc.</w:t>
                  </w:r>
                  <w:proofErr w:type="spellEnd"/>
                  <w:r w:rsidRPr="009D287C">
                    <w:rPr>
                      <w:b/>
                      <w:sz w:val="20"/>
                      <w:szCs w:val="20"/>
                      <w:lang w:val="fr-CA"/>
                    </w:rPr>
                    <w:t xml:space="preserve"> (</w:t>
                  </w:r>
                  <w:proofErr w:type="spellStart"/>
                  <w:r w:rsidRPr="009D287C">
                    <w:rPr>
                      <w:b/>
                      <w:sz w:val="20"/>
                      <w:szCs w:val="20"/>
                      <w:lang w:val="fr-CA"/>
                    </w:rPr>
                    <w:t>Qc</w:t>
                  </w:r>
                  <w:proofErr w:type="spellEnd"/>
                  <w:r w:rsidRPr="009D287C">
                    <w:rPr>
                      <w:b/>
                      <w:sz w:val="20"/>
                      <w:szCs w:val="20"/>
                      <w:lang w:val="fr-CA"/>
                    </w:rPr>
                    <w:t>)</w:t>
                  </w:r>
                </w:p>
                <w:p w:rsidR="001E4CBE" w:rsidRPr="009D287C" w:rsidRDefault="001E4CBE" w:rsidP="001E4CBE">
                  <w:pPr>
                    <w:rPr>
                      <w:sz w:val="20"/>
                      <w:szCs w:val="20"/>
                      <w:lang w:val="fr-CA"/>
                    </w:rPr>
                  </w:pPr>
                  <w:r w:rsidRPr="009D287C">
                    <w:rPr>
                      <w:sz w:val="20"/>
                      <w:szCs w:val="20"/>
                      <w:lang w:val="fr-CA"/>
                    </w:rPr>
                    <w:tab/>
                    <w:t>Jean-Sébastien Cloutier</w:t>
                  </w:r>
                </w:p>
                <w:p w:rsidR="001E4CBE" w:rsidRPr="00346C6C" w:rsidRDefault="001E4CBE" w:rsidP="001E4CBE">
                  <w:pPr>
                    <w:rPr>
                      <w:sz w:val="20"/>
                      <w:szCs w:val="20"/>
                      <w:lang w:val="fr-CA"/>
                    </w:rPr>
                  </w:pPr>
                  <w:r w:rsidRPr="009D287C">
                    <w:rPr>
                      <w:sz w:val="20"/>
                      <w:szCs w:val="20"/>
                      <w:lang w:val="fr-CA"/>
                    </w:rPr>
                    <w:tab/>
                  </w:r>
                  <w:r w:rsidRPr="00346C6C">
                    <w:rPr>
                      <w:sz w:val="20"/>
                      <w:szCs w:val="20"/>
                      <w:lang w:val="fr-CA"/>
                    </w:rPr>
                    <w:t xml:space="preserve">Norton Rose </w:t>
                  </w:r>
                  <w:proofErr w:type="spellStart"/>
                  <w:r w:rsidRPr="00346C6C">
                    <w:rPr>
                      <w:sz w:val="20"/>
                      <w:szCs w:val="20"/>
                      <w:lang w:val="fr-CA"/>
                    </w:rPr>
                    <w:t>Fulbright</w:t>
                  </w:r>
                  <w:proofErr w:type="spellEnd"/>
                  <w:r w:rsidRPr="00346C6C">
                    <w:rPr>
                      <w:sz w:val="20"/>
                      <w:szCs w:val="20"/>
                      <w:lang w:val="fr-CA"/>
                    </w:rPr>
                    <w:t xml:space="preserve"> Canada </w:t>
                  </w:r>
                  <w:r w:rsidRPr="00346C6C">
                    <w:rPr>
                      <w:sz w:val="20"/>
                      <w:szCs w:val="20"/>
                      <w:lang w:val="fr-CA"/>
                    </w:rPr>
                    <w:tab/>
                    <w:t xml:space="preserve">S.E.N.C.R.L., </w:t>
                  </w:r>
                  <w:proofErr w:type="spellStart"/>
                  <w:r w:rsidRPr="00346C6C">
                    <w:rPr>
                      <w:sz w:val="20"/>
                      <w:szCs w:val="20"/>
                      <w:lang w:val="fr-CA"/>
                    </w:rPr>
                    <w:t>s.r.l</w:t>
                  </w:r>
                  <w:proofErr w:type="spellEnd"/>
                  <w:r w:rsidRPr="00346C6C">
                    <w:rPr>
                      <w:sz w:val="20"/>
                      <w:szCs w:val="20"/>
                      <w:lang w:val="fr-CA"/>
                    </w:rPr>
                    <w:t>.</w:t>
                  </w:r>
                </w:p>
                <w:p w:rsidR="001E4CBE" w:rsidRPr="00346C6C" w:rsidRDefault="001E4CBE" w:rsidP="001E4CBE">
                  <w:pPr>
                    <w:rPr>
                      <w:sz w:val="20"/>
                      <w:szCs w:val="20"/>
                      <w:lang w:val="fr-CA"/>
                    </w:rPr>
                  </w:pPr>
                </w:p>
                <w:p w:rsidR="001E4CBE" w:rsidRPr="009D287C" w:rsidRDefault="001E4CBE" w:rsidP="001E4CBE">
                  <w:pPr>
                    <w:rPr>
                      <w:sz w:val="20"/>
                      <w:szCs w:val="20"/>
                      <w:lang w:val="fr-CA"/>
                    </w:rPr>
                  </w:pPr>
                  <w:r w:rsidRPr="009D287C">
                    <w:rPr>
                      <w:sz w:val="20"/>
                      <w:szCs w:val="20"/>
                      <w:lang w:val="fr-CA"/>
                    </w:rPr>
                    <w:t>DATE DE PRODUCTION: 01.12.2016</w:t>
                  </w:r>
                </w:p>
                <w:p w:rsidR="001E4CBE" w:rsidRPr="009D287C" w:rsidRDefault="00346C6C" w:rsidP="001E4CBE">
                  <w:pPr>
                    <w:rPr>
                      <w:sz w:val="20"/>
                      <w:szCs w:val="20"/>
                      <w:lang w:val="en-US"/>
                    </w:rPr>
                  </w:pPr>
                  <w:r>
                    <w:rPr>
                      <w:sz w:val="20"/>
                      <w:szCs w:val="20"/>
                      <w:lang w:val="fr-CA"/>
                    </w:rPr>
                    <w:pict>
                      <v:rect id="_x0000_i1029" style="width:108pt;height:1pt" o:hrpct="0" o:hralign="center" o:hrstd="t" o:hrnoshade="t" o:hr="t" fillcolor="black [3213]" stroked="f"/>
                    </w:pict>
                  </w:r>
                </w:p>
                <w:p w:rsidR="001E4CBE" w:rsidRPr="009D287C" w:rsidRDefault="001E4CBE" w:rsidP="001E4CBE">
                  <w:pPr>
                    <w:rPr>
                      <w:sz w:val="20"/>
                      <w:szCs w:val="20"/>
                      <w:lang w:val="en-US"/>
                    </w:rPr>
                  </w:pPr>
                </w:p>
              </w:tc>
              <w:tc>
                <w:tcPr>
                  <w:tcW w:w="1181" w:type="dxa"/>
                  <w:shd w:val="clear" w:color="auto" w:fill="auto"/>
                </w:tcPr>
                <w:p w:rsidR="001E4CBE" w:rsidRPr="009D287C" w:rsidRDefault="001E4CBE" w:rsidP="001E4CBE">
                  <w:pPr>
                    <w:jc w:val="center"/>
                    <w:rPr>
                      <w:sz w:val="20"/>
                      <w:szCs w:val="20"/>
                      <w:lang w:val="en-US"/>
                    </w:rPr>
                  </w:pPr>
                </w:p>
              </w:tc>
              <w:tc>
                <w:tcPr>
                  <w:tcW w:w="4320" w:type="dxa"/>
                  <w:shd w:val="clear" w:color="auto" w:fill="auto"/>
                </w:tcPr>
                <w:p w:rsidR="001E4CBE" w:rsidRPr="009D287C" w:rsidRDefault="001E4CBE" w:rsidP="001E4CBE">
                  <w:pPr>
                    <w:rPr>
                      <w:sz w:val="20"/>
                      <w:szCs w:val="20"/>
                      <w:lang w:val="en-US"/>
                    </w:rPr>
                  </w:pPr>
                </w:p>
              </w:tc>
            </w:tr>
          </w:tbl>
          <w:p w:rsidR="00C21644" w:rsidRPr="009D287C" w:rsidRDefault="00C21644" w:rsidP="005F1ED8">
            <w:pPr>
              <w:rPr>
                <w:sz w:val="20"/>
                <w:szCs w:val="20"/>
              </w:rPr>
            </w:pPr>
          </w:p>
        </w:tc>
        <w:tc>
          <w:tcPr>
            <w:tcW w:w="222" w:type="dxa"/>
            <w:shd w:val="clear" w:color="auto" w:fill="auto"/>
          </w:tcPr>
          <w:p w:rsidR="00C21644" w:rsidRPr="009D287C" w:rsidRDefault="00C21644" w:rsidP="00242AEE">
            <w:pPr>
              <w:jc w:val="center"/>
              <w:rPr>
                <w:sz w:val="20"/>
                <w:szCs w:val="20"/>
              </w:rPr>
            </w:pPr>
          </w:p>
        </w:tc>
        <w:tc>
          <w:tcPr>
            <w:tcW w:w="222" w:type="dxa"/>
            <w:shd w:val="clear" w:color="auto" w:fill="auto"/>
          </w:tcPr>
          <w:p w:rsidR="00C21644" w:rsidRPr="009D287C" w:rsidRDefault="00C21644" w:rsidP="00D72A69">
            <w:pPr>
              <w:rPr>
                <w:sz w:val="20"/>
                <w:szCs w:val="20"/>
                <w:lang w:val="fr-CA"/>
              </w:rPr>
            </w:pPr>
          </w:p>
        </w:tc>
      </w:tr>
    </w:tbl>
    <w:p w:rsidR="00242AEE" w:rsidRPr="009D287C" w:rsidRDefault="00242AEE" w:rsidP="0095096B">
      <w:pPr>
        <w:tabs>
          <w:tab w:val="right" w:pos="9360"/>
        </w:tabs>
        <w:rPr>
          <w:sz w:val="20"/>
          <w:szCs w:val="20"/>
        </w:rPr>
      </w:pPr>
    </w:p>
    <w:p w:rsidR="00920690" w:rsidRPr="009D287C" w:rsidRDefault="00920690" w:rsidP="0095096B">
      <w:pPr>
        <w:tabs>
          <w:tab w:val="right" w:pos="9360"/>
        </w:tabs>
        <w:rPr>
          <w:sz w:val="20"/>
          <w:szCs w:val="20"/>
        </w:rPr>
      </w:pPr>
    </w:p>
    <w:p w:rsidR="00920690" w:rsidRPr="009D287C" w:rsidRDefault="00920690" w:rsidP="0095096B">
      <w:pPr>
        <w:tabs>
          <w:tab w:val="right" w:pos="9360"/>
        </w:tabs>
        <w:rPr>
          <w:sz w:val="20"/>
          <w:szCs w:val="20"/>
        </w:rPr>
      </w:pPr>
    </w:p>
    <w:p w:rsidR="00242AEE" w:rsidRPr="009D287C" w:rsidRDefault="00242AEE" w:rsidP="0095096B">
      <w:pPr>
        <w:tabs>
          <w:tab w:val="right" w:pos="9360"/>
        </w:tabs>
        <w:rPr>
          <w:sz w:val="20"/>
          <w:szCs w:val="20"/>
        </w:rPr>
        <w:sectPr w:rsidR="00242AEE" w:rsidRPr="009D287C" w:rsidSect="00413F9C">
          <w:headerReference w:type="default" r:id="rId16"/>
          <w:footerReference w:type="default" r:id="rId17"/>
          <w:headerReference w:type="first" r:id="rId18"/>
          <w:footerReference w:type="first" r:id="rId19"/>
          <w:pgSz w:w="12240" w:h="15840"/>
          <w:pgMar w:top="720" w:right="965" w:bottom="1080" w:left="1656" w:header="706" w:footer="706" w:gutter="0"/>
          <w:pgNumType w:start="177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46C6C" w:rsidTr="00BA6468">
        <w:trPr>
          <w:trHeight w:val="900"/>
        </w:trPr>
        <w:tc>
          <w:tcPr>
            <w:tcW w:w="4200" w:type="dxa"/>
            <w:tcMar>
              <w:left w:w="0" w:type="dxa"/>
              <w:right w:w="0" w:type="dxa"/>
            </w:tcMar>
          </w:tcPr>
          <w:p w:rsidR="002E2327" w:rsidRPr="009D287C" w:rsidRDefault="002E2327" w:rsidP="002E2327">
            <w:pPr>
              <w:keepNext/>
              <w:keepLines/>
              <w:widowControl w:val="0"/>
              <w:rPr>
                <w:b/>
                <w:szCs w:val="24"/>
              </w:rPr>
            </w:pPr>
            <w:r w:rsidRPr="009D287C">
              <w:rPr>
                <w:b/>
                <w:szCs w:val="24"/>
              </w:rPr>
              <w:lastRenderedPageBreak/>
              <w:t>APPLICATIONS FOR LEAVE SUBMITTED TO COURT SINCE LAST ISSUE</w:t>
            </w:r>
          </w:p>
        </w:tc>
        <w:tc>
          <w:tcPr>
            <w:tcW w:w="1200" w:type="dxa"/>
            <w:tcMar>
              <w:left w:w="0" w:type="dxa"/>
              <w:right w:w="0" w:type="dxa"/>
            </w:tcMar>
          </w:tcPr>
          <w:p w:rsidR="002E2327" w:rsidRPr="009D287C" w:rsidRDefault="002E2327" w:rsidP="002E2327">
            <w:pPr>
              <w:keepNext/>
              <w:keepLines/>
              <w:widowControl w:val="0"/>
              <w:jc w:val="center"/>
              <w:rPr>
                <w:b/>
                <w:szCs w:val="24"/>
              </w:rPr>
            </w:pPr>
          </w:p>
          <w:p w:rsidR="001D0D5F" w:rsidRPr="009D287C" w:rsidRDefault="001D0D5F" w:rsidP="002E2327">
            <w:pPr>
              <w:keepNext/>
              <w:keepLines/>
              <w:widowControl w:val="0"/>
              <w:jc w:val="center"/>
              <w:rPr>
                <w:b/>
                <w:szCs w:val="24"/>
              </w:rPr>
            </w:pPr>
          </w:p>
          <w:p w:rsidR="001D0D5F" w:rsidRPr="009D287C" w:rsidRDefault="001D0D5F" w:rsidP="002E2327">
            <w:pPr>
              <w:keepNext/>
              <w:keepLines/>
              <w:widowControl w:val="0"/>
              <w:jc w:val="center"/>
              <w:rPr>
                <w:b/>
                <w:szCs w:val="24"/>
              </w:rPr>
            </w:pPr>
          </w:p>
          <w:p w:rsidR="001D0D5F" w:rsidRPr="009D287C" w:rsidRDefault="001D0D5F" w:rsidP="002E2327">
            <w:pPr>
              <w:keepNext/>
              <w:keepLines/>
              <w:widowControl w:val="0"/>
              <w:jc w:val="center"/>
              <w:rPr>
                <w:b/>
                <w:szCs w:val="24"/>
              </w:rPr>
            </w:pPr>
          </w:p>
        </w:tc>
        <w:tc>
          <w:tcPr>
            <w:tcW w:w="4080" w:type="dxa"/>
            <w:tcMar>
              <w:left w:w="0" w:type="dxa"/>
              <w:right w:w="0" w:type="dxa"/>
            </w:tcMar>
          </w:tcPr>
          <w:p w:rsidR="002E2327" w:rsidRPr="009D287C" w:rsidRDefault="002E2327" w:rsidP="002E2327">
            <w:pPr>
              <w:keepLines/>
              <w:widowControl w:val="0"/>
              <w:rPr>
                <w:szCs w:val="24"/>
                <w:lang w:val="fr-CA"/>
              </w:rPr>
            </w:pPr>
            <w:r w:rsidRPr="009D287C">
              <w:rPr>
                <w:b/>
                <w:szCs w:val="24"/>
                <w:lang w:val="fr-CA"/>
              </w:rPr>
              <w:t>DEMANDES SOUMISES À LA COUR DEPUIS LA DERNIÈRE PARUTION</w:t>
            </w:r>
          </w:p>
          <w:p w:rsidR="002E2327" w:rsidRPr="009D287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1E4CBE" w:rsidRPr="009D287C" w:rsidRDefault="001E4CBE" w:rsidP="001E4CBE">
      <w:pPr>
        <w:widowControl w:val="0"/>
        <w:rPr>
          <w:b/>
          <w:sz w:val="20"/>
          <w:szCs w:val="20"/>
          <w:lang w:val="fr-CA"/>
        </w:rPr>
      </w:pPr>
    </w:p>
    <w:p w:rsidR="001E4CBE" w:rsidRPr="009D287C" w:rsidRDefault="001E4CBE" w:rsidP="001E4CBE">
      <w:pPr>
        <w:widowControl w:val="0"/>
        <w:rPr>
          <w:b/>
          <w:sz w:val="20"/>
          <w:szCs w:val="20"/>
        </w:rPr>
      </w:pPr>
      <w:r w:rsidRPr="009D287C">
        <w:rPr>
          <w:b/>
          <w:sz w:val="20"/>
          <w:szCs w:val="20"/>
        </w:rPr>
        <w:t>DECEMBER 5, 2016 / LE 5 DÉCEMBRE 2016</w:t>
      </w:r>
    </w:p>
    <w:p w:rsidR="001E4CBE" w:rsidRPr="009D287C" w:rsidRDefault="001E4CBE" w:rsidP="001E4CBE">
      <w:pPr>
        <w:widowControl w:val="0"/>
        <w:rPr>
          <w:b/>
          <w:sz w:val="20"/>
          <w:szCs w:val="20"/>
        </w:rPr>
      </w:pPr>
    </w:p>
    <w:p w:rsidR="001E4CBE" w:rsidRPr="009D287C" w:rsidRDefault="001E4CBE" w:rsidP="001E4CBE">
      <w:pPr>
        <w:widowControl w:val="0"/>
        <w:jc w:val="center"/>
        <w:rPr>
          <w:b/>
          <w:sz w:val="20"/>
          <w:szCs w:val="20"/>
        </w:rPr>
      </w:pPr>
      <w:r w:rsidRPr="009D287C">
        <w:rPr>
          <w:b/>
          <w:sz w:val="20"/>
          <w:szCs w:val="20"/>
        </w:rPr>
        <w:t xml:space="preserve">CORAM:  Chief Justice </w:t>
      </w:r>
      <w:proofErr w:type="spellStart"/>
      <w:r w:rsidRPr="009D287C">
        <w:rPr>
          <w:b/>
          <w:sz w:val="20"/>
          <w:szCs w:val="20"/>
        </w:rPr>
        <w:t>McLachlin</w:t>
      </w:r>
      <w:proofErr w:type="spellEnd"/>
      <w:r w:rsidRPr="009D287C">
        <w:rPr>
          <w:b/>
          <w:sz w:val="20"/>
          <w:szCs w:val="20"/>
        </w:rPr>
        <w:t xml:space="preserve"> and Wagner and </w:t>
      </w:r>
      <w:proofErr w:type="spellStart"/>
      <w:r w:rsidRPr="009D287C">
        <w:rPr>
          <w:b/>
          <w:sz w:val="20"/>
          <w:szCs w:val="20"/>
        </w:rPr>
        <w:t>Gascon</w:t>
      </w:r>
      <w:proofErr w:type="spellEnd"/>
      <w:r w:rsidRPr="009D287C">
        <w:rPr>
          <w:b/>
          <w:sz w:val="20"/>
          <w:szCs w:val="20"/>
        </w:rPr>
        <w:t xml:space="preserve"> JJ.</w:t>
      </w:r>
    </w:p>
    <w:p w:rsidR="001E4CBE" w:rsidRPr="009D287C" w:rsidRDefault="001E4CBE" w:rsidP="001E4CBE">
      <w:pPr>
        <w:widowControl w:val="0"/>
        <w:jc w:val="center"/>
        <w:rPr>
          <w:sz w:val="20"/>
          <w:szCs w:val="20"/>
          <w:lang w:val="fr-CA"/>
        </w:rPr>
      </w:pPr>
      <w:r w:rsidRPr="009D287C">
        <w:rPr>
          <w:b/>
          <w:sz w:val="20"/>
          <w:szCs w:val="20"/>
          <w:lang w:val="fr-CA"/>
        </w:rPr>
        <w:t>La juge en chef McLachlin et les juges Wagner et Gascon</w:t>
      </w:r>
    </w:p>
    <w:p w:rsidR="001E4CBE" w:rsidRPr="009D287C" w:rsidRDefault="001E4CBE" w:rsidP="001E4CBE">
      <w:pPr>
        <w:widowControl w:val="0"/>
        <w:rPr>
          <w:sz w:val="20"/>
          <w:szCs w:val="20"/>
          <w:lang w:val="fr-CA"/>
        </w:rPr>
      </w:pPr>
    </w:p>
    <w:p w:rsidR="001E4CBE" w:rsidRPr="009D287C" w:rsidRDefault="001E4CBE" w:rsidP="001E4CBE">
      <w:pPr>
        <w:pStyle w:val="ListParagraph"/>
        <w:widowControl w:val="0"/>
        <w:numPr>
          <w:ilvl w:val="0"/>
          <w:numId w:val="1"/>
        </w:numPr>
        <w:ind w:hanging="720"/>
        <w:jc w:val="both"/>
        <w:rPr>
          <w:sz w:val="20"/>
          <w:szCs w:val="20"/>
          <w:lang w:val="fr-CA"/>
        </w:rPr>
      </w:pPr>
      <w:r w:rsidRPr="009D287C">
        <w:rPr>
          <w:i/>
          <w:sz w:val="20"/>
          <w:szCs w:val="20"/>
          <w:lang w:val="fr-CA"/>
        </w:rPr>
        <w:t xml:space="preserve">Sa Majesté la Reine c. Norman Graham </w:t>
      </w:r>
      <w:r w:rsidRPr="009D287C">
        <w:rPr>
          <w:sz w:val="20"/>
          <w:szCs w:val="20"/>
          <w:lang w:val="fr-CA"/>
        </w:rPr>
        <w:t>(</w:t>
      </w:r>
      <w:proofErr w:type="spellStart"/>
      <w:r w:rsidRPr="009D287C">
        <w:rPr>
          <w:sz w:val="20"/>
          <w:szCs w:val="20"/>
          <w:lang w:val="fr-CA"/>
        </w:rPr>
        <w:t>Qc</w:t>
      </w:r>
      <w:proofErr w:type="spellEnd"/>
      <w:r w:rsidRPr="009D287C">
        <w:rPr>
          <w:sz w:val="20"/>
          <w:szCs w:val="20"/>
          <w:lang w:val="fr-CA"/>
        </w:rPr>
        <w:t>) (</w:t>
      </w:r>
      <w:proofErr w:type="spellStart"/>
      <w:r w:rsidRPr="009D287C">
        <w:rPr>
          <w:sz w:val="20"/>
          <w:szCs w:val="20"/>
          <w:lang w:val="fr-CA"/>
        </w:rPr>
        <w:t>Crim</w:t>
      </w:r>
      <w:proofErr w:type="spellEnd"/>
      <w:r w:rsidR="003956FF" w:rsidRPr="009D287C">
        <w:rPr>
          <w:sz w:val="20"/>
          <w:szCs w:val="20"/>
          <w:lang w:val="fr-CA"/>
        </w:rPr>
        <w:t>.</w:t>
      </w:r>
      <w:r w:rsidRPr="009D287C">
        <w:rPr>
          <w:sz w:val="20"/>
          <w:szCs w:val="20"/>
          <w:lang w:val="fr-CA"/>
        </w:rPr>
        <w:t>) (Autorisation) (37114)</w:t>
      </w:r>
    </w:p>
    <w:p w:rsidR="001E4CBE" w:rsidRPr="009D287C" w:rsidRDefault="001E4CBE" w:rsidP="001E4CBE">
      <w:pPr>
        <w:pStyle w:val="ListParagraph"/>
        <w:rPr>
          <w:sz w:val="20"/>
          <w:szCs w:val="20"/>
          <w:lang w:val="fr-CA"/>
        </w:rPr>
      </w:pPr>
    </w:p>
    <w:p w:rsidR="001E4CBE" w:rsidRPr="009D287C" w:rsidRDefault="001E4CBE" w:rsidP="001E4CBE">
      <w:pPr>
        <w:pStyle w:val="ListParagraph"/>
        <w:widowControl w:val="0"/>
        <w:numPr>
          <w:ilvl w:val="0"/>
          <w:numId w:val="1"/>
        </w:numPr>
        <w:ind w:hanging="720"/>
        <w:jc w:val="both"/>
        <w:rPr>
          <w:sz w:val="20"/>
          <w:szCs w:val="20"/>
          <w:lang w:val="fr-CA"/>
        </w:rPr>
      </w:pPr>
      <w:r w:rsidRPr="009D287C">
        <w:rPr>
          <w:rFonts w:eastAsia="Calibri" w:cs="Times New Roman"/>
          <w:i/>
          <w:sz w:val="20"/>
          <w:szCs w:val="20"/>
          <w:lang w:val="fr-CA"/>
        </w:rPr>
        <w:t xml:space="preserve">Jean-Pierre Brunet et al. v. AXA </w:t>
      </w:r>
      <w:proofErr w:type="spellStart"/>
      <w:r w:rsidRPr="009D287C">
        <w:rPr>
          <w:rFonts w:eastAsia="Calibri" w:cs="Times New Roman"/>
          <w:i/>
          <w:sz w:val="20"/>
          <w:szCs w:val="20"/>
          <w:lang w:val="fr-CA"/>
        </w:rPr>
        <w:t>Insurances</w:t>
      </w:r>
      <w:proofErr w:type="spellEnd"/>
      <w:r w:rsidRPr="009D287C">
        <w:rPr>
          <w:rFonts w:eastAsia="Calibri" w:cs="Times New Roman"/>
          <w:i/>
          <w:sz w:val="20"/>
          <w:szCs w:val="20"/>
          <w:lang w:val="fr-CA"/>
        </w:rPr>
        <w:t xml:space="preserve"> Inc.</w:t>
      </w:r>
      <w:r w:rsidRPr="009D287C">
        <w:rPr>
          <w:rFonts w:eastAsia="Calibri" w:cs="Times New Roman"/>
          <w:sz w:val="20"/>
          <w:szCs w:val="20"/>
          <w:lang w:val="fr-CA"/>
        </w:rPr>
        <w:t xml:space="preserve"> (Que.) (Civil) (By </w:t>
      </w:r>
      <w:proofErr w:type="spellStart"/>
      <w:r w:rsidRPr="009D287C">
        <w:rPr>
          <w:rFonts w:eastAsia="Calibri" w:cs="Times New Roman"/>
          <w:sz w:val="20"/>
          <w:szCs w:val="20"/>
          <w:lang w:val="fr-CA"/>
        </w:rPr>
        <w:t>Leave</w:t>
      </w:r>
      <w:proofErr w:type="spellEnd"/>
      <w:r w:rsidRPr="009D287C">
        <w:rPr>
          <w:rFonts w:eastAsia="Calibri" w:cs="Times New Roman"/>
          <w:sz w:val="20"/>
          <w:szCs w:val="20"/>
          <w:lang w:val="fr-CA"/>
        </w:rPr>
        <w:t>) (37136</w:t>
      </w:r>
      <w:r w:rsidRPr="009D287C">
        <w:rPr>
          <w:sz w:val="20"/>
          <w:szCs w:val="20"/>
          <w:lang w:val="fr-CA"/>
        </w:rPr>
        <w:t>)</w:t>
      </w:r>
    </w:p>
    <w:p w:rsidR="001E4CBE" w:rsidRPr="009D287C" w:rsidRDefault="001E4CBE" w:rsidP="001E4CBE">
      <w:pPr>
        <w:pStyle w:val="ListParagraph"/>
        <w:rPr>
          <w:sz w:val="20"/>
          <w:szCs w:val="20"/>
          <w:lang w:val="fr-CA"/>
        </w:rPr>
      </w:pPr>
    </w:p>
    <w:p w:rsidR="001E4CBE" w:rsidRPr="009D287C" w:rsidRDefault="001E4CBE" w:rsidP="001E4CBE">
      <w:pPr>
        <w:pStyle w:val="ListParagraph"/>
        <w:widowControl w:val="0"/>
        <w:numPr>
          <w:ilvl w:val="0"/>
          <w:numId w:val="1"/>
        </w:numPr>
        <w:ind w:hanging="720"/>
        <w:jc w:val="both"/>
        <w:rPr>
          <w:sz w:val="20"/>
          <w:szCs w:val="20"/>
        </w:rPr>
      </w:pPr>
      <w:r w:rsidRPr="009D287C">
        <w:rPr>
          <w:rFonts w:cs="Times New Roman"/>
          <w:i/>
          <w:sz w:val="20"/>
          <w:szCs w:val="20"/>
          <w:lang w:val="fr-CA"/>
        </w:rPr>
        <w:t>André Dupuy v. Conrad Leblanc</w:t>
      </w:r>
      <w:r w:rsidRPr="009D287C">
        <w:rPr>
          <w:rFonts w:cs="Times New Roman"/>
          <w:sz w:val="20"/>
          <w:szCs w:val="20"/>
          <w:lang w:val="fr-CA"/>
        </w:rPr>
        <w:t xml:space="preserve"> (Que.)</w:t>
      </w:r>
      <w:r w:rsidRPr="009D287C">
        <w:rPr>
          <w:rFonts w:cs="Times New Roman"/>
          <w:i/>
          <w:sz w:val="20"/>
          <w:szCs w:val="20"/>
          <w:lang w:val="fr-CA"/>
        </w:rPr>
        <w:t xml:space="preserve"> </w:t>
      </w:r>
      <w:r w:rsidRPr="009D287C">
        <w:rPr>
          <w:rFonts w:cs="Times New Roman"/>
          <w:sz w:val="20"/>
          <w:szCs w:val="20"/>
          <w:lang w:val="fr-CA"/>
        </w:rPr>
        <w:t xml:space="preserve">(Civil) (By </w:t>
      </w:r>
      <w:proofErr w:type="spellStart"/>
      <w:r w:rsidRPr="009D287C">
        <w:rPr>
          <w:rFonts w:cs="Times New Roman"/>
          <w:sz w:val="20"/>
          <w:szCs w:val="20"/>
          <w:lang w:val="fr-CA"/>
        </w:rPr>
        <w:t>Leave</w:t>
      </w:r>
      <w:proofErr w:type="spellEnd"/>
      <w:r w:rsidRPr="009D287C">
        <w:rPr>
          <w:rFonts w:cs="Times New Roman"/>
          <w:sz w:val="20"/>
          <w:szCs w:val="20"/>
          <w:lang w:val="fr-CA"/>
        </w:rPr>
        <w:t>) (37226</w:t>
      </w:r>
      <w:r w:rsidRPr="009D287C">
        <w:rPr>
          <w:sz w:val="20"/>
          <w:szCs w:val="20"/>
        </w:rPr>
        <w:t>)</w:t>
      </w:r>
    </w:p>
    <w:p w:rsidR="001E4CBE" w:rsidRPr="009D287C" w:rsidRDefault="001E4CBE" w:rsidP="001E4CBE">
      <w:pPr>
        <w:pStyle w:val="ListParagraph"/>
        <w:rPr>
          <w:sz w:val="20"/>
          <w:szCs w:val="20"/>
        </w:rPr>
      </w:pPr>
    </w:p>
    <w:p w:rsidR="001E4CBE" w:rsidRPr="009D287C" w:rsidRDefault="001E4CBE" w:rsidP="001E4CBE">
      <w:pPr>
        <w:pStyle w:val="ListParagraph"/>
        <w:widowControl w:val="0"/>
        <w:numPr>
          <w:ilvl w:val="0"/>
          <w:numId w:val="1"/>
        </w:numPr>
        <w:ind w:hanging="720"/>
        <w:jc w:val="both"/>
        <w:rPr>
          <w:sz w:val="20"/>
          <w:szCs w:val="20"/>
          <w:lang w:val="fr-CA"/>
        </w:rPr>
      </w:pPr>
      <w:r w:rsidRPr="009D287C">
        <w:rPr>
          <w:rFonts w:cs="Times New Roman"/>
          <w:i/>
          <w:sz w:val="20"/>
          <w:szCs w:val="20"/>
          <w:lang w:val="fr-CA"/>
        </w:rPr>
        <w:t>Jean-René Jasmin c. Société des alcools du Québec</w:t>
      </w:r>
      <w:r w:rsidRPr="009D287C">
        <w:rPr>
          <w:rFonts w:cs="Times New Roman"/>
          <w:sz w:val="20"/>
          <w:szCs w:val="20"/>
          <w:lang w:val="fr-CA"/>
        </w:rPr>
        <w:t xml:space="preserve"> (</w:t>
      </w:r>
      <w:proofErr w:type="spellStart"/>
      <w:r w:rsidRPr="009D287C">
        <w:rPr>
          <w:rFonts w:cs="Times New Roman"/>
          <w:sz w:val="20"/>
          <w:szCs w:val="20"/>
          <w:lang w:val="fr-CA"/>
        </w:rPr>
        <w:t>Qc</w:t>
      </w:r>
      <w:proofErr w:type="spellEnd"/>
      <w:r w:rsidRPr="009D287C">
        <w:rPr>
          <w:rFonts w:cs="Times New Roman"/>
          <w:sz w:val="20"/>
          <w:szCs w:val="20"/>
          <w:lang w:val="fr-CA"/>
        </w:rPr>
        <w:t>)</w:t>
      </w:r>
      <w:r w:rsidRPr="009D287C">
        <w:rPr>
          <w:rFonts w:cs="Times New Roman"/>
          <w:i/>
          <w:sz w:val="20"/>
          <w:szCs w:val="20"/>
          <w:lang w:val="fr-CA"/>
        </w:rPr>
        <w:t xml:space="preserve"> </w:t>
      </w:r>
      <w:r w:rsidRPr="009D287C">
        <w:rPr>
          <w:rFonts w:cs="Times New Roman"/>
          <w:sz w:val="20"/>
          <w:szCs w:val="20"/>
          <w:lang w:val="fr-CA"/>
        </w:rPr>
        <w:t>(Civile) (Autorisation) (37110</w:t>
      </w:r>
      <w:r w:rsidRPr="009D287C">
        <w:rPr>
          <w:sz w:val="20"/>
          <w:szCs w:val="20"/>
          <w:lang w:val="fr-CA"/>
        </w:rPr>
        <w:t>)</w:t>
      </w:r>
    </w:p>
    <w:p w:rsidR="001E4CBE" w:rsidRPr="009D287C" w:rsidRDefault="001E4CBE" w:rsidP="001E4CBE">
      <w:pPr>
        <w:pStyle w:val="ListParagraph"/>
        <w:rPr>
          <w:sz w:val="20"/>
          <w:szCs w:val="20"/>
          <w:lang w:val="fr-CA"/>
        </w:rPr>
      </w:pPr>
    </w:p>
    <w:p w:rsidR="001E4CBE" w:rsidRPr="009D287C" w:rsidRDefault="001E4CBE" w:rsidP="001E4CBE">
      <w:pPr>
        <w:pStyle w:val="ListParagraph"/>
        <w:widowControl w:val="0"/>
        <w:numPr>
          <w:ilvl w:val="0"/>
          <w:numId w:val="1"/>
        </w:numPr>
        <w:ind w:hanging="720"/>
        <w:jc w:val="both"/>
        <w:rPr>
          <w:sz w:val="20"/>
          <w:szCs w:val="20"/>
          <w:lang w:val="fr-CA"/>
        </w:rPr>
      </w:pPr>
      <w:r w:rsidRPr="009D287C">
        <w:rPr>
          <w:rFonts w:cs="Times New Roman"/>
          <w:i/>
          <w:sz w:val="20"/>
          <w:szCs w:val="20"/>
          <w:lang w:val="fr-CA"/>
        </w:rPr>
        <w:t xml:space="preserve">Ordre des optométristes du Québec c. </w:t>
      </w:r>
      <w:proofErr w:type="spellStart"/>
      <w:r w:rsidRPr="009D287C">
        <w:rPr>
          <w:rFonts w:cs="Times New Roman"/>
          <w:i/>
          <w:sz w:val="20"/>
          <w:szCs w:val="20"/>
          <w:lang w:val="fr-CA"/>
        </w:rPr>
        <w:t>Coastal</w:t>
      </w:r>
      <w:proofErr w:type="spellEnd"/>
      <w:r w:rsidRPr="009D287C">
        <w:rPr>
          <w:rFonts w:cs="Times New Roman"/>
          <w:i/>
          <w:sz w:val="20"/>
          <w:szCs w:val="20"/>
          <w:lang w:val="fr-CA"/>
        </w:rPr>
        <w:t xml:space="preserve"> Contacts Inc. et autre</w:t>
      </w:r>
      <w:r w:rsidRPr="009D287C">
        <w:rPr>
          <w:rFonts w:cs="Times New Roman"/>
          <w:sz w:val="20"/>
          <w:szCs w:val="20"/>
          <w:lang w:val="fr-CA"/>
        </w:rPr>
        <w:t xml:space="preserve"> (</w:t>
      </w:r>
      <w:proofErr w:type="spellStart"/>
      <w:r w:rsidRPr="009D287C">
        <w:rPr>
          <w:rFonts w:cs="Times New Roman"/>
          <w:sz w:val="20"/>
          <w:szCs w:val="20"/>
          <w:lang w:val="fr-CA"/>
        </w:rPr>
        <w:t>Qc</w:t>
      </w:r>
      <w:proofErr w:type="spellEnd"/>
      <w:r w:rsidRPr="009D287C">
        <w:rPr>
          <w:rFonts w:cs="Times New Roman"/>
          <w:sz w:val="20"/>
          <w:szCs w:val="20"/>
          <w:lang w:val="fr-CA"/>
        </w:rPr>
        <w:t>)</w:t>
      </w:r>
      <w:r w:rsidRPr="009D287C">
        <w:rPr>
          <w:rFonts w:cs="Times New Roman"/>
          <w:i/>
          <w:sz w:val="20"/>
          <w:szCs w:val="20"/>
          <w:lang w:val="fr-CA"/>
        </w:rPr>
        <w:t xml:space="preserve"> </w:t>
      </w:r>
      <w:r w:rsidRPr="009D287C">
        <w:rPr>
          <w:rFonts w:cs="Times New Roman"/>
          <w:sz w:val="20"/>
          <w:szCs w:val="20"/>
          <w:lang w:val="fr-CA"/>
        </w:rPr>
        <w:t>(Civile) (Autorisation) (37135</w:t>
      </w:r>
      <w:r w:rsidRPr="009D287C">
        <w:rPr>
          <w:sz w:val="20"/>
          <w:szCs w:val="20"/>
          <w:lang w:val="fr-CA"/>
        </w:rPr>
        <w:t>)</w:t>
      </w:r>
    </w:p>
    <w:p w:rsidR="001E4CBE" w:rsidRPr="009D287C" w:rsidRDefault="001E4CBE" w:rsidP="001E4CBE">
      <w:pPr>
        <w:widowControl w:val="0"/>
        <w:rPr>
          <w:sz w:val="20"/>
          <w:szCs w:val="20"/>
          <w:lang w:val="fr-CA"/>
        </w:rPr>
      </w:pPr>
    </w:p>
    <w:p w:rsidR="001E4CBE" w:rsidRPr="009D287C" w:rsidRDefault="001E4CBE" w:rsidP="001E4CBE">
      <w:pPr>
        <w:widowControl w:val="0"/>
        <w:jc w:val="center"/>
        <w:rPr>
          <w:b/>
          <w:sz w:val="20"/>
          <w:szCs w:val="20"/>
          <w:lang w:val="en-US"/>
        </w:rPr>
      </w:pPr>
      <w:r w:rsidRPr="009D287C">
        <w:rPr>
          <w:b/>
          <w:sz w:val="20"/>
          <w:szCs w:val="20"/>
          <w:lang w:val="en-US"/>
        </w:rPr>
        <w:t xml:space="preserve">CORAM: </w:t>
      </w:r>
      <w:proofErr w:type="spellStart"/>
      <w:r w:rsidRPr="009D287C">
        <w:rPr>
          <w:b/>
          <w:sz w:val="20"/>
          <w:szCs w:val="20"/>
          <w:lang w:val="en-US"/>
        </w:rPr>
        <w:t>Abella</w:t>
      </w:r>
      <w:proofErr w:type="spellEnd"/>
      <w:r w:rsidRPr="009D287C">
        <w:rPr>
          <w:b/>
          <w:sz w:val="20"/>
          <w:szCs w:val="20"/>
          <w:lang w:val="en-US"/>
        </w:rPr>
        <w:t xml:space="preserve">, </w:t>
      </w:r>
      <w:proofErr w:type="spellStart"/>
      <w:r w:rsidRPr="009D287C">
        <w:rPr>
          <w:b/>
          <w:sz w:val="20"/>
          <w:szCs w:val="20"/>
          <w:lang w:val="en-US"/>
        </w:rPr>
        <w:t>Karakatsanis</w:t>
      </w:r>
      <w:proofErr w:type="spellEnd"/>
      <w:r w:rsidRPr="009D287C">
        <w:rPr>
          <w:b/>
          <w:sz w:val="20"/>
          <w:szCs w:val="20"/>
          <w:lang w:val="en-US"/>
        </w:rPr>
        <w:t xml:space="preserve"> and Brown JJ.</w:t>
      </w:r>
    </w:p>
    <w:p w:rsidR="001E4CBE" w:rsidRPr="009D287C" w:rsidRDefault="001E4CBE" w:rsidP="001E4CBE">
      <w:pPr>
        <w:widowControl w:val="0"/>
        <w:jc w:val="center"/>
        <w:rPr>
          <w:b/>
          <w:sz w:val="20"/>
          <w:szCs w:val="20"/>
          <w:lang w:val="fr-CA"/>
        </w:rPr>
      </w:pPr>
      <w:r w:rsidRPr="009D287C">
        <w:rPr>
          <w:b/>
          <w:sz w:val="20"/>
          <w:szCs w:val="20"/>
          <w:lang w:val="fr-CA"/>
        </w:rPr>
        <w:t xml:space="preserve">Les juges Abella, </w:t>
      </w:r>
      <w:proofErr w:type="spellStart"/>
      <w:r w:rsidRPr="009D287C">
        <w:rPr>
          <w:b/>
          <w:sz w:val="20"/>
          <w:szCs w:val="20"/>
          <w:lang w:val="fr-CA"/>
        </w:rPr>
        <w:t>Karakatsanis</w:t>
      </w:r>
      <w:proofErr w:type="spellEnd"/>
      <w:r w:rsidRPr="009D287C">
        <w:rPr>
          <w:b/>
          <w:sz w:val="20"/>
          <w:szCs w:val="20"/>
          <w:lang w:val="fr-CA"/>
        </w:rPr>
        <w:t xml:space="preserve"> et Brown</w:t>
      </w:r>
    </w:p>
    <w:p w:rsidR="001E4CBE" w:rsidRPr="009D287C" w:rsidRDefault="001E4CBE" w:rsidP="001E4CBE">
      <w:pPr>
        <w:pStyle w:val="ListParagraph"/>
        <w:widowControl w:val="0"/>
        <w:jc w:val="both"/>
        <w:rPr>
          <w:sz w:val="20"/>
          <w:szCs w:val="20"/>
          <w:lang w:val="fr-CA"/>
        </w:rPr>
      </w:pPr>
    </w:p>
    <w:p w:rsidR="001E4CBE" w:rsidRPr="009D287C" w:rsidRDefault="001E4CBE" w:rsidP="001E4CBE">
      <w:pPr>
        <w:pStyle w:val="ListParagraph"/>
        <w:widowControl w:val="0"/>
        <w:numPr>
          <w:ilvl w:val="0"/>
          <w:numId w:val="1"/>
        </w:numPr>
        <w:ind w:hanging="720"/>
        <w:jc w:val="both"/>
        <w:rPr>
          <w:sz w:val="20"/>
          <w:szCs w:val="20"/>
        </w:rPr>
      </w:pPr>
      <w:r w:rsidRPr="009D287C">
        <w:rPr>
          <w:rFonts w:cs="Times New Roman"/>
          <w:i/>
          <w:sz w:val="20"/>
          <w:szCs w:val="20"/>
          <w:lang w:val="en-US"/>
        </w:rPr>
        <w:t>Melissa Merritt et al.</w:t>
      </w:r>
      <w:r w:rsidRPr="009D287C">
        <w:rPr>
          <w:rFonts w:cs="Times New Roman"/>
          <w:i/>
          <w:sz w:val="20"/>
          <w:szCs w:val="20"/>
        </w:rPr>
        <w:t xml:space="preserve"> </w:t>
      </w:r>
      <w:r w:rsidRPr="009D287C">
        <w:rPr>
          <w:rFonts w:cs="Times New Roman"/>
          <w:i/>
          <w:sz w:val="20"/>
          <w:szCs w:val="20"/>
          <w:lang w:val="en-US"/>
        </w:rPr>
        <w:t>v.</w:t>
      </w:r>
      <w:r w:rsidRPr="009D287C">
        <w:rPr>
          <w:rFonts w:cs="Times New Roman"/>
          <w:i/>
          <w:sz w:val="20"/>
          <w:szCs w:val="20"/>
        </w:rPr>
        <w:t xml:space="preserve"> </w:t>
      </w:r>
      <w:r w:rsidRPr="009D287C">
        <w:rPr>
          <w:rFonts w:cs="Times New Roman"/>
          <w:i/>
          <w:sz w:val="20"/>
          <w:szCs w:val="20"/>
          <w:lang w:val="en-US"/>
        </w:rPr>
        <w:t>Her Majesty the Queen</w:t>
      </w:r>
      <w:r w:rsidRPr="009D287C">
        <w:rPr>
          <w:rFonts w:cs="Times New Roman"/>
          <w:sz w:val="20"/>
          <w:szCs w:val="20"/>
        </w:rPr>
        <w:t xml:space="preserve"> </w:t>
      </w:r>
      <w:r w:rsidRPr="009D287C">
        <w:rPr>
          <w:rFonts w:cs="Times New Roman"/>
          <w:sz w:val="20"/>
          <w:szCs w:val="20"/>
          <w:lang w:val="en-US"/>
        </w:rPr>
        <w:t>(Ont.) (Crim</w:t>
      </w:r>
      <w:r w:rsidR="003956FF" w:rsidRPr="009D287C">
        <w:rPr>
          <w:rFonts w:cs="Times New Roman"/>
          <w:sz w:val="20"/>
          <w:szCs w:val="20"/>
          <w:lang w:val="en-US"/>
        </w:rPr>
        <w:t>.)</w:t>
      </w:r>
      <w:r w:rsidRPr="009D287C">
        <w:rPr>
          <w:rFonts w:cs="Times New Roman"/>
          <w:sz w:val="20"/>
          <w:szCs w:val="20"/>
          <w:lang w:val="en-US"/>
        </w:rPr>
        <w:t xml:space="preserve"> (By Leave)</w:t>
      </w:r>
      <w:r w:rsidRPr="009D287C">
        <w:rPr>
          <w:rFonts w:cs="Times New Roman"/>
          <w:sz w:val="20"/>
          <w:szCs w:val="20"/>
        </w:rPr>
        <w:t xml:space="preserve"> (</w:t>
      </w:r>
      <w:r w:rsidRPr="009D287C">
        <w:rPr>
          <w:rFonts w:cs="Times New Roman"/>
          <w:sz w:val="20"/>
          <w:szCs w:val="20"/>
          <w:lang w:val="en-US"/>
        </w:rPr>
        <w:t>37266</w:t>
      </w:r>
      <w:r w:rsidRPr="009D287C">
        <w:rPr>
          <w:sz w:val="20"/>
          <w:szCs w:val="20"/>
        </w:rPr>
        <w:t>)</w:t>
      </w:r>
    </w:p>
    <w:p w:rsidR="001E4CBE" w:rsidRPr="009D287C" w:rsidRDefault="001E4CBE" w:rsidP="001E4CBE">
      <w:pPr>
        <w:pStyle w:val="ListParagraph"/>
        <w:widowControl w:val="0"/>
        <w:jc w:val="both"/>
        <w:rPr>
          <w:sz w:val="20"/>
          <w:szCs w:val="20"/>
        </w:rPr>
      </w:pPr>
    </w:p>
    <w:p w:rsidR="001E4CBE" w:rsidRPr="009D287C" w:rsidRDefault="001E4CBE" w:rsidP="001E4CBE">
      <w:pPr>
        <w:pStyle w:val="ListParagraph"/>
        <w:widowControl w:val="0"/>
        <w:numPr>
          <w:ilvl w:val="0"/>
          <w:numId w:val="1"/>
        </w:numPr>
        <w:ind w:hanging="720"/>
        <w:jc w:val="both"/>
        <w:rPr>
          <w:sz w:val="20"/>
          <w:szCs w:val="20"/>
        </w:rPr>
      </w:pPr>
      <w:r w:rsidRPr="009D287C">
        <w:rPr>
          <w:rFonts w:cs="Times New Roman"/>
          <w:i/>
          <w:sz w:val="20"/>
          <w:szCs w:val="20"/>
          <w:lang w:val="en-US"/>
        </w:rPr>
        <w:t>David Adrian McCallum</w:t>
      </w:r>
      <w:r w:rsidRPr="009D287C">
        <w:rPr>
          <w:rFonts w:cs="Times New Roman"/>
          <w:i/>
          <w:sz w:val="20"/>
          <w:szCs w:val="20"/>
        </w:rPr>
        <w:t xml:space="preserve"> v. </w:t>
      </w:r>
      <w:r w:rsidRPr="009D287C">
        <w:rPr>
          <w:rFonts w:cs="Times New Roman"/>
          <w:i/>
          <w:sz w:val="20"/>
          <w:szCs w:val="20"/>
          <w:lang w:val="en-US"/>
        </w:rPr>
        <w:t>Her Majesty the Queen</w:t>
      </w:r>
      <w:r w:rsidRPr="009D287C">
        <w:rPr>
          <w:rFonts w:cs="Times New Roman"/>
          <w:sz w:val="20"/>
          <w:szCs w:val="20"/>
        </w:rPr>
        <w:t xml:space="preserve"> </w:t>
      </w:r>
      <w:r w:rsidRPr="009D287C">
        <w:rPr>
          <w:rFonts w:cs="Times New Roman"/>
          <w:sz w:val="20"/>
          <w:szCs w:val="20"/>
          <w:lang w:val="en-US"/>
        </w:rPr>
        <w:t>(Sask.) (Crim</w:t>
      </w:r>
      <w:r w:rsidR="003956FF" w:rsidRPr="009D287C">
        <w:rPr>
          <w:rFonts w:cs="Times New Roman"/>
          <w:sz w:val="20"/>
          <w:szCs w:val="20"/>
          <w:lang w:val="en-US"/>
        </w:rPr>
        <w:t>.</w:t>
      </w:r>
      <w:r w:rsidRPr="009D287C">
        <w:rPr>
          <w:rFonts w:cs="Times New Roman"/>
          <w:sz w:val="20"/>
          <w:szCs w:val="20"/>
          <w:lang w:val="en-US"/>
        </w:rPr>
        <w:t>) (By Leave)</w:t>
      </w:r>
      <w:r w:rsidRPr="009D287C">
        <w:rPr>
          <w:rFonts w:cs="Times New Roman"/>
          <w:sz w:val="20"/>
          <w:szCs w:val="20"/>
        </w:rPr>
        <w:t xml:space="preserve"> (</w:t>
      </w:r>
      <w:r w:rsidRPr="009D287C">
        <w:rPr>
          <w:rFonts w:cs="Times New Roman"/>
          <w:sz w:val="20"/>
          <w:szCs w:val="20"/>
          <w:lang w:val="en-US"/>
        </w:rPr>
        <w:t>37236</w:t>
      </w:r>
      <w:r w:rsidRPr="009D287C">
        <w:rPr>
          <w:sz w:val="20"/>
          <w:szCs w:val="20"/>
        </w:rPr>
        <w:t>)</w:t>
      </w:r>
    </w:p>
    <w:p w:rsidR="001E4CBE" w:rsidRPr="009D287C" w:rsidRDefault="001E4CBE" w:rsidP="001E4CBE">
      <w:pPr>
        <w:pStyle w:val="ListParagraph"/>
        <w:widowControl w:val="0"/>
        <w:jc w:val="both"/>
        <w:rPr>
          <w:sz w:val="20"/>
          <w:szCs w:val="20"/>
        </w:rPr>
      </w:pPr>
    </w:p>
    <w:p w:rsidR="001E4CBE" w:rsidRPr="009D287C" w:rsidRDefault="001E4CBE" w:rsidP="001E4CBE">
      <w:pPr>
        <w:pStyle w:val="ListParagraph"/>
        <w:widowControl w:val="0"/>
        <w:numPr>
          <w:ilvl w:val="0"/>
          <w:numId w:val="1"/>
        </w:numPr>
        <w:ind w:hanging="720"/>
        <w:jc w:val="both"/>
        <w:rPr>
          <w:sz w:val="20"/>
          <w:szCs w:val="20"/>
        </w:rPr>
      </w:pPr>
      <w:r w:rsidRPr="009D287C">
        <w:rPr>
          <w:rFonts w:cs="Times New Roman"/>
          <w:i/>
          <w:sz w:val="20"/>
          <w:szCs w:val="20"/>
          <w:lang w:val="en-US"/>
        </w:rPr>
        <w:t xml:space="preserve">Robert </w:t>
      </w:r>
      <w:proofErr w:type="spellStart"/>
      <w:r w:rsidRPr="009D287C">
        <w:rPr>
          <w:rFonts w:cs="Times New Roman"/>
          <w:i/>
          <w:sz w:val="20"/>
          <w:szCs w:val="20"/>
          <w:lang w:val="en-US"/>
        </w:rPr>
        <w:t>Lavigne</w:t>
      </w:r>
      <w:proofErr w:type="spellEnd"/>
      <w:r w:rsidRPr="009D287C">
        <w:rPr>
          <w:rFonts w:cs="Times New Roman"/>
          <w:i/>
          <w:sz w:val="20"/>
          <w:szCs w:val="20"/>
        </w:rPr>
        <w:t xml:space="preserve"> </w:t>
      </w:r>
      <w:r w:rsidRPr="009D287C">
        <w:rPr>
          <w:rFonts w:cs="Times New Roman"/>
          <w:i/>
          <w:sz w:val="20"/>
          <w:szCs w:val="20"/>
          <w:lang w:val="en-US"/>
        </w:rPr>
        <w:t>v.</w:t>
      </w:r>
      <w:r w:rsidRPr="009D287C">
        <w:rPr>
          <w:rFonts w:cs="Times New Roman"/>
          <w:i/>
          <w:sz w:val="20"/>
          <w:szCs w:val="20"/>
        </w:rPr>
        <w:t xml:space="preserve"> </w:t>
      </w:r>
      <w:r w:rsidRPr="009D287C">
        <w:rPr>
          <w:rFonts w:cs="Times New Roman"/>
          <w:i/>
          <w:sz w:val="20"/>
          <w:szCs w:val="20"/>
          <w:lang w:val="en-US"/>
        </w:rPr>
        <w:t>Canadian Human Rights Commission</w:t>
      </w:r>
      <w:r w:rsidRPr="009D287C">
        <w:rPr>
          <w:rFonts w:cs="Times New Roman"/>
          <w:sz w:val="20"/>
          <w:szCs w:val="20"/>
        </w:rPr>
        <w:t xml:space="preserve"> </w:t>
      </w:r>
      <w:r w:rsidRPr="009D287C">
        <w:rPr>
          <w:rFonts w:cs="Times New Roman"/>
          <w:sz w:val="20"/>
          <w:szCs w:val="20"/>
          <w:lang w:val="en-US"/>
        </w:rPr>
        <w:t>(FC) (Civil) (By Leave)</w:t>
      </w:r>
      <w:r w:rsidRPr="009D287C">
        <w:rPr>
          <w:rFonts w:cs="Times New Roman"/>
          <w:sz w:val="20"/>
          <w:szCs w:val="20"/>
        </w:rPr>
        <w:t xml:space="preserve"> (</w:t>
      </w:r>
      <w:r w:rsidRPr="009D287C">
        <w:rPr>
          <w:rFonts w:cs="Times New Roman"/>
          <w:sz w:val="20"/>
          <w:szCs w:val="20"/>
          <w:lang w:val="en-US"/>
        </w:rPr>
        <w:t>36811</w:t>
      </w:r>
      <w:r w:rsidRPr="009D287C">
        <w:rPr>
          <w:sz w:val="20"/>
          <w:szCs w:val="20"/>
        </w:rPr>
        <w:t>)</w:t>
      </w:r>
    </w:p>
    <w:p w:rsidR="001E4CBE" w:rsidRPr="009D287C" w:rsidRDefault="001E4CBE" w:rsidP="001E4CBE">
      <w:pPr>
        <w:pStyle w:val="ListParagraph"/>
        <w:rPr>
          <w:sz w:val="20"/>
          <w:szCs w:val="20"/>
        </w:rPr>
      </w:pPr>
    </w:p>
    <w:p w:rsidR="001E4CBE" w:rsidRPr="009D287C" w:rsidRDefault="001E4CBE" w:rsidP="001E4CBE">
      <w:pPr>
        <w:pStyle w:val="ListParagraph"/>
        <w:widowControl w:val="0"/>
        <w:numPr>
          <w:ilvl w:val="0"/>
          <w:numId w:val="1"/>
        </w:numPr>
        <w:ind w:hanging="720"/>
        <w:jc w:val="both"/>
        <w:rPr>
          <w:sz w:val="20"/>
          <w:szCs w:val="20"/>
          <w:lang w:val="en-US"/>
        </w:rPr>
      </w:pPr>
      <w:proofErr w:type="spellStart"/>
      <w:r w:rsidRPr="009D287C">
        <w:rPr>
          <w:rFonts w:cs="Times New Roman"/>
          <w:i/>
          <w:sz w:val="20"/>
          <w:szCs w:val="20"/>
          <w:lang w:val="en-US"/>
        </w:rPr>
        <w:t>Josephakis</w:t>
      </w:r>
      <w:proofErr w:type="spellEnd"/>
      <w:r w:rsidRPr="009D287C">
        <w:rPr>
          <w:rFonts w:cs="Times New Roman"/>
          <w:i/>
          <w:sz w:val="20"/>
          <w:szCs w:val="20"/>
          <w:lang w:val="en-US"/>
        </w:rPr>
        <w:t xml:space="preserve"> </w:t>
      </w:r>
      <w:proofErr w:type="spellStart"/>
      <w:r w:rsidRPr="009D287C">
        <w:rPr>
          <w:rFonts w:cs="Times New Roman"/>
          <w:i/>
          <w:sz w:val="20"/>
          <w:szCs w:val="20"/>
          <w:lang w:val="en-US"/>
        </w:rPr>
        <w:t>Charalambous</w:t>
      </w:r>
      <w:proofErr w:type="spellEnd"/>
      <w:r w:rsidRPr="009D287C">
        <w:rPr>
          <w:rFonts w:cs="Times New Roman"/>
          <w:i/>
          <w:sz w:val="20"/>
          <w:szCs w:val="20"/>
        </w:rPr>
        <w:t xml:space="preserve"> v. A</w:t>
      </w:r>
      <w:proofErr w:type="spellStart"/>
      <w:r w:rsidRPr="009D287C">
        <w:rPr>
          <w:rFonts w:cs="Times New Roman"/>
          <w:i/>
          <w:sz w:val="20"/>
          <w:szCs w:val="20"/>
          <w:lang w:val="en-US"/>
        </w:rPr>
        <w:t>ttorney</w:t>
      </w:r>
      <w:proofErr w:type="spellEnd"/>
      <w:r w:rsidRPr="009D287C">
        <w:rPr>
          <w:rFonts w:cs="Times New Roman"/>
          <w:i/>
          <w:sz w:val="20"/>
          <w:szCs w:val="20"/>
          <w:lang w:val="en-US"/>
        </w:rPr>
        <w:t xml:space="preserve"> General of Canada</w:t>
      </w:r>
      <w:r w:rsidRPr="009D287C">
        <w:rPr>
          <w:rFonts w:cs="Times New Roman"/>
          <w:sz w:val="20"/>
          <w:szCs w:val="20"/>
        </w:rPr>
        <w:t xml:space="preserve"> </w:t>
      </w:r>
      <w:r w:rsidRPr="009D287C">
        <w:rPr>
          <w:rFonts w:cs="Times New Roman"/>
          <w:sz w:val="20"/>
          <w:szCs w:val="20"/>
          <w:lang w:val="en-US"/>
        </w:rPr>
        <w:t>(FC) (Civil) (By Leave)</w:t>
      </w:r>
      <w:r w:rsidRPr="009D287C">
        <w:rPr>
          <w:rFonts w:cs="Times New Roman"/>
          <w:sz w:val="20"/>
          <w:szCs w:val="20"/>
        </w:rPr>
        <w:t xml:space="preserve"> (</w:t>
      </w:r>
      <w:r w:rsidRPr="009D287C">
        <w:rPr>
          <w:rFonts w:cs="Times New Roman"/>
          <w:sz w:val="20"/>
          <w:szCs w:val="20"/>
          <w:lang w:val="en-US"/>
        </w:rPr>
        <w:t>37181</w:t>
      </w:r>
      <w:r w:rsidRPr="009D287C">
        <w:rPr>
          <w:sz w:val="20"/>
          <w:szCs w:val="20"/>
          <w:lang w:val="en-US"/>
        </w:rPr>
        <w:t>)</w:t>
      </w:r>
    </w:p>
    <w:p w:rsidR="001E4CBE" w:rsidRPr="009D287C" w:rsidRDefault="001E4CBE" w:rsidP="001E4CBE">
      <w:pPr>
        <w:pStyle w:val="ListParagraph"/>
        <w:widowControl w:val="0"/>
        <w:jc w:val="both"/>
        <w:rPr>
          <w:sz w:val="20"/>
          <w:szCs w:val="20"/>
          <w:lang w:val="en-US"/>
        </w:rPr>
      </w:pPr>
    </w:p>
    <w:p w:rsidR="001E4CBE" w:rsidRPr="009D287C" w:rsidRDefault="001E4CBE" w:rsidP="001E4CBE">
      <w:pPr>
        <w:pStyle w:val="ListParagraph"/>
        <w:widowControl w:val="0"/>
        <w:numPr>
          <w:ilvl w:val="0"/>
          <w:numId w:val="1"/>
        </w:numPr>
        <w:ind w:hanging="720"/>
        <w:jc w:val="both"/>
        <w:rPr>
          <w:sz w:val="20"/>
          <w:szCs w:val="20"/>
          <w:lang w:val="en-US"/>
        </w:rPr>
      </w:pPr>
      <w:r w:rsidRPr="009D287C">
        <w:rPr>
          <w:rFonts w:cs="Times New Roman"/>
          <w:i/>
          <w:sz w:val="20"/>
          <w:szCs w:val="20"/>
          <w:lang w:val="en-US"/>
        </w:rPr>
        <w:t>Ontario Electricity Financial Corporation</w:t>
      </w:r>
      <w:r w:rsidRPr="009D287C">
        <w:rPr>
          <w:rFonts w:cs="Times New Roman"/>
          <w:i/>
          <w:sz w:val="20"/>
          <w:szCs w:val="20"/>
        </w:rPr>
        <w:t xml:space="preserve"> v. </w:t>
      </w:r>
      <w:proofErr w:type="spellStart"/>
      <w:r w:rsidRPr="009D287C">
        <w:rPr>
          <w:rFonts w:cs="Times New Roman"/>
          <w:i/>
          <w:sz w:val="20"/>
          <w:szCs w:val="20"/>
          <w:lang w:val="en-US"/>
        </w:rPr>
        <w:t>Ir</w:t>
      </w:r>
      <w:r w:rsidRPr="009D287C">
        <w:rPr>
          <w:rFonts w:cs="Times New Roman"/>
          <w:i/>
          <w:sz w:val="20"/>
          <w:szCs w:val="20"/>
        </w:rPr>
        <w:t>oquois</w:t>
      </w:r>
      <w:proofErr w:type="spellEnd"/>
      <w:r w:rsidRPr="009D287C">
        <w:rPr>
          <w:rFonts w:cs="Times New Roman"/>
          <w:i/>
          <w:sz w:val="20"/>
          <w:szCs w:val="20"/>
        </w:rPr>
        <w:t xml:space="preserve"> Falls Power Corporation </w:t>
      </w:r>
      <w:r w:rsidRPr="009D287C">
        <w:rPr>
          <w:rFonts w:cs="Times New Roman"/>
          <w:i/>
          <w:sz w:val="20"/>
          <w:szCs w:val="20"/>
          <w:lang w:val="en-US"/>
        </w:rPr>
        <w:t>et al.</w:t>
      </w:r>
      <w:r w:rsidRPr="009D287C">
        <w:rPr>
          <w:rFonts w:cs="Times New Roman"/>
          <w:sz w:val="20"/>
          <w:szCs w:val="20"/>
        </w:rPr>
        <w:t xml:space="preserve"> </w:t>
      </w:r>
      <w:r w:rsidRPr="009D287C">
        <w:rPr>
          <w:rFonts w:cs="Times New Roman"/>
          <w:sz w:val="20"/>
          <w:szCs w:val="20"/>
          <w:lang w:val="en-US"/>
        </w:rPr>
        <w:t>(Ont.) (Civil) (By Leave)</w:t>
      </w:r>
      <w:r w:rsidRPr="009D287C">
        <w:rPr>
          <w:rFonts w:cs="Times New Roman"/>
          <w:sz w:val="20"/>
          <w:szCs w:val="20"/>
        </w:rPr>
        <w:t xml:space="preserve"> (</w:t>
      </w:r>
      <w:r w:rsidRPr="009D287C">
        <w:rPr>
          <w:rFonts w:cs="Times New Roman"/>
          <w:sz w:val="20"/>
          <w:szCs w:val="20"/>
          <w:lang w:val="en-US"/>
        </w:rPr>
        <w:t>37083)</w:t>
      </w:r>
    </w:p>
    <w:p w:rsidR="001E4CBE" w:rsidRPr="009D287C" w:rsidRDefault="001E4CBE" w:rsidP="001E4CBE">
      <w:pPr>
        <w:widowControl w:val="0"/>
        <w:jc w:val="both"/>
        <w:rPr>
          <w:sz w:val="20"/>
          <w:szCs w:val="20"/>
          <w:lang w:val="en-US"/>
        </w:rPr>
      </w:pPr>
    </w:p>
    <w:p w:rsidR="001E4CBE" w:rsidRPr="009D287C" w:rsidRDefault="001E4CBE" w:rsidP="001E4CBE">
      <w:pPr>
        <w:widowControl w:val="0"/>
        <w:jc w:val="center"/>
        <w:rPr>
          <w:b/>
          <w:sz w:val="20"/>
          <w:szCs w:val="20"/>
          <w:lang w:val="en-US"/>
        </w:rPr>
      </w:pPr>
      <w:r w:rsidRPr="009D287C">
        <w:rPr>
          <w:b/>
          <w:sz w:val="20"/>
          <w:szCs w:val="20"/>
          <w:lang w:val="en-US"/>
        </w:rPr>
        <w:t xml:space="preserve">CORAM: </w:t>
      </w:r>
      <w:proofErr w:type="spellStart"/>
      <w:r w:rsidRPr="009D287C">
        <w:rPr>
          <w:b/>
          <w:sz w:val="20"/>
          <w:szCs w:val="20"/>
          <w:lang w:val="en-US"/>
        </w:rPr>
        <w:t>Moldaver</w:t>
      </w:r>
      <w:proofErr w:type="spellEnd"/>
      <w:r w:rsidRPr="009D287C">
        <w:rPr>
          <w:b/>
          <w:sz w:val="20"/>
          <w:szCs w:val="20"/>
          <w:lang w:val="en-US"/>
        </w:rPr>
        <w:t xml:space="preserve">, </w:t>
      </w:r>
      <w:proofErr w:type="spellStart"/>
      <w:r w:rsidRPr="009D287C">
        <w:rPr>
          <w:b/>
          <w:sz w:val="20"/>
          <w:szCs w:val="20"/>
          <w:lang w:val="en-US"/>
        </w:rPr>
        <w:t>Côté</w:t>
      </w:r>
      <w:proofErr w:type="spellEnd"/>
      <w:r w:rsidRPr="009D287C">
        <w:rPr>
          <w:b/>
          <w:sz w:val="20"/>
          <w:szCs w:val="20"/>
          <w:lang w:val="en-US"/>
        </w:rPr>
        <w:t xml:space="preserve"> and Rowe JJ.</w:t>
      </w:r>
    </w:p>
    <w:p w:rsidR="001E4CBE" w:rsidRPr="009D287C" w:rsidRDefault="001E4CBE" w:rsidP="001E4CBE">
      <w:pPr>
        <w:widowControl w:val="0"/>
        <w:jc w:val="center"/>
        <w:rPr>
          <w:b/>
          <w:sz w:val="20"/>
          <w:szCs w:val="20"/>
          <w:lang w:val="fr-CA"/>
        </w:rPr>
      </w:pPr>
      <w:r w:rsidRPr="009D287C">
        <w:rPr>
          <w:b/>
          <w:sz w:val="20"/>
          <w:szCs w:val="20"/>
          <w:lang w:val="fr-CA"/>
        </w:rPr>
        <w:t xml:space="preserve">Les juges </w:t>
      </w:r>
      <w:proofErr w:type="spellStart"/>
      <w:r w:rsidRPr="009D287C">
        <w:rPr>
          <w:b/>
          <w:sz w:val="20"/>
          <w:szCs w:val="20"/>
          <w:lang w:val="fr-CA"/>
        </w:rPr>
        <w:t>Moldaver</w:t>
      </w:r>
      <w:proofErr w:type="spellEnd"/>
      <w:r w:rsidRPr="009D287C">
        <w:rPr>
          <w:b/>
          <w:sz w:val="20"/>
          <w:szCs w:val="20"/>
          <w:lang w:val="fr-CA"/>
        </w:rPr>
        <w:t>, Côté et Rowe</w:t>
      </w:r>
    </w:p>
    <w:p w:rsidR="001E4CBE" w:rsidRPr="009D287C" w:rsidRDefault="001E4CBE" w:rsidP="001E4CBE">
      <w:pPr>
        <w:widowControl w:val="0"/>
        <w:jc w:val="both"/>
        <w:rPr>
          <w:sz w:val="20"/>
          <w:szCs w:val="20"/>
          <w:lang w:val="fr-CA"/>
        </w:rPr>
      </w:pPr>
    </w:p>
    <w:p w:rsidR="001E4CBE" w:rsidRPr="009D287C" w:rsidRDefault="001E4CBE" w:rsidP="001E4CBE">
      <w:pPr>
        <w:pStyle w:val="ListParagraph"/>
        <w:widowControl w:val="0"/>
        <w:numPr>
          <w:ilvl w:val="0"/>
          <w:numId w:val="1"/>
        </w:numPr>
        <w:ind w:hanging="720"/>
        <w:jc w:val="both"/>
        <w:rPr>
          <w:sz w:val="20"/>
          <w:szCs w:val="20"/>
          <w:lang w:val="en-US"/>
        </w:rPr>
      </w:pPr>
      <w:r w:rsidRPr="009D287C">
        <w:rPr>
          <w:rFonts w:cs="Times New Roman"/>
          <w:i/>
          <w:sz w:val="20"/>
          <w:szCs w:val="20"/>
        </w:rPr>
        <w:t>Richard Alan Suter v. Her Majesty the Queen</w:t>
      </w:r>
      <w:r w:rsidRPr="009D287C">
        <w:rPr>
          <w:rFonts w:cs="Times New Roman"/>
          <w:sz w:val="20"/>
          <w:szCs w:val="20"/>
        </w:rPr>
        <w:t xml:space="preserve"> (Alta.) (Crim</w:t>
      </w:r>
      <w:r w:rsidR="003956FF" w:rsidRPr="009D287C">
        <w:rPr>
          <w:rFonts w:cs="Times New Roman"/>
          <w:sz w:val="20"/>
          <w:szCs w:val="20"/>
        </w:rPr>
        <w:t>.</w:t>
      </w:r>
      <w:r w:rsidRPr="009D287C">
        <w:rPr>
          <w:rFonts w:cs="Times New Roman"/>
          <w:sz w:val="20"/>
          <w:szCs w:val="20"/>
        </w:rPr>
        <w:t>) (By Leave) (37247</w:t>
      </w:r>
      <w:r w:rsidRPr="009D287C">
        <w:rPr>
          <w:sz w:val="20"/>
          <w:szCs w:val="20"/>
          <w:lang w:val="en-US"/>
        </w:rPr>
        <w:t>)</w:t>
      </w:r>
    </w:p>
    <w:p w:rsidR="001E4CBE" w:rsidRPr="009D287C" w:rsidRDefault="001E4CBE" w:rsidP="001E4CBE">
      <w:pPr>
        <w:pStyle w:val="ListParagraph"/>
        <w:widowControl w:val="0"/>
        <w:jc w:val="both"/>
        <w:rPr>
          <w:sz w:val="20"/>
          <w:szCs w:val="20"/>
          <w:lang w:val="en-US"/>
        </w:rPr>
      </w:pPr>
    </w:p>
    <w:p w:rsidR="001E4CBE" w:rsidRPr="009D287C" w:rsidRDefault="001E4CBE" w:rsidP="001E4CBE">
      <w:pPr>
        <w:pStyle w:val="ListParagraph"/>
        <w:widowControl w:val="0"/>
        <w:numPr>
          <w:ilvl w:val="0"/>
          <w:numId w:val="1"/>
        </w:numPr>
        <w:ind w:hanging="720"/>
        <w:jc w:val="both"/>
        <w:rPr>
          <w:sz w:val="20"/>
          <w:szCs w:val="20"/>
          <w:lang w:val="en-US"/>
        </w:rPr>
      </w:pPr>
      <w:proofErr w:type="spellStart"/>
      <w:r w:rsidRPr="009D287C">
        <w:rPr>
          <w:rFonts w:cs="Times New Roman"/>
          <w:i/>
          <w:sz w:val="20"/>
          <w:szCs w:val="20"/>
        </w:rPr>
        <w:t>Satbir</w:t>
      </w:r>
      <w:proofErr w:type="spellEnd"/>
      <w:r w:rsidRPr="009D287C">
        <w:rPr>
          <w:rFonts w:cs="Times New Roman"/>
          <w:i/>
          <w:sz w:val="20"/>
          <w:szCs w:val="20"/>
        </w:rPr>
        <w:t xml:space="preserve"> Singh v. 299400 Ontario Inc.</w:t>
      </w:r>
      <w:r w:rsidRPr="009D287C">
        <w:rPr>
          <w:rFonts w:cs="Times New Roman"/>
          <w:sz w:val="20"/>
          <w:szCs w:val="20"/>
        </w:rPr>
        <w:t xml:space="preserve"> (Ont.) (Civil) (By Leave) (37046</w:t>
      </w:r>
      <w:r w:rsidRPr="009D287C">
        <w:rPr>
          <w:sz w:val="20"/>
          <w:szCs w:val="20"/>
          <w:lang w:val="en-US"/>
        </w:rPr>
        <w:t>)</w:t>
      </w:r>
    </w:p>
    <w:p w:rsidR="001E4CBE" w:rsidRPr="009D287C" w:rsidRDefault="001E4CBE" w:rsidP="001E4CBE">
      <w:pPr>
        <w:pStyle w:val="ListParagraph"/>
        <w:rPr>
          <w:sz w:val="20"/>
          <w:szCs w:val="20"/>
          <w:lang w:val="en-US"/>
        </w:rPr>
      </w:pPr>
    </w:p>
    <w:p w:rsidR="001E4CBE" w:rsidRPr="009D287C" w:rsidRDefault="001E4CBE" w:rsidP="001E4CBE">
      <w:pPr>
        <w:pStyle w:val="ListParagraph"/>
        <w:widowControl w:val="0"/>
        <w:numPr>
          <w:ilvl w:val="0"/>
          <w:numId w:val="1"/>
        </w:numPr>
        <w:ind w:hanging="720"/>
        <w:jc w:val="both"/>
        <w:rPr>
          <w:sz w:val="20"/>
          <w:szCs w:val="20"/>
          <w:lang w:val="en-US"/>
        </w:rPr>
      </w:pPr>
      <w:r w:rsidRPr="009D287C">
        <w:rPr>
          <w:rFonts w:cs="Times New Roman"/>
          <w:i/>
          <w:sz w:val="20"/>
          <w:szCs w:val="20"/>
          <w:lang w:val="fr-CA"/>
        </w:rPr>
        <w:t>P.M.F. et al. v. S.H.F.N.</w:t>
      </w:r>
      <w:r w:rsidRPr="009D287C">
        <w:rPr>
          <w:rFonts w:cs="Times New Roman"/>
          <w:sz w:val="20"/>
          <w:szCs w:val="20"/>
          <w:lang w:val="fr-CA"/>
        </w:rPr>
        <w:t xml:space="preserve"> (B.C.) </w:t>
      </w:r>
      <w:r w:rsidRPr="009D287C">
        <w:rPr>
          <w:rFonts w:cs="Times New Roman"/>
          <w:sz w:val="20"/>
          <w:szCs w:val="20"/>
        </w:rPr>
        <w:t>(Civil) (By Leave) (</w:t>
      </w:r>
      <w:r w:rsidRPr="009D287C">
        <w:rPr>
          <w:rFonts w:cs="Times New Roman"/>
          <w:sz w:val="20"/>
          <w:szCs w:val="20"/>
          <w:lang w:val="en-US"/>
        </w:rPr>
        <w:t>37129</w:t>
      </w:r>
      <w:r w:rsidRPr="009D287C">
        <w:rPr>
          <w:sz w:val="20"/>
          <w:szCs w:val="20"/>
          <w:lang w:val="en-US"/>
        </w:rPr>
        <w:t>)</w:t>
      </w:r>
    </w:p>
    <w:p w:rsidR="001E4CBE" w:rsidRPr="009D287C" w:rsidRDefault="001E4CBE" w:rsidP="001E4CBE">
      <w:pPr>
        <w:pStyle w:val="ListParagraph"/>
        <w:rPr>
          <w:sz w:val="20"/>
          <w:szCs w:val="20"/>
          <w:lang w:val="en-US"/>
        </w:rPr>
      </w:pPr>
    </w:p>
    <w:p w:rsidR="001E4CBE" w:rsidRPr="009D287C" w:rsidRDefault="001E4CBE" w:rsidP="001E4CBE">
      <w:pPr>
        <w:pStyle w:val="ListParagraph"/>
        <w:widowControl w:val="0"/>
        <w:numPr>
          <w:ilvl w:val="0"/>
          <w:numId w:val="1"/>
        </w:numPr>
        <w:ind w:hanging="720"/>
        <w:jc w:val="both"/>
        <w:rPr>
          <w:sz w:val="20"/>
          <w:szCs w:val="20"/>
          <w:lang w:val="en-US"/>
        </w:rPr>
      </w:pPr>
      <w:r w:rsidRPr="009D287C">
        <w:rPr>
          <w:rFonts w:cs="Times New Roman"/>
          <w:i/>
          <w:sz w:val="20"/>
          <w:szCs w:val="20"/>
        </w:rPr>
        <w:t>Kris Rana v. Her Majesty the Queen in Right of Province of Ontario (Ministry of Training Colleges and Universities Student Support Branch)</w:t>
      </w:r>
      <w:r w:rsidRPr="009D287C">
        <w:rPr>
          <w:rFonts w:cs="Times New Roman"/>
          <w:sz w:val="20"/>
          <w:szCs w:val="20"/>
        </w:rPr>
        <w:t xml:space="preserve"> (Ont.) (Civil) (By Leave) (37252</w:t>
      </w:r>
      <w:r w:rsidRPr="009D287C">
        <w:rPr>
          <w:sz w:val="20"/>
          <w:szCs w:val="20"/>
          <w:lang w:val="en-US"/>
        </w:rPr>
        <w:t>)</w:t>
      </w:r>
    </w:p>
    <w:p w:rsidR="001E4CBE" w:rsidRPr="009D287C" w:rsidRDefault="001E4CBE" w:rsidP="001E4CBE">
      <w:pPr>
        <w:pStyle w:val="ListParagraph"/>
        <w:rPr>
          <w:sz w:val="20"/>
          <w:szCs w:val="20"/>
          <w:lang w:val="en-US"/>
        </w:rPr>
      </w:pPr>
    </w:p>
    <w:p w:rsidR="001E4CBE" w:rsidRPr="009D287C" w:rsidRDefault="001E4CBE" w:rsidP="001E4CBE">
      <w:pPr>
        <w:pStyle w:val="ListParagraph"/>
        <w:widowControl w:val="0"/>
        <w:numPr>
          <w:ilvl w:val="0"/>
          <w:numId w:val="1"/>
        </w:numPr>
        <w:ind w:hanging="720"/>
        <w:jc w:val="both"/>
        <w:rPr>
          <w:sz w:val="20"/>
          <w:szCs w:val="20"/>
          <w:lang w:val="en-US"/>
        </w:rPr>
      </w:pPr>
      <w:proofErr w:type="spellStart"/>
      <w:r w:rsidRPr="009D287C">
        <w:rPr>
          <w:rFonts w:cs="Times New Roman"/>
          <w:i/>
          <w:sz w:val="20"/>
          <w:szCs w:val="20"/>
        </w:rPr>
        <w:t>Fakhra</w:t>
      </w:r>
      <w:proofErr w:type="spellEnd"/>
      <w:r w:rsidRPr="009D287C">
        <w:rPr>
          <w:rFonts w:cs="Times New Roman"/>
          <w:i/>
          <w:sz w:val="20"/>
          <w:szCs w:val="20"/>
        </w:rPr>
        <w:t xml:space="preserve"> Ahmed et al. v. Keith </w:t>
      </w:r>
      <w:proofErr w:type="spellStart"/>
      <w:r w:rsidRPr="009D287C">
        <w:rPr>
          <w:rFonts w:cs="Times New Roman"/>
          <w:i/>
          <w:sz w:val="20"/>
          <w:szCs w:val="20"/>
        </w:rPr>
        <w:t>McCaskill</w:t>
      </w:r>
      <w:proofErr w:type="spellEnd"/>
      <w:r w:rsidRPr="009D287C">
        <w:rPr>
          <w:rFonts w:cs="Times New Roman"/>
          <w:i/>
          <w:sz w:val="20"/>
          <w:szCs w:val="20"/>
        </w:rPr>
        <w:t>, Chief of Police of the Winnipeg Police Service and the said Chief of the Winnipeg Police et al.</w:t>
      </w:r>
      <w:r w:rsidRPr="009D287C">
        <w:rPr>
          <w:rFonts w:cs="Times New Roman"/>
          <w:sz w:val="20"/>
          <w:szCs w:val="20"/>
        </w:rPr>
        <w:t xml:space="preserve"> (Man.) (Civil) (By Leave) (37187</w:t>
      </w:r>
      <w:r w:rsidRPr="009D287C">
        <w:rPr>
          <w:sz w:val="20"/>
          <w:szCs w:val="20"/>
          <w:lang w:val="en-US"/>
        </w:rPr>
        <w:t>)</w:t>
      </w:r>
    </w:p>
    <w:p w:rsidR="001E4CBE" w:rsidRPr="009D287C" w:rsidRDefault="00346C6C" w:rsidP="001E4CBE">
      <w:pPr>
        <w:widowControl w:val="0"/>
        <w:rPr>
          <w:sz w:val="20"/>
          <w:szCs w:val="20"/>
          <w:lang w:val="en-US"/>
        </w:rPr>
      </w:pPr>
      <w:r>
        <w:rPr>
          <w:sz w:val="20"/>
          <w:szCs w:val="20"/>
        </w:rPr>
        <w:pict>
          <v:rect id="_x0000_i1032" style="width:2in;height:1pt" o:hrpct="0" o:hralign="center" o:hrstd="t" o:hrnoshade="t" o:hr="t" fillcolor="black [3213]" stroked="f"/>
        </w:pict>
      </w:r>
    </w:p>
    <w:p w:rsidR="001E4CBE" w:rsidRPr="009D287C" w:rsidRDefault="001E4CBE" w:rsidP="001E4CBE">
      <w:pPr>
        <w:widowControl w:val="0"/>
        <w:rPr>
          <w:sz w:val="20"/>
          <w:szCs w:val="20"/>
          <w:lang w:val="en-US"/>
        </w:rPr>
      </w:pPr>
    </w:p>
    <w:p w:rsidR="00D94028" w:rsidRPr="009D287C" w:rsidRDefault="00D94028" w:rsidP="002E2327">
      <w:pPr>
        <w:widowControl w:val="0"/>
        <w:rPr>
          <w:sz w:val="20"/>
          <w:szCs w:val="20"/>
        </w:rPr>
      </w:pPr>
    </w:p>
    <w:p w:rsidR="00D94028" w:rsidRPr="009D287C" w:rsidRDefault="00D94028" w:rsidP="002E2327">
      <w:pPr>
        <w:widowControl w:val="0"/>
        <w:rPr>
          <w:sz w:val="20"/>
          <w:szCs w:val="20"/>
        </w:rPr>
      </w:pPr>
    </w:p>
    <w:p w:rsidR="0044776A" w:rsidRPr="009D287C" w:rsidRDefault="0044776A" w:rsidP="002E2327">
      <w:pPr>
        <w:widowControl w:val="0"/>
        <w:spacing w:line="0" w:lineRule="atLeast"/>
        <w:rPr>
          <w:sz w:val="20"/>
          <w:szCs w:val="20"/>
        </w:rPr>
        <w:sectPr w:rsidR="0044776A" w:rsidRPr="009D287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46C6C" w:rsidTr="00ED7E83">
        <w:tc>
          <w:tcPr>
            <w:tcW w:w="4200" w:type="dxa"/>
            <w:tcMar>
              <w:left w:w="0" w:type="dxa"/>
              <w:right w:w="0" w:type="dxa"/>
            </w:tcMar>
          </w:tcPr>
          <w:p w:rsidR="008D292F" w:rsidRPr="009D287C" w:rsidRDefault="008D292F" w:rsidP="00ED7E83">
            <w:pPr>
              <w:keepNext/>
              <w:keepLines/>
              <w:jc w:val="both"/>
              <w:rPr>
                <w:b/>
                <w:szCs w:val="24"/>
              </w:rPr>
            </w:pPr>
            <w:bookmarkStart w:id="0" w:name="QuickMark_1"/>
            <w:bookmarkEnd w:id="0"/>
            <w:r w:rsidRPr="009D287C">
              <w:rPr>
                <w:b/>
                <w:szCs w:val="24"/>
              </w:rPr>
              <w:lastRenderedPageBreak/>
              <w:t>JUDGMENTS ON APPLICATIONS</w:t>
            </w:r>
          </w:p>
          <w:p w:rsidR="008D292F" w:rsidRPr="009D287C" w:rsidRDefault="008D292F" w:rsidP="00ED7E83">
            <w:pPr>
              <w:keepNext/>
              <w:keepLines/>
              <w:jc w:val="both"/>
              <w:rPr>
                <w:b/>
                <w:szCs w:val="24"/>
              </w:rPr>
            </w:pPr>
            <w:r w:rsidRPr="009D287C">
              <w:rPr>
                <w:b/>
                <w:szCs w:val="24"/>
              </w:rPr>
              <w:t>FOR LEAVE</w:t>
            </w:r>
          </w:p>
        </w:tc>
        <w:tc>
          <w:tcPr>
            <w:tcW w:w="1200" w:type="dxa"/>
            <w:tcMar>
              <w:left w:w="0" w:type="dxa"/>
              <w:right w:w="0" w:type="dxa"/>
            </w:tcMar>
          </w:tcPr>
          <w:p w:rsidR="008D292F" w:rsidRPr="009D287C" w:rsidRDefault="008D292F" w:rsidP="008D292F">
            <w:pPr>
              <w:keepNext/>
              <w:keepLines/>
              <w:jc w:val="center"/>
              <w:rPr>
                <w:b/>
                <w:szCs w:val="24"/>
              </w:rPr>
            </w:pPr>
          </w:p>
          <w:p w:rsidR="008D292F" w:rsidRPr="009D287C" w:rsidRDefault="008D292F" w:rsidP="008D292F">
            <w:pPr>
              <w:keepNext/>
              <w:keepLines/>
              <w:jc w:val="center"/>
              <w:rPr>
                <w:b/>
                <w:szCs w:val="24"/>
              </w:rPr>
            </w:pPr>
          </w:p>
          <w:p w:rsidR="008D292F" w:rsidRPr="009D287C" w:rsidRDefault="008D292F" w:rsidP="008D292F">
            <w:pPr>
              <w:keepNext/>
              <w:keepLines/>
              <w:jc w:val="center"/>
              <w:rPr>
                <w:b/>
                <w:szCs w:val="24"/>
              </w:rPr>
            </w:pPr>
          </w:p>
        </w:tc>
        <w:tc>
          <w:tcPr>
            <w:tcW w:w="4080" w:type="dxa"/>
            <w:tcMar>
              <w:left w:w="0" w:type="dxa"/>
              <w:right w:w="0" w:type="dxa"/>
            </w:tcMar>
          </w:tcPr>
          <w:p w:rsidR="008D292F" w:rsidRPr="009D287C" w:rsidRDefault="008D292F" w:rsidP="00ED7E83">
            <w:pPr>
              <w:keepNext/>
              <w:keepLines/>
              <w:jc w:val="both"/>
              <w:rPr>
                <w:b/>
                <w:szCs w:val="24"/>
                <w:lang w:val="fr-CA"/>
              </w:rPr>
            </w:pPr>
            <w:r w:rsidRPr="009D287C">
              <w:rPr>
                <w:b/>
                <w:szCs w:val="24"/>
                <w:lang w:val="fr-CA"/>
              </w:rPr>
              <w:t>JUGEMENTS RENDUS SUR LES DEMANDES D’AUTORISATION</w:t>
            </w:r>
          </w:p>
        </w:tc>
      </w:tr>
    </w:tbl>
    <w:p w:rsidR="008D292F" w:rsidRPr="009D287C" w:rsidRDefault="008D292F" w:rsidP="008D292F">
      <w:pPr>
        <w:rPr>
          <w:sz w:val="20"/>
          <w:szCs w:val="20"/>
          <w:lang w:val="fr-CA"/>
        </w:rPr>
      </w:pPr>
    </w:p>
    <w:p w:rsidR="000E2959" w:rsidRPr="009D287C" w:rsidRDefault="00CB45E1" w:rsidP="000E2959">
      <w:pPr>
        <w:rPr>
          <w:b/>
          <w:sz w:val="20"/>
          <w:szCs w:val="20"/>
        </w:rPr>
      </w:pPr>
      <w:r w:rsidRPr="009D287C">
        <w:rPr>
          <w:b/>
          <w:sz w:val="20"/>
          <w:szCs w:val="20"/>
        </w:rPr>
        <w:t>DECEMBER 8</w:t>
      </w:r>
      <w:r w:rsidR="000E2959" w:rsidRPr="009D287C">
        <w:rPr>
          <w:b/>
          <w:sz w:val="20"/>
          <w:szCs w:val="20"/>
        </w:rPr>
        <w:t xml:space="preserve">, </w:t>
      </w:r>
      <w:r w:rsidR="0030050B" w:rsidRPr="009D287C">
        <w:rPr>
          <w:b/>
          <w:sz w:val="20"/>
          <w:szCs w:val="20"/>
        </w:rPr>
        <w:t>2016</w:t>
      </w:r>
      <w:r w:rsidR="000E2959" w:rsidRPr="009D287C">
        <w:rPr>
          <w:b/>
          <w:sz w:val="20"/>
          <w:szCs w:val="20"/>
        </w:rPr>
        <w:t xml:space="preserve"> / LE </w:t>
      </w:r>
      <w:r w:rsidRPr="009D287C">
        <w:rPr>
          <w:b/>
          <w:sz w:val="20"/>
          <w:szCs w:val="20"/>
        </w:rPr>
        <w:t>8 DÉCEMBRE</w:t>
      </w:r>
      <w:r w:rsidR="000E2959" w:rsidRPr="009D287C">
        <w:rPr>
          <w:b/>
          <w:sz w:val="20"/>
          <w:szCs w:val="20"/>
        </w:rPr>
        <w:t xml:space="preserve"> </w:t>
      </w:r>
      <w:r w:rsidR="0030050B" w:rsidRPr="009D287C">
        <w:rPr>
          <w:b/>
          <w:sz w:val="20"/>
          <w:szCs w:val="20"/>
        </w:rPr>
        <w:t>2016</w:t>
      </w:r>
    </w:p>
    <w:p w:rsidR="000E2959" w:rsidRPr="009D287C"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62A7" w:rsidRPr="009D287C" w:rsidTr="003956FF">
        <w:tc>
          <w:tcPr>
            <w:tcW w:w="543" w:type="pct"/>
          </w:tcPr>
          <w:p w:rsidR="007A62A7" w:rsidRPr="009D287C" w:rsidRDefault="007A62A7" w:rsidP="003956FF">
            <w:pPr>
              <w:jc w:val="both"/>
              <w:rPr>
                <w:sz w:val="20"/>
              </w:rPr>
            </w:pPr>
            <w:r w:rsidRPr="009D287C">
              <w:rPr>
                <w:rStyle w:val="SCCFileNumberChar"/>
                <w:sz w:val="20"/>
                <w:szCs w:val="20"/>
              </w:rPr>
              <w:t>37078</w:t>
            </w:r>
          </w:p>
        </w:tc>
        <w:tc>
          <w:tcPr>
            <w:tcW w:w="4457" w:type="pct"/>
            <w:gridSpan w:val="3"/>
          </w:tcPr>
          <w:p w:rsidR="007A62A7" w:rsidRPr="009D287C" w:rsidRDefault="007A62A7" w:rsidP="003956FF">
            <w:pPr>
              <w:pStyle w:val="SCCLsocParty"/>
              <w:jc w:val="both"/>
              <w:rPr>
                <w:b/>
                <w:sz w:val="20"/>
                <w:szCs w:val="20"/>
                <w:lang w:val="en-US"/>
              </w:rPr>
            </w:pPr>
            <w:r w:rsidRPr="009D287C">
              <w:rPr>
                <w:b/>
                <w:sz w:val="20"/>
                <w:szCs w:val="20"/>
                <w:lang w:val="en-US"/>
              </w:rPr>
              <w:t>Her Majesty the Queen v. Gerald Arnold Mustard</w:t>
            </w:r>
          </w:p>
          <w:p w:rsidR="007A62A7" w:rsidRPr="009D287C" w:rsidRDefault="007A62A7" w:rsidP="003956FF">
            <w:pPr>
              <w:jc w:val="both"/>
              <w:rPr>
                <w:sz w:val="20"/>
              </w:rPr>
            </w:pPr>
            <w:r w:rsidRPr="009D287C">
              <w:rPr>
                <w:sz w:val="20"/>
              </w:rPr>
              <w:t>(Man.) (Criminal) (By Leave)</w:t>
            </w:r>
          </w:p>
        </w:tc>
      </w:tr>
      <w:tr w:rsidR="007A62A7" w:rsidRPr="009D287C" w:rsidTr="003956FF">
        <w:tc>
          <w:tcPr>
            <w:tcW w:w="543" w:type="pct"/>
          </w:tcPr>
          <w:p w:rsidR="007A62A7" w:rsidRPr="009D287C" w:rsidRDefault="007A62A7" w:rsidP="007A62A7">
            <w:pPr>
              <w:jc w:val="both"/>
              <w:rPr>
                <w:rStyle w:val="SCCFileNumberChar"/>
                <w:b w:val="0"/>
                <w:sz w:val="20"/>
                <w:szCs w:val="20"/>
              </w:rPr>
            </w:pPr>
            <w:r w:rsidRPr="009D287C">
              <w:rPr>
                <w:rStyle w:val="SCCFileNumberChar"/>
                <w:b w:val="0"/>
                <w:sz w:val="20"/>
                <w:szCs w:val="20"/>
              </w:rPr>
              <w:t xml:space="preserve">Coram: </w:t>
            </w:r>
          </w:p>
        </w:tc>
        <w:tc>
          <w:tcPr>
            <w:tcW w:w="4457" w:type="pct"/>
            <w:gridSpan w:val="3"/>
          </w:tcPr>
          <w:p w:rsidR="007A62A7" w:rsidRPr="009D287C" w:rsidRDefault="007A62A7" w:rsidP="007A62A7">
            <w:pPr>
              <w:rPr>
                <w:rFonts w:eastAsia="Calibri" w:cs="Times New Roman"/>
                <w:sz w:val="20"/>
                <w:szCs w:val="20"/>
                <w:u w:val="single"/>
              </w:rPr>
            </w:pPr>
            <w:r w:rsidRPr="009D287C">
              <w:rPr>
                <w:rFonts w:eastAsia="Calibri" w:cs="Times New Roman"/>
                <w:sz w:val="20"/>
                <w:szCs w:val="20"/>
                <w:u w:val="single"/>
              </w:rPr>
              <w:t>Abella, Karakatsanis and Brown JJ.</w:t>
            </w:r>
          </w:p>
          <w:p w:rsidR="007F461A" w:rsidRPr="009D287C" w:rsidRDefault="007F461A" w:rsidP="007A62A7"/>
        </w:tc>
      </w:tr>
      <w:tr w:rsidR="007A62A7" w:rsidRPr="009D287C" w:rsidTr="003956FF">
        <w:tc>
          <w:tcPr>
            <w:tcW w:w="5000" w:type="pct"/>
            <w:gridSpan w:val="4"/>
          </w:tcPr>
          <w:p w:rsidR="007A62A7" w:rsidRPr="009D287C" w:rsidRDefault="007F461A" w:rsidP="007A62A7">
            <w:pPr>
              <w:jc w:val="both"/>
              <w:rPr>
                <w:sz w:val="20"/>
                <w:szCs w:val="20"/>
              </w:rPr>
            </w:pPr>
            <w:r w:rsidRPr="009D287C">
              <w:rPr>
                <w:sz w:val="20"/>
                <w:szCs w:val="20"/>
              </w:rPr>
              <w:t>The motion for an extension of time to serve and file an amended notice of application for leave to appeal is granted. The application for leave to appeal from the judgment of the</w:t>
            </w:r>
            <w:bookmarkStart w:id="1" w:name="BM_1_"/>
            <w:bookmarkEnd w:id="1"/>
            <w:r w:rsidRPr="009D287C">
              <w:rPr>
                <w:sz w:val="20"/>
                <w:szCs w:val="20"/>
              </w:rPr>
              <w:t xml:space="preserve"> Court of Appeal of Manitoba, Number AR 15-30-08403, 2016 MBCA 40, dated April 19, 2016, is dismissed.</w:t>
            </w:r>
          </w:p>
          <w:p w:rsidR="007F461A" w:rsidRPr="009D287C" w:rsidRDefault="007F461A" w:rsidP="007A62A7">
            <w:pPr>
              <w:jc w:val="both"/>
              <w:rPr>
                <w:sz w:val="20"/>
                <w:szCs w:val="20"/>
              </w:rPr>
            </w:pPr>
          </w:p>
        </w:tc>
      </w:tr>
      <w:tr w:rsidR="007A62A7" w:rsidRPr="009D287C" w:rsidTr="003956FF">
        <w:tc>
          <w:tcPr>
            <w:tcW w:w="5000" w:type="pct"/>
            <w:gridSpan w:val="4"/>
          </w:tcPr>
          <w:p w:rsidR="007A62A7" w:rsidRPr="009D287C" w:rsidRDefault="007A62A7" w:rsidP="007A62A7">
            <w:pPr>
              <w:jc w:val="both"/>
              <w:rPr>
                <w:sz w:val="20"/>
              </w:rPr>
            </w:pPr>
            <w:r w:rsidRPr="009D287C">
              <w:rPr>
                <w:sz w:val="20"/>
              </w:rPr>
              <w:t>Criminal law – Defences – Self-defence – Evidence – Accused convicted of manslaughter for stabbing deceased following altercation – Accused not testifying at trial but raising possibility of self-defence – Trial judge finding no air of reality to asserted claim of self-defence and refusing to put self-defence before jury – Court of Appeal overturning conviction and ordering new trial – Whether Court of Appeal erred in overturning trial judge’s decision not to leave self-defence with jury.</w:t>
            </w:r>
          </w:p>
        </w:tc>
      </w:tr>
      <w:tr w:rsidR="007A62A7" w:rsidRPr="009D287C" w:rsidTr="003956FF">
        <w:tc>
          <w:tcPr>
            <w:tcW w:w="5000" w:type="pct"/>
            <w:gridSpan w:val="4"/>
          </w:tcPr>
          <w:p w:rsidR="007A62A7" w:rsidRPr="009D287C" w:rsidRDefault="007A62A7" w:rsidP="007A62A7">
            <w:pPr>
              <w:jc w:val="both"/>
              <w:rPr>
                <w:sz w:val="20"/>
              </w:rPr>
            </w:pPr>
          </w:p>
        </w:tc>
      </w:tr>
      <w:tr w:rsidR="007A62A7" w:rsidRPr="009D287C" w:rsidTr="003956FF">
        <w:tc>
          <w:tcPr>
            <w:tcW w:w="5000" w:type="pct"/>
            <w:gridSpan w:val="4"/>
          </w:tcPr>
          <w:p w:rsidR="007A62A7" w:rsidRPr="009D287C" w:rsidRDefault="007A62A7" w:rsidP="007A62A7">
            <w:pPr>
              <w:jc w:val="both"/>
              <w:rPr>
                <w:sz w:val="20"/>
              </w:rPr>
            </w:pPr>
            <w:r w:rsidRPr="009D287C">
              <w:rPr>
                <w:sz w:val="20"/>
              </w:rPr>
              <w:t xml:space="preserve">The accused, Mr. Mustard, was tried by a judge and jury for second degree murder for a fatal stabbing during an altercation. The Crown’s theory was that the accused stabbed the deceased while the two men were standing, as Mr. Mustard was seen advancing towards the deceased while holding a knife and making a “punching motion” in his direction. The accused did not testify at trial but raised the issue of self-defence, arguing that weaknesses in the Crown’s evidence supported an alternative inference – i.e., that the stabbing occurred on the ground, when the deceased was choking the accused. The trial judge refused to put self-defence before the jury, finding that there was no “air of reality” to the claim. Mr. Mustard was convicted of manslaughter. He appealed on the grounds that the judge erred by refusing to instruct the jury on self-defence. </w:t>
            </w:r>
          </w:p>
          <w:p w:rsidR="007A62A7" w:rsidRPr="009D287C" w:rsidRDefault="007A62A7" w:rsidP="007A62A7">
            <w:pPr>
              <w:jc w:val="both"/>
              <w:rPr>
                <w:sz w:val="20"/>
              </w:rPr>
            </w:pPr>
          </w:p>
          <w:p w:rsidR="007A62A7" w:rsidRPr="009D287C" w:rsidRDefault="007A62A7" w:rsidP="007A62A7">
            <w:pPr>
              <w:jc w:val="both"/>
              <w:rPr>
                <w:sz w:val="20"/>
              </w:rPr>
            </w:pPr>
            <w:r w:rsidRPr="009D287C">
              <w:rPr>
                <w:sz w:val="20"/>
              </w:rPr>
              <w:t xml:space="preserve">The Court of Appeal unanimously allowed the appeal, quashed the conviction, and ordered a new trial, finding that there was in fact circumstantial evidence reasonably capable of supporting the inference that the stabbing occurred while the two men were on the ground. The Court of Appeal found that the trial judge erred by refusing to instruct the jury with respect to the accused’s claim of self-defence, by exceeding her role and engaging in a substantive weighing of the evidence, and by failing to assume the truth of the evidence that tended to support the claim of self-defence. </w:t>
            </w:r>
          </w:p>
          <w:p w:rsidR="007A62A7" w:rsidRPr="009D287C" w:rsidRDefault="007A62A7" w:rsidP="007A62A7">
            <w:pPr>
              <w:jc w:val="both"/>
              <w:rPr>
                <w:sz w:val="20"/>
              </w:rPr>
            </w:pPr>
          </w:p>
        </w:tc>
      </w:tr>
      <w:tr w:rsidR="007A62A7" w:rsidRPr="009D287C" w:rsidTr="003956FF">
        <w:tc>
          <w:tcPr>
            <w:tcW w:w="2427" w:type="pct"/>
            <w:gridSpan w:val="2"/>
          </w:tcPr>
          <w:p w:rsidR="007A62A7" w:rsidRPr="009D287C" w:rsidRDefault="007A62A7" w:rsidP="007A62A7">
            <w:pPr>
              <w:jc w:val="both"/>
              <w:rPr>
                <w:sz w:val="20"/>
              </w:rPr>
            </w:pPr>
            <w:r w:rsidRPr="009D287C">
              <w:rPr>
                <w:sz w:val="20"/>
              </w:rPr>
              <w:t>April 22, 2015</w:t>
            </w:r>
          </w:p>
          <w:p w:rsidR="007A62A7" w:rsidRPr="009D287C" w:rsidRDefault="007A62A7" w:rsidP="007A62A7">
            <w:pPr>
              <w:jc w:val="both"/>
              <w:rPr>
                <w:sz w:val="20"/>
              </w:rPr>
            </w:pPr>
            <w:r w:rsidRPr="009D287C">
              <w:rPr>
                <w:sz w:val="20"/>
              </w:rPr>
              <w:t>Court of Queen’s Bench of Manitoba</w:t>
            </w:r>
          </w:p>
          <w:p w:rsidR="007A62A7" w:rsidRPr="009D287C" w:rsidRDefault="007A62A7" w:rsidP="007A62A7">
            <w:pPr>
              <w:jc w:val="both"/>
              <w:rPr>
                <w:sz w:val="20"/>
              </w:rPr>
            </w:pPr>
            <w:r w:rsidRPr="009D287C">
              <w:rPr>
                <w:sz w:val="20"/>
              </w:rPr>
              <w:t>(Greenberg J.)</w:t>
            </w:r>
          </w:p>
          <w:p w:rsidR="007A62A7" w:rsidRPr="009D287C" w:rsidRDefault="00346C6C" w:rsidP="007A62A7">
            <w:pPr>
              <w:jc w:val="both"/>
              <w:rPr>
                <w:sz w:val="20"/>
              </w:rPr>
            </w:pPr>
            <w:hyperlink r:id="rId24" w:history="1">
              <w:r w:rsidR="007A62A7" w:rsidRPr="009D287C">
                <w:rPr>
                  <w:rStyle w:val="Hyperlink"/>
                  <w:sz w:val="20"/>
                </w:rPr>
                <w:t>2015 MBQB 99</w:t>
              </w:r>
            </w:hyperlink>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Judge finding no “air of reality” to claim of self-defence; self-defence not put to jury</w:t>
            </w:r>
          </w:p>
          <w:p w:rsidR="007A62A7" w:rsidRPr="009D287C" w:rsidRDefault="007A62A7" w:rsidP="007A62A7">
            <w:pPr>
              <w:jc w:val="both"/>
              <w:rPr>
                <w:sz w:val="20"/>
              </w:rPr>
            </w:pPr>
          </w:p>
          <w:p w:rsidR="007A62A7" w:rsidRPr="009D287C" w:rsidRDefault="007A62A7" w:rsidP="007A62A7">
            <w:pPr>
              <w:jc w:val="both"/>
              <w:rPr>
                <w:sz w:val="20"/>
              </w:rPr>
            </w:pPr>
          </w:p>
        </w:tc>
      </w:tr>
      <w:tr w:rsidR="007A62A7" w:rsidRPr="009D287C" w:rsidTr="003956FF">
        <w:tc>
          <w:tcPr>
            <w:tcW w:w="2427" w:type="pct"/>
            <w:gridSpan w:val="2"/>
          </w:tcPr>
          <w:p w:rsidR="007A62A7" w:rsidRPr="009D287C" w:rsidRDefault="007A62A7" w:rsidP="007A62A7">
            <w:pPr>
              <w:jc w:val="both"/>
              <w:rPr>
                <w:sz w:val="20"/>
              </w:rPr>
            </w:pPr>
            <w:r w:rsidRPr="009D287C">
              <w:rPr>
                <w:sz w:val="20"/>
              </w:rPr>
              <w:t>April 23, 2015</w:t>
            </w:r>
          </w:p>
          <w:p w:rsidR="007A62A7" w:rsidRPr="009D287C" w:rsidRDefault="007A62A7" w:rsidP="007A62A7">
            <w:pPr>
              <w:jc w:val="both"/>
              <w:rPr>
                <w:sz w:val="20"/>
              </w:rPr>
            </w:pPr>
            <w:r w:rsidRPr="009D287C">
              <w:rPr>
                <w:sz w:val="20"/>
              </w:rPr>
              <w:t>Court of Queen’s Bench of Manitoba</w:t>
            </w:r>
          </w:p>
          <w:p w:rsidR="007A62A7" w:rsidRPr="009D287C" w:rsidRDefault="007A62A7" w:rsidP="007A62A7">
            <w:pPr>
              <w:jc w:val="both"/>
              <w:rPr>
                <w:sz w:val="20"/>
              </w:rPr>
            </w:pPr>
            <w:r w:rsidRPr="009D287C">
              <w:rPr>
                <w:sz w:val="20"/>
              </w:rPr>
              <w:t>(conviction by jury)</w:t>
            </w:r>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Accused convicted by jury of manslaughter</w:t>
            </w:r>
          </w:p>
          <w:p w:rsidR="007A62A7" w:rsidRPr="009D287C" w:rsidRDefault="007A62A7" w:rsidP="007A62A7">
            <w:pPr>
              <w:jc w:val="both"/>
              <w:rPr>
                <w:sz w:val="20"/>
              </w:rPr>
            </w:pPr>
          </w:p>
        </w:tc>
      </w:tr>
      <w:tr w:rsidR="007A62A7" w:rsidRPr="009D287C" w:rsidTr="003956FF">
        <w:tc>
          <w:tcPr>
            <w:tcW w:w="2427" w:type="pct"/>
            <w:gridSpan w:val="2"/>
          </w:tcPr>
          <w:p w:rsidR="007A62A7" w:rsidRPr="009D287C" w:rsidRDefault="007A62A7" w:rsidP="007A62A7">
            <w:pPr>
              <w:jc w:val="both"/>
              <w:rPr>
                <w:sz w:val="20"/>
              </w:rPr>
            </w:pPr>
            <w:r w:rsidRPr="009D287C">
              <w:rPr>
                <w:sz w:val="20"/>
              </w:rPr>
              <w:t>April 19, 2016</w:t>
            </w:r>
          </w:p>
          <w:p w:rsidR="007A62A7" w:rsidRPr="009D287C" w:rsidRDefault="007A62A7" w:rsidP="007A62A7">
            <w:pPr>
              <w:jc w:val="both"/>
              <w:rPr>
                <w:sz w:val="20"/>
              </w:rPr>
            </w:pPr>
            <w:r w:rsidRPr="009D287C">
              <w:rPr>
                <w:sz w:val="20"/>
              </w:rPr>
              <w:t>Court of Appeal of Manitoba</w:t>
            </w:r>
          </w:p>
          <w:p w:rsidR="007A62A7" w:rsidRPr="009D287C" w:rsidRDefault="007A62A7" w:rsidP="007A62A7">
            <w:pPr>
              <w:jc w:val="both"/>
              <w:rPr>
                <w:sz w:val="20"/>
              </w:rPr>
            </w:pPr>
            <w:r w:rsidRPr="009D287C">
              <w:rPr>
                <w:sz w:val="20"/>
              </w:rPr>
              <w:t xml:space="preserve">(Monnin, Steel and </w:t>
            </w:r>
            <w:proofErr w:type="spellStart"/>
            <w:r w:rsidRPr="009D287C">
              <w:rPr>
                <w:sz w:val="20"/>
              </w:rPr>
              <w:t>Mainella</w:t>
            </w:r>
            <w:proofErr w:type="spellEnd"/>
            <w:r w:rsidRPr="009D287C">
              <w:rPr>
                <w:sz w:val="20"/>
              </w:rPr>
              <w:t xml:space="preserve"> JJ.A.)</w:t>
            </w:r>
          </w:p>
          <w:p w:rsidR="007A62A7" w:rsidRPr="009D287C" w:rsidRDefault="00346C6C" w:rsidP="007A62A7">
            <w:pPr>
              <w:jc w:val="both"/>
              <w:rPr>
                <w:sz w:val="20"/>
              </w:rPr>
            </w:pPr>
            <w:hyperlink r:id="rId25" w:history="1">
              <w:r w:rsidR="007A62A7" w:rsidRPr="009D287C">
                <w:rPr>
                  <w:rStyle w:val="Hyperlink"/>
                  <w:sz w:val="20"/>
                </w:rPr>
                <w:t>2016 MBCA 40</w:t>
              </w:r>
            </w:hyperlink>
            <w:r w:rsidR="007A62A7" w:rsidRPr="009D287C">
              <w:rPr>
                <w:sz w:val="20"/>
              </w:rPr>
              <w:t xml:space="preserve"> </w:t>
            </w:r>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Appeal allowed (“air of reality” threshold for self-defence was met); conviction quashed and new trial ordered</w:t>
            </w:r>
          </w:p>
          <w:p w:rsidR="007A62A7" w:rsidRPr="009D287C" w:rsidRDefault="007A62A7" w:rsidP="007A62A7">
            <w:pPr>
              <w:jc w:val="both"/>
              <w:rPr>
                <w:sz w:val="20"/>
              </w:rPr>
            </w:pPr>
          </w:p>
        </w:tc>
      </w:tr>
      <w:tr w:rsidR="007A62A7" w:rsidRPr="009D287C" w:rsidTr="003956FF">
        <w:tc>
          <w:tcPr>
            <w:tcW w:w="2427" w:type="pct"/>
            <w:gridSpan w:val="2"/>
          </w:tcPr>
          <w:p w:rsidR="007A62A7" w:rsidRPr="009D287C" w:rsidRDefault="007A62A7" w:rsidP="007A62A7">
            <w:pPr>
              <w:jc w:val="both"/>
              <w:rPr>
                <w:sz w:val="20"/>
              </w:rPr>
            </w:pPr>
            <w:r w:rsidRPr="009D287C">
              <w:rPr>
                <w:sz w:val="20"/>
              </w:rPr>
              <w:t>June 17, 2016</w:t>
            </w:r>
          </w:p>
          <w:p w:rsidR="007A62A7" w:rsidRPr="009D287C" w:rsidRDefault="007A62A7" w:rsidP="007A62A7">
            <w:pPr>
              <w:jc w:val="both"/>
              <w:rPr>
                <w:sz w:val="20"/>
              </w:rPr>
            </w:pPr>
            <w:r w:rsidRPr="009D287C">
              <w:rPr>
                <w:sz w:val="20"/>
              </w:rPr>
              <w:t>Supreme Court of Canada</w:t>
            </w:r>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Initial application for leave to appeal filed by Crown</w:t>
            </w:r>
          </w:p>
        </w:tc>
      </w:tr>
      <w:tr w:rsidR="007A62A7" w:rsidRPr="009D287C" w:rsidTr="003956FF">
        <w:tc>
          <w:tcPr>
            <w:tcW w:w="2427" w:type="pct"/>
            <w:gridSpan w:val="2"/>
          </w:tcPr>
          <w:p w:rsidR="007A62A7" w:rsidRPr="009D287C" w:rsidRDefault="007A62A7" w:rsidP="007A62A7">
            <w:pPr>
              <w:jc w:val="both"/>
              <w:rPr>
                <w:sz w:val="20"/>
              </w:rPr>
            </w:pPr>
            <w:r w:rsidRPr="009D287C">
              <w:rPr>
                <w:sz w:val="20"/>
              </w:rPr>
              <w:lastRenderedPageBreak/>
              <w:t>November 8, 2016</w:t>
            </w:r>
          </w:p>
          <w:p w:rsidR="007A62A7" w:rsidRPr="009D287C" w:rsidRDefault="007A62A7" w:rsidP="007A62A7">
            <w:pPr>
              <w:jc w:val="both"/>
              <w:rPr>
                <w:sz w:val="20"/>
              </w:rPr>
            </w:pPr>
            <w:r w:rsidRPr="009D287C">
              <w:rPr>
                <w:sz w:val="20"/>
              </w:rPr>
              <w:t>Supreme Court of Canada</w:t>
            </w: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Motion for extension of time in which to serve and file application for leave to appeal, and amended application for leave to appeal, filed by Crown</w:t>
            </w:r>
          </w:p>
        </w:tc>
      </w:tr>
    </w:tbl>
    <w:p w:rsidR="007A62A7" w:rsidRPr="009D287C" w:rsidRDefault="00346C6C" w:rsidP="007A62A7">
      <w:pPr>
        <w:jc w:val="both"/>
        <w:rPr>
          <w:sz w:val="20"/>
        </w:rPr>
      </w:pPr>
      <w:r>
        <w:rPr>
          <w:sz w:val="20"/>
          <w:szCs w:val="20"/>
        </w:rPr>
        <w:pict>
          <v:rect id="_x0000_i1035" style="width:2in;height:1pt" o:hrpct="0" o:hralign="center" o:hrstd="t" o:hrnoshade="t" o:hr="t" fillcolor="black" stroked="f"/>
        </w:pict>
      </w:r>
    </w:p>
    <w:p w:rsidR="007A62A7" w:rsidRPr="009D287C" w:rsidRDefault="007A62A7" w:rsidP="007A62A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62A7" w:rsidRPr="009D287C" w:rsidTr="003956FF">
        <w:tc>
          <w:tcPr>
            <w:tcW w:w="543" w:type="pct"/>
          </w:tcPr>
          <w:p w:rsidR="007A62A7" w:rsidRPr="009D287C" w:rsidRDefault="007A62A7" w:rsidP="003956FF">
            <w:pPr>
              <w:jc w:val="both"/>
              <w:rPr>
                <w:sz w:val="20"/>
                <w:lang w:val="fr-CA"/>
              </w:rPr>
            </w:pPr>
            <w:r w:rsidRPr="009D287C">
              <w:rPr>
                <w:rStyle w:val="SCCFileNumberChar"/>
                <w:sz w:val="20"/>
                <w:szCs w:val="20"/>
                <w:lang w:val="fr-CA"/>
              </w:rPr>
              <w:t>37078</w:t>
            </w:r>
          </w:p>
        </w:tc>
        <w:tc>
          <w:tcPr>
            <w:tcW w:w="4457" w:type="pct"/>
            <w:gridSpan w:val="3"/>
          </w:tcPr>
          <w:p w:rsidR="007A62A7" w:rsidRPr="009D287C" w:rsidRDefault="007A62A7" w:rsidP="003956FF">
            <w:pPr>
              <w:pStyle w:val="SCCLsocParty"/>
              <w:jc w:val="both"/>
              <w:rPr>
                <w:b/>
                <w:sz w:val="20"/>
                <w:szCs w:val="20"/>
              </w:rPr>
            </w:pPr>
            <w:r w:rsidRPr="009D287C">
              <w:rPr>
                <w:b/>
                <w:sz w:val="20"/>
                <w:szCs w:val="20"/>
              </w:rPr>
              <w:t xml:space="preserve">Sa Majesté la Reine c. Gerald Arnold </w:t>
            </w:r>
            <w:proofErr w:type="spellStart"/>
            <w:r w:rsidRPr="009D287C">
              <w:rPr>
                <w:b/>
                <w:sz w:val="20"/>
                <w:szCs w:val="20"/>
              </w:rPr>
              <w:t>Mustard</w:t>
            </w:r>
            <w:proofErr w:type="spellEnd"/>
          </w:p>
          <w:p w:rsidR="007A62A7" w:rsidRPr="009D287C" w:rsidRDefault="007A62A7" w:rsidP="003956FF">
            <w:pPr>
              <w:jc w:val="both"/>
              <w:rPr>
                <w:sz w:val="20"/>
                <w:lang w:val="fr-CA"/>
              </w:rPr>
            </w:pPr>
            <w:r w:rsidRPr="009D287C">
              <w:rPr>
                <w:sz w:val="20"/>
                <w:lang w:val="fr-CA"/>
              </w:rPr>
              <w:t>(Man.) (Criminelle) (Sur autorisation)</w:t>
            </w:r>
          </w:p>
        </w:tc>
      </w:tr>
      <w:tr w:rsidR="007A62A7" w:rsidRPr="00346C6C" w:rsidTr="003956FF">
        <w:tc>
          <w:tcPr>
            <w:tcW w:w="543" w:type="pct"/>
          </w:tcPr>
          <w:p w:rsidR="007A62A7" w:rsidRPr="009D287C" w:rsidRDefault="007A62A7" w:rsidP="007A62A7">
            <w:pPr>
              <w:jc w:val="both"/>
              <w:rPr>
                <w:rStyle w:val="SCCFileNumberChar"/>
                <w:b w:val="0"/>
                <w:sz w:val="20"/>
                <w:szCs w:val="20"/>
              </w:rPr>
            </w:pPr>
            <w:r w:rsidRPr="009D287C">
              <w:rPr>
                <w:rStyle w:val="SCCFileNumberChar"/>
                <w:b w:val="0"/>
                <w:sz w:val="20"/>
                <w:szCs w:val="20"/>
              </w:rPr>
              <w:t xml:space="preserve">Coram: </w:t>
            </w:r>
          </w:p>
        </w:tc>
        <w:tc>
          <w:tcPr>
            <w:tcW w:w="4457" w:type="pct"/>
            <w:gridSpan w:val="3"/>
          </w:tcPr>
          <w:p w:rsidR="007A62A7" w:rsidRPr="009D287C" w:rsidRDefault="007F461A" w:rsidP="007A62A7">
            <w:pPr>
              <w:rPr>
                <w:rFonts w:eastAsia="Calibri" w:cs="Times New Roman"/>
                <w:sz w:val="20"/>
                <w:szCs w:val="20"/>
                <w:u w:val="single"/>
                <w:lang w:val="fr-CA"/>
              </w:rPr>
            </w:pPr>
            <w:r w:rsidRPr="009D287C">
              <w:rPr>
                <w:rFonts w:eastAsia="Calibri" w:cs="Times New Roman"/>
                <w:sz w:val="20"/>
                <w:szCs w:val="20"/>
                <w:u w:val="single"/>
                <w:lang w:val="fr-CA"/>
              </w:rPr>
              <w:t xml:space="preserve">Les juges </w:t>
            </w:r>
            <w:r w:rsidR="007A62A7" w:rsidRPr="009D287C">
              <w:rPr>
                <w:rFonts w:eastAsia="Calibri" w:cs="Times New Roman"/>
                <w:sz w:val="20"/>
                <w:szCs w:val="20"/>
                <w:u w:val="single"/>
                <w:lang w:val="fr-CA"/>
              </w:rPr>
              <w:t>Abella, Karakatsanis et Brown</w:t>
            </w:r>
          </w:p>
          <w:p w:rsidR="007F461A" w:rsidRPr="009D287C" w:rsidRDefault="007F461A" w:rsidP="007A62A7">
            <w:pPr>
              <w:rPr>
                <w:lang w:val="fr-CA"/>
              </w:rPr>
            </w:pPr>
          </w:p>
        </w:tc>
      </w:tr>
      <w:tr w:rsidR="007A62A7" w:rsidRPr="00346C6C" w:rsidTr="003956FF">
        <w:tc>
          <w:tcPr>
            <w:tcW w:w="5000" w:type="pct"/>
            <w:gridSpan w:val="4"/>
          </w:tcPr>
          <w:p w:rsidR="007A62A7" w:rsidRPr="009D287C" w:rsidRDefault="007F461A" w:rsidP="007A62A7">
            <w:pPr>
              <w:jc w:val="both"/>
              <w:rPr>
                <w:sz w:val="20"/>
                <w:szCs w:val="20"/>
                <w:lang w:val="fr-CA"/>
              </w:rPr>
            </w:pPr>
            <w:r w:rsidRPr="009D287C">
              <w:rPr>
                <w:sz w:val="20"/>
                <w:szCs w:val="20"/>
                <w:lang w:val="fr-CA"/>
              </w:rPr>
              <w:t xml:space="preserve">La requête en prorogation du délai de signification et de dépôt de l’avis modifié de la demande d’autorisation d’appel est accueillie. La demande d’autorisation d’appel de l’arrêt de la </w:t>
            </w:r>
            <w:r w:rsidRPr="009D287C">
              <w:rPr>
                <w:sz w:val="20"/>
                <w:szCs w:val="20"/>
                <w:lang w:val="fr-FR"/>
              </w:rPr>
              <w:t>Cour d’appel du Manitoba</w:t>
            </w:r>
            <w:r w:rsidRPr="009D287C">
              <w:rPr>
                <w:sz w:val="20"/>
                <w:szCs w:val="20"/>
                <w:lang w:val="fr-CA"/>
              </w:rPr>
              <w:t xml:space="preserve">, numéro </w:t>
            </w:r>
            <w:r w:rsidRPr="009D287C">
              <w:rPr>
                <w:sz w:val="20"/>
                <w:szCs w:val="20"/>
                <w:lang w:val="fr-FR"/>
              </w:rPr>
              <w:t>AR 15-30-08403, 2016 MBCA 40</w:t>
            </w:r>
            <w:r w:rsidRPr="009D287C">
              <w:rPr>
                <w:sz w:val="20"/>
                <w:szCs w:val="20"/>
                <w:lang w:val="fr-CA"/>
              </w:rPr>
              <w:t xml:space="preserve">, daté du </w:t>
            </w:r>
            <w:r w:rsidRPr="009D287C">
              <w:rPr>
                <w:sz w:val="20"/>
                <w:szCs w:val="20"/>
                <w:lang w:val="fr-FR"/>
              </w:rPr>
              <w:t>19 avril 2016</w:t>
            </w:r>
            <w:r w:rsidRPr="009D287C">
              <w:rPr>
                <w:sz w:val="20"/>
                <w:szCs w:val="20"/>
                <w:lang w:val="fr-CA"/>
              </w:rPr>
              <w:t>, est rejetée.</w:t>
            </w:r>
          </w:p>
          <w:p w:rsidR="007F461A" w:rsidRPr="009D287C" w:rsidRDefault="007F461A" w:rsidP="007A62A7">
            <w:pPr>
              <w:jc w:val="both"/>
              <w:rPr>
                <w:sz w:val="20"/>
                <w:szCs w:val="20"/>
                <w:lang w:val="fr-CA"/>
              </w:rPr>
            </w:pPr>
          </w:p>
        </w:tc>
      </w:tr>
      <w:tr w:rsidR="007A62A7" w:rsidRPr="00346C6C" w:rsidTr="003956FF">
        <w:tc>
          <w:tcPr>
            <w:tcW w:w="5000" w:type="pct"/>
            <w:gridSpan w:val="4"/>
          </w:tcPr>
          <w:p w:rsidR="007A62A7" w:rsidRPr="009D287C" w:rsidRDefault="007A62A7" w:rsidP="007A62A7">
            <w:pPr>
              <w:jc w:val="both"/>
              <w:rPr>
                <w:sz w:val="20"/>
                <w:lang w:val="fr-CA"/>
              </w:rPr>
            </w:pPr>
            <w:r w:rsidRPr="009D287C">
              <w:rPr>
                <w:sz w:val="20"/>
                <w:lang w:val="fr-CA"/>
              </w:rPr>
              <w:t>Droit criminel – Moyens de défense – Légitime défense – Preuve – L’accusé a été déclaré coupable d’homicide involontaire coupable pour avoir poignardé le défunt à la suite d’une altercation – L’accusé n’a pas témoigné à son procès, mais il a soulevé la possibilité de légitime défense – La juge du procès n’a accordé aucune vraisemblance au moyen de défense fondé sur la légitime défense et a refusé de présenter ce moyen au jury – La Cour d’appel a infirmé la déclaration de culpabilité et a ordonné la tenue d’un nouveau procès – La Cour d’appel a-t-elle eu tort d’infirmer la décision de la juge du procès de ne pas avoir laissé le jury considérer la légitime défense?</w:t>
            </w:r>
          </w:p>
        </w:tc>
      </w:tr>
      <w:tr w:rsidR="007A62A7" w:rsidRPr="00346C6C" w:rsidTr="003956FF">
        <w:tc>
          <w:tcPr>
            <w:tcW w:w="5000" w:type="pct"/>
            <w:gridSpan w:val="4"/>
          </w:tcPr>
          <w:p w:rsidR="007A62A7" w:rsidRPr="009D287C" w:rsidRDefault="007A62A7" w:rsidP="007A62A7">
            <w:pPr>
              <w:jc w:val="both"/>
              <w:rPr>
                <w:sz w:val="20"/>
                <w:lang w:val="fr-CA"/>
              </w:rPr>
            </w:pPr>
          </w:p>
        </w:tc>
      </w:tr>
      <w:tr w:rsidR="007A62A7" w:rsidRPr="00346C6C" w:rsidTr="003956FF">
        <w:tc>
          <w:tcPr>
            <w:tcW w:w="5000" w:type="pct"/>
            <w:gridSpan w:val="4"/>
          </w:tcPr>
          <w:p w:rsidR="007A62A7" w:rsidRPr="009D287C" w:rsidRDefault="007A62A7" w:rsidP="007A62A7">
            <w:pPr>
              <w:jc w:val="both"/>
              <w:rPr>
                <w:sz w:val="20"/>
                <w:lang w:val="fr-CA"/>
              </w:rPr>
            </w:pPr>
            <w:r w:rsidRPr="009D287C">
              <w:rPr>
                <w:sz w:val="20"/>
                <w:lang w:val="fr-CA"/>
              </w:rPr>
              <w:t>À l’issue d’un procès devant juge et jury, l’accusé, M. </w:t>
            </w:r>
            <w:proofErr w:type="spellStart"/>
            <w:r w:rsidRPr="009D287C">
              <w:rPr>
                <w:sz w:val="20"/>
                <w:lang w:val="fr-CA"/>
              </w:rPr>
              <w:t>Mustard</w:t>
            </w:r>
            <w:proofErr w:type="spellEnd"/>
            <w:r w:rsidRPr="009D287C">
              <w:rPr>
                <w:sz w:val="20"/>
                <w:lang w:val="fr-CA"/>
              </w:rPr>
              <w:t>, a été reconnu coupable de meurtre au deuxième degré pour avoir mortellement poignardé quelqu’un au cours d’une altercation. Selon la thèse du ministère public, l’accusé aurait poignardé le défunt alors que les deux hommes se tenaient debout, car on avait vu M. </w:t>
            </w:r>
            <w:proofErr w:type="spellStart"/>
            <w:r w:rsidRPr="009D287C">
              <w:rPr>
                <w:sz w:val="20"/>
                <w:lang w:val="fr-CA"/>
              </w:rPr>
              <w:t>Mustard</w:t>
            </w:r>
            <w:proofErr w:type="spellEnd"/>
            <w:r w:rsidRPr="009D287C">
              <w:rPr>
                <w:sz w:val="20"/>
                <w:lang w:val="fr-CA"/>
              </w:rPr>
              <w:t xml:space="preserve"> se dirigeant vers le défunt, brandissant un couteau dans sa direction. L’accusé n’a pas témoigné au procès, mais il a soulevé la question de la légitime défense, plaidant que les faiblesses dans la preuve du ministère public permettaient de tirer une autre conclusion, c’est-à-dire que le défunt avait été poignardé au sol pendant qu’il étouffait l’accusé. Le juge du procès a refusé de présenter la légitime défense au jury, n’accordant aucune vraisemblance à ce moyen de défense. Monsieur </w:t>
            </w:r>
            <w:proofErr w:type="spellStart"/>
            <w:r w:rsidRPr="009D287C">
              <w:rPr>
                <w:sz w:val="20"/>
                <w:lang w:val="fr-CA"/>
              </w:rPr>
              <w:t>Mustard</w:t>
            </w:r>
            <w:proofErr w:type="spellEnd"/>
            <w:r w:rsidRPr="009D287C">
              <w:rPr>
                <w:sz w:val="20"/>
                <w:lang w:val="fr-CA"/>
              </w:rPr>
              <w:t xml:space="preserve"> a été déclaré coupable d’homicide involontaire coupable. Il a interjeté appel, plaidant que la juge avait eu tort de refuser de donner au jury des directives sur la légitime défense. </w:t>
            </w:r>
          </w:p>
          <w:p w:rsidR="007A62A7" w:rsidRPr="009D287C" w:rsidRDefault="007A62A7" w:rsidP="007A62A7">
            <w:pPr>
              <w:jc w:val="both"/>
              <w:rPr>
                <w:sz w:val="20"/>
                <w:lang w:val="fr-CA"/>
              </w:rPr>
            </w:pPr>
          </w:p>
          <w:p w:rsidR="007A62A7" w:rsidRPr="009D287C" w:rsidRDefault="007A62A7" w:rsidP="007A62A7">
            <w:pPr>
              <w:jc w:val="both"/>
              <w:rPr>
                <w:sz w:val="20"/>
                <w:lang w:val="fr-CA"/>
              </w:rPr>
            </w:pPr>
            <w:r w:rsidRPr="009D287C">
              <w:rPr>
                <w:sz w:val="20"/>
                <w:lang w:val="fr-CA"/>
              </w:rPr>
              <w:t xml:space="preserve">À l’unanimité, la Cour d’appel a accueilli l’appel, annulé la déclaration de culpabilité et ordonné la tenue d’un nouveau procès, concluant qu’il y avait de fait une preuve circonstancielle raisonnablement susceptible d’étayer l’inférence selon laquelle l’agression avait eu lieu pendant que les deux hommes se trouvaient par terre. La Cour d’appel a conclu que la juge du procès avait commis une erreur en refusant de donner des directives au jury relativement à la légitime défense que faisait valoir l’accusé, en outrepassant son rôle et en se livrant à une appréciation de la preuve quant au fond et en n’ayant pas tenu pour </w:t>
            </w:r>
            <w:proofErr w:type="spellStart"/>
            <w:r w:rsidRPr="009D287C">
              <w:rPr>
                <w:sz w:val="20"/>
                <w:lang w:val="fr-CA"/>
              </w:rPr>
              <w:t>avérée</w:t>
            </w:r>
            <w:proofErr w:type="spellEnd"/>
            <w:r w:rsidRPr="009D287C">
              <w:rPr>
                <w:sz w:val="20"/>
                <w:lang w:val="fr-CA"/>
              </w:rPr>
              <w:t xml:space="preserve"> la preuve présentée à l’appui du moyen de défense fondé sur la légitime défense. </w:t>
            </w:r>
          </w:p>
          <w:p w:rsidR="007A62A7" w:rsidRPr="009D287C" w:rsidRDefault="007A62A7" w:rsidP="007A62A7">
            <w:pPr>
              <w:jc w:val="both"/>
              <w:rPr>
                <w:sz w:val="20"/>
                <w:lang w:val="fr-CA"/>
              </w:rPr>
            </w:pP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22 avril 2015</w:t>
            </w:r>
          </w:p>
          <w:p w:rsidR="007A62A7" w:rsidRPr="009D287C" w:rsidRDefault="007A62A7" w:rsidP="007A62A7">
            <w:pPr>
              <w:jc w:val="both"/>
              <w:rPr>
                <w:sz w:val="20"/>
                <w:lang w:val="fr-CA"/>
              </w:rPr>
            </w:pPr>
            <w:r w:rsidRPr="009D287C">
              <w:rPr>
                <w:sz w:val="20"/>
                <w:lang w:val="fr-CA"/>
              </w:rPr>
              <w:t xml:space="preserve">Cour du Banc de la Reine du Manitoba </w:t>
            </w:r>
          </w:p>
          <w:p w:rsidR="007A62A7" w:rsidRPr="009D287C" w:rsidRDefault="007A62A7" w:rsidP="007A62A7">
            <w:pPr>
              <w:jc w:val="both"/>
              <w:rPr>
                <w:sz w:val="20"/>
                <w:lang w:val="fr-CA"/>
              </w:rPr>
            </w:pPr>
            <w:r w:rsidRPr="009D287C">
              <w:rPr>
                <w:sz w:val="20"/>
                <w:lang w:val="fr-CA"/>
              </w:rPr>
              <w:t xml:space="preserve">(Juge </w:t>
            </w:r>
            <w:proofErr w:type="spellStart"/>
            <w:r w:rsidRPr="009D287C">
              <w:rPr>
                <w:sz w:val="20"/>
                <w:lang w:val="fr-CA"/>
              </w:rPr>
              <w:t>Greenberg</w:t>
            </w:r>
            <w:proofErr w:type="spellEnd"/>
            <w:r w:rsidRPr="009D287C">
              <w:rPr>
                <w:sz w:val="20"/>
                <w:lang w:val="fr-CA"/>
              </w:rPr>
              <w:t>)</w:t>
            </w:r>
          </w:p>
          <w:p w:rsidR="007A62A7" w:rsidRPr="009D287C" w:rsidRDefault="00346C6C" w:rsidP="007A62A7">
            <w:pPr>
              <w:jc w:val="both"/>
              <w:rPr>
                <w:sz w:val="20"/>
                <w:lang w:val="fr-CA"/>
              </w:rPr>
            </w:pPr>
            <w:hyperlink r:id="rId26" w:history="1">
              <w:r w:rsidR="007A62A7" w:rsidRPr="009D287C">
                <w:rPr>
                  <w:rStyle w:val="Hyperlink"/>
                  <w:sz w:val="20"/>
                  <w:lang w:val="fr-CA"/>
                </w:rPr>
                <w:t>2015 MBQB 99</w:t>
              </w:r>
            </w:hyperlink>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 xml:space="preserve">Conclusion de non-vraisemblance du moyen de défense fondé sur la légitime défense et refus de présenter ce moyen de défense au jury </w:t>
            </w:r>
          </w:p>
          <w:p w:rsidR="007A62A7" w:rsidRPr="009D287C" w:rsidRDefault="007A62A7" w:rsidP="007A62A7">
            <w:pPr>
              <w:jc w:val="both"/>
              <w:rPr>
                <w:sz w:val="20"/>
                <w:lang w:val="fr-CA"/>
              </w:rPr>
            </w:pP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23 avril 2015</w:t>
            </w:r>
          </w:p>
          <w:p w:rsidR="007A62A7" w:rsidRPr="009D287C" w:rsidRDefault="007A62A7" w:rsidP="007A62A7">
            <w:pPr>
              <w:jc w:val="both"/>
              <w:rPr>
                <w:sz w:val="20"/>
                <w:lang w:val="fr-CA"/>
              </w:rPr>
            </w:pPr>
            <w:r w:rsidRPr="009D287C">
              <w:rPr>
                <w:sz w:val="20"/>
                <w:lang w:val="fr-CA"/>
              </w:rPr>
              <w:t xml:space="preserve">Cour du Banc de la Reine du Manitoba </w:t>
            </w:r>
          </w:p>
          <w:p w:rsidR="007A62A7" w:rsidRPr="009D287C" w:rsidRDefault="007A62A7" w:rsidP="007A62A7">
            <w:pPr>
              <w:jc w:val="both"/>
              <w:rPr>
                <w:sz w:val="20"/>
                <w:lang w:val="fr-CA"/>
              </w:rPr>
            </w:pPr>
            <w:r w:rsidRPr="009D287C">
              <w:rPr>
                <w:sz w:val="20"/>
                <w:lang w:val="fr-CA"/>
              </w:rPr>
              <w:t>(Déclaration de culpabilité par un jury)</w:t>
            </w:r>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 xml:space="preserve">Déclaration de culpabilité d’homicide involontaire coupable </w:t>
            </w:r>
          </w:p>
          <w:p w:rsidR="007A62A7" w:rsidRPr="009D287C" w:rsidRDefault="007A62A7" w:rsidP="007A62A7">
            <w:pPr>
              <w:jc w:val="both"/>
              <w:rPr>
                <w:sz w:val="20"/>
                <w:lang w:val="fr-CA"/>
              </w:rPr>
            </w:pP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19 avril 2016</w:t>
            </w:r>
          </w:p>
          <w:p w:rsidR="007A62A7" w:rsidRPr="009D287C" w:rsidRDefault="007A62A7" w:rsidP="007A62A7">
            <w:pPr>
              <w:jc w:val="both"/>
              <w:rPr>
                <w:sz w:val="20"/>
                <w:lang w:val="fr-CA"/>
              </w:rPr>
            </w:pPr>
            <w:r w:rsidRPr="009D287C">
              <w:rPr>
                <w:sz w:val="20"/>
                <w:lang w:val="fr-CA"/>
              </w:rPr>
              <w:t xml:space="preserve">Cour d’appel du Manitoba </w:t>
            </w:r>
          </w:p>
          <w:p w:rsidR="007A62A7" w:rsidRPr="009D287C" w:rsidRDefault="007A62A7" w:rsidP="007A62A7">
            <w:pPr>
              <w:jc w:val="both"/>
              <w:rPr>
                <w:sz w:val="20"/>
                <w:lang w:val="fr-CA"/>
              </w:rPr>
            </w:pPr>
            <w:r w:rsidRPr="009D287C">
              <w:rPr>
                <w:sz w:val="20"/>
                <w:lang w:val="fr-CA"/>
              </w:rPr>
              <w:t xml:space="preserve">(Juges </w:t>
            </w:r>
            <w:proofErr w:type="spellStart"/>
            <w:r w:rsidRPr="009D287C">
              <w:rPr>
                <w:sz w:val="20"/>
                <w:lang w:val="fr-CA"/>
              </w:rPr>
              <w:t>Monnin</w:t>
            </w:r>
            <w:proofErr w:type="spellEnd"/>
            <w:r w:rsidRPr="009D287C">
              <w:rPr>
                <w:sz w:val="20"/>
                <w:lang w:val="fr-CA"/>
              </w:rPr>
              <w:t xml:space="preserve">, </w:t>
            </w:r>
            <w:proofErr w:type="spellStart"/>
            <w:r w:rsidRPr="009D287C">
              <w:rPr>
                <w:sz w:val="20"/>
                <w:lang w:val="fr-CA"/>
              </w:rPr>
              <w:t>Steel</w:t>
            </w:r>
            <w:proofErr w:type="spellEnd"/>
            <w:r w:rsidRPr="009D287C">
              <w:rPr>
                <w:sz w:val="20"/>
                <w:lang w:val="fr-CA"/>
              </w:rPr>
              <w:t xml:space="preserve"> et </w:t>
            </w:r>
            <w:proofErr w:type="spellStart"/>
            <w:r w:rsidRPr="009D287C">
              <w:rPr>
                <w:sz w:val="20"/>
                <w:lang w:val="fr-CA"/>
              </w:rPr>
              <w:t>Mainella</w:t>
            </w:r>
            <w:proofErr w:type="spellEnd"/>
            <w:r w:rsidRPr="009D287C">
              <w:rPr>
                <w:sz w:val="20"/>
                <w:lang w:val="fr-CA"/>
              </w:rPr>
              <w:t>)</w:t>
            </w:r>
          </w:p>
          <w:p w:rsidR="007A62A7" w:rsidRPr="009D287C" w:rsidRDefault="00346C6C" w:rsidP="007A62A7">
            <w:pPr>
              <w:jc w:val="both"/>
              <w:rPr>
                <w:sz w:val="20"/>
                <w:lang w:val="fr-CA"/>
              </w:rPr>
            </w:pPr>
            <w:hyperlink r:id="rId27" w:history="1">
              <w:r w:rsidR="007A62A7" w:rsidRPr="009D287C">
                <w:rPr>
                  <w:rStyle w:val="Hyperlink"/>
                  <w:sz w:val="20"/>
                  <w:lang w:val="fr-CA"/>
                </w:rPr>
                <w:t>2016 MBCA 40</w:t>
              </w:r>
            </w:hyperlink>
            <w:r w:rsidR="007A62A7" w:rsidRPr="009D287C">
              <w:rPr>
                <w:sz w:val="20"/>
                <w:lang w:val="fr-CA"/>
              </w:rPr>
              <w:t xml:space="preserve"> </w:t>
            </w:r>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 xml:space="preserve">Arrêt accueillant l’appel (le critère de vraisemblance a été satisfait), annulant la déclaration de culpabilité et ordonnant la tenue d’un nouveau procès </w:t>
            </w:r>
          </w:p>
          <w:p w:rsidR="007A62A7" w:rsidRPr="009D287C" w:rsidRDefault="007A62A7" w:rsidP="007A62A7">
            <w:pPr>
              <w:jc w:val="both"/>
              <w:rPr>
                <w:sz w:val="20"/>
                <w:lang w:val="fr-CA"/>
              </w:rPr>
            </w:pP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17 juin 2016</w:t>
            </w:r>
          </w:p>
          <w:p w:rsidR="007A62A7" w:rsidRPr="009D287C" w:rsidRDefault="007A62A7" w:rsidP="007A62A7">
            <w:pPr>
              <w:jc w:val="both"/>
              <w:rPr>
                <w:sz w:val="20"/>
                <w:lang w:val="fr-CA"/>
              </w:rPr>
            </w:pPr>
            <w:r w:rsidRPr="009D287C">
              <w:rPr>
                <w:sz w:val="20"/>
                <w:lang w:val="fr-CA"/>
              </w:rPr>
              <w:t>Cour suprême du Canada</w:t>
            </w:r>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Dépôt par le ministère public de la demande d’autorisation d’appel initiale</w:t>
            </w: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8 novembre 2016</w:t>
            </w:r>
          </w:p>
          <w:p w:rsidR="007A62A7" w:rsidRPr="009D287C" w:rsidRDefault="007A62A7" w:rsidP="007A62A7">
            <w:pPr>
              <w:jc w:val="both"/>
              <w:rPr>
                <w:sz w:val="20"/>
                <w:lang w:val="fr-CA"/>
              </w:rPr>
            </w:pPr>
            <w:r w:rsidRPr="009D287C">
              <w:rPr>
                <w:sz w:val="20"/>
                <w:lang w:val="fr-CA"/>
              </w:rPr>
              <w:t>Cour suprême du Canada</w:t>
            </w: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Dépôt par le ministère public de la requête en prorogation du délai de signification et de dépôt de la demande d’autorisation d’appel et de la demande d’autorisation d’appel modifiée</w:t>
            </w:r>
          </w:p>
        </w:tc>
      </w:tr>
    </w:tbl>
    <w:p w:rsidR="007A62A7" w:rsidRPr="009D287C" w:rsidRDefault="00346C6C" w:rsidP="007A62A7">
      <w:pPr>
        <w:jc w:val="both"/>
        <w:rPr>
          <w:sz w:val="20"/>
          <w:lang w:val="fr-CA"/>
        </w:rPr>
      </w:pPr>
      <w:r>
        <w:rPr>
          <w:sz w:val="20"/>
          <w:szCs w:val="20"/>
        </w:rPr>
        <w:pict>
          <v:rect id="_x0000_i1036" style="width:2in;height:1pt" o:hrpct="0" o:hralign="center" o:hrstd="t" o:hrnoshade="t" o:hr="t" fillcolor="black" stroked="f"/>
        </w:pict>
      </w:r>
    </w:p>
    <w:p w:rsidR="007A62A7" w:rsidRPr="009D287C" w:rsidRDefault="007A62A7" w:rsidP="007A62A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62A7" w:rsidRPr="009D287C" w:rsidTr="003956FF">
        <w:tc>
          <w:tcPr>
            <w:tcW w:w="543" w:type="pct"/>
          </w:tcPr>
          <w:p w:rsidR="007A62A7" w:rsidRPr="009D287C" w:rsidRDefault="007A62A7" w:rsidP="003956FF">
            <w:pPr>
              <w:jc w:val="both"/>
              <w:rPr>
                <w:sz w:val="20"/>
              </w:rPr>
            </w:pPr>
            <w:r w:rsidRPr="009D287C">
              <w:rPr>
                <w:rStyle w:val="SCCFileNumberChar"/>
                <w:sz w:val="20"/>
                <w:szCs w:val="20"/>
              </w:rPr>
              <w:t>37159</w:t>
            </w:r>
          </w:p>
        </w:tc>
        <w:tc>
          <w:tcPr>
            <w:tcW w:w="4457" w:type="pct"/>
            <w:gridSpan w:val="3"/>
          </w:tcPr>
          <w:p w:rsidR="007A62A7" w:rsidRPr="009D287C" w:rsidRDefault="007A62A7" w:rsidP="003956FF">
            <w:pPr>
              <w:pStyle w:val="SCCLsocParty"/>
              <w:jc w:val="both"/>
              <w:rPr>
                <w:b/>
                <w:sz w:val="20"/>
                <w:szCs w:val="20"/>
                <w:lang w:val="en-US"/>
              </w:rPr>
            </w:pPr>
            <w:r w:rsidRPr="009D287C">
              <w:rPr>
                <w:b/>
                <w:sz w:val="20"/>
                <w:szCs w:val="20"/>
                <w:lang w:val="en-US"/>
              </w:rPr>
              <w:t xml:space="preserve">Allison Garrett v. Oldfield, Greaves, </w:t>
            </w:r>
            <w:proofErr w:type="spellStart"/>
            <w:r w:rsidRPr="009D287C">
              <w:rPr>
                <w:b/>
                <w:sz w:val="20"/>
                <w:szCs w:val="20"/>
                <w:lang w:val="en-US"/>
              </w:rPr>
              <w:t>D’Agostino</w:t>
            </w:r>
            <w:proofErr w:type="spellEnd"/>
            <w:r w:rsidRPr="009D287C">
              <w:rPr>
                <w:b/>
                <w:sz w:val="20"/>
                <w:szCs w:val="20"/>
                <w:lang w:val="en-US"/>
              </w:rPr>
              <w:t xml:space="preserve">, G. Edward Oldfield and Terrance J. </w:t>
            </w:r>
            <w:proofErr w:type="spellStart"/>
            <w:r w:rsidRPr="009D287C">
              <w:rPr>
                <w:b/>
                <w:sz w:val="20"/>
                <w:szCs w:val="20"/>
                <w:lang w:val="en-US"/>
              </w:rPr>
              <w:t>Billo</w:t>
            </w:r>
            <w:proofErr w:type="spellEnd"/>
          </w:p>
          <w:p w:rsidR="007A62A7" w:rsidRPr="009D287C" w:rsidRDefault="007A62A7" w:rsidP="003956FF">
            <w:pPr>
              <w:pStyle w:val="SCCLsocParty"/>
              <w:jc w:val="both"/>
              <w:rPr>
                <w:sz w:val="20"/>
                <w:szCs w:val="20"/>
              </w:rPr>
            </w:pPr>
            <w:r w:rsidRPr="009D287C">
              <w:rPr>
                <w:sz w:val="20"/>
                <w:szCs w:val="20"/>
              </w:rPr>
              <w:t xml:space="preserve">(Ont.) (Civil) (By </w:t>
            </w:r>
            <w:proofErr w:type="spellStart"/>
            <w:r w:rsidRPr="009D287C">
              <w:rPr>
                <w:sz w:val="20"/>
                <w:szCs w:val="20"/>
              </w:rPr>
              <w:t>Leave</w:t>
            </w:r>
            <w:proofErr w:type="spellEnd"/>
            <w:r w:rsidRPr="009D287C">
              <w:rPr>
                <w:sz w:val="20"/>
                <w:szCs w:val="20"/>
              </w:rPr>
              <w:t>)</w:t>
            </w:r>
          </w:p>
        </w:tc>
      </w:tr>
      <w:tr w:rsidR="007A62A7" w:rsidRPr="009D287C" w:rsidTr="003956FF">
        <w:tc>
          <w:tcPr>
            <w:tcW w:w="543" w:type="pct"/>
          </w:tcPr>
          <w:p w:rsidR="007A62A7" w:rsidRPr="009D287C" w:rsidRDefault="007A62A7" w:rsidP="007A62A7">
            <w:pPr>
              <w:jc w:val="both"/>
              <w:rPr>
                <w:rStyle w:val="SCCFileNumberChar"/>
                <w:b w:val="0"/>
                <w:sz w:val="20"/>
                <w:szCs w:val="20"/>
              </w:rPr>
            </w:pPr>
            <w:r w:rsidRPr="009D287C">
              <w:rPr>
                <w:rStyle w:val="SCCFileNumberChar"/>
                <w:b w:val="0"/>
                <w:sz w:val="20"/>
                <w:szCs w:val="20"/>
              </w:rPr>
              <w:t xml:space="preserve">Coram: </w:t>
            </w:r>
          </w:p>
        </w:tc>
        <w:tc>
          <w:tcPr>
            <w:tcW w:w="4457" w:type="pct"/>
            <w:gridSpan w:val="3"/>
          </w:tcPr>
          <w:p w:rsidR="007A62A7" w:rsidRPr="009D287C" w:rsidRDefault="007A62A7" w:rsidP="007A62A7">
            <w:pPr>
              <w:rPr>
                <w:rFonts w:eastAsia="Calibri" w:cs="Times New Roman"/>
                <w:sz w:val="20"/>
                <w:szCs w:val="20"/>
                <w:u w:val="single"/>
              </w:rPr>
            </w:pPr>
            <w:r w:rsidRPr="009D287C">
              <w:rPr>
                <w:rFonts w:eastAsia="Calibri" w:cs="Times New Roman"/>
                <w:sz w:val="20"/>
                <w:szCs w:val="20"/>
                <w:u w:val="single"/>
              </w:rPr>
              <w:t>Abella, Karakatsanis and Brown JJ.</w:t>
            </w:r>
          </w:p>
          <w:p w:rsidR="007F461A" w:rsidRPr="009D287C" w:rsidRDefault="007F461A" w:rsidP="007A62A7"/>
        </w:tc>
      </w:tr>
      <w:tr w:rsidR="007A62A7" w:rsidRPr="009D287C" w:rsidTr="003956FF">
        <w:tc>
          <w:tcPr>
            <w:tcW w:w="5000" w:type="pct"/>
            <w:gridSpan w:val="4"/>
          </w:tcPr>
          <w:p w:rsidR="007A62A7" w:rsidRPr="009D287C" w:rsidRDefault="007F461A" w:rsidP="007A62A7">
            <w:pPr>
              <w:jc w:val="both"/>
              <w:rPr>
                <w:sz w:val="20"/>
                <w:szCs w:val="20"/>
              </w:rPr>
            </w:pPr>
            <w:r w:rsidRPr="009D287C">
              <w:rPr>
                <w:sz w:val="20"/>
                <w:szCs w:val="20"/>
              </w:rPr>
              <w:t xml:space="preserve">The application for leave to appeal from the judgment of the Court of Appeal for Ontario, Number C61661, 2016 ONCA 424, dated June 1, 2016, is dismissed with costs to the respondents, Oldfield, Greaves, </w:t>
            </w:r>
            <w:proofErr w:type="spellStart"/>
            <w:r w:rsidRPr="009D287C">
              <w:rPr>
                <w:sz w:val="20"/>
                <w:szCs w:val="20"/>
              </w:rPr>
              <w:t>D’Agostino</w:t>
            </w:r>
            <w:proofErr w:type="spellEnd"/>
            <w:r w:rsidRPr="009D287C">
              <w:rPr>
                <w:sz w:val="20"/>
                <w:szCs w:val="20"/>
              </w:rPr>
              <w:t xml:space="preserve">, G. Edward Oldfield and Terrance J. </w:t>
            </w:r>
            <w:proofErr w:type="spellStart"/>
            <w:r w:rsidRPr="009D287C">
              <w:rPr>
                <w:sz w:val="20"/>
                <w:szCs w:val="20"/>
              </w:rPr>
              <w:t>Billo</w:t>
            </w:r>
            <w:proofErr w:type="spellEnd"/>
            <w:r w:rsidRPr="009D287C">
              <w:rPr>
                <w:sz w:val="20"/>
                <w:szCs w:val="20"/>
              </w:rPr>
              <w:t>.</w:t>
            </w:r>
          </w:p>
          <w:p w:rsidR="007F461A" w:rsidRPr="009D287C" w:rsidRDefault="007F461A" w:rsidP="007A62A7">
            <w:pPr>
              <w:jc w:val="both"/>
              <w:rPr>
                <w:i/>
                <w:sz w:val="20"/>
                <w:szCs w:val="20"/>
              </w:rPr>
            </w:pPr>
          </w:p>
        </w:tc>
      </w:tr>
      <w:tr w:rsidR="007A62A7" w:rsidRPr="009D287C" w:rsidTr="003956FF">
        <w:tc>
          <w:tcPr>
            <w:tcW w:w="5000" w:type="pct"/>
            <w:gridSpan w:val="4"/>
          </w:tcPr>
          <w:p w:rsidR="007A62A7" w:rsidRPr="009D287C" w:rsidRDefault="007A62A7" w:rsidP="007A62A7">
            <w:pPr>
              <w:jc w:val="both"/>
              <w:rPr>
                <w:sz w:val="20"/>
              </w:rPr>
            </w:pPr>
            <w:r w:rsidRPr="009D287C">
              <w:rPr>
                <w:i/>
                <w:sz w:val="20"/>
              </w:rPr>
              <w:t>Charter of Rights</w:t>
            </w:r>
            <w:r w:rsidRPr="009D287C">
              <w:rPr>
                <w:sz w:val="20"/>
              </w:rPr>
              <w:t xml:space="preserve"> – Right to equality – Fundamental justice – Judgments and orders – Summary judgment – Motion to strike – Applicant moving for summary judgment and respondents moving to strike applicant’s action for damages – Whether violations of ss. 7 and 15 of </w:t>
            </w:r>
            <w:r w:rsidRPr="009D287C">
              <w:rPr>
                <w:i/>
                <w:sz w:val="20"/>
              </w:rPr>
              <w:t>Charter</w:t>
            </w:r>
            <w:r w:rsidRPr="009D287C">
              <w:rPr>
                <w:sz w:val="20"/>
              </w:rPr>
              <w:t xml:space="preserve"> were ignored – Whether Court of Appeal undermined Regional Court by ignoring bias, basic legal concepts and criminal activity – Whether requirement for affidavits is in question for self-represented litigants – Whether provincial and federal statutes are weak or nonexistent regarding judicial concerns.</w:t>
            </w:r>
          </w:p>
        </w:tc>
      </w:tr>
      <w:tr w:rsidR="007A62A7" w:rsidRPr="009D287C" w:rsidTr="003956FF">
        <w:tc>
          <w:tcPr>
            <w:tcW w:w="5000" w:type="pct"/>
            <w:gridSpan w:val="4"/>
          </w:tcPr>
          <w:p w:rsidR="007A62A7" w:rsidRPr="009D287C" w:rsidRDefault="007A62A7" w:rsidP="007A62A7">
            <w:pPr>
              <w:jc w:val="both"/>
              <w:rPr>
                <w:sz w:val="20"/>
              </w:rPr>
            </w:pPr>
          </w:p>
        </w:tc>
      </w:tr>
      <w:tr w:rsidR="007A62A7" w:rsidRPr="009D287C" w:rsidTr="003956FF">
        <w:tc>
          <w:tcPr>
            <w:tcW w:w="5000" w:type="pct"/>
            <w:gridSpan w:val="4"/>
          </w:tcPr>
          <w:p w:rsidR="007A62A7" w:rsidRPr="009D287C" w:rsidRDefault="007A62A7" w:rsidP="007A62A7">
            <w:pPr>
              <w:jc w:val="both"/>
              <w:rPr>
                <w:sz w:val="20"/>
              </w:rPr>
            </w:pPr>
            <w:r w:rsidRPr="009D287C">
              <w:rPr>
                <w:sz w:val="20"/>
              </w:rPr>
              <w:t xml:space="preserve">The applicant was terminated from her place of employment in August, 2008. She commenced an action against her former employer and the lawyers and law firm representing her, on the basis of, </w:t>
            </w:r>
            <w:r w:rsidRPr="009D287C">
              <w:rPr>
                <w:i/>
                <w:sz w:val="20"/>
              </w:rPr>
              <w:t>inter alia</w:t>
            </w:r>
            <w:r w:rsidRPr="009D287C">
              <w:rPr>
                <w:sz w:val="20"/>
              </w:rPr>
              <w:t xml:space="preserve">, wrongful dismissal, negligence, discrimination, harassment and breach of good faith. During the pre-trial, the action was settled and Minutes of Settlement were executed providing for an all-inclusive payment of $45,000 to the applicant in exchange for an executed release. The money was paid to Ms. Garrett and that action was dismissed in September, 2012. Ms. Garrett commenced a second action seeking damages for various causes of action including negligence, breach of duty of care, conspiracy, malice, defamation exemplary damages, damages for human rights and constitutional violations. In separate motions, the respondents moved to strike the statement of claim, on the basis of, </w:t>
            </w:r>
            <w:r w:rsidRPr="009D287C">
              <w:rPr>
                <w:i/>
                <w:sz w:val="20"/>
              </w:rPr>
              <w:t>inter alia</w:t>
            </w:r>
            <w:r w:rsidRPr="009D287C">
              <w:rPr>
                <w:sz w:val="20"/>
              </w:rPr>
              <w:t xml:space="preserve">, </w:t>
            </w:r>
            <w:r w:rsidRPr="009D287C">
              <w:rPr>
                <w:i/>
                <w:sz w:val="20"/>
              </w:rPr>
              <w:t>res judicata</w:t>
            </w:r>
            <w:r w:rsidRPr="009D287C">
              <w:rPr>
                <w:sz w:val="20"/>
              </w:rPr>
              <w:t>, limitation periods, action estoppel and abuse of process.</w:t>
            </w:r>
          </w:p>
          <w:p w:rsidR="007A62A7" w:rsidRPr="009D287C" w:rsidRDefault="007A62A7" w:rsidP="007A62A7">
            <w:pPr>
              <w:jc w:val="both"/>
              <w:rPr>
                <w:sz w:val="20"/>
              </w:rPr>
            </w:pPr>
          </w:p>
        </w:tc>
      </w:tr>
      <w:tr w:rsidR="007A62A7" w:rsidRPr="009D287C" w:rsidTr="003956FF">
        <w:tc>
          <w:tcPr>
            <w:tcW w:w="2427" w:type="pct"/>
            <w:gridSpan w:val="2"/>
          </w:tcPr>
          <w:p w:rsidR="007A62A7" w:rsidRPr="009D287C" w:rsidRDefault="007A62A7" w:rsidP="007A62A7">
            <w:pPr>
              <w:jc w:val="both"/>
              <w:rPr>
                <w:sz w:val="20"/>
              </w:rPr>
            </w:pPr>
            <w:r w:rsidRPr="009D287C">
              <w:rPr>
                <w:sz w:val="20"/>
              </w:rPr>
              <w:t>January 23, 2014</w:t>
            </w:r>
          </w:p>
          <w:p w:rsidR="007A62A7" w:rsidRPr="009D287C" w:rsidRDefault="007A62A7" w:rsidP="007A62A7">
            <w:pPr>
              <w:jc w:val="both"/>
              <w:rPr>
                <w:sz w:val="20"/>
              </w:rPr>
            </w:pPr>
            <w:r w:rsidRPr="009D287C">
              <w:rPr>
                <w:sz w:val="20"/>
              </w:rPr>
              <w:t>Ontario Superior Court of Justice</w:t>
            </w:r>
          </w:p>
          <w:p w:rsidR="007A62A7" w:rsidRPr="009D287C" w:rsidRDefault="007A62A7" w:rsidP="007A62A7">
            <w:pPr>
              <w:jc w:val="both"/>
              <w:rPr>
                <w:sz w:val="20"/>
              </w:rPr>
            </w:pPr>
            <w:r w:rsidRPr="009D287C">
              <w:rPr>
                <w:sz w:val="20"/>
              </w:rPr>
              <w:t>(Broad J.)</w:t>
            </w:r>
          </w:p>
          <w:p w:rsidR="007A62A7" w:rsidRPr="009D287C" w:rsidRDefault="00346C6C" w:rsidP="007A62A7">
            <w:pPr>
              <w:jc w:val="both"/>
              <w:rPr>
                <w:sz w:val="20"/>
              </w:rPr>
            </w:pPr>
            <w:hyperlink r:id="rId28" w:history="1">
              <w:r w:rsidR="007A62A7" w:rsidRPr="009D287C">
                <w:rPr>
                  <w:rStyle w:val="Hyperlink"/>
                  <w:sz w:val="20"/>
                </w:rPr>
                <w:t>2014 ONSC 508</w:t>
              </w:r>
            </w:hyperlink>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Applicant’s motion for summary judgment dismissed; Motions by several respondents to have statement of claim struck as against them granted</w:t>
            </w:r>
          </w:p>
        </w:tc>
      </w:tr>
      <w:tr w:rsidR="007A62A7" w:rsidRPr="009D287C" w:rsidTr="003956FF">
        <w:tc>
          <w:tcPr>
            <w:tcW w:w="2427" w:type="pct"/>
            <w:gridSpan w:val="2"/>
          </w:tcPr>
          <w:p w:rsidR="007A62A7" w:rsidRPr="009D287C" w:rsidRDefault="007A62A7" w:rsidP="007A62A7">
            <w:pPr>
              <w:jc w:val="both"/>
              <w:rPr>
                <w:sz w:val="20"/>
              </w:rPr>
            </w:pPr>
            <w:r w:rsidRPr="009D287C">
              <w:rPr>
                <w:sz w:val="20"/>
              </w:rPr>
              <w:t>August 14, 2014</w:t>
            </w:r>
          </w:p>
          <w:p w:rsidR="007A62A7" w:rsidRPr="009D287C" w:rsidRDefault="007A62A7" w:rsidP="007A62A7">
            <w:pPr>
              <w:jc w:val="both"/>
              <w:rPr>
                <w:sz w:val="20"/>
              </w:rPr>
            </w:pPr>
            <w:r w:rsidRPr="009D287C">
              <w:rPr>
                <w:sz w:val="20"/>
              </w:rPr>
              <w:t>Ontario Superior Court of Justice</w:t>
            </w:r>
          </w:p>
          <w:p w:rsidR="007A62A7" w:rsidRPr="009D287C" w:rsidRDefault="007A62A7" w:rsidP="007A62A7">
            <w:pPr>
              <w:jc w:val="both"/>
              <w:rPr>
                <w:sz w:val="20"/>
              </w:rPr>
            </w:pPr>
            <w:r w:rsidRPr="009D287C">
              <w:rPr>
                <w:sz w:val="20"/>
              </w:rPr>
              <w:t>(</w:t>
            </w:r>
            <w:proofErr w:type="spellStart"/>
            <w:r w:rsidRPr="009D287C">
              <w:rPr>
                <w:sz w:val="20"/>
              </w:rPr>
              <w:t>Parayeski</w:t>
            </w:r>
            <w:proofErr w:type="spellEnd"/>
            <w:r w:rsidRPr="009D287C">
              <w:rPr>
                <w:sz w:val="20"/>
              </w:rPr>
              <w:t xml:space="preserve"> J.)</w:t>
            </w:r>
          </w:p>
          <w:p w:rsidR="007A62A7" w:rsidRPr="009D287C" w:rsidRDefault="007A62A7" w:rsidP="007A62A7">
            <w:pPr>
              <w:jc w:val="both"/>
              <w:rPr>
                <w:sz w:val="20"/>
              </w:rPr>
            </w:pPr>
            <w:r w:rsidRPr="009D287C">
              <w:rPr>
                <w:sz w:val="20"/>
              </w:rPr>
              <w:t>Unreported</w:t>
            </w:r>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Motion by remaining respondents to have statement of claim struck as against them granted</w:t>
            </w:r>
          </w:p>
        </w:tc>
      </w:tr>
      <w:tr w:rsidR="007A62A7" w:rsidRPr="009D287C" w:rsidTr="003956FF">
        <w:tc>
          <w:tcPr>
            <w:tcW w:w="2427" w:type="pct"/>
            <w:gridSpan w:val="2"/>
          </w:tcPr>
          <w:p w:rsidR="007A62A7" w:rsidRPr="009D287C" w:rsidRDefault="007A62A7" w:rsidP="007A62A7">
            <w:pPr>
              <w:jc w:val="both"/>
              <w:rPr>
                <w:sz w:val="20"/>
              </w:rPr>
            </w:pPr>
            <w:r w:rsidRPr="009D287C">
              <w:rPr>
                <w:sz w:val="20"/>
              </w:rPr>
              <w:t>June 1, 2016</w:t>
            </w:r>
          </w:p>
          <w:p w:rsidR="007A62A7" w:rsidRPr="009D287C" w:rsidRDefault="007A62A7" w:rsidP="007A62A7">
            <w:pPr>
              <w:jc w:val="both"/>
              <w:rPr>
                <w:sz w:val="20"/>
              </w:rPr>
            </w:pPr>
            <w:r w:rsidRPr="009D287C">
              <w:rPr>
                <w:sz w:val="20"/>
              </w:rPr>
              <w:t>Court of Appeal for Ontario</w:t>
            </w:r>
          </w:p>
          <w:p w:rsidR="007A62A7" w:rsidRPr="009D287C" w:rsidRDefault="007A62A7" w:rsidP="007A62A7">
            <w:pPr>
              <w:jc w:val="both"/>
              <w:rPr>
                <w:sz w:val="20"/>
              </w:rPr>
            </w:pPr>
            <w:r w:rsidRPr="009D287C">
              <w:rPr>
                <w:sz w:val="20"/>
              </w:rPr>
              <w:t>(</w:t>
            </w:r>
            <w:proofErr w:type="spellStart"/>
            <w:r w:rsidRPr="009D287C">
              <w:rPr>
                <w:sz w:val="20"/>
              </w:rPr>
              <w:t>Juriansz</w:t>
            </w:r>
            <w:proofErr w:type="spellEnd"/>
            <w:r w:rsidRPr="009D287C">
              <w:rPr>
                <w:sz w:val="20"/>
              </w:rPr>
              <w:t>, Brown and Roberts JJ.A.)</w:t>
            </w:r>
          </w:p>
          <w:p w:rsidR="007A62A7" w:rsidRPr="009D287C" w:rsidRDefault="00346C6C" w:rsidP="007A62A7">
            <w:pPr>
              <w:jc w:val="both"/>
              <w:rPr>
                <w:rStyle w:val="Hyperlink"/>
                <w:sz w:val="20"/>
              </w:rPr>
            </w:pPr>
            <w:hyperlink r:id="rId29" w:history="1">
              <w:r w:rsidR="007A62A7" w:rsidRPr="009D287C">
                <w:rPr>
                  <w:rStyle w:val="Hyperlink"/>
                  <w:sz w:val="20"/>
                </w:rPr>
                <w:t>2016 ONCA 424</w:t>
              </w:r>
            </w:hyperlink>
          </w:p>
          <w:p w:rsidR="007A62A7" w:rsidRPr="009D287C" w:rsidRDefault="007A62A7" w:rsidP="007A62A7">
            <w:pPr>
              <w:jc w:val="both"/>
              <w:rPr>
                <w:sz w:val="20"/>
              </w:rPr>
            </w:pP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 xml:space="preserve">Applicant’s appeal from August 14, 2014 order in favour of Oldfield, Greaves, </w:t>
            </w:r>
            <w:proofErr w:type="spellStart"/>
            <w:r w:rsidRPr="009D287C">
              <w:rPr>
                <w:sz w:val="20"/>
              </w:rPr>
              <w:t>D’Agostino</w:t>
            </w:r>
            <w:proofErr w:type="spellEnd"/>
            <w:r w:rsidRPr="009D287C">
              <w:rPr>
                <w:sz w:val="20"/>
              </w:rPr>
              <w:t xml:space="preserve">, G. Edward Oldfield, Terrance J. </w:t>
            </w:r>
            <w:proofErr w:type="spellStart"/>
            <w:r w:rsidRPr="009D287C">
              <w:rPr>
                <w:sz w:val="20"/>
              </w:rPr>
              <w:t>Billo</w:t>
            </w:r>
            <w:proofErr w:type="spellEnd"/>
            <w:r w:rsidRPr="009D287C">
              <w:rPr>
                <w:sz w:val="20"/>
              </w:rPr>
              <w:t xml:space="preserve"> dismissed</w:t>
            </w:r>
          </w:p>
          <w:p w:rsidR="007A62A7" w:rsidRPr="009D287C" w:rsidRDefault="007A62A7" w:rsidP="007A62A7">
            <w:pPr>
              <w:jc w:val="both"/>
              <w:rPr>
                <w:sz w:val="20"/>
              </w:rPr>
            </w:pPr>
          </w:p>
        </w:tc>
      </w:tr>
      <w:tr w:rsidR="007A62A7" w:rsidRPr="009D287C" w:rsidTr="003956FF">
        <w:trPr>
          <w:trHeight w:val="387"/>
        </w:trPr>
        <w:tc>
          <w:tcPr>
            <w:tcW w:w="2427" w:type="pct"/>
            <w:gridSpan w:val="2"/>
          </w:tcPr>
          <w:p w:rsidR="007A62A7" w:rsidRPr="009D287C" w:rsidRDefault="007A62A7" w:rsidP="007A62A7">
            <w:pPr>
              <w:jc w:val="both"/>
              <w:rPr>
                <w:sz w:val="20"/>
              </w:rPr>
            </w:pPr>
            <w:r w:rsidRPr="009D287C">
              <w:rPr>
                <w:sz w:val="20"/>
              </w:rPr>
              <w:lastRenderedPageBreak/>
              <w:t>August 25, 2016</w:t>
            </w:r>
          </w:p>
          <w:p w:rsidR="007A62A7" w:rsidRPr="009D287C" w:rsidRDefault="007A62A7" w:rsidP="007A62A7">
            <w:pPr>
              <w:jc w:val="both"/>
              <w:rPr>
                <w:sz w:val="20"/>
              </w:rPr>
            </w:pPr>
            <w:r w:rsidRPr="009D287C">
              <w:rPr>
                <w:sz w:val="20"/>
              </w:rPr>
              <w:t>Supreme Court of Canada</w:t>
            </w:r>
          </w:p>
        </w:tc>
        <w:tc>
          <w:tcPr>
            <w:tcW w:w="243" w:type="pct"/>
          </w:tcPr>
          <w:p w:rsidR="007A62A7" w:rsidRPr="009D287C" w:rsidRDefault="007A62A7" w:rsidP="007A62A7">
            <w:pPr>
              <w:jc w:val="both"/>
              <w:rPr>
                <w:sz w:val="20"/>
              </w:rPr>
            </w:pPr>
          </w:p>
        </w:tc>
        <w:tc>
          <w:tcPr>
            <w:tcW w:w="2330" w:type="pct"/>
          </w:tcPr>
          <w:p w:rsidR="007A62A7" w:rsidRPr="009D287C" w:rsidRDefault="007A62A7" w:rsidP="007A62A7">
            <w:pPr>
              <w:jc w:val="both"/>
              <w:rPr>
                <w:sz w:val="20"/>
              </w:rPr>
            </w:pPr>
            <w:r w:rsidRPr="009D287C">
              <w:rPr>
                <w:sz w:val="20"/>
              </w:rPr>
              <w:t>Application for leave to appeal filed</w:t>
            </w:r>
          </w:p>
        </w:tc>
      </w:tr>
    </w:tbl>
    <w:p w:rsidR="007A62A7" w:rsidRPr="009D287C" w:rsidRDefault="00346C6C" w:rsidP="007A62A7">
      <w:pPr>
        <w:jc w:val="both"/>
        <w:rPr>
          <w:sz w:val="20"/>
        </w:rPr>
      </w:pPr>
      <w:r>
        <w:rPr>
          <w:sz w:val="20"/>
          <w:szCs w:val="20"/>
        </w:rPr>
        <w:pict>
          <v:rect id="_x0000_i1037" style="width:2in;height:1pt" o:hrpct="0" o:hralign="center" o:hrstd="t" o:hrnoshade="t" o:hr="t" fillcolor="black" stroked="f"/>
        </w:pict>
      </w:r>
    </w:p>
    <w:p w:rsidR="007A62A7" w:rsidRPr="009D287C" w:rsidRDefault="007A62A7" w:rsidP="007A62A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62A7" w:rsidRPr="009D287C" w:rsidTr="003956FF">
        <w:tc>
          <w:tcPr>
            <w:tcW w:w="543" w:type="pct"/>
          </w:tcPr>
          <w:p w:rsidR="007A62A7" w:rsidRPr="009D287C" w:rsidRDefault="007A62A7" w:rsidP="003956FF">
            <w:pPr>
              <w:jc w:val="both"/>
              <w:rPr>
                <w:sz w:val="20"/>
                <w:lang w:val="fr-CA"/>
              </w:rPr>
            </w:pPr>
            <w:r w:rsidRPr="009D287C">
              <w:rPr>
                <w:rStyle w:val="SCCFileNumberChar"/>
                <w:sz w:val="20"/>
                <w:szCs w:val="20"/>
                <w:lang w:val="fr-CA"/>
              </w:rPr>
              <w:t>37159</w:t>
            </w:r>
          </w:p>
        </w:tc>
        <w:tc>
          <w:tcPr>
            <w:tcW w:w="4457" w:type="pct"/>
            <w:gridSpan w:val="3"/>
          </w:tcPr>
          <w:p w:rsidR="007A62A7" w:rsidRPr="009D287C" w:rsidRDefault="007A62A7" w:rsidP="003956FF">
            <w:pPr>
              <w:pStyle w:val="SCCLsocParty"/>
              <w:jc w:val="both"/>
              <w:rPr>
                <w:b/>
                <w:sz w:val="20"/>
                <w:szCs w:val="20"/>
                <w:lang w:val="en-US"/>
              </w:rPr>
            </w:pPr>
            <w:r w:rsidRPr="009D287C">
              <w:rPr>
                <w:b/>
                <w:sz w:val="20"/>
                <w:szCs w:val="20"/>
                <w:lang w:val="en-US"/>
              </w:rPr>
              <w:t xml:space="preserve">Allison Garrett c. Oldfield, Greaves, </w:t>
            </w:r>
            <w:proofErr w:type="spellStart"/>
            <w:r w:rsidRPr="009D287C">
              <w:rPr>
                <w:b/>
                <w:sz w:val="20"/>
                <w:szCs w:val="20"/>
                <w:lang w:val="en-US"/>
              </w:rPr>
              <w:t>D’Agostino</w:t>
            </w:r>
            <w:proofErr w:type="spellEnd"/>
            <w:r w:rsidRPr="009D287C">
              <w:rPr>
                <w:b/>
                <w:sz w:val="20"/>
                <w:szCs w:val="20"/>
                <w:lang w:val="en-US"/>
              </w:rPr>
              <w:t xml:space="preserve">, G. Edward Oldfield et Terrance J. </w:t>
            </w:r>
            <w:proofErr w:type="spellStart"/>
            <w:r w:rsidRPr="009D287C">
              <w:rPr>
                <w:b/>
                <w:sz w:val="20"/>
                <w:szCs w:val="20"/>
                <w:lang w:val="en-US"/>
              </w:rPr>
              <w:t>Billo</w:t>
            </w:r>
            <w:proofErr w:type="spellEnd"/>
          </w:p>
          <w:p w:rsidR="007A62A7" w:rsidRPr="009D287C" w:rsidRDefault="007A62A7" w:rsidP="003956FF">
            <w:pPr>
              <w:pStyle w:val="SCCLsocParty"/>
              <w:jc w:val="both"/>
              <w:rPr>
                <w:b/>
                <w:sz w:val="20"/>
                <w:szCs w:val="20"/>
              </w:rPr>
            </w:pPr>
            <w:r w:rsidRPr="009D287C">
              <w:rPr>
                <w:sz w:val="20"/>
                <w:szCs w:val="20"/>
              </w:rPr>
              <w:t>(Ont.) (Civile) (Sur autorisation)</w:t>
            </w:r>
          </w:p>
        </w:tc>
      </w:tr>
      <w:tr w:rsidR="007A62A7" w:rsidRPr="00346C6C" w:rsidTr="003956FF">
        <w:tc>
          <w:tcPr>
            <w:tcW w:w="543" w:type="pct"/>
          </w:tcPr>
          <w:p w:rsidR="007A62A7" w:rsidRPr="009D287C" w:rsidRDefault="007A62A7" w:rsidP="007A62A7">
            <w:pPr>
              <w:jc w:val="both"/>
              <w:rPr>
                <w:rStyle w:val="SCCFileNumberChar"/>
                <w:b w:val="0"/>
                <w:sz w:val="20"/>
                <w:szCs w:val="20"/>
              </w:rPr>
            </w:pPr>
            <w:r w:rsidRPr="009D287C">
              <w:rPr>
                <w:rStyle w:val="SCCFileNumberChar"/>
                <w:b w:val="0"/>
                <w:sz w:val="20"/>
                <w:szCs w:val="20"/>
              </w:rPr>
              <w:t xml:space="preserve">Coram: </w:t>
            </w:r>
          </w:p>
        </w:tc>
        <w:tc>
          <w:tcPr>
            <w:tcW w:w="4457" w:type="pct"/>
            <w:gridSpan w:val="3"/>
          </w:tcPr>
          <w:p w:rsidR="007A62A7" w:rsidRPr="009D287C" w:rsidRDefault="007F461A" w:rsidP="007A62A7">
            <w:pPr>
              <w:rPr>
                <w:rFonts w:eastAsia="Calibri" w:cs="Times New Roman"/>
                <w:sz w:val="20"/>
                <w:szCs w:val="20"/>
                <w:u w:val="single"/>
                <w:lang w:val="fr-CA"/>
              </w:rPr>
            </w:pPr>
            <w:r w:rsidRPr="009D287C">
              <w:rPr>
                <w:rFonts w:eastAsia="Calibri" w:cs="Times New Roman"/>
                <w:sz w:val="20"/>
                <w:szCs w:val="20"/>
                <w:u w:val="single"/>
                <w:lang w:val="fr-CA"/>
              </w:rPr>
              <w:t xml:space="preserve">Les juges </w:t>
            </w:r>
            <w:r w:rsidR="007A62A7" w:rsidRPr="009D287C">
              <w:rPr>
                <w:rFonts w:eastAsia="Calibri" w:cs="Times New Roman"/>
                <w:sz w:val="20"/>
                <w:szCs w:val="20"/>
                <w:u w:val="single"/>
                <w:lang w:val="fr-CA"/>
              </w:rPr>
              <w:t>Abella, Karakatsanis et Brown</w:t>
            </w:r>
          </w:p>
          <w:p w:rsidR="007F461A" w:rsidRPr="009D287C" w:rsidRDefault="007F461A" w:rsidP="007A62A7">
            <w:pPr>
              <w:rPr>
                <w:lang w:val="fr-CA"/>
              </w:rPr>
            </w:pPr>
          </w:p>
        </w:tc>
      </w:tr>
      <w:tr w:rsidR="007A62A7" w:rsidRPr="00346C6C" w:rsidTr="003956FF">
        <w:tc>
          <w:tcPr>
            <w:tcW w:w="5000" w:type="pct"/>
            <w:gridSpan w:val="4"/>
          </w:tcPr>
          <w:p w:rsidR="007A62A7" w:rsidRPr="009D287C" w:rsidRDefault="007F461A" w:rsidP="007A62A7">
            <w:pPr>
              <w:jc w:val="both"/>
              <w:rPr>
                <w:sz w:val="20"/>
                <w:szCs w:val="20"/>
                <w:lang w:val="fr-CA"/>
              </w:rPr>
            </w:pPr>
            <w:r w:rsidRPr="009D287C">
              <w:rPr>
                <w:sz w:val="20"/>
                <w:szCs w:val="20"/>
                <w:lang w:val="fr-CA"/>
              </w:rPr>
              <w:t xml:space="preserve">La demande d’autorisation d’appel de l’arrêt de la </w:t>
            </w:r>
            <w:r w:rsidRPr="009D287C">
              <w:rPr>
                <w:sz w:val="20"/>
                <w:szCs w:val="20"/>
                <w:lang w:val="fr-FR"/>
              </w:rPr>
              <w:t>Cour d’appel de l’Ontario</w:t>
            </w:r>
            <w:r w:rsidRPr="009D287C">
              <w:rPr>
                <w:sz w:val="20"/>
                <w:szCs w:val="20"/>
                <w:lang w:val="fr-CA"/>
              </w:rPr>
              <w:t xml:space="preserve">, numéro </w:t>
            </w:r>
            <w:r w:rsidRPr="009D287C">
              <w:rPr>
                <w:sz w:val="20"/>
                <w:szCs w:val="20"/>
                <w:lang w:val="fr-FR"/>
              </w:rPr>
              <w:t xml:space="preserve"> C61661</w:t>
            </w:r>
            <w:r w:rsidRPr="009D287C">
              <w:rPr>
                <w:sz w:val="20"/>
                <w:szCs w:val="20"/>
                <w:lang w:val="fr-CA"/>
              </w:rPr>
              <w:t xml:space="preserve">, </w:t>
            </w:r>
            <w:r w:rsidRPr="009D287C">
              <w:rPr>
                <w:sz w:val="20"/>
                <w:szCs w:val="20"/>
                <w:lang w:val="fr-FR"/>
              </w:rPr>
              <w:t xml:space="preserve">2016 ONCA 424, </w:t>
            </w:r>
            <w:r w:rsidRPr="009D287C">
              <w:rPr>
                <w:sz w:val="20"/>
                <w:szCs w:val="20"/>
                <w:lang w:val="fr-CA"/>
              </w:rPr>
              <w:t xml:space="preserve">daté du </w:t>
            </w:r>
            <w:r w:rsidRPr="009D287C">
              <w:rPr>
                <w:sz w:val="20"/>
                <w:szCs w:val="20"/>
                <w:lang w:val="fr-FR"/>
              </w:rPr>
              <w:t>1 juin 2016</w:t>
            </w:r>
            <w:r w:rsidRPr="009D287C">
              <w:rPr>
                <w:sz w:val="20"/>
                <w:szCs w:val="20"/>
                <w:lang w:val="fr-CA"/>
              </w:rPr>
              <w:t xml:space="preserve">, est rejetée avec dépens en faveur des intimés, </w:t>
            </w:r>
            <w:proofErr w:type="spellStart"/>
            <w:r w:rsidRPr="009D287C">
              <w:rPr>
                <w:sz w:val="20"/>
                <w:szCs w:val="20"/>
                <w:lang w:val="fr-FR"/>
              </w:rPr>
              <w:t>Oldfield</w:t>
            </w:r>
            <w:proofErr w:type="spellEnd"/>
            <w:r w:rsidRPr="009D287C">
              <w:rPr>
                <w:sz w:val="20"/>
                <w:szCs w:val="20"/>
                <w:lang w:val="fr-FR"/>
              </w:rPr>
              <w:t xml:space="preserve">, </w:t>
            </w:r>
            <w:proofErr w:type="spellStart"/>
            <w:r w:rsidRPr="009D287C">
              <w:rPr>
                <w:sz w:val="20"/>
                <w:szCs w:val="20"/>
                <w:lang w:val="fr-FR"/>
              </w:rPr>
              <w:t>Greaves</w:t>
            </w:r>
            <w:proofErr w:type="spellEnd"/>
            <w:r w:rsidRPr="009D287C">
              <w:rPr>
                <w:sz w:val="20"/>
                <w:szCs w:val="20"/>
                <w:lang w:val="fr-FR"/>
              </w:rPr>
              <w:t xml:space="preserve">, D’Agostino, G. Edward </w:t>
            </w:r>
            <w:proofErr w:type="spellStart"/>
            <w:r w:rsidRPr="009D287C">
              <w:rPr>
                <w:sz w:val="20"/>
                <w:szCs w:val="20"/>
                <w:lang w:val="fr-FR"/>
              </w:rPr>
              <w:t>Oldfield</w:t>
            </w:r>
            <w:proofErr w:type="spellEnd"/>
            <w:r w:rsidRPr="009D287C">
              <w:rPr>
                <w:sz w:val="20"/>
                <w:szCs w:val="20"/>
                <w:lang w:val="fr-FR"/>
              </w:rPr>
              <w:t xml:space="preserve"> et </w:t>
            </w:r>
            <w:proofErr w:type="spellStart"/>
            <w:r w:rsidRPr="009D287C">
              <w:rPr>
                <w:sz w:val="20"/>
                <w:szCs w:val="20"/>
                <w:lang w:val="fr-FR"/>
              </w:rPr>
              <w:t>Terrance</w:t>
            </w:r>
            <w:proofErr w:type="spellEnd"/>
            <w:r w:rsidRPr="009D287C">
              <w:rPr>
                <w:sz w:val="20"/>
                <w:szCs w:val="20"/>
                <w:lang w:val="fr-FR"/>
              </w:rPr>
              <w:t xml:space="preserve"> J. </w:t>
            </w:r>
            <w:proofErr w:type="spellStart"/>
            <w:r w:rsidRPr="009D287C">
              <w:rPr>
                <w:sz w:val="20"/>
                <w:szCs w:val="20"/>
                <w:lang w:val="fr-FR"/>
              </w:rPr>
              <w:t>Billo</w:t>
            </w:r>
            <w:proofErr w:type="spellEnd"/>
            <w:r w:rsidRPr="009D287C">
              <w:rPr>
                <w:sz w:val="20"/>
                <w:szCs w:val="20"/>
                <w:lang w:val="fr-CA"/>
              </w:rPr>
              <w:t>.</w:t>
            </w:r>
          </w:p>
          <w:p w:rsidR="007F461A" w:rsidRPr="009D287C" w:rsidRDefault="007F461A" w:rsidP="007A62A7">
            <w:pPr>
              <w:jc w:val="both"/>
              <w:rPr>
                <w:i/>
                <w:sz w:val="20"/>
                <w:szCs w:val="20"/>
                <w:lang w:val="fr-CA"/>
              </w:rPr>
            </w:pPr>
          </w:p>
        </w:tc>
      </w:tr>
      <w:tr w:rsidR="007A62A7" w:rsidRPr="00346C6C" w:rsidTr="003956FF">
        <w:tc>
          <w:tcPr>
            <w:tcW w:w="5000" w:type="pct"/>
            <w:gridSpan w:val="4"/>
          </w:tcPr>
          <w:p w:rsidR="007A62A7" w:rsidRPr="009D287C" w:rsidRDefault="007A62A7" w:rsidP="007A62A7">
            <w:pPr>
              <w:jc w:val="both"/>
              <w:rPr>
                <w:sz w:val="20"/>
                <w:lang w:val="fr-CA"/>
              </w:rPr>
            </w:pPr>
            <w:r w:rsidRPr="009D287C">
              <w:rPr>
                <w:i/>
                <w:sz w:val="20"/>
                <w:lang w:val="fr-CA"/>
              </w:rPr>
              <w:t xml:space="preserve">Charte des droits </w:t>
            </w:r>
            <w:r w:rsidRPr="009D287C">
              <w:rPr>
                <w:sz w:val="20"/>
                <w:lang w:val="fr-CA"/>
              </w:rPr>
              <w:t xml:space="preserve">– Droit à l’égalité – Justice fondamentale – Jugements et ordonnances – Jugement sommaire – Motion en radiation – La demanderesse sollicite un jugement sommaire et les intimés sollicitent la radiation de l’action de la demanderesse en dommages-intérêts – A-t-on fait abstraction de violation des art. 7 et 15 de la </w:t>
            </w:r>
            <w:r w:rsidRPr="009D287C">
              <w:rPr>
                <w:i/>
                <w:sz w:val="20"/>
                <w:lang w:val="fr-CA"/>
              </w:rPr>
              <w:t>Charte</w:t>
            </w:r>
            <w:r w:rsidRPr="009D287C">
              <w:rPr>
                <w:sz w:val="20"/>
                <w:lang w:val="fr-CA"/>
              </w:rPr>
              <w:t>? – La Cour d’appel a-t-elle miné la cour régionale en faisant abstraction de la partialité, de notions juridiques fondamentales et d’une activité criminelle? – L’exigence relative aux affidavits est-elle en cause en ce qui concerne les plaideurs non représentés? – Les lois provinciales et fédérales sont-elles déficientes ou non existantes en ce qui concerne les préoccupations d’ordre judiciaire?</w:t>
            </w:r>
          </w:p>
        </w:tc>
      </w:tr>
      <w:tr w:rsidR="007A62A7" w:rsidRPr="00346C6C" w:rsidTr="003956FF">
        <w:tc>
          <w:tcPr>
            <w:tcW w:w="5000" w:type="pct"/>
            <w:gridSpan w:val="4"/>
          </w:tcPr>
          <w:p w:rsidR="007A62A7" w:rsidRPr="009D287C" w:rsidRDefault="007A62A7" w:rsidP="007A62A7">
            <w:pPr>
              <w:jc w:val="both"/>
              <w:rPr>
                <w:sz w:val="20"/>
                <w:lang w:val="fr-CA"/>
              </w:rPr>
            </w:pPr>
          </w:p>
        </w:tc>
      </w:tr>
      <w:tr w:rsidR="007A62A7" w:rsidRPr="00346C6C" w:rsidTr="003956FF">
        <w:tc>
          <w:tcPr>
            <w:tcW w:w="5000" w:type="pct"/>
            <w:gridSpan w:val="4"/>
          </w:tcPr>
          <w:p w:rsidR="007A62A7" w:rsidRPr="009D287C" w:rsidRDefault="007A62A7" w:rsidP="007A62A7">
            <w:pPr>
              <w:jc w:val="both"/>
              <w:rPr>
                <w:sz w:val="20"/>
                <w:lang w:val="fr-CA"/>
              </w:rPr>
            </w:pPr>
            <w:r w:rsidRPr="009D287C">
              <w:rPr>
                <w:sz w:val="20"/>
                <w:lang w:val="fr-CA"/>
              </w:rPr>
              <w:t xml:space="preserve">La demanderesse a été congédiée en août 2008. Et elle a intenté une action contre son ancien employeur et contre les avocats et le cabinet d’avocats qui la représentaient, plaidant notamment le congédiement injustifié, la négligence, la discrimination, le harcèlement et le manquement à la bonne foi. Avant le procès, l’action a fait l’objet d’un règlement à l’amiable et le procès-verbal de transaction signé par les parties prévoyait le paiement d’une somme globale de 45 000 $ à la demanderesse en contrepartie d’une décharge signée. L’argent a été versé à Mme Garrett et cette action a été rejetée en septembre 2012. Madame Garrett a intenté une deuxième action en dommages-intérêts fondée sur diverses causes d’action, notamment la négligence, le manquement à l’obligation de diligence, le complot, la malveillance, les dommages-intérêts exemplaires pour diffamation, les dommages-intérêts pour violation des droits de la personne et des violations constitutionnelles. Dans des motions distinctes, les intimés ont sollicité la radiation de la déclaration, plaidant notamment la chose jugée, la prescription, la </w:t>
            </w:r>
            <w:proofErr w:type="spellStart"/>
            <w:r w:rsidRPr="009D287C">
              <w:rPr>
                <w:sz w:val="20"/>
                <w:lang w:val="fr-CA"/>
              </w:rPr>
              <w:t>préclusion</w:t>
            </w:r>
            <w:proofErr w:type="spellEnd"/>
            <w:r w:rsidRPr="009D287C">
              <w:rPr>
                <w:sz w:val="20"/>
                <w:lang w:val="fr-CA"/>
              </w:rPr>
              <w:t xml:space="preserve"> fondée sur la cause d’action et l’abus de procédure.</w:t>
            </w:r>
          </w:p>
          <w:p w:rsidR="007A62A7" w:rsidRPr="009D287C" w:rsidRDefault="007A62A7" w:rsidP="007A62A7">
            <w:pPr>
              <w:jc w:val="both"/>
              <w:rPr>
                <w:sz w:val="20"/>
                <w:lang w:val="fr-CA"/>
              </w:rPr>
            </w:pP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23 janvier 2014</w:t>
            </w:r>
          </w:p>
          <w:p w:rsidR="007A62A7" w:rsidRPr="009D287C" w:rsidRDefault="007A62A7" w:rsidP="007A62A7">
            <w:pPr>
              <w:jc w:val="both"/>
              <w:rPr>
                <w:sz w:val="20"/>
                <w:lang w:val="fr-CA"/>
              </w:rPr>
            </w:pPr>
            <w:r w:rsidRPr="009D287C">
              <w:rPr>
                <w:sz w:val="20"/>
                <w:lang w:val="fr-CA"/>
              </w:rPr>
              <w:t>Cour supérieure de justice de l’Ontario</w:t>
            </w:r>
          </w:p>
          <w:p w:rsidR="007A62A7" w:rsidRPr="009D287C" w:rsidRDefault="007A62A7" w:rsidP="007A62A7">
            <w:pPr>
              <w:jc w:val="both"/>
              <w:rPr>
                <w:sz w:val="20"/>
                <w:lang w:val="fr-CA"/>
              </w:rPr>
            </w:pPr>
            <w:r w:rsidRPr="009D287C">
              <w:rPr>
                <w:sz w:val="20"/>
                <w:lang w:val="fr-CA"/>
              </w:rPr>
              <w:t>(Juge Broad)</w:t>
            </w:r>
          </w:p>
          <w:p w:rsidR="007A62A7" w:rsidRPr="009D287C" w:rsidRDefault="00346C6C" w:rsidP="007A62A7">
            <w:pPr>
              <w:jc w:val="both"/>
              <w:rPr>
                <w:sz w:val="20"/>
                <w:lang w:val="fr-CA"/>
              </w:rPr>
            </w:pPr>
            <w:hyperlink r:id="rId30" w:history="1">
              <w:r w:rsidR="007A62A7" w:rsidRPr="009D287C">
                <w:rPr>
                  <w:rStyle w:val="Hyperlink"/>
                  <w:sz w:val="20"/>
                  <w:lang w:val="fr-CA"/>
                </w:rPr>
                <w:t>2014 ONSC 508</w:t>
              </w:r>
            </w:hyperlink>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Rejet de la motion de la demanderesse en jugement sommaire; jugement accueillant les motions de plusieurs intimés en radiation de la déclaration en ce qui les concerne</w:t>
            </w: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14 août 2014</w:t>
            </w:r>
          </w:p>
          <w:p w:rsidR="007A62A7" w:rsidRPr="009D287C" w:rsidRDefault="007A62A7" w:rsidP="007A62A7">
            <w:pPr>
              <w:jc w:val="both"/>
              <w:rPr>
                <w:sz w:val="20"/>
                <w:lang w:val="fr-CA"/>
              </w:rPr>
            </w:pPr>
            <w:r w:rsidRPr="009D287C">
              <w:rPr>
                <w:sz w:val="20"/>
                <w:lang w:val="fr-CA"/>
              </w:rPr>
              <w:t>Cour supérieure de justice de l’Ontario</w:t>
            </w:r>
          </w:p>
          <w:p w:rsidR="007A62A7" w:rsidRPr="009D287C" w:rsidRDefault="007A62A7" w:rsidP="007A62A7">
            <w:pPr>
              <w:jc w:val="both"/>
              <w:rPr>
                <w:sz w:val="20"/>
                <w:lang w:val="fr-CA"/>
              </w:rPr>
            </w:pPr>
            <w:r w:rsidRPr="009D287C">
              <w:rPr>
                <w:sz w:val="20"/>
                <w:lang w:val="fr-CA"/>
              </w:rPr>
              <w:t xml:space="preserve">(Juge </w:t>
            </w:r>
            <w:proofErr w:type="spellStart"/>
            <w:r w:rsidRPr="009D287C">
              <w:rPr>
                <w:sz w:val="20"/>
                <w:lang w:val="fr-CA"/>
              </w:rPr>
              <w:t>Parayeski</w:t>
            </w:r>
            <w:proofErr w:type="spellEnd"/>
            <w:r w:rsidRPr="009D287C">
              <w:rPr>
                <w:sz w:val="20"/>
                <w:lang w:val="fr-CA"/>
              </w:rPr>
              <w:t>)</w:t>
            </w:r>
          </w:p>
          <w:p w:rsidR="007A62A7" w:rsidRPr="009D287C" w:rsidRDefault="007A62A7" w:rsidP="007A62A7">
            <w:pPr>
              <w:jc w:val="both"/>
              <w:rPr>
                <w:sz w:val="20"/>
                <w:lang w:val="fr-CA"/>
              </w:rPr>
            </w:pPr>
            <w:r w:rsidRPr="009D287C">
              <w:rPr>
                <w:sz w:val="20"/>
                <w:lang w:val="fr-CA"/>
              </w:rPr>
              <w:t>Non publié</w:t>
            </w:r>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Jugement accueillant la motion des autres intimés en radiation de la déclaration en ce qui les concerne</w:t>
            </w:r>
          </w:p>
        </w:tc>
      </w:tr>
      <w:tr w:rsidR="007A62A7" w:rsidRPr="00346C6C" w:rsidTr="003956FF">
        <w:tc>
          <w:tcPr>
            <w:tcW w:w="2427" w:type="pct"/>
            <w:gridSpan w:val="2"/>
          </w:tcPr>
          <w:p w:rsidR="007A62A7" w:rsidRPr="009D287C" w:rsidRDefault="007A62A7" w:rsidP="007A62A7">
            <w:pPr>
              <w:jc w:val="both"/>
              <w:rPr>
                <w:sz w:val="20"/>
                <w:lang w:val="fr-CA"/>
              </w:rPr>
            </w:pPr>
            <w:r w:rsidRPr="009D287C">
              <w:rPr>
                <w:sz w:val="20"/>
                <w:lang w:val="fr-CA"/>
              </w:rPr>
              <w:t>1</w:t>
            </w:r>
            <w:r w:rsidRPr="009D287C">
              <w:rPr>
                <w:sz w:val="20"/>
                <w:vertAlign w:val="superscript"/>
                <w:lang w:val="fr-CA"/>
              </w:rPr>
              <w:t>er</w:t>
            </w:r>
            <w:r w:rsidRPr="009D287C">
              <w:rPr>
                <w:sz w:val="20"/>
                <w:lang w:val="fr-CA"/>
              </w:rPr>
              <w:t xml:space="preserve"> juin 2016</w:t>
            </w:r>
          </w:p>
          <w:p w:rsidR="007A62A7" w:rsidRPr="009D287C" w:rsidRDefault="007A62A7" w:rsidP="007A62A7">
            <w:pPr>
              <w:jc w:val="both"/>
              <w:rPr>
                <w:sz w:val="20"/>
                <w:lang w:val="fr-CA"/>
              </w:rPr>
            </w:pPr>
            <w:r w:rsidRPr="009D287C">
              <w:rPr>
                <w:sz w:val="20"/>
                <w:lang w:val="fr-CA"/>
              </w:rPr>
              <w:t xml:space="preserve">Cour d’appel de l’Ontario </w:t>
            </w:r>
          </w:p>
          <w:p w:rsidR="007A62A7" w:rsidRPr="009D287C" w:rsidRDefault="007A62A7" w:rsidP="007A62A7">
            <w:pPr>
              <w:jc w:val="both"/>
              <w:rPr>
                <w:sz w:val="20"/>
                <w:lang w:val="fr-CA"/>
              </w:rPr>
            </w:pPr>
            <w:r w:rsidRPr="009D287C">
              <w:rPr>
                <w:sz w:val="20"/>
                <w:lang w:val="fr-CA"/>
              </w:rPr>
              <w:t xml:space="preserve">(Juges </w:t>
            </w:r>
            <w:proofErr w:type="spellStart"/>
            <w:r w:rsidRPr="009D287C">
              <w:rPr>
                <w:sz w:val="20"/>
                <w:lang w:val="fr-CA"/>
              </w:rPr>
              <w:t>Juriansz</w:t>
            </w:r>
            <w:proofErr w:type="spellEnd"/>
            <w:r w:rsidRPr="009D287C">
              <w:rPr>
                <w:sz w:val="20"/>
                <w:lang w:val="fr-CA"/>
              </w:rPr>
              <w:t>, Brown et Roberts)</w:t>
            </w:r>
          </w:p>
          <w:p w:rsidR="007A62A7" w:rsidRPr="009D287C" w:rsidRDefault="00346C6C" w:rsidP="007A62A7">
            <w:pPr>
              <w:jc w:val="both"/>
              <w:rPr>
                <w:rStyle w:val="Hyperlink"/>
                <w:sz w:val="20"/>
                <w:lang w:val="fr-CA"/>
              </w:rPr>
            </w:pPr>
            <w:hyperlink r:id="rId31" w:history="1">
              <w:r w:rsidR="007A62A7" w:rsidRPr="009D287C">
                <w:rPr>
                  <w:rStyle w:val="Hyperlink"/>
                  <w:sz w:val="20"/>
                  <w:lang w:val="fr-CA"/>
                </w:rPr>
                <w:t>2016 ONCA 424</w:t>
              </w:r>
            </w:hyperlink>
          </w:p>
          <w:p w:rsidR="007A62A7" w:rsidRPr="009D287C" w:rsidRDefault="007A62A7" w:rsidP="007A62A7">
            <w:pPr>
              <w:jc w:val="both"/>
              <w:rPr>
                <w:sz w:val="20"/>
                <w:lang w:val="fr-CA"/>
              </w:rPr>
            </w:pP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Rejet de l’appel interjeté par la demanderesse de l’ordonnance du 14 août 2014 en faveur d’</w:t>
            </w:r>
            <w:proofErr w:type="spellStart"/>
            <w:r w:rsidRPr="009D287C">
              <w:rPr>
                <w:sz w:val="20"/>
                <w:lang w:val="fr-CA"/>
              </w:rPr>
              <w:t>Oldfield</w:t>
            </w:r>
            <w:proofErr w:type="spellEnd"/>
            <w:r w:rsidRPr="009D287C">
              <w:rPr>
                <w:sz w:val="20"/>
                <w:lang w:val="fr-CA"/>
              </w:rPr>
              <w:t xml:space="preserve">, </w:t>
            </w:r>
            <w:proofErr w:type="spellStart"/>
            <w:r w:rsidRPr="009D287C">
              <w:rPr>
                <w:sz w:val="20"/>
                <w:lang w:val="fr-CA"/>
              </w:rPr>
              <w:t>Greaves</w:t>
            </w:r>
            <w:proofErr w:type="spellEnd"/>
            <w:r w:rsidRPr="009D287C">
              <w:rPr>
                <w:sz w:val="20"/>
                <w:lang w:val="fr-CA"/>
              </w:rPr>
              <w:t xml:space="preserve">, D’Agostino, de G. Edward </w:t>
            </w:r>
            <w:proofErr w:type="spellStart"/>
            <w:r w:rsidRPr="009D287C">
              <w:rPr>
                <w:sz w:val="20"/>
                <w:lang w:val="fr-CA"/>
              </w:rPr>
              <w:t>Oldfield</w:t>
            </w:r>
            <w:proofErr w:type="spellEnd"/>
            <w:r w:rsidRPr="009D287C">
              <w:rPr>
                <w:sz w:val="20"/>
                <w:lang w:val="fr-CA"/>
              </w:rPr>
              <w:t xml:space="preserve"> et de </w:t>
            </w:r>
            <w:proofErr w:type="spellStart"/>
            <w:r w:rsidRPr="009D287C">
              <w:rPr>
                <w:sz w:val="20"/>
                <w:lang w:val="fr-CA"/>
              </w:rPr>
              <w:t>Terrance</w:t>
            </w:r>
            <w:proofErr w:type="spellEnd"/>
            <w:r w:rsidRPr="009D287C">
              <w:rPr>
                <w:sz w:val="20"/>
                <w:lang w:val="fr-CA"/>
              </w:rPr>
              <w:t xml:space="preserve"> J. </w:t>
            </w:r>
            <w:proofErr w:type="spellStart"/>
            <w:r w:rsidRPr="009D287C">
              <w:rPr>
                <w:sz w:val="20"/>
                <w:lang w:val="fr-CA"/>
              </w:rPr>
              <w:t>Billo</w:t>
            </w:r>
            <w:proofErr w:type="spellEnd"/>
            <w:r w:rsidRPr="009D287C">
              <w:rPr>
                <w:sz w:val="20"/>
                <w:lang w:val="fr-CA"/>
              </w:rPr>
              <w:t xml:space="preserve"> </w:t>
            </w:r>
          </w:p>
          <w:p w:rsidR="007A62A7" w:rsidRPr="009D287C" w:rsidRDefault="007A62A7" w:rsidP="007A62A7">
            <w:pPr>
              <w:jc w:val="both"/>
              <w:rPr>
                <w:sz w:val="20"/>
                <w:lang w:val="fr-CA"/>
              </w:rPr>
            </w:pPr>
          </w:p>
        </w:tc>
      </w:tr>
      <w:tr w:rsidR="007A62A7" w:rsidRPr="00346C6C" w:rsidTr="003956FF">
        <w:trPr>
          <w:trHeight w:val="450"/>
        </w:trPr>
        <w:tc>
          <w:tcPr>
            <w:tcW w:w="2427" w:type="pct"/>
            <w:gridSpan w:val="2"/>
          </w:tcPr>
          <w:p w:rsidR="007A62A7" w:rsidRPr="009D287C" w:rsidRDefault="007A62A7" w:rsidP="007A62A7">
            <w:pPr>
              <w:jc w:val="both"/>
              <w:rPr>
                <w:sz w:val="20"/>
                <w:lang w:val="fr-CA"/>
              </w:rPr>
            </w:pPr>
            <w:r w:rsidRPr="009D287C">
              <w:rPr>
                <w:sz w:val="20"/>
                <w:lang w:val="fr-CA"/>
              </w:rPr>
              <w:t>25 août 2016</w:t>
            </w:r>
          </w:p>
          <w:p w:rsidR="007A62A7" w:rsidRPr="009D287C" w:rsidRDefault="007A62A7" w:rsidP="007A62A7">
            <w:pPr>
              <w:jc w:val="both"/>
              <w:rPr>
                <w:sz w:val="20"/>
                <w:lang w:val="fr-CA"/>
              </w:rPr>
            </w:pPr>
            <w:r w:rsidRPr="009D287C">
              <w:rPr>
                <w:sz w:val="20"/>
                <w:lang w:val="fr-CA"/>
              </w:rPr>
              <w:t>Cour suprême du Canada</w:t>
            </w:r>
          </w:p>
        </w:tc>
        <w:tc>
          <w:tcPr>
            <w:tcW w:w="243" w:type="pct"/>
          </w:tcPr>
          <w:p w:rsidR="007A62A7" w:rsidRPr="009D287C" w:rsidRDefault="007A62A7" w:rsidP="007A62A7">
            <w:pPr>
              <w:jc w:val="both"/>
              <w:rPr>
                <w:sz w:val="20"/>
                <w:lang w:val="fr-CA"/>
              </w:rPr>
            </w:pPr>
          </w:p>
        </w:tc>
        <w:tc>
          <w:tcPr>
            <w:tcW w:w="2330" w:type="pct"/>
          </w:tcPr>
          <w:p w:rsidR="007A62A7" w:rsidRPr="009D287C" w:rsidRDefault="007A62A7" w:rsidP="007A62A7">
            <w:pPr>
              <w:jc w:val="both"/>
              <w:rPr>
                <w:sz w:val="20"/>
                <w:lang w:val="fr-CA"/>
              </w:rPr>
            </w:pPr>
            <w:r w:rsidRPr="009D287C">
              <w:rPr>
                <w:sz w:val="20"/>
                <w:lang w:val="fr-CA"/>
              </w:rPr>
              <w:t>Dépôt de la demande d’autorisation d’appel</w:t>
            </w:r>
          </w:p>
        </w:tc>
      </w:tr>
    </w:tbl>
    <w:p w:rsidR="00890FEB" w:rsidRPr="009D287C" w:rsidRDefault="00346C6C" w:rsidP="008D292F">
      <w:pPr>
        <w:rPr>
          <w:sz w:val="20"/>
          <w:szCs w:val="20"/>
          <w:lang w:val="fr-CA"/>
        </w:rPr>
      </w:pPr>
      <w:r>
        <w:rPr>
          <w:sz w:val="20"/>
          <w:szCs w:val="20"/>
          <w:lang w:val="fr-CA"/>
        </w:rPr>
        <w:pict>
          <v:rect id="_x0000_i1038" style="width:2in;height:1pt" o:hrpct="0" o:hralign="center" o:hrstd="t" o:hrnoshade="t" o:hr="t" fillcolor="black [3213]" stroked="f"/>
        </w:pict>
      </w:r>
    </w:p>
    <w:p w:rsidR="00890FEB" w:rsidRPr="009D287C" w:rsidRDefault="00890FEB" w:rsidP="008D292F">
      <w:pPr>
        <w:rPr>
          <w:b/>
          <w:sz w:val="20"/>
          <w:szCs w:val="20"/>
          <w:lang w:val="fr-CA"/>
        </w:rPr>
        <w:sectPr w:rsidR="00890FEB" w:rsidRPr="009D287C" w:rsidSect="008D292F">
          <w:headerReference w:type="even" r:id="rId32"/>
          <w:headerReference w:type="default" r:id="rId33"/>
          <w:footerReference w:type="even" r:id="rId34"/>
          <w:footerReference w:type="default" r:id="rId35"/>
          <w:headerReference w:type="first" r:id="rId36"/>
          <w:footerReference w:type="first" r:id="rId3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9D287C" w:rsidTr="00BA6468">
        <w:tc>
          <w:tcPr>
            <w:tcW w:w="4230" w:type="dxa"/>
            <w:shd w:val="clear" w:color="auto" w:fill="auto"/>
            <w:tcMar>
              <w:left w:w="0" w:type="dxa"/>
              <w:right w:w="0" w:type="dxa"/>
            </w:tcMar>
          </w:tcPr>
          <w:p w:rsidR="00890FEB" w:rsidRPr="009D287C" w:rsidRDefault="00890FEB" w:rsidP="00EB2B90">
            <w:pPr>
              <w:keepNext/>
              <w:keepLines/>
              <w:tabs>
                <w:tab w:val="left" w:pos="-1440"/>
                <w:tab w:val="left" w:pos="-720"/>
              </w:tabs>
              <w:jc w:val="both"/>
              <w:rPr>
                <w:szCs w:val="24"/>
              </w:rPr>
            </w:pPr>
            <w:r w:rsidRPr="009D287C">
              <w:rPr>
                <w:b/>
                <w:szCs w:val="24"/>
              </w:rPr>
              <w:lastRenderedPageBreak/>
              <w:t>MOTIONS</w:t>
            </w:r>
          </w:p>
        </w:tc>
        <w:tc>
          <w:tcPr>
            <w:tcW w:w="1170" w:type="dxa"/>
            <w:shd w:val="clear" w:color="auto" w:fill="auto"/>
            <w:tcMar>
              <w:left w:w="0" w:type="dxa"/>
              <w:right w:w="0" w:type="dxa"/>
            </w:tcMar>
          </w:tcPr>
          <w:p w:rsidR="00890FEB" w:rsidRPr="009D287C" w:rsidRDefault="00890FEB" w:rsidP="00890FEB">
            <w:pPr>
              <w:keepNext/>
              <w:keepLines/>
              <w:tabs>
                <w:tab w:val="left" w:pos="-1440"/>
                <w:tab w:val="left" w:pos="-720"/>
              </w:tabs>
              <w:jc w:val="center"/>
              <w:rPr>
                <w:szCs w:val="24"/>
              </w:rPr>
            </w:pPr>
          </w:p>
          <w:p w:rsidR="00890FEB" w:rsidRPr="009D287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9D287C" w:rsidRDefault="00890FEB" w:rsidP="00831CA9">
            <w:pPr>
              <w:keepNext/>
              <w:keepLines/>
              <w:tabs>
                <w:tab w:val="left" w:pos="-1440"/>
                <w:tab w:val="left" w:pos="-720"/>
              </w:tabs>
              <w:rPr>
                <w:szCs w:val="24"/>
                <w:lang w:val="fr-CA"/>
              </w:rPr>
            </w:pPr>
            <w:r w:rsidRPr="009D287C">
              <w:rPr>
                <w:b/>
                <w:szCs w:val="24"/>
                <w:lang w:val="fr-CA"/>
              </w:rPr>
              <w:t>REQUÊTES</w:t>
            </w:r>
          </w:p>
        </w:tc>
      </w:tr>
    </w:tbl>
    <w:p w:rsidR="00890FEB" w:rsidRPr="009D287C" w:rsidRDefault="00890FEB" w:rsidP="00890FEB">
      <w:pPr>
        <w:rPr>
          <w:sz w:val="20"/>
          <w:szCs w:val="20"/>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sz w:val="20"/>
          <w:szCs w:val="20"/>
          <w:lang w:val="fr-CA" w:eastAsia="en-CA"/>
        </w:rPr>
        <w:t>25.11.2016</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eastAsia="en-CA"/>
        </w:rPr>
      </w:pPr>
      <w:proofErr w:type="spellStart"/>
      <w:r w:rsidRPr="009D287C">
        <w:rPr>
          <w:rFonts w:eastAsia="Times New Roman" w:cs="Times New Roman"/>
          <w:sz w:val="20"/>
          <w:szCs w:val="20"/>
          <w:lang w:val="fr-CA" w:eastAsia="en-CA"/>
        </w:rPr>
        <w:t>Before</w:t>
      </w:r>
      <w:proofErr w:type="spellEnd"/>
      <w:r w:rsidRPr="009D287C">
        <w:rPr>
          <w:rFonts w:eastAsia="Times New Roman" w:cs="Times New Roman"/>
          <w:sz w:val="20"/>
          <w:szCs w:val="20"/>
          <w:lang w:val="fr-CA" w:eastAsia="en-CA"/>
        </w:rPr>
        <w:t xml:space="preserve"> / Devant:   </w:t>
      </w:r>
      <w:r w:rsidRPr="009D287C">
        <w:rPr>
          <w:rFonts w:eastAsia="Times New Roman" w:cs="Times New Roman"/>
          <w:sz w:val="20"/>
          <w:szCs w:val="20"/>
          <w:lang w:eastAsia="en-CA"/>
        </w:rPr>
        <w:t>THE REGISTRAR / LE REGISTRAIRE</w:t>
      </w:r>
    </w:p>
    <w:p w:rsidR="00110AE3" w:rsidRPr="009D287C" w:rsidRDefault="00110AE3" w:rsidP="00110AE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110AE3" w:rsidRPr="009D287C" w:rsidTr="003956FF">
        <w:trPr>
          <w:trHeight w:val="151"/>
        </w:trPr>
        <w:tc>
          <w:tcPr>
            <w:tcW w:w="4338" w:type="dxa"/>
          </w:tcPr>
          <w:p w:rsidR="00110AE3" w:rsidRPr="009D287C" w:rsidRDefault="00110AE3" w:rsidP="00110AE3">
            <w:pPr>
              <w:tabs>
                <w:tab w:val="left" w:pos="-1440"/>
                <w:tab w:val="left" w:pos="-720"/>
              </w:tabs>
              <w:jc w:val="both"/>
              <w:rPr>
                <w:lang w:val="fr-CA"/>
              </w:rPr>
            </w:pPr>
            <w:r w:rsidRPr="009D287C">
              <w:rPr>
                <w:lang w:val="en-US"/>
              </w:rPr>
              <w:fldChar w:fldCharType="begin"/>
            </w:r>
            <w:r w:rsidRPr="009D287C">
              <w:rPr>
                <w:lang w:val="fr-CA"/>
              </w:rPr>
              <w:instrText xml:space="preserve"> SEQ CHAPTER \h \r 1</w:instrText>
            </w:r>
            <w:r w:rsidRPr="009D287C">
              <w:rPr>
                <w:lang w:val="en-US"/>
              </w:rPr>
              <w:fldChar w:fldCharType="end"/>
            </w:r>
            <w:r w:rsidRPr="009D287C">
              <w:rPr>
                <w:b/>
                <w:bCs/>
                <w:lang w:val="fr-CA"/>
              </w:rPr>
              <w:t xml:space="preserve">Motion to </w:t>
            </w:r>
            <w:proofErr w:type="spellStart"/>
            <w:r w:rsidRPr="009D287C">
              <w:rPr>
                <w:b/>
                <w:bCs/>
                <w:lang w:val="fr-CA"/>
              </w:rPr>
              <w:t>extend</w:t>
            </w:r>
            <w:proofErr w:type="spellEnd"/>
            <w:r w:rsidRPr="009D287C">
              <w:rPr>
                <w:b/>
                <w:bCs/>
                <w:lang w:val="fr-CA"/>
              </w:rPr>
              <w:t xml:space="preserve"> time</w:t>
            </w:r>
          </w:p>
          <w:p w:rsidR="00110AE3" w:rsidRPr="009D287C" w:rsidRDefault="00110AE3" w:rsidP="00110AE3">
            <w:pPr>
              <w:tabs>
                <w:tab w:val="left" w:pos="-1440"/>
                <w:tab w:val="left" w:pos="-720"/>
              </w:tabs>
              <w:jc w:val="both"/>
              <w:rPr>
                <w:lang w:val="fr-CA"/>
              </w:rPr>
            </w:pPr>
            <w:r w:rsidRPr="009D287C">
              <w:rPr>
                <w:lang w:val="en-US"/>
              </w:rPr>
              <w:fldChar w:fldCharType="begin"/>
            </w:r>
            <w:r w:rsidRPr="009D287C">
              <w:rPr>
                <w:lang w:val="fr-CA"/>
              </w:rPr>
              <w:instrText xml:space="preserve"> SEQ CHAPTER \h \r 1</w:instrText>
            </w:r>
            <w:r w:rsidRPr="009D287C">
              <w:rPr>
                <w:lang w:val="en-US"/>
              </w:rPr>
              <w:fldChar w:fldCharType="end"/>
            </w:r>
          </w:p>
        </w:tc>
        <w:tc>
          <w:tcPr>
            <w:tcW w:w="1170" w:type="dxa"/>
          </w:tcPr>
          <w:p w:rsidR="00110AE3" w:rsidRPr="009D287C" w:rsidRDefault="00110AE3" w:rsidP="00110AE3">
            <w:pPr>
              <w:jc w:val="both"/>
              <w:rPr>
                <w:lang w:val="fr-CA"/>
              </w:rPr>
            </w:pPr>
          </w:p>
          <w:p w:rsidR="00110AE3" w:rsidRPr="009D287C" w:rsidRDefault="00110AE3" w:rsidP="00110AE3">
            <w:pPr>
              <w:jc w:val="both"/>
              <w:rPr>
                <w:lang w:val="fr-CA"/>
              </w:rPr>
            </w:pPr>
          </w:p>
        </w:tc>
        <w:tc>
          <w:tcPr>
            <w:tcW w:w="4327" w:type="dxa"/>
          </w:tcPr>
          <w:p w:rsidR="00110AE3" w:rsidRPr="009D287C" w:rsidRDefault="00110AE3" w:rsidP="00110AE3">
            <w:pPr>
              <w:jc w:val="both"/>
              <w:rPr>
                <w:b/>
                <w:lang w:val="fr-CA"/>
              </w:rPr>
            </w:pPr>
            <w:r w:rsidRPr="009D287C">
              <w:rPr>
                <w:lang w:val="en-US"/>
              </w:rPr>
              <w:fldChar w:fldCharType="begin"/>
            </w:r>
            <w:r w:rsidRPr="009D287C">
              <w:rPr>
                <w:lang w:val="fr-CA"/>
              </w:rPr>
              <w:instrText xml:space="preserve"> SEQ CHAPTER \h \r 1</w:instrText>
            </w:r>
            <w:r w:rsidRPr="009D287C">
              <w:rPr>
                <w:lang w:val="en-US"/>
              </w:rPr>
              <w:fldChar w:fldCharType="end"/>
            </w:r>
            <w:r w:rsidRPr="009D287C">
              <w:rPr>
                <w:b/>
                <w:bCs/>
                <w:lang w:val="fr-CA"/>
              </w:rPr>
              <w:t>Requête en prorogation de délai</w:t>
            </w:r>
          </w:p>
          <w:p w:rsidR="00110AE3" w:rsidRPr="009D287C" w:rsidRDefault="00110AE3" w:rsidP="00110AE3">
            <w:pPr>
              <w:jc w:val="both"/>
              <w:rPr>
                <w:b/>
                <w:lang w:val="fr-CA"/>
              </w:rPr>
            </w:pPr>
            <w:r w:rsidRPr="009D287C">
              <w:rPr>
                <w:b/>
                <w:lang w:val="en-US"/>
              </w:rPr>
              <w:fldChar w:fldCharType="begin"/>
            </w:r>
            <w:r w:rsidRPr="009D287C">
              <w:rPr>
                <w:b/>
                <w:lang w:val="fr-CA"/>
              </w:rPr>
              <w:instrText xml:space="preserve"> SEQ CHAPTER \h \r 1</w:instrText>
            </w:r>
            <w:r w:rsidRPr="009D287C">
              <w:rPr>
                <w:b/>
                <w:lang w:val="en-US"/>
              </w:rPr>
              <w:fldChar w:fldCharType="end"/>
            </w:r>
            <w:r w:rsidRPr="009D287C">
              <w:rPr>
                <w:b/>
                <w:lang w:val="en-US"/>
              </w:rPr>
              <w:fldChar w:fldCharType="begin"/>
            </w:r>
            <w:r w:rsidRPr="009D287C">
              <w:rPr>
                <w:b/>
                <w:lang w:val="fr-CA"/>
              </w:rPr>
              <w:instrText xml:space="preserve"> SEQ CHAPTER \h \r 1</w:instrText>
            </w:r>
            <w:r w:rsidRPr="009D287C">
              <w:rPr>
                <w:b/>
                <w:lang w:val="en-US"/>
              </w:rPr>
              <w:fldChar w:fldCharType="end"/>
            </w:r>
          </w:p>
        </w:tc>
      </w:tr>
      <w:tr w:rsidR="00110AE3" w:rsidRPr="009D287C" w:rsidTr="003956FF">
        <w:trPr>
          <w:trHeight w:val="150"/>
        </w:trPr>
        <w:tc>
          <w:tcPr>
            <w:tcW w:w="4338" w:type="dxa"/>
          </w:tcPr>
          <w:p w:rsidR="00110AE3" w:rsidRPr="009D287C" w:rsidRDefault="00110AE3" w:rsidP="00110AE3">
            <w:pPr>
              <w:tabs>
                <w:tab w:val="left" w:pos="-1440"/>
                <w:tab w:val="left" w:pos="-720"/>
              </w:tabs>
              <w:jc w:val="both"/>
              <w:rPr>
                <w:lang w:val="en-US"/>
              </w:rPr>
            </w:pPr>
            <w:r w:rsidRPr="009D287C">
              <w:rPr>
                <w:lang w:val="en-US"/>
              </w:rPr>
              <w:t xml:space="preserve">First Nation of Nacho </w:t>
            </w:r>
            <w:proofErr w:type="spellStart"/>
            <w:r w:rsidRPr="009D287C">
              <w:rPr>
                <w:lang w:val="en-US"/>
              </w:rPr>
              <w:t>Nyak</w:t>
            </w:r>
            <w:proofErr w:type="spellEnd"/>
            <w:r w:rsidRPr="009D287C">
              <w:rPr>
                <w:lang w:val="en-US"/>
              </w:rPr>
              <w:t xml:space="preserve"> Dun et al.</w:t>
            </w:r>
          </w:p>
          <w:p w:rsidR="00110AE3" w:rsidRPr="009D287C" w:rsidRDefault="00110AE3" w:rsidP="00110AE3">
            <w:pPr>
              <w:tabs>
                <w:tab w:val="left" w:pos="-1440"/>
                <w:tab w:val="left" w:pos="-720"/>
              </w:tabs>
              <w:jc w:val="both"/>
              <w:rPr>
                <w:lang w:val="en-US"/>
              </w:rPr>
            </w:pPr>
          </w:p>
          <w:p w:rsidR="00110AE3" w:rsidRPr="009D287C" w:rsidRDefault="00110AE3" w:rsidP="00110AE3">
            <w:pPr>
              <w:tabs>
                <w:tab w:val="left" w:pos="-1440"/>
                <w:tab w:val="left" w:pos="-720"/>
              </w:tabs>
              <w:jc w:val="both"/>
              <w:rPr>
                <w:lang w:val="en-US"/>
              </w:rPr>
            </w:pPr>
            <w:r w:rsidRPr="009D287C">
              <w:rPr>
                <w:lang w:val="en-US"/>
              </w:rPr>
              <w:tab/>
              <w:t>v. (36779)</w:t>
            </w:r>
          </w:p>
          <w:p w:rsidR="00110AE3" w:rsidRPr="009D287C" w:rsidRDefault="00110AE3" w:rsidP="00110AE3">
            <w:pPr>
              <w:tabs>
                <w:tab w:val="left" w:pos="-1440"/>
                <w:tab w:val="left" w:pos="-720"/>
              </w:tabs>
              <w:jc w:val="both"/>
              <w:rPr>
                <w:lang w:val="en-US"/>
              </w:rPr>
            </w:pPr>
          </w:p>
          <w:p w:rsidR="00110AE3" w:rsidRPr="009D287C" w:rsidRDefault="00110AE3" w:rsidP="00110AE3">
            <w:pPr>
              <w:tabs>
                <w:tab w:val="left" w:pos="-1440"/>
                <w:tab w:val="left" w:pos="-720"/>
              </w:tabs>
              <w:jc w:val="both"/>
              <w:rPr>
                <w:lang w:val="en-US"/>
              </w:rPr>
            </w:pPr>
            <w:r w:rsidRPr="009D287C">
              <w:rPr>
                <w:lang w:val="en-US"/>
              </w:rPr>
              <w:t>Government of Yukon (Y.T.)</w:t>
            </w:r>
          </w:p>
        </w:tc>
        <w:tc>
          <w:tcPr>
            <w:tcW w:w="1170" w:type="dxa"/>
          </w:tcPr>
          <w:p w:rsidR="00110AE3" w:rsidRPr="009D287C" w:rsidRDefault="00110AE3" w:rsidP="00110AE3">
            <w:pPr>
              <w:jc w:val="both"/>
              <w:rPr>
                <w:lang w:val="en-US"/>
              </w:rPr>
            </w:pPr>
          </w:p>
        </w:tc>
        <w:tc>
          <w:tcPr>
            <w:tcW w:w="4327" w:type="dxa"/>
          </w:tcPr>
          <w:p w:rsidR="00110AE3" w:rsidRPr="009D287C" w:rsidRDefault="00110AE3" w:rsidP="00110AE3">
            <w:pPr>
              <w:jc w:val="both"/>
              <w:rPr>
                <w:lang w:val="en-US"/>
              </w:rPr>
            </w:pPr>
          </w:p>
        </w:tc>
      </w:tr>
    </w:tbl>
    <w:p w:rsidR="00110AE3" w:rsidRPr="009D287C" w:rsidRDefault="00110AE3" w:rsidP="00110AE3">
      <w:pPr>
        <w:tabs>
          <w:tab w:val="left" w:pos="-1440"/>
          <w:tab w:val="left" w:pos="-720"/>
        </w:tabs>
        <w:jc w:val="both"/>
        <w:rPr>
          <w:rFonts w:eastAsia="Times New Roman" w:cs="Times New Roman"/>
          <w:sz w:val="20"/>
          <w:szCs w:val="20"/>
          <w:lang w:val="en-US" w:eastAsia="en-CA"/>
        </w:rPr>
      </w:pPr>
    </w:p>
    <w:p w:rsidR="00110AE3" w:rsidRPr="009D287C" w:rsidRDefault="00110AE3" w:rsidP="00110AE3">
      <w:pPr>
        <w:tabs>
          <w:tab w:val="left" w:pos="-1440"/>
          <w:tab w:val="left" w:pos="-720"/>
        </w:tabs>
        <w:jc w:val="both"/>
        <w:rPr>
          <w:rFonts w:eastAsia="Times New Roman" w:cs="Times New Roman"/>
          <w:sz w:val="20"/>
          <w:szCs w:val="20"/>
          <w:lang w:val="en-US" w:eastAsia="en-CA"/>
        </w:rPr>
      </w:pPr>
      <w:r w:rsidRPr="009D287C">
        <w:rPr>
          <w:rFonts w:eastAsia="Times New Roman" w:cs="Times New Roman"/>
          <w:b/>
          <w:sz w:val="20"/>
          <w:szCs w:val="20"/>
          <w:lang w:val="en-US" w:eastAsia="en-CA"/>
        </w:rPr>
        <w:t>GRANTED / ACCORDÉE</w:t>
      </w:r>
    </w:p>
    <w:p w:rsidR="00110AE3" w:rsidRPr="009D287C" w:rsidRDefault="00110AE3" w:rsidP="00110AE3">
      <w:pPr>
        <w:tabs>
          <w:tab w:val="left" w:pos="-1440"/>
          <w:tab w:val="left" w:pos="-720"/>
        </w:tabs>
        <w:jc w:val="both"/>
        <w:rPr>
          <w:rFonts w:eastAsia="Times New Roman" w:cs="Times New Roman"/>
          <w:sz w:val="20"/>
          <w:szCs w:val="20"/>
          <w:lang w:val="en-US" w:eastAsia="en-CA"/>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r w:rsidRPr="009D287C">
        <w:rPr>
          <w:rFonts w:eastAsiaTheme="minorEastAsia" w:cs="Times New Roman"/>
          <w:b/>
          <w:bCs/>
          <w:sz w:val="20"/>
          <w:szCs w:val="20"/>
          <w:lang w:val="en-US"/>
        </w:rPr>
        <w:t xml:space="preserve">UPON APPLICATION </w:t>
      </w:r>
      <w:r w:rsidRPr="009D287C">
        <w:rPr>
          <w:rFonts w:eastAsiaTheme="minorEastAsia" w:cs="Times New Roman"/>
          <w:bCs/>
          <w:sz w:val="20"/>
          <w:szCs w:val="20"/>
          <w:lang w:val="en-US"/>
        </w:rPr>
        <w:t>by the respondent for an order</w:t>
      </w:r>
      <w:r w:rsidRPr="009D287C">
        <w:rPr>
          <w:rFonts w:eastAsiaTheme="minorEastAsia" w:cs="Times New Roman"/>
          <w:b/>
          <w:bCs/>
          <w:sz w:val="20"/>
          <w:szCs w:val="20"/>
          <w:lang w:val="en-US"/>
        </w:rPr>
        <w:t xml:space="preserve"> </w:t>
      </w:r>
      <w:r w:rsidRPr="009D287C">
        <w:rPr>
          <w:rFonts w:eastAsiaTheme="minorEastAsia" w:cs="Times New Roman"/>
          <w:bCs/>
          <w:sz w:val="20"/>
          <w:szCs w:val="20"/>
          <w:lang w:val="en-US"/>
        </w:rPr>
        <w:t>extending the time to serve and file its factum, record and book of authorities to January 20, 2017;</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r w:rsidRPr="009D287C">
        <w:rPr>
          <w:rFonts w:eastAsiaTheme="minorEastAsia" w:cs="Times New Roman"/>
          <w:b/>
          <w:bCs/>
          <w:sz w:val="20"/>
          <w:szCs w:val="20"/>
          <w:lang w:val="en-US"/>
        </w:rPr>
        <w:t xml:space="preserve">AND THE MATERIAL FILED </w:t>
      </w:r>
      <w:r w:rsidRPr="009D287C">
        <w:rPr>
          <w:rFonts w:eastAsiaTheme="minorEastAsia" w:cs="Times New Roman"/>
          <w:bCs/>
          <w:sz w:val="20"/>
          <w:szCs w:val="20"/>
          <w:lang w:val="en-US"/>
        </w:rPr>
        <w:t>having been read;</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p>
    <w:p w:rsidR="00110AE3" w:rsidRPr="009D287C" w:rsidRDefault="00110AE3" w:rsidP="00110AE3">
      <w:pPr>
        <w:widowControl w:val="0"/>
        <w:autoSpaceDE w:val="0"/>
        <w:autoSpaceDN w:val="0"/>
        <w:adjustRightInd w:val="0"/>
        <w:jc w:val="both"/>
        <w:rPr>
          <w:rFonts w:eastAsiaTheme="minorEastAsia" w:cs="Times New Roman"/>
          <w:sz w:val="20"/>
          <w:szCs w:val="20"/>
          <w:lang w:val="en-US"/>
        </w:rPr>
      </w:pPr>
      <w:r w:rsidRPr="009D287C">
        <w:rPr>
          <w:rFonts w:eastAsiaTheme="minorEastAsia" w:cs="Times New Roman"/>
          <w:b/>
          <w:sz w:val="20"/>
          <w:szCs w:val="20"/>
          <w:lang w:val="en-US"/>
        </w:rPr>
        <w:t>AND NOTING THAT</w:t>
      </w:r>
      <w:r w:rsidRPr="009D287C">
        <w:rPr>
          <w:rFonts w:eastAsiaTheme="minorEastAsia" w:cs="Times New Roman"/>
          <w:sz w:val="20"/>
          <w:szCs w:val="20"/>
          <w:lang w:val="en-US"/>
        </w:rPr>
        <w:t xml:space="preserve"> the appellants consent to the motion;</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r w:rsidRPr="009D287C">
        <w:rPr>
          <w:rFonts w:eastAsiaTheme="minorEastAsia" w:cs="Times New Roman"/>
          <w:b/>
          <w:bCs/>
          <w:sz w:val="20"/>
          <w:szCs w:val="20"/>
          <w:lang w:val="en-US"/>
        </w:rPr>
        <w:t xml:space="preserve">IT IS HEREBY ORDERED THAT: </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r w:rsidRPr="009D287C">
        <w:rPr>
          <w:rFonts w:eastAsiaTheme="minorEastAsia" w:cs="Times New Roman"/>
          <w:sz w:val="20"/>
          <w:szCs w:val="20"/>
          <w:lang w:val="fr-CA"/>
        </w:rPr>
        <w:t xml:space="preserve">The motion </w:t>
      </w:r>
      <w:proofErr w:type="spellStart"/>
      <w:r w:rsidRPr="009D287C">
        <w:rPr>
          <w:rFonts w:eastAsiaTheme="minorEastAsia" w:cs="Times New Roman"/>
          <w:sz w:val="20"/>
          <w:szCs w:val="20"/>
          <w:lang w:val="fr-CA"/>
        </w:rPr>
        <w:t>is</w:t>
      </w:r>
      <w:proofErr w:type="spellEnd"/>
      <w:r w:rsidRPr="009D287C">
        <w:rPr>
          <w:rFonts w:eastAsiaTheme="minorEastAsia" w:cs="Times New Roman"/>
          <w:sz w:val="20"/>
          <w:szCs w:val="20"/>
          <w:lang w:val="fr-CA"/>
        </w:rPr>
        <w:t xml:space="preserve"> </w:t>
      </w:r>
      <w:proofErr w:type="spellStart"/>
      <w:r w:rsidRPr="009D287C">
        <w:rPr>
          <w:rFonts w:eastAsiaTheme="minorEastAsia" w:cs="Times New Roman"/>
          <w:sz w:val="20"/>
          <w:szCs w:val="20"/>
          <w:lang w:val="fr-CA"/>
        </w:rPr>
        <w:t>granted</w:t>
      </w:r>
      <w:proofErr w:type="spellEnd"/>
      <w:r w:rsidRPr="009D287C">
        <w:rPr>
          <w:rFonts w:eastAsiaTheme="minorEastAsia" w:cs="Times New Roman"/>
          <w:sz w:val="20"/>
          <w:szCs w:val="20"/>
          <w:lang w:val="fr-CA"/>
        </w:rPr>
        <w:t>.</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r w:rsidRPr="009D287C">
        <w:rPr>
          <w:rFonts w:eastAsiaTheme="minorEastAsia" w:cs="Times New Roman"/>
          <w:b/>
          <w:sz w:val="20"/>
          <w:szCs w:val="20"/>
          <w:lang w:val="fr-CA"/>
        </w:rPr>
        <w:t>À LA SUITE DE LA DEMANDE</w:t>
      </w:r>
      <w:r w:rsidRPr="009D287C">
        <w:rPr>
          <w:rFonts w:eastAsiaTheme="minorEastAsia" w:cs="Times New Roman"/>
          <w:sz w:val="20"/>
          <w:szCs w:val="20"/>
          <w:lang w:val="fr-CA"/>
        </w:rPr>
        <w:t xml:space="preserve"> présentée par l’intimé pour obtenir la prorogation du délai pour signifier et déposer </w:t>
      </w:r>
      <w:proofErr w:type="gramStart"/>
      <w:r w:rsidRPr="009D287C">
        <w:rPr>
          <w:rFonts w:eastAsiaTheme="minorEastAsia" w:cs="Times New Roman"/>
          <w:sz w:val="20"/>
          <w:szCs w:val="20"/>
          <w:lang w:val="fr-CA"/>
        </w:rPr>
        <w:t>ses mémoire</w:t>
      </w:r>
      <w:proofErr w:type="gramEnd"/>
      <w:r w:rsidRPr="009D287C">
        <w:rPr>
          <w:rFonts w:eastAsiaTheme="minorEastAsia" w:cs="Times New Roman"/>
          <w:sz w:val="20"/>
          <w:szCs w:val="20"/>
          <w:lang w:val="fr-CA"/>
        </w:rPr>
        <w:t>, dossier et recueil de sources au 20 janvier 2017;</w:t>
      </w: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r w:rsidRPr="009D287C">
        <w:rPr>
          <w:rFonts w:eastAsiaTheme="minorEastAsia" w:cs="Times New Roman"/>
          <w:b/>
          <w:sz w:val="20"/>
          <w:szCs w:val="20"/>
          <w:lang w:val="fr-CA"/>
        </w:rPr>
        <w:t>ET APRÈS EXAMEN</w:t>
      </w:r>
      <w:r w:rsidRPr="009D287C">
        <w:rPr>
          <w:rFonts w:eastAsiaTheme="minorEastAsia" w:cs="Times New Roman"/>
          <w:sz w:val="20"/>
          <w:szCs w:val="20"/>
          <w:lang w:val="fr-CA"/>
        </w:rPr>
        <w:t xml:space="preserve"> des documents déposés;</w:t>
      </w: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r w:rsidRPr="009D287C">
        <w:rPr>
          <w:rFonts w:eastAsiaTheme="minorEastAsia" w:cs="Times New Roman"/>
          <w:b/>
          <w:sz w:val="20"/>
          <w:szCs w:val="20"/>
          <w:lang w:val="fr-CA"/>
        </w:rPr>
        <w:t>ET APRÈS AVOIR NOTÉ</w:t>
      </w:r>
      <w:r w:rsidRPr="009D287C">
        <w:rPr>
          <w:rFonts w:eastAsiaTheme="minorEastAsia" w:cs="Times New Roman"/>
          <w:sz w:val="20"/>
          <w:szCs w:val="20"/>
          <w:lang w:val="fr-CA"/>
        </w:rPr>
        <w:t xml:space="preserve"> que les appelants consentent à la requête;</w:t>
      </w: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r w:rsidRPr="009D287C">
        <w:rPr>
          <w:rFonts w:eastAsiaTheme="minorEastAsia" w:cs="Times New Roman"/>
          <w:b/>
          <w:sz w:val="20"/>
          <w:szCs w:val="20"/>
          <w:lang w:val="fr-CA"/>
        </w:rPr>
        <w:t>IL EST ORDONNÉ QUE</w:t>
      </w:r>
      <w:r w:rsidRPr="009D287C">
        <w:rPr>
          <w:rFonts w:eastAsiaTheme="minorEastAsia" w:cs="Times New Roman"/>
          <w:sz w:val="20"/>
          <w:szCs w:val="20"/>
          <w:lang w:val="fr-CA"/>
        </w:rPr>
        <w:t> :</w:t>
      </w: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fr-CA"/>
        </w:rPr>
      </w:pPr>
      <w:r w:rsidRPr="009D287C">
        <w:rPr>
          <w:rFonts w:eastAsiaTheme="minorEastAsia" w:cs="Times New Roman"/>
          <w:sz w:val="20"/>
          <w:szCs w:val="20"/>
          <w:lang w:val="fr-CA"/>
        </w:rPr>
        <w:t>La requête est accueillie.</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346C6C" w:rsidP="00110AE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110AE3" w:rsidRPr="009D287C" w:rsidRDefault="00110AE3" w:rsidP="00110AE3">
      <w:pPr>
        <w:tabs>
          <w:tab w:val="left" w:pos="-1440"/>
          <w:tab w:val="left" w:pos="-720"/>
        </w:tabs>
        <w:jc w:val="both"/>
        <w:rPr>
          <w:rFonts w:eastAsia="Times New Roman" w:cs="Times New Roman"/>
          <w:sz w:val="20"/>
          <w:szCs w:val="20"/>
          <w:lang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sz w:val="20"/>
          <w:szCs w:val="20"/>
          <w:lang w:val="fr-CA" w:eastAsia="en-CA"/>
        </w:rPr>
        <w:t>25.11.2016</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proofErr w:type="spellStart"/>
      <w:r w:rsidRPr="009D287C">
        <w:rPr>
          <w:rFonts w:eastAsia="Times New Roman" w:cs="Times New Roman"/>
          <w:sz w:val="20"/>
          <w:szCs w:val="20"/>
          <w:lang w:val="fr-CA" w:eastAsia="en-CA"/>
        </w:rPr>
        <w:t>Before</w:t>
      </w:r>
      <w:proofErr w:type="spellEnd"/>
      <w:r w:rsidRPr="009D287C">
        <w:rPr>
          <w:rFonts w:eastAsia="Times New Roman" w:cs="Times New Roman"/>
          <w:sz w:val="20"/>
          <w:szCs w:val="20"/>
          <w:lang w:val="fr-CA" w:eastAsia="en-CA"/>
        </w:rPr>
        <w:t xml:space="preserve"> / Devant :   </w:t>
      </w:r>
      <w:r w:rsidRPr="009D287C">
        <w:rPr>
          <w:rFonts w:eastAsia="Times New Roman" w:cs="Times New Roman"/>
          <w:sz w:val="20"/>
          <w:szCs w:val="20"/>
          <w:lang w:eastAsia="en-CA"/>
        </w:rPr>
        <w:t>THE REGISTRAR / LE REGISTRAIRE</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2"/>
        <w:gridCol w:w="4234"/>
      </w:tblGrid>
      <w:tr w:rsidR="00110AE3" w:rsidRPr="009D287C" w:rsidTr="003956FF">
        <w:trPr>
          <w:trHeight w:val="151"/>
        </w:trPr>
        <w:tc>
          <w:tcPr>
            <w:tcW w:w="4338" w:type="dxa"/>
          </w:tcPr>
          <w:p w:rsidR="00110AE3" w:rsidRPr="009D287C" w:rsidRDefault="00110AE3" w:rsidP="00110AE3">
            <w:pPr>
              <w:tabs>
                <w:tab w:val="left" w:pos="-1440"/>
                <w:tab w:val="left" w:pos="-720"/>
              </w:tabs>
              <w:jc w:val="both"/>
              <w:rPr>
                <w:lang w:val="fr-CA"/>
              </w:rPr>
            </w:pPr>
            <w:r w:rsidRPr="009D287C">
              <w:rPr>
                <w:lang w:val="en-US"/>
              </w:rPr>
              <w:fldChar w:fldCharType="begin"/>
            </w:r>
            <w:r w:rsidRPr="009D287C">
              <w:rPr>
                <w:lang w:val="fr-CA"/>
              </w:rPr>
              <w:instrText xml:space="preserve"> SEQ CHAPTER \h \r 1</w:instrText>
            </w:r>
            <w:r w:rsidRPr="009D287C">
              <w:rPr>
                <w:lang w:val="en-US"/>
              </w:rPr>
              <w:fldChar w:fldCharType="end"/>
            </w:r>
            <w:r w:rsidRPr="009D287C">
              <w:rPr>
                <w:b/>
                <w:bCs/>
                <w:lang w:val="fr-CA"/>
              </w:rPr>
              <w:t xml:space="preserve">Motion to </w:t>
            </w:r>
            <w:proofErr w:type="spellStart"/>
            <w:r w:rsidRPr="009D287C">
              <w:rPr>
                <w:b/>
                <w:bCs/>
                <w:lang w:val="fr-CA"/>
              </w:rPr>
              <w:t>extend</w:t>
            </w:r>
            <w:proofErr w:type="spellEnd"/>
            <w:r w:rsidRPr="009D287C">
              <w:rPr>
                <w:b/>
                <w:bCs/>
                <w:lang w:val="fr-CA"/>
              </w:rPr>
              <w:t xml:space="preserve"> time</w:t>
            </w:r>
          </w:p>
          <w:p w:rsidR="00110AE3" w:rsidRPr="009D287C" w:rsidRDefault="00110AE3" w:rsidP="00110AE3">
            <w:pPr>
              <w:tabs>
                <w:tab w:val="left" w:pos="-1440"/>
                <w:tab w:val="left" w:pos="-720"/>
              </w:tabs>
              <w:jc w:val="both"/>
              <w:rPr>
                <w:lang w:val="fr-CA"/>
              </w:rPr>
            </w:pPr>
            <w:r w:rsidRPr="009D287C">
              <w:rPr>
                <w:lang w:val="en-US"/>
              </w:rPr>
              <w:fldChar w:fldCharType="begin"/>
            </w:r>
            <w:r w:rsidRPr="009D287C">
              <w:rPr>
                <w:lang w:val="fr-CA"/>
              </w:rPr>
              <w:instrText xml:space="preserve"> SEQ CHAPTER \h \r 1</w:instrText>
            </w:r>
            <w:r w:rsidRPr="009D287C">
              <w:rPr>
                <w:lang w:val="en-US"/>
              </w:rPr>
              <w:fldChar w:fldCharType="end"/>
            </w:r>
          </w:p>
        </w:tc>
        <w:tc>
          <w:tcPr>
            <w:tcW w:w="1170" w:type="dxa"/>
          </w:tcPr>
          <w:p w:rsidR="00110AE3" w:rsidRPr="009D287C" w:rsidRDefault="00110AE3" w:rsidP="00110AE3">
            <w:pPr>
              <w:jc w:val="both"/>
              <w:rPr>
                <w:lang w:val="fr-CA"/>
              </w:rPr>
            </w:pPr>
          </w:p>
          <w:p w:rsidR="00110AE3" w:rsidRPr="009D287C" w:rsidRDefault="00110AE3" w:rsidP="00110AE3">
            <w:pPr>
              <w:jc w:val="both"/>
              <w:rPr>
                <w:lang w:val="fr-CA"/>
              </w:rPr>
            </w:pPr>
          </w:p>
        </w:tc>
        <w:tc>
          <w:tcPr>
            <w:tcW w:w="4327" w:type="dxa"/>
          </w:tcPr>
          <w:p w:rsidR="00110AE3" w:rsidRPr="009D287C" w:rsidRDefault="00110AE3" w:rsidP="00110AE3">
            <w:pPr>
              <w:jc w:val="both"/>
              <w:rPr>
                <w:b/>
                <w:lang w:val="fr-CA"/>
              </w:rPr>
            </w:pPr>
            <w:r w:rsidRPr="009D287C">
              <w:rPr>
                <w:lang w:val="en-US"/>
              </w:rPr>
              <w:fldChar w:fldCharType="begin"/>
            </w:r>
            <w:r w:rsidRPr="009D287C">
              <w:rPr>
                <w:lang w:val="fr-CA"/>
              </w:rPr>
              <w:instrText xml:space="preserve"> SEQ CHAPTER \h \r 1</w:instrText>
            </w:r>
            <w:r w:rsidRPr="009D287C">
              <w:rPr>
                <w:lang w:val="en-US"/>
              </w:rPr>
              <w:fldChar w:fldCharType="end"/>
            </w:r>
            <w:r w:rsidRPr="009D287C">
              <w:rPr>
                <w:b/>
                <w:bCs/>
                <w:lang w:val="fr-CA"/>
              </w:rPr>
              <w:t>Requête en prorogation de délai</w:t>
            </w:r>
          </w:p>
          <w:p w:rsidR="00110AE3" w:rsidRPr="009D287C" w:rsidRDefault="00110AE3" w:rsidP="00110AE3">
            <w:pPr>
              <w:jc w:val="both"/>
              <w:rPr>
                <w:b/>
                <w:lang w:val="fr-CA"/>
              </w:rPr>
            </w:pPr>
            <w:r w:rsidRPr="009D287C">
              <w:rPr>
                <w:b/>
                <w:lang w:val="en-US"/>
              </w:rPr>
              <w:fldChar w:fldCharType="begin"/>
            </w:r>
            <w:r w:rsidRPr="009D287C">
              <w:rPr>
                <w:b/>
                <w:lang w:val="fr-CA"/>
              </w:rPr>
              <w:instrText xml:space="preserve"> SEQ CHAPTER \h \r 1</w:instrText>
            </w:r>
            <w:r w:rsidRPr="009D287C">
              <w:rPr>
                <w:b/>
                <w:lang w:val="en-US"/>
              </w:rPr>
              <w:fldChar w:fldCharType="end"/>
            </w:r>
            <w:r w:rsidRPr="009D287C">
              <w:rPr>
                <w:b/>
                <w:lang w:val="en-US"/>
              </w:rPr>
              <w:fldChar w:fldCharType="begin"/>
            </w:r>
            <w:r w:rsidRPr="009D287C">
              <w:rPr>
                <w:b/>
                <w:lang w:val="fr-CA"/>
              </w:rPr>
              <w:instrText xml:space="preserve"> SEQ CHAPTER \h \r 1</w:instrText>
            </w:r>
            <w:r w:rsidRPr="009D287C">
              <w:rPr>
                <w:b/>
                <w:lang w:val="en-US"/>
              </w:rPr>
              <w:fldChar w:fldCharType="end"/>
            </w:r>
          </w:p>
        </w:tc>
      </w:tr>
      <w:tr w:rsidR="00110AE3" w:rsidRPr="009D287C" w:rsidTr="003956FF">
        <w:trPr>
          <w:trHeight w:val="150"/>
        </w:trPr>
        <w:tc>
          <w:tcPr>
            <w:tcW w:w="4338" w:type="dxa"/>
          </w:tcPr>
          <w:p w:rsidR="00110AE3" w:rsidRPr="009D287C" w:rsidRDefault="00110AE3" w:rsidP="00110AE3">
            <w:pPr>
              <w:tabs>
                <w:tab w:val="left" w:pos="-1440"/>
                <w:tab w:val="left" w:pos="-720"/>
              </w:tabs>
              <w:jc w:val="both"/>
              <w:rPr>
                <w:lang w:val="en-US"/>
              </w:rPr>
            </w:pPr>
            <w:r w:rsidRPr="009D287C">
              <w:rPr>
                <w:lang w:val="en-US"/>
              </w:rPr>
              <w:t>Nova Chemicals Corporation</w:t>
            </w:r>
          </w:p>
          <w:p w:rsidR="00110AE3" w:rsidRPr="009D287C" w:rsidRDefault="00110AE3" w:rsidP="00110AE3">
            <w:pPr>
              <w:tabs>
                <w:tab w:val="left" w:pos="-1440"/>
                <w:tab w:val="left" w:pos="-720"/>
              </w:tabs>
              <w:jc w:val="both"/>
              <w:rPr>
                <w:lang w:val="en-US"/>
              </w:rPr>
            </w:pPr>
          </w:p>
          <w:p w:rsidR="00110AE3" w:rsidRPr="009D287C" w:rsidRDefault="00110AE3" w:rsidP="00110AE3">
            <w:pPr>
              <w:tabs>
                <w:tab w:val="left" w:pos="-1440"/>
                <w:tab w:val="left" w:pos="-720"/>
              </w:tabs>
              <w:jc w:val="both"/>
              <w:rPr>
                <w:lang w:val="en-US"/>
              </w:rPr>
            </w:pPr>
            <w:r w:rsidRPr="009D287C">
              <w:rPr>
                <w:lang w:val="en-US"/>
              </w:rPr>
              <w:tab/>
              <w:t>v. (37274)</w:t>
            </w:r>
          </w:p>
          <w:p w:rsidR="00110AE3" w:rsidRPr="009D287C" w:rsidRDefault="00110AE3" w:rsidP="00110AE3">
            <w:pPr>
              <w:tabs>
                <w:tab w:val="left" w:pos="-1440"/>
                <w:tab w:val="left" w:pos="-720"/>
              </w:tabs>
              <w:jc w:val="both"/>
              <w:rPr>
                <w:lang w:val="en-US"/>
              </w:rPr>
            </w:pPr>
          </w:p>
          <w:p w:rsidR="00110AE3" w:rsidRPr="009D287C" w:rsidRDefault="00110AE3" w:rsidP="00110AE3">
            <w:pPr>
              <w:tabs>
                <w:tab w:val="left" w:pos="-1440"/>
                <w:tab w:val="left" w:pos="-720"/>
              </w:tabs>
              <w:jc w:val="both"/>
              <w:rPr>
                <w:lang w:val="en-US"/>
              </w:rPr>
            </w:pPr>
            <w:r w:rsidRPr="009D287C">
              <w:rPr>
                <w:lang w:val="en-US"/>
              </w:rPr>
              <w:t>Dow Chemical Company et al. (F.C.)</w:t>
            </w:r>
          </w:p>
        </w:tc>
        <w:tc>
          <w:tcPr>
            <w:tcW w:w="1170" w:type="dxa"/>
          </w:tcPr>
          <w:p w:rsidR="00110AE3" w:rsidRPr="009D287C" w:rsidRDefault="00110AE3" w:rsidP="00110AE3">
            <w:pPr>
              <w:jc w:val="both"/>
              <w:rPr>
                <w:lang w:val="en-US"/>
              </w:rPr>
            </w:pPr>
          </w:p>
        </w:tc>
        <w:tc>
          <w:tcPr>
            <w:tcW w:w="4327" w:type="dxa"/>
          </w:tcPr>
          <w:p w:rsidR="00110AE3" w:rsidRPr="009D287C" w:rsidRDefault="00110AE3" w:rsidP="00110AE3">
            <w:pPr>
              <w:jc w:val="both"/>
              <w:rPr>
                <w:lang w:val="en-US"/>
              </w:rPr>
            </w:pPr>
          </w:p>
        </w:tc>
      </w:tr>
    </w:tbl>
    <w:p w:rsidR="00110AE3" w:rsidRPr="009D287C" w:rsidRDefault="00110AE3" w:rsidP="00110AE3">
      <w:pPr>
        <w:tabs>
          <w:tab w:val="left" w:pos="-1440"/>
          <w:tab w:val="left" w:pos="-720"/>
        </w:tabs>
        <w:jc w:val="both"/>
        <w:rPr>
          <w:rFonts w:eastAsia="Times New Roman" w:cs="Times New Roman"/>
          <w:sz w:val="20"/>
          <w:szCs w:val="20"/>
          <w:lang w:val="en-US" w:eastAsia="en-CA"/>
        </w:rPr>
      </w:pPr>
    </w:p>
    <w:p w:rsidR="00110AE3" w:rsidRPr="009D287C" w:rsidRDefault="00110AE3" w:rsidP="00110AE3">
      <w:pPr>
        <w:tabs>
          <w:tab w:val="left" w:pos="-1440"/>
          <w:tab w:val="left" w:pos="-720"/>
        </w:tabs>
        <w:jc w:val="both"/>
        <w:rPr>
          <w:rFonts w:eastAsia="Times New Roman" w:cs="Times New Roman"/>
          <w:sz w:val="20"/>
          <w:szCs w:val="20"/>
          <w:lang w:eastAsia="en-CA"/>
        </w:rPr>
      </w:pPr>
      <w:r w:rsidRPr="009D287C">
        <w:rPr>
          <w:rFonts w:eastAsia="Times New Roman" w:cs="Times New Roman"/>
          <w:b/>
          <w:sz w:val="20"/>
          <w:szCs w:val="20"/>
          <w:lang w:eastAsia="en-CA"/>
        </w:rPr>
        <w:t>GRANTED / ACCORDÉE</w:t>
      </w:r>
    </w:p>
    <w:p w:rsidR="00110AE3" w:rsidRPr="009D287C" w:rsidRDefault="00110AE3" w:rsidP="00110AE3">
      <w:pPr>
        <w:tabs>
          <w:tab w:val="left" w:pos="-1440"/>
          <w:tab w:val="left" w:pos="-720"/>
        </w:tabs>
        <w:jc w:val="both"/>
        <w:rPr>
          <w:rFonts w:eastAsia="Times New Roman" w:cs="Times New Roman"/>
          <w:sz w:val="20"/>
          <w:szCs w:val="20"/>
          <w:lang w:eastAsia="en-CA"/>
        </w:rPr>
      </w:pPr>
    </w:p>
    <w:p w:rsidR="00110AE3" w:rsidRPr="009D287C" w:rsidRDefault="00110AE3">
      <w:pPr>
        <w:rPr>
          <w:rFonts w:eastAsiaTheme="minorEastAsia" w:cs="Times New Roman"/>
          <w:b/>
          <w:bCs/>
          <w:sz w:val="20"/>
          <w:szCs w:val="20"/>
          <w:lang w:val="en-US"/>
        </w:rPr>
      </w:pPr>
      <w:r w:rsidRPr="009D287C">
        <w:rPr>
          <w:rFonts w:eastAsiaTheme="minorEastAsia" w:cs="Times New Roman"/>
          <w:b/>
          <w:bCs/>
          <w:sz w:val="20"/>
          <w:szCs w:val="20"/>
          <w:lang w:val="en-US"/>
        </w:rPr>
        <w:br w:type="page"/>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9D287C">
        <w:rPr>
          <w:rFonts w:eastAsiaTheme="minorEastAsia" w:cs="Times New Roman"/>
          <w:b/>
          <w:bCs/>
          <w:sz w:val="20"/>
          <w:szCs w:val="20"/>
          <w:lang w:val="en-US"/>
        </w:rPr>
        <w:lastRenderedPageBreak/>
        <w:t xml:space="preserve">UPON APPLICATION </w:t>
      </w:r>
      <w:r w:rsidRPr="009D287C">
        <w:rPr>
          <w:rFonts w:eastAsiaTheme="minorEastAsia" w:cs="Times New Roman"/>
          <w:sz w:val="20"/>
          <w:szCs w:val="20"/>
          <w:lang w:val="en-US"/>
        </w:rPr>
        <w:t xml:space="preserve">by </w:t>
      </w:r>
      <w:r w:rsidRPr="009D287C">
        <w:rPr>
          <w:rFonts w:eastAsiaTheme="minorEastAsia" w:cs="Times New Roman"/>
          <w:sz w:val="20"/>
          <w:szCs w:val="20"/>
        </w:rPr>
        <w:t>the respondents for an order granting an extension of time to serve and file their response to the application for leave to appeal to January 20, 2017;</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9D287C">
        <w:rPr>
          <w:rFonts w:eastAsiaTheme="minorEastAsia" w:cs="Times New Roman"/>
          <w:b/>
          <w:bCs/>
          <w:sz w:val="20"/>
          <w:szCs w:val="20"/>
          <w:lang w:val="en-US"/>
        </w:rPr>
        <w:t>AND THE MATERIAL FILED</w:t>
      </w:r>
      <w:r w:rsidRPr="009D287C">
        <w:rPr>
          <w:rFonts w:eastAsiaTheme="minorEastAsia" w:cs="Times New Roman"/>
          <w:sz w:val="20"/>
          <w:szCs w:val="20"/>
          <w:lang w:val="en-US"/>
        </w:rPr>
        <w:t xml:space="preserve"> having been read;</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r w:rsidRPr="009D287C">
        <w:rPr>
          <w:rFonts w:eastAsiaTheme="minorEastAsia" w:cs="Times New Roman"/>
          <w:b/>
          <w:bCs/>
          <w:sz w:val="20"/>
          <w:szCs w:val="20"/>
          <w:lang w:val="en-US"/>
        </w:rPr>
        <w:t>IT IS HEREBY ORDERED THAT:</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110AE3" w:rsidRPr="009D287C" w:rsidRDefault="00110AE3" w:rsidP="00110AE3">
      <w:pPr>
        <w:jc w:val="both"/>
        <w:rPr>
          <w:rFonts w:eastAsia="Times New Roman" w:cs="Times New Roman"/>
          <w:sz w:val="20"/>
          <w:szCs w:val="20"/>
          <w:lang w:val="fr-CA"/>
        </w:rPr>
      </w:pPr>
      <w:r w:rsidRPr="009D287C">
        <w:rPr>
          <w:rFonts w:eastAsia="Times New Roman" w:cs="Times New Roman"/>
          <w:sz w:val="20"/>
          <w:szCs w:val="20"/>
          <w:lang w:val="fr-CA"/>
        </w:rPr>
        <w:t xml:space="preserve">The motion </w:t>
      </w:r>
      <w:proofErr w:type="spellStart"/>
      <w:r w:rsidRPr="009D287C">
        <w:rPr>
          <w:rFonts w:eastAsia="Times New Roman" w:cs="Times New Roman"/>
          <w:sz w:val="20"/>
          <w:szCs w:val="20"/>
          <w:lang w:val="fr-CA"/>
        </w:rPr>
        <w:t>is</w:t>
      </w:r>
      <w:proofErr w:type="spellEnd"/>
      <w:r w:rsidRPr="009D287C">
        <w:rPr>
          <w:rFonts w:eastAsia="Times New Roman" w:cs="Times New Roman"/>
          <w:sz w:val="20"/>
          <w:szCs w:val="20"/>
          <w:lang w:val="fr-CA"/>
        </w:rPr>
        <w:t xml:space="preserve"> </w:t>
      </w:r>
      <w:proofErr w:type="spellStart"/>
      <w:r w:rsidRPr="009D287C">
        <w:rPr>
          <w:rFonts w:eastAsia="Times New Roman" w:cs="Times New Roman"/>
          <w:sz w:val="20"/>
          <w:szCs w:val="20"/>
          <w:lang w:val="fr-CA"/>
        </w:rPr>
        <w:t>granted</w:t>
      </w:r>
      <w:proofErr w:type="spellEnd"/>
      <w:r w:rsidRPr="009D287C">
        <w:rPr>
          <w:rFonts w:eastAsia="Times New Roman" w:cs="Times New Roman"/>
          <w:sz w:val="20"/>
          <w:szCs w:val="20"/>
          <w:lang w:val="fr-CA"/>
        </w:rPr>
        <w:t>.</w:t>
      </w:r>
    </w:p>
    <w:p w:rsidR="00110AE3" w:rsidRPr="009D287C" w:rsidRDefault="00110AE3" w:rsidP="00110AE3">
      <w:pPr>
        <w:jc w:val="both"/>
        <w:rPr>
          <w:rFonts w:eastAsia="Times New Roman" w:cs="Times New Roman"/>
          <w:sz w:val="20"/>
          <w:szCs w:val="20"/>
          <w:lang w:val="fr-CA"/>
        </w:rPr>
      </w:pPr>
    </w:p>
    <w:p w:rsidR="00110AE3" w:rsidRPr="009D287C" w:rsidRDefault="00110AE3" w:rsidP="00110AE3">
      <w:pPr>
        <w:jc w:val="both"/>
        <w:rPr>
          <w:rFonts w:eastAsia="Times New Roman" w:cs="Times New Roman"/>
          <w:sz w:val="20"/>
          <w:szCs w:val="20"/>
          <w:lang w:val="fr-CA"/>
        </w:rPr>
      </w:pPr>
    </w:p>
    <w:p w:rsidR="00110AE3" w:rsidRPr="009D287C" w:rsidRDefault="00110AE3" w:rsidP="00110AE3">
      <w:pPr>
        <w:jc w:val="both"/>
        <w:rPr>
          <w:rFonts w:eastAsia="Times New Roman"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D287C">
        <w:rPr>
          <w:rFonts w:eastAsiaTheme="minorEastAsia" w:cs="Times New Roman"/>
          <w:b/>
          <w:sz w:val="20"/>
          <w:szCs w:val="20"/>
          <w:lang w:val="fr-CA"/>
        </w:rPr>
        <w:t>À LA SUITE DE LA DEMANDE</w:t>
      </w:r>
      <w:r w:rsidRPr="009D287C">
        <w:rPr>
          <w:rFonts w:eastAsiaTheme="minorEastAsia" w:cs="Times New Roman"/>
          <w:sz w:val="20"/>
          <w:szCs w:val="20"/>
          <w:lang w:val="fr-CA"/>
        </w:rPr>
        <w:t xml:space="preserve"> présentée par les intimées pour obtenir la prorogation du délai pour signifier et déposer leur réponse à la demande d’autorisation d’appel au 20 janvier 2017;</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D287C">
        <w:rPr>
          <w:rFonts w:eastAsiaTheme="minorEastAsia" w:cs="Times New Roman"/>
          <w:b/>
          <w:sz w:val="20"/>
          <w:szCs w:val="20"/>
          <w:lang w:val="fr-CA"/>
        </w:rPr>
        <w:t>ET APRÈS EXAMEN</w:t>
      </w:r>
      <w:r w:rsidRPr="009D287C">
        <w:rPr>
          <w:rFonts w:eastAsiaTheme="minorEastAsia" w:cs="Times New Roman"/>
          <w:sz w:val="20"/>
          <w:szCs w:val="20"/>
          <w:lang w:val="fr-CA"/>
        </w:rPr>
        <w:t xml:space="preserve"> des documents déposés;</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D287C">
        <w:rPr>
          <w:rFonts w:eastAsiaTheme="minorEastAsia" w:cs="Times New Roman"/>
          <w:b/>
          <w:sz w:val="20"/>
          <w:szCs w:val="20"/>
          <w:lang w:val="fr-CA"/>
        </w:rPr>
        <w:t>IL EST ORDONNÉ QUE</w:t>
      </w:r>
      <w:r w:rsidRPr="009D287C">
        <w:rPr>
          <w:rFonts w:eastAsiaTheme="minorEastAsia" w:cs="Times New Roman"/>
          <w:sz w:val="20"/>
          <w:szCs w:val="20"/>
          <w:lang w:val="fr-CA"/>
        </w:rPr>
        <w:t> :</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9D287C">
        <w:rPr>
          <w:rFonts w:eastAsiaTheme="minorEastAsia" w:cs="Times New Roman"/>
          <w:sz w:val="20"/>
          <w:szCs w:val="20"/>
          <w:lang w:val="fr-CA"/>
        </w:rPr>
        <w:t>La requête est accueillie.</w:t>
      </w:r>
    </w:p>
    <w:p w:rsidR="00110AE3" w:rsidRPr="009D287C" w:rsidRDefault="00110AE3" w:rsidP="00110AE3">
      <w:pPr>
        <w:tabs>
          <w:tab w:val="left" w:pos="-1440"/>
          <w:tab w:val="left" w:pos="-720"/>
        </w:tabs>
        <w:jc w:val="both"/>
        <w:rPr>
          <w:rFonts w:eastAsia="Times New Roman" w:cs="Times New Roman"/>
          <w:sz w:val="20"/>
          <w:szCs w:val="20"/>
          <w:lang w:val="fr-FR" w:eastAsia="en-CA"/>
        </w:rPr>
      </w:pPr>
    </w:p>
    <w:p w:rsidR="00110AE3" w:rsidRPr="009D287C" w:rsidRDefault="00346C6C" w:rsidP="00110AE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sz w:val="20"/>
          <w:szCs w:val="20"/>
          <w:lang w:val="fr-CA" w:eastAsia="en-CA"/>
        </w:rPr>
        <w:t>29.11.2016</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proofErr w:type="spellStart"/>
      <w:r w:rsidRPr="009D287C">
        <w:rPr>
          <w:rFonts w:eastAsia="Times New Roman" w:cs="Times New Roman"/>
          <w:sz w:val="20"/>
          <w:szCs w:val="20"/>
          <w:lang w:val="fr-CA" w:eastAsia="en-CA"/>
        </w:rPr>
        <w:t>Before</w:t>
      </w:r>
      <w:proofErr w:type="spellEnd"/>
      <w:r w:rsidRPr="009D287C">
        <w:rPr>
          <w:rFonts w:eastAsia="Times New Roman" w:cs="Times New Roman"/>
          <w:sz w:val="20"/>
          <w:szCs w:val="20"/>
          <w:lang w:val="fr-CA" w:eastAsia="en-CA"/>
        </w:rPr>
        <w:t xml:space="preserve"> / Devant :   MOLDAVER J. / LE JUGE MOLDAVER</w:t>
      </w:r>
    </w:p>
    <w:p w:rsidR="00110AE3" w:rsidRPr="009D287C" w:rsidRDefault="00110AE3" w:rsidP="00110AE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110AE3" w:rsidRPr="00346C6C" w:rsidTr="003956FF">
        <w:trPr>
          <w:trHeight w:val="151"/>
        </w:trPr>
        <w:tc>
          <w:tcPr>
            <w:tcW w:w="4338" w:type="dxa"/>
          </w:tcPr>
          <w:p w:rsidR="00110AE3" w:rsidRPr="009D287C" w:rsidRDefault="00110AE3" w:rsidP="00D05994">
            <w:pPr>
              <w:tabs>
                <w:tab w:val="left" w:pos="-1440"/>
                <w:tab w:val="left" w:pos="-720"/>
              </w:tabs>
              <w:jc w:val="both"/>
              <w:rPr>
                <w:lang w:val="en-US"/>
              </w:rPr>
            </w:pPr>
            <w:r w:rsidRPr="009D287C">
              <w:rPr>
                <w:b/>
                <w:bCs/>
                <w:lang w:val="en-US"/>
              </w:rPr>
              <w:t xml:space="preserve">Motion to extend </w:t>
            </w:r>
            <w:r w:rsidR="00D05994" w:rsidRPr="009D287C">
              <w:rPr>
                <w:b/>
                <w:bCs/>
                <w:lang w:val="en-US"/>
              </w:rPr>
              <w:t>time</w:t>
            </w:r>
            <w:r w:rsidRPr="009D287C">
              <w:rPr>
                <w:lang w:val="en-US"/>
              </w:rPr>
              <w:fldChar w:fldCharType="begin"/>
            </w:r>
            <w:r w:rsidRPr="009D287C">
              <w:rPr>
                <w:lang w:val="en-US"/>
              </w:rPr>
              <w:instrText xml:space="preserve"> SEQ CHAPTER \h \r 1</w:instrText>
            </w:r>
            <w:r w:rsidRPr="009D287C">
              <w:rPr>
                <w:lang w:val="en-US"/>
              </w:rPr>
              <w:fldChar w:fldCharType="end"/>
            </w:r>
          </w:p>
        </w:tc>
        <w:tc>
          <w:tcPr>
            <w:tcW w:w="1170" w:type="dxa"/>
          </w:tcPr>
          <w:p w:rsidR="00110AE3" w:rsidRPr="009D287C" w:rsidRDefault="00110AE3" w:rsidP="00110AE3">
            <w:pPr>
              <w:jc w:val="both"/>
              <w:rPr>
                <w:lang w:val="en-US"/>
              </w:rPr>
            </w:pPr>
          </w:p>
          <w:p w:rsidR="00110AE3" w:rsidRPr="009D287C" w:rsidRDefault="00110AE3" w:rsidP="00110AE3">
            <w:pPr>
              <w:jc w:val="both"/>
              <w:rPr>
                <w:lang w:val="en-US"/>
              </w:rPr>
            </w:pPr>
          </w:p>
        </w:tc>
        <w:tc>
          <w:tcPr>
            <w:tcW w:w="4327" w:type="dxa"/>
          </w:tcPr>
          <w:p w:rsidR="00110AE3" w:rsidRPr="009D287C" w:rsidRDefault="00D05994" w:rsidP="00D05994">
            <w:pPr>
              <w:jc w:val="both"/>
              <w:rPr>
                <w:b/>
                <w:lang w:val="fr-CA"/>
              </w:rPr>
            </w:pPr>
            <w:r w:rsidRPr="009D287C">
              <w:rPr>
                <w:b/>
                <w:bCs/>
                <w:lang w:val="fr-CA"/>
              </w:rPr>
              <w:t>Requête en prorogation du délai</w:t>
            </w:r>
            <w:r w:rsidR="00110AE3" w:rsidRPr="009D287C">
              <w:rPr>
                <w:b/>
                <w:lang w:val="en-US"/>
              </w:rPr>
              <w:fldChar w:fldCharType="begin"/>
            </w:r>
            <w:r w:rsidR="00110AE3" w:rsidRPr="009D287C">
              <w:rPr>
                <w:b/>
                <w:lang w:val="fr-CA"/>
              </w:rPr>
              <w:instrText xml:space="preserve"> SEQ CHAPTER \h \r 1</w:instrText>
            </w:r>
            <w:r w:rsidR="00110AE3" w:rsidRPr="009D287C">
              <w:rPr>
                <w:b/>
                <w:lang w:val="en-US"/>
              </w:rPr>
              <w:fldChar w:fldCharType="end"/>
            </w:r>
            <w:r w:rsidR="00110AE3" w:rsidRPr="009D287C">
              <w:rPr>
                <w:b/>
                <w:lang w:val="en-US"/>
              </w:rPr>
              <w:fldChar w:fldCharType="begin"/>
            </w:r>
            <w:r w:rsidR="00110AE3" w:rsidRPr="009D287C">
              <w:rPr>
                <w:b/>
                <w:lang w:val="fr-CA"/>
              </w:rPr>
              <w:instrText xml:space="preserve"> SEQ CHAPTER \h \r 1</w:instrText>
            </w:r>
            <w:r w:rsidR="00110AE3" w:rsidRPr="009D287C">
              <w:rPr>
                <w:b/>
                <w:lang w:val="en-US"/>
              </w:rPr>
              <w:fldChar w:fldCharType="end"/>
            </w:r>
          </w:p>
        </w:tc>
      </w:tr>
      <w:tr w:rsidR="00110AE3" w:rsidRPr="009D287C" w:rsidTr="003956FF">
        <w:trPr>
          <w:trHeight w:val="150"/>
        </w:trPr>
        <w:tc>
          <w:tcPr>
            <w:tcW w:w="4338" w:type="dxa"/>
          </w:tcPr>
          <w:p w:rsidR="00110AE3" w:rsidRPr="009D287C" w:rsidRDefault="00110AE3" w:rsidP="00110AE3">
            <w:pPr>
              <w:tabs>
                <w:tab w:val="left" w:pos="-1440"/>
                <w:tab w:val="left" w:pos="-720"/>
              </w:tabs>
              <w:jc w:val="both"/>
              <w:rPr>
                <w:lang w:val="en-US"/>
              </w:rPr>
            </w:pPr>
            <w:proofErr w:type="spellStart"/>
            <w:r w:rsidRPr="009D287C">
              <w:rPr>
                <w:lang w:val="en-US"/>
              </w:rPr>
              <w:t>Kwesi</w:t>
            </w:r>
            <w:proofErr w:type="spellEnd"/>
            <w:r w:rsidRPr="009D287C">
              <w:rPr>
                <w:lang w:val="en-US"/>
              </w:rPr>
              <w:t xml:space="preserve"> Millington</w:t>
            </w:r>
          </w:p>
          <w:p w:rsidR="00110AE3" w:rsidRPr="009D287C" w:rsidRDefault="00110AE3" w:rsidP="00110AE3">
            <w:pPr>
              <w:tabs>
                <w:tab w:val="left" w:pos="-1440"/>
                <w:tab w:val="left" w:pos="-720"/>
              </w:tabs>
              <w:jc w:val="both"/>
              <w:rPr>
                <w:lang w:val="en-US"/>
              </w:rPr>
            </w:pPr>
          </w:p>
          <w:p w:rsidR="00110AE3" w:rsidRPr="009D287C" w:rsidRDefault="00110AE3" w:rsidP="00110AE3">
            <w:pPr>
              <w:tabs>
                <w:tab w:val="left" w:pos="-1440"/>
                <w:tab w:val="left" w:pos="-720"/>
              </w:tabs>
              <w:jc w:val="both"/>
              <w:rPr>
                <w:lang w:val="en-US"/>
              </w:rPr>
            </w:pPr>
            <w:r w:rsidRPr="009D287C">
              <w:rPr>
                <w:lang w:val="en-US"/>
              </w:rPr>
              <w:tab/>
              <w:t>v. (37235)</w:t>
            </w:r>
          </w:p>
          <w:p w:rsidR="00110AE3" w:rsidRPr="009D287C" w:rsidRDefault="00110AE3" w:rsidP="00110AE3">
            <w:pPr>
              <w:tabs>
                <w:tab w:val="left" w:pos="-1440"/>
                <w:tab w:val="left" w:pos="-720"/>
              </w:tabs>
              <w:jc w:val="both"/>
              <w:rPr>
                <w:lang w:val="en-US"/>
              </w:rPr>
            </w:pPr>
          </w:p>
          <w:p w:rsidR="00110AE3" w:rsidRPr="009D287C" w:rsidRDefault="00110AE3" w:rsidP="00110AE3">
            <w:pPr>
              <w:tabs>
                <w:tab w:val="left" w:pos="-1440"/>
                <w:tab w:val="left" w:pos="-720"/>
              </w:tabs>
              <w:jc w:val="both"/>
              <w:rPr>
                <w:lang w:val="en-US"/>
              </w:rPr>
            </w:pPr>
            <w:r w:rsidRPr="009D287C">
              <w:rPr>
                <w:lang w:val="en-US"/>
              </w:rPr>
              <w:t>Her Majesty the Queen (B.C.)</w:t>
            </w:r>
          </w:p>
        </w:tc>
        <w:tc>
          <w:tcPr>
            <w:tcW w:w="1170" w:type="dxa"/>
          </w:tcPr>
          <w:p w:rsidR="00110AE3" w:rsidRPr="009D287C" w:rsidRDefault="00110AE3" w:rsidP="00110AE3">
            <w:pPr>
              <w:jc w:val="both"/>
              <w:rPr>
                <w:lang w:val="en-US"/>
              </w:rPr>
            </w:pPr>
          </w:p>
        </w:tc>
        <w:tc>
          <w:tcPr>
            <w:tcW w:w="4327" w:type="dxa"/>
          </w:tcPr>
          <w:p w:rsidR="00110AE3" w:rsidRPr="009D287C" w:rsidRDefault="00110AE3" w:rsidP="00110AE3">
            <w:pPr>
              <w:jc w:val="both"/>
              <w:rPr>
                <w:lang w:val="en-US"/>
              </w:rPr>
            </w:pPr>
          </w:p>
        </w:tc>
      </w:tr>
    </w:tbl>
    <w:p w:rsidR="00110AE3" w:rsidRPr="009D287C" w:rsidRDefault="00110AE3" w:rsidP="00110AE3">
      <w:pPr>
        <w:jc w:val="both"/>
        <w:rPr>
          <w:rFonts w:eastAsia="Times New Roman" w:cs="Times New Roman"/>
          <w:sz w:val="20"/>
          <w:szCs w:val="20"/>
          <w:lang w:val="en-US" w:eastAsia="en-CA"/>
        </w:rPr>
      </w:pPr>
    </w:p>
    <w:p w:rsidR="00110AE3" w:rsidRPr="009D287C" w:rsidRDefault="00110AE3" w:rsidP="00110AE3">
      <w:pPr>
        <w:tabs>
          <w:tab w:val="left" w:pos="-1440"/>
          <w:tab w:val="left" w:pos="-720"/>
        </w:tabs>
        <w:jc w:val="both"/>
        <w:rPr>
          <w:rFonts w:eastAsia="Times New Roman" w:cs="Times New Roman"/>
          <w:sz w:val="20"/>
          <w:szCs w:val="20"/>
          <w:lang w:eastAsia="en-CA"/>
        </w:rPr>
      </w:pPr>
      <w:r w:rsidRPr="009D287C">
        <w:rPr>
          <w:rFonts w:eastAsia="Times New Roman" w:cs="Times New Roman"/>
          <w:b/>
          <w:sz w:val="20"/>
          <w:szCs w:val="20"/>
          <w:lang w:eastAsia="en-CA"/>
        </w:rPr>
        <w:t>GRANTED / ACCORDÉE</w:t>
      </w:r>
    </w:p>
    <w:p w:rsidR="00110AE3" w:rsidRPr="009D287C" w:rsidRDefault="00110AE3" w:rsidP="00110AE3">
      <w:pPr>
        <w:tabs>
          <w:tab w:val="left" w:pos="-1440"/>
          <w:tab w:val="left" w:pos="-720"/>
        </w:tabs>
        <w:jc w:val="both"/>
        <w:rPr>
          <w:rFonts w:eastAsia="Times New Roman" w:cs="Times New Roman"/>
          <w:sz w:val="20"/>
          <w:szCs w:val="20"/>
          <w:lang w:eastAsia="en-CA"/>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r w:rsidRPr="009D287C">
        <w:rPr>
          <w:rFonts w:eastAsiaTheme="minorEastAsia" w:cs="Times New Roman"/>
          <w:b/>
          <w:sz w:val="20"/>
          <w:szCs w:val="20"/>
          <w:lang w:val="en-US"/>
        </w:rPr>
        <w:t>UPON APPLICATION</w:t>
      </w:r>
      <w:r w:rsidRPr="009D287C">
        <w:rPr>
          <w:rFonts w:eastAsiaTheme="minorEastAsia" w:cs="Times New Roman"/>
          <w:sz w:val="20"/>
          <w:szCs w:val="20"/>
          <w:lang w:val="en-US"/>
        </w:rPr>
        <w:t xml:space="preserve"> by the applicant for an order extending the time to serve and file his application for leave to appeal to March 13, 2017;</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r w:rsidRPr="009D287C">
        <w:rPr>
          <w:rFonts w:eastAsiaTheme="minorEastAsia" w:cs="Times New Roman"/>
          <w:b/>
          <w:bCs/>
          <w:sz w:val="20"/>
          <w:szCs w:val="20"/>
          <w:lang w:val="en-US"/>
        </w:rPr>
        <w:t>AND THE MATERIAL FILED</w:t>
      </w:r>
      <w:r w:rsidRPr="009D287C">
        <w:rPr>
          <w:rFonts w:eastAsiaTheme="minorEastAsia" w:cs="Times New Roman"/>
          <w:sz w:val="20"/>
          <w:szCs w:val="20"/>
          <w:lang w:val="en-US"/>
        </w:rPr>
        <w:t xml:space="preserve"> having been read;</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en-US"/>
        </w:rPr>
      </w:pPr>
    </w:p>
    <w:p w:rsidR="00110AE3" w:rsidRPr="009D287C" w:rsidRDefault="00110AE3" w:rsidP="00110AE3">
      <w:pPr>
        <w:widowControl w:val="0"/>
        <w:autoSpaceDE w:val="0"/>
        <w:autoSpaceDN w:val="0"/>
        <w:adjustRightInd w:val="0"/>
        <w:spacing w:line="233" w:lineRule="auto"/>
        <w:jc w:val="both"/>
        <w:rPr>
          <w:rFonts w:eastAsiaTheme="minorEastAsia" w:cs="Times New Roman"/>
          <w:b/>
          <w:bCs/>
          <w:sz w:val="20"/>
          <w:szCs w:val="20"/>
          <w:lang w:val="en-US"/>
        </w:rPr>
      </w:pPr>
      <w:r w:rsidRPr="009D287C">
        <w:rPr>
          <w:rFonts w:eastAsiaTheme="minorEastAsia" w:cs="Times New Roman"/>
          <w:b/>
          <w:bCs/>
          <w:sz w:val="20"/>
          <w:szCs w:val="20"/>
          <w:lang w:val="en-US"/>
        </w:rPr>
        <w:t>IT IS HEREBY ORDERED THAT:</w:t>
      </w:r>
    </w:p>
    <w:p w:rsidR="00110AE3" w:rsidRPr="009D287C" w:rsidRDefault="00110AE3" w:rsidP="00110AE3">
      <w:pPr>
        <w:widowControl w:val="0"/>
        <w:autoSpaceDE w:val="0"/>
        <w:autoSpaceDN w:val="0"/>
        <w:adjustRightInd w:val="0"/>
        <w:spacing w:line="233" w:lineRule="auto"/>
        <w:jc w:val="both"/>
        <w:rPr>
          <w:rFonts w:eastAsiaTheme="minorEastAsia" w:cs="Times New Roman"/>
          <w:b/>
          <w:bCs/>
          <w:sz w:val="20"/>
          <w:szCs w:val="20"/>
          <w:lang w:val="en-US"/>
        </w:rPr>
      </w:pP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r w:rsidRPr="009D287C">
        <w:rPr>
          <w:rFonts w:eastAsiaTheme="minorEastAsia" w:cs="Times New Roman"/>
          <w:sz w:val="20"/>
          <w:szCs w:val="20"/>
          <w:lang w:val="fr-CA"/>
        </w:rPr>
        <w:t xml:space="preserve">The motion </w:t>
      </w:r>
      <w:proofErr w:type="spellStart"/>
      <w:r w:rsidRPr="009D287C">
        <w:rPr>
          <w:rFonts w:eastAsiaTheme="minorEastAsia" w:cs="Times New Roman"/>
          <w:sz w:val="20"/>
          <w:szCs w:val="20"/>
          <w:lang w:val="fr-CA"/>
        </w:rPr>
        <w:t>is</w:t>
      </w:r>
      <w:proofErr w:type="spellEnd"/>
      <w:r w:rsidRPr="009D287C">
        <w:rPr>
          <w:rFonts w:eastAsiaTheme="minorEastAsia" w:cs="Times New Roman"/>
          <w:sz w:val="20"/>
          <w:szCs w:val="20"/>
          <w:lang w:val="fr-CA"/>
        </w:rPr>
        <w:t xml:space="preserve"> </w:t>
      </w:r>
      <w:proofErr w:type="spellStart"/>
      <w:r w:rsidRPr="009D287C">
        <w:rPr>
          <w:rFonts w:eastAsiaTheme="minorEastAsia" w:cs="Times New Roman"/>
          <w:sz w:val="20"/>
          <w:szCs w:val="20"/>
          <w:lang w:val="fr-CA"/>
        </w:rPr>
        <w:t>granted</w:t>
      </w:r>
      <w:proofErr w:type="spellEnd"/>
      <w:r w:rsidRPr="009D287C">
        <w:rPr>
          <w:rFonts w:eastAsiaTheme="minorEastAsia" w:cs="Times New Roman"/>
          <w:sz w:val="20"/>
          <w:szCs w:val="20"/>
          <w:lang w:val="fr-CA"/>
        </w:rPr>
        <w:t>.</w:t>
      </w: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r w:rsidRPr="009D287C">
        <w:rPr>
          <w:rFonts w:eastAsiaTheme="minorEastAsia" w:cs="Times New Roman"/>
          <w:b/>
          <w:sz w:val="20"/>
          <w:szCs w:val="20"/>
          <w:lang w:val="fr-CA"/>
        </w:rPr>
        <w:t>À LA SUITE DE LA DEMANDE</w:t>
      </w:r>
      <w:r w:rsidRPr="009D287C">
        <w:rPr>
          <w:rFonts w:eastAsiaTheme="minorEastAsia" w:cs="Times New Roman"/>
          <w:sz w:val="20"/>
          <w:szCs w:val="20"/>
          <w:lang w:val="fr-CA"/>
        </w:rPr>
        <w:t xml:space="preserve"> présentée par le demandeur pour obtenir la prorogation du délai pour la signification et le dépôt de sa demande d’autorisation d’appel au 13 mars 2017;</w:t>
      </w: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r w:rsidRPr="009D287C">
        <w:rPr>
          <w:rFonts w:eastAsiaTheme="minorEastAsia" w:cs="Times New Roman"/>
          <w:b/>
          <w:sz w:val="20"/>
          <w:szCs w:val="20"/>
          <w:lang w:val="fr-CA"/>
        </w:rPr>
        <w:t>ET APRÈS EXAMEN</w:t>
      </w:r>
      <w:r w:rsidRPr="009D287C">
        <w:rPr>
          <w:rFonts w:eastAsiaTheme="minorEastAsia" w:cs="Times New Roman"/>
          <w:sz w:val="20"/>
          <w:szCs w:val="20"/>
          <w:lang w:val="fr-CA"/>
        </w:rPr>
        <w:t xml:space="preserve"> des documents déposés;</w:t>
      </w: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p>
    <w:p w:rsidR="00110AE3" w:rsidRPr="009D287C" w:rsidRDefault="00110AE3">
      <w:pPr>
        <w:rPr>
          <w:rFonts w:eastAsiaTheme="minorEastAsia" w:cs="Times New Roman"/>
          <w:b/>
          <w:sz w:val="20"/>
          <w:szCs w:val="20"/>
          <w:lang w:val="fr-CA"/>
        </w:rPr>
      </w:pPr>
      <w:r w:rsidRPr="009D287C">
        <w:rPr>
          <w:rFonts w:eastAsiaTheme="minorEastAsia" w:cs="Times New Roman"/>
          <w:b/>
          <w:sz w:val="20"/>
          <w:szCs w:val="20"/>
          <w:lang w:val="fr-CA"/>
        </w:rPr>
        <w:br w:type="page"/>
      </w:r>
    </w:p>
    <w:p w:rsidR="00110AE3" w:rsidRPr="009D287C" w:rsidRDefault="00110AE3" w:rsidP="00110AE3">
      <w:pPr>
        <w:widowControl w:val="0"/>
        <w:autoSpaceDE w:val="0"/>
        <w:autoSpaceDN w:val="0"/>
        <w:adjustRightInd w:val="0"/>
        <w:jc w:val="both"/>
        <w:rPr>
          <w:rFonts w:eastAsiaTheme="minorEastAsia" w:cs="Times New Roman"/>
          <w:b/>
          <w:sz w:val="20"/>
          <w:szCs w:val="20"/>
          <w:lang w:val="fr-CA"/>
        </w:rPr>
      </w:pPr>
      <w:r w:rsidRPr="009D287C">
        <w:rPr>
          <w:rFonts w:eastAsiaTheme="minorEastAsia" w:cs="Times New Roman"/>
          <w:b/>
          <w:sz w:val="20"/>
          <w:szCs w:val="20"/>
          <w:lang w:val="fr-CA"/>
        </w:rPr>
        <w:lastRenderedPageBreak/>
        <w:t>IL EST ORDONNÉ QUE :</w:t>
      </w: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jc w:val="both"/>
        <w:rPr>
          <w:rFonts w:eastAsiaTheme="minorEastAsia" w:cs="Times New Roman"/>
          <w:sz w:val="20"/>
          <w:szCs w:val="20"/>
          <w:lang w:val="fr-CA"/>
        </w:rPr>
      </w:pPr>
      <w:r w:rsidRPr="009D287C">
        <w:rPr>
          <w:rFonts w:eastAsiaTheme="minorEastAsia" w:cs="Times New Roman"/>
          <w:sz w:val="20"/>
          <w:szCs w:val="20"/>
          <w:lang w:val="fr-CA"/>
        </w:rPr>
        <w:t>La requête est accueillie.</w:t>
      </w:r>
    </w:p>
    <w:p w:rsidR="00110AE3" w:rsidRPr="009D287C" w:rsidRDefault="00110AE3" w:rsidP="00110AE3">
      <w:pPr>
        <w:spacing w:line="233" w:lineRule="auto"/>
        <w:jc w:val="both"/>
        <w:rPr>
          <w:rFonts w:eastAsia="Times New Roman" w:cs="Times New Roman"/>
          <w:sz w:val="20"/>
          <w:szCs w:val="20"/>
          <w:lang w:val="fr-CA" w:eastAsia="en-CA"/>
        </w:rPr>
      </w:pPr>
    </w:p>
    <w:p w:rsidR="00110AE3" w:rsidRPr="009D287C" w:rsidRDefault="00346C6C" w:rsidP="00110AE3">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110AE3" w:rsidRPr="009D287C" w:rsidRDefault="00110AE3" w:rsidP="00110AE3">
      <w:pPr>
        <w:spacing w:line="233" w:lineRule="auto"/>
        <w:jc w:val="both"/>
        <w:rPr>
          <w:rFonts w:eastAsia="Times New Roman" w:cs="Times New Roman"/>
          <w:sz w:val="20"/>
          <w:szCs w:val="20"/>
          <w:lang w:val="en-US"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sz w:val="20"/>
          <w:szCs w:val="20"/>
          <w:lang w:val="fr-CA" w:eastAsia="en-CA"/>
        </w:rPr>
        <w:t>30.11.2016</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proofErr w:type="spellStart"/>
      <w:r w:rsidRPr="009D287C">
        <w:rPr>
          <w:rFonts w:eastAsia="Times New Roman" w:cs="Times New Roman"/>
          <w:sz w:val="20"/>
          <w:szCs w:val="20"/>
          <w:lang w:val="fr-CA" w:eastAsia="en-CA"/>
        </w:rPr>
        <w:t>Before</w:t>
      </w:r>
      <w:proofErr w:type="spellEnd"/>
      <w:r w:rsidRPr="009D287C">
        <w:rPr>
          <w:rFonts w:eastAsia="Times New Roman" w:cs="Times New Roman"/>
          <w:sz w:val="20"/>
          <w:szCs w:val="20"/>
          <w:lang w:val="fr-CA" w:eastAsia="en-CA"/>
        </w:rPr>
        <w:t xml:space="preserve"> / Devant :   CÔTÉ J. / LA JUGE CÔTÉ</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31"/>
        <w:gridCol w:w="1137"/>
        <w:gridCol w:w="4221"/>
      </w:tblGrid>
      <w:tr w:rsidR="00484FBC" w:rsidRPr="009D287C" w:rsidTr="00484FBC">
        <w:tc>
          <w:tcPr>
            <w:tcW w:w="4261" w:type="dxa"/>
            <w:gridSpan w:val="2"/>
          </w:tcPr>
          <w:p w:rsidR="00484FBC" w:rsidRPr="009D287C" w:rsidRDefault="00484FBC" w:rsidP="00484FBC">
            <w:pPr>
              <w:tabs>
                <w:tab w:val="left" w:pos="-1440"/>
                <w:tab w:val="left" w:pos="-720"/>
              </w:tabs>
              <w:jc w:val="both"/>
              <w:rPr>
                <w:lang w:val="en-US"/>
              </w:rPr>
            </w:pPr>
            <w:r w:rsidRPr="009D287C">
              <w:rPr>
                <w:b/>
                <w:bCs/>
              </w:rPr>
              <w:t>Miscellaneous motion</w:t>
            </w:r>
            <w:r w:rsidRPr="009D287C">
              <w:rPr>
                <w:lang w:val="en-US"/>
              </w:rPr>
              <w:t xml:space="preserve"> </w:t>
            </w:r>
            <w:r w:rsidRPr="009D287C">
              <w:rPr>
                <w:lang w:val="en-US"/>
              </w:rPr>
              <w:fldChar w:fldCharType="begin"/>
            </w:r>
            <w:r w:rsidRPr="009D287C">
              <w:rPr>
                <w:lang w:val="en-US"/>
              </w:rPr>
              <w:instrText xml:space="preserve"> SEQ CHAPTER \h \r 1</w:instrText>
            </w:r>
            <w:r w:rsidRPr="009D287C">
              <w:rPr>
                <w:lang w:val="en-US"/>
              </w:rPr>
              <w:fldChar w:fldCharType="end"/>
            </w:r>
          </w:p>
        </w:tc>
        <w:tc>
          <w:tcPr>
            <w:tcW w:w="1137" w:type="dxa"/>
          </w:tcPr>
          <w:p w:rsidR="00484FBC" w:rsidRPr="009D287C" w:rsidRDefault="00484FBC" w:rsidP="00484FBC"/>
          <w:p w:rsidR="00484FBC" w:rsidRPr="009D287C" w:rsidRDefault="00484FBC" w:rsidP="00484FBC"/>
        </w:tc>
        <w:tc>
          <w:tcPr>
            <w:tcW w:w="4221" w:type="dxa"/>
          </w:tcPr>
          <w:p w:rsidR="00484FBC" w:rsidRPr="009D287C" w:rsidRDefault="00484FBC" w:rsidP="00484FBC">
            <w:pPr>
              <w:jc w:val="both"/>
              <w:rPr>
                <w:b/>
                <w:lang w:val="fr-CA"/>
              </w:rPr>
            </w:pPr>
            <w:r w:rsidRPr="009D287C">
              <w:rPr>
                <w:b/>
                <w:bCs/>
                <w:lang w:val="fr-CA"/>
              </w:rPr>
              <w:t>Requête diverse</w:t>
            </w:r>
            <w:r w:rsidRPr="009D287C">
              <w:rPr>
                <w:b/>
                <w:lang w:val="en-US"/>
              </w:rPr>
              <w:t xml:space="preserve"> </w:t>
            </w:r>
            <w:r w:rsidRPr="009D287C">
              <w:rPr>
                <w:b/>
                <w:lang w:val="en-US"/>
              </w:rPr>
              <w:fldChar w:fldCharType="begin"/>
            </w:r>
            <w:r w:rsidRPr="009D287C">
              <w:rPr>
                <w:b/>
                <w:lang w:val="fr-CA"/>
              </w:rPr>
              <w:instrText xml:space="preserve"> SEQ CHAPTER \h \r 1</w:instrText>
            </w:r>
            <w:r w:rsidRPr="009D287C">
              <w:rPr>
                <w:b/>
                <w:lang w:val="en-US"/>
              </w:rPr>
              <w:fldChar w:fldCharType="end"/>
            </w:r>
            <w:r w:rsidRPr="009D287C">
              <w:rPr>
                <w:b/>
                <w:lang w:val="en-US"/>
              </w:rPr>
              <w:fldChar w:fldCharType="begin"/>
            </w:r>
            <w:r w:rsidRPr="009D287C">
              <w:rPr>
                <w:b/>
                <w:lang w:val="fr-CA"/>
              </w:rPr>
              <w:instrText xml:space="preserve"> SEQ CHAPTER \h \r 1</w:instrText>
            </w:r>
            <w:r w:rsidRPr="009D287C">
              <w:rPr>
                <w:b/>
                <w:lang w:val="en-US"/>
              </w:rPr>
              <w:fldChar w:fldCharType="end"/>
            </w:r>
          </w:p>
        </w:tc>
      </w:tr>
      <w:tr w:rsidR="00484FBC" w:rsidRPr="00346C6C" w:rsidTr="00EC7188">
        <w:tc>
          <w:tcPr>
            <w:tcW w:w="1530" w:type="dxa"/>
          </w:tcPr>
          <w:p w:rsidR="00484FBC" w:rsidRPr="009D287C" w:rsidRDefault="00484FBC" w:rsidP="00484FBC">
            <w:r w:rsidRPr="009D287C">
              <w:t>IN / DANS :</w:t>
            </w:r>
          </w:p>
        </w:tc>
        <w:tc>
          <w:tcPr>
            <w:tcW w:w="2731" w:type="dxa"/>
          </w:tcPr>
          <w:p w:rsidR="00484FBC" w:rsidRPr="009D287C" w:rsidRDefault="00484FBC" w:rsidP="00484FBC">
            <w:pPr>
              <w:tabs>
                <w:tab w:val="left" w:pos="-1440"/>
                <w:tab w:val="left" w:pos="-720"/>
              </w:tabs>
              <w:jc w:val="both"/>
              <w:rPr>
                <w:lang w:val="fr-CA"/>
              </w:rPr>
            </w:pPr>
            <w:r w:rsidRPr="009D287C">
              <w:rPr>
                <w:lang w:val="fr-CA"/>
              </w:rPr>
              <w:t>Ville de Montréal et autres</w:t>
            </w:r>
          </w:p>
          <w:p w:rsidR="00484FBC" w:rsidRPr="009D287C" w:rsidRDefault="00484FBC" w:rsidP="00484FBC">
            <w:pPr>
              <w:tabs>
                <w:tab w:val="left" w:pos="-1440"/>
                <w:tab w:val="left" w:pos="-720"/>
              </w:tabs>
              <w:jc w:val="both"/>
              <w:rPr>
                <w:lang w:val="fr-CA"/>
              </w:rPr>
            </w:pPr>
          </w:p>
          <w:p w:rsidR="00484FBC" w:rsidRPr="009D287C" w:rsidRDefault="00484FBC" w:rsidP="00484FBC">
            <w:pPr>
              <w:tabs>
                <w:tab w:val="left" w:pos="-1440"/>
                <w:tab w:val="left" w:pos="-720"/>
              </w:tabs>
              <w:jc w:val="both"/>
              <w:rPr>
                <w:lang w:val="fr-CA"/>
              </w:rPr>
            </w:pPr>
            <w:r w:rsidRPr="009D287C">
              <w:rPr>
                <w:lang w:val="fr-CA"/>
              </w:rPr>
              <w:tab/>
              <w:t>c. (37184)</w:t>
            </w:r>
          </w:p>
          <w:p w:rsidR="00484FBC" w:rsidRPr="009D287C" w:rsidRDefault="00484FBC" w:rsidP="00484FBC">
            <w:pPr>
              <w:tabs>
                <w:tab w:val="left" w:pos="-1440"/>
                <w:tab w:val="left" w:pos="-720"/>
              </w:tabs>
              <w:jc w:val="both"/>
              <w:rPr>
                <w:lang w:val="fr-CA"/>
              </w:rPr>
            </w:pPr>
          </w:p>
          <w:p w:rsidR="00484FBC" w:rsidRPr="009D287C" w:rsidRDefault="00484FBC" w:rsidP="00484FBC">
            <w:pPr>
              <w:rPr>
                <w:lang w:val="fr-CA"/>
              </w:rPr>
            </w:pPr>
            <w:r w:rsidRPr="009D287C">
              <w:rPr>
                <w:lang w:val="fr-CA"/>
              </w:rPr>
              <w:t xml:space="preserve">Davide </w:t>
            </w:r>
            <w:proofErr w:type="spellStart"/>
            <w:r w:rsidRPr="009D287C">
              <w:rPr>
                <w:lang w:val="fr-CA"/>
              </w:rPr>
              <w:t>Lonardi</w:t>
            </w:r>
            <w:proofErr w:type="spellEnd"/>
            <w:r w:rsidRPr="009D287C">
              <w:rPr>
                <w:lang w:val="fr-CA"/>
              </w:rPr>
              <w:t xml:space="preserve"> et autres (</w:t>
            </w:r>
            <w:proofErr w:type="spellStart"/>
            <w:r w:rsidRPr="009D287C">
              <w:rPr>
                <w:lang w:val="fr-CA"/>
              </w:rPr>
              <w:t>Qc</w:t>
            </w:r>
            <w:proofErr w:type="spellEnd"/>
            <w:r w:rsidRPr="009D287C">
              <w:rPr>
                <w:lang w:val="fr-CA"/>
              </w:rPr>
              <w:t>)</w:t>
            </w:r>
          </w:p>
          <w:p w:rsidR="00484FBC" w:rsidRPr="009D287C" w:rsidRDefault="00484FBC" w:rsidP="00484FBC">
            <w:pPr>
              <w:rPr>
                <w:lang w:val="fr-CA"/>
              </w:rPr>
            </w:pPr>
          </w:p>
        </w:tc>
        <w:tc>
          <w:tcPr>
            <w:tcW w:w="1137" w:type="dxa"/>
          </w:tcPr>
          <w:p w:rsidR="00484FBC" w:rsidRPr="009D287C" w:rsidRDefault="00484FBC" w:rsidP="00484FBC">
            <w:pPr>
              <w:rPr>
                <w:lang w:val="fr-CA"/>
              </w:rPr>
            </w:pPr>
          </w:p>
        </w:tc>
        <w:tc>
          <w:tcPr>
            <w:tcW w:w="4221" w:type="dxa"/>
          </w:tcPr>
          <w:p w:rsidR="00484FBC" w:rsidRPr="009D287C" w:rsidRDefault="00484FBC" w:rsidP="00484FBC">
            <w:pPr>
              <w:rPr>
                <w:lang w:val="fr-CA"/>
              </w:rPr>
            </w:pPr>
          </w:p>
        </w:tc>
      </w:tr>
      <w:tr w:rsidR="00484FBC" w:rsidRPr="009D287C" w:rsidTr="00EC7188">
        <w:tc>
          <w:tcPr>
            <w:tcW w:w="1530" w:type="dxa"/>
          </w:tcPr>
          <w:p w:rsidR="00484FBC" w:rsidRPr="009D287C" w:rsidRDefault="00484FBC" w:rsidP="00484FBC">
            <w:r w:rsidRPr="009D287C">
              <w:t>- and between -</w:t>
            </w:r>
          </w:p>
          <w:p w:rsidR="00484FBC" w:rsidRPr="009D287C" w:rsidRDefault="00484FBC" w:rsidP="00484FBC"/>
        </w:tc>
        <w:tc>
          <w:tcPr>
            <w:tcW w:w="2731" w:type="dxa"/>
          </w:tcPr>
          <w:p w:rsidR="00484FBC" w:rsidRPr="009D287C" w:rsidRDefault="00484FBC" w:rsidP="00484FBC">
            <w:pPr>
              <w:jc w:val="both"/>
            </w:pPr>
          </w:p>
        </w:tc>
        <w:tc>
          <w:tcPr>
            <w:tcW w:w="1137" w:type="dxa"/>
          </w:tcPr>
          <w:p w:rsidR="00484FBC" w:rsidRPr="009D287C" w:rsidRDefault="00484FBC" w:rsidP="00484FBC"/>
        </w:tc>
        <w:tc>
          <w:tcPr>
            <w:tcW w:w="4221" w:type="dxa"/>
          </w:tcPr>
          <w:p w:rsidR="00484FBC" w:rsidRPr="009D287C" w:rsidRDefault="00484FBC" w:rsidP="00484FBC"/>
        </w:tc>
      </w:tr>
      <w:tr w:rsidR="00484FBC" w:rsidRPr="00346C6C" w:rsidTr="00EC7188">
        <w:tc>
          <w:tcPr>
            <w:tcW w:w="1530" w:type="dxa"/>
          </w:tcPr>
          <w:p w:rsidR="00484FBC" w:rsidRPr="009D287C" w:rsidRDefault="00484FBC" w:rsidP="00484FBC"/>
        </w:tc>
        <w:tc>
          <w:tcPr>
            <w:tcW w:w="2731" w:type="dxa"/>
          </w:tcPr>
          <w:p w:rsidR="00484FBC" w:rsidRPr="009D287C" w:rsidRDefault="00F03D6F" w:rsidP="00484FBC">
            <w:pPr>
              <w:rPr>
                <w:lang w:val="fr-CA"/>
              </w:rPr>
            </w:pPr>
            <w:r w:rsidRPr="009D287C">
              <w:rPr>
                <w:lang w:val="fr-CA"/>
              </w:rPr>
              <w:t>Ville de Montréal</w:t>
            </w:r>
          </w:p>
          <w:p w:rsidR="00484FBC" w:rsidRPr="009D287C" w:rsidRDefault="00484FBC" w:rsidP="00484FBC">
            <w:pPr>
              <w:jc w:val="both"/>
              <w:rPr>
                <w:lang w:val="fr-CA"/>
              </w:rPr>
            </w:pPr>
          </w:p>
          <w:p w:rsidR="00484FBC" w:rsidRPr="009D287C" w:rsidRDefault="0025468E" w:rsidP="00484FBC">
            <w:pPr>
              <w:jc w:val="both"/>
              <w:rPr>
                <w:lang w:val="fr-CA"/>
              </w:rPr>
            </w:pPr>
            <w:r w:rsidRPr="009D287C">
              <w:rPr>
                <w:lang w:val="fr-CA"/>
              </w:rPr>
              <w:tab/>
              <w:t>v.</w:t>
            </w:r>
          </w:p>
          <w:p w:rsidR="00484FBC" w:rsidRPr="009D287C" w:rsidRDefault="00484FBC" w:rsidP="00484FBC">
            <w:pPr>
              <w:jc w:val="both"/>
              <w:rPr>
                <w:lang w:val="fr-CA"/>
              </w:rPr>
            </w:pPr>
          </w:p>
          <w:p w:rsidR="00484FBC" w:rsidRPr="009D287C" w:rsidRDefault="0025468E" w:rsidP="0025468E">
            <w:pPr>
              <w:jc w:val="both"/>
              <w:rPr>
                <w:lang w:val="fr-CA"/>
              </w:rPr>
            </w:pPr>
            <w:r w:rsidRPr="009D287C">
              <w:rPr>
                <w:lang w:val="fr-CA"/>
              </w:rPr>
              <w:t xml:space="preserve">Ali </w:t>
            </w:r>
            <w:proofErr w:type="spellStart"/>
            <w:r w:rsidRPr="009D287C">
              <w:rPr>
                <w:lang w:val="fr-CA"/>
              </w:rPr>
              <w:t>Rasouli</w:t>
            </w:r>
            <w:proofErr w:type="spellEnd"/>
          </w:p>
        </w:tc>
        <w:tc>
          <w:tcPr>
            <w:tcW w:w="1137" w:type="dxa"/>
          </w:tcPr>
          <w:p w:rsidR="00484FBC" w:rsidRPr="009D287C" w:rsidRDefault="00484FBC" w:rsidP="00484FBC">
            <w:pPr>
              <w:rPr>
                <w:lang w:val="fr-CA"/>
              </w:rPr>
            </w:pPr>
          </w:p>
        </w:tc>
        <w:tc>
          <w:tcPr>
            <w:tcW w:w="4221" w:type="dxa"/>
          </w:tcPr>
          <w:p w:rsidR="00484FBC" w:rsidRPr="009D287C" w:rsidRDefault="00484FBC" w:rsidP="00484FBC">
            <w:pPr>
              <w:rPr>
                <w:lang w:val="fr-CA"/>
              </w:rPr>
            </w:pPr>
          </w:p>
        </w:tc>
      </w:tr>
      <w:tr w:rsidR="00223C46" w:rsidRPr="009D287C" w:rsidTr="00EC7188">
        <w:tc>
          <w:tcPr>
            <w:tcW w:w="1530" w:type="dxa"/>
          </w:tcPr>
          <w:p w:rsidR="00223C46" w:rsidRPr="009D287C" w:rsidRDefault="00223C46" w:rsidP="00223C46">
            <w:r w:rsidRPr="009D287C">
              <w:t>- and between -</w:t>
            </w:r>
          </w:p>
          <w:p w:rsidR="00223C46" w:rsidRPr="009D287C" w:rsidRDefault="00223C46" w:rsidP="00223C46"/>
        </w:tc>
        <w:tc>
          <w:tcPr>
            <w:tcW w:w="2731" w:type="dxa"/>
          </w:tcPr>
          <w:p w:rsidR="00223C46" w:rsidRPr="009D287C" w:rsidRDefault="00223C46" w:rsidP="00223C46">
            <w:pPr>
              <w:jc w:val="both"/>
            </w:pP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346C6C" w:rsidTr="00EC7188">
        <w:tc>
          <w:tcPr>
            <w:tcW w:w="1530" w:type="dxa"/>
          </w:tcPr>
          <w:p w:rsidR="00223C46" w:rsidRPr="009D287C" w:rsidRDefault="00223C46" w:rsidP="00223C46"/>
        </w:tc>
        <w:tc>
          <w:tcPr>
            <w:tcW w:w="2731" w:type="dxa"/>
          </w:tcPr>
          <w:p w:rsidR="00223C46" w:rsidRPr="009D287C" w:rsidRDefault="00223C46" w:rsidP="00223C46">
            <w:pPr>
              <w:rPr>
                <w:lang w:val="fr-CA"/>
              </w:rPr>
            </w:pPr>
            <w:r w:rsidRPr="009D287C">
              <w:rPr>
                <w:lang w:val="fr-CA"/>
              </w:rPr>
              <w:t>Ville de Montréal</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ab/>
              <w:t>v.</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 xml:space="preserve">Mohamed </w:t>
            </w:r>
            <w:proofErr w:type="spellStart"/>
            <w:r w:rsidRPr="009D287C">
              <w:rPr>
                <w:lang w:val="fr-CA"/>
              </w:rPr>
              <w:t>Moudrika</w:t>
            </w:r>
            <w:proofErr w:type="spellEnd"/>
            <w:r w:rsidRPr="009D287C">
              <w:rPr>
                <w:lang w:val="fr-CA"/>
              </w:rPr>
              <w:t xml:space="preserve"> et autres</w:t>
            </w: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9D287C" w:rsidTr="00EC7188">
        <w:tc>
          <w:tcPr>
            <w:tcW w:w="1530" w:type="dxa"/>
          </w:tcPr>
          <w:p w:rsidR="00223C46" w:rsidRPr="009D287C" w:rsidRDefault="00223C46" w:rsidP="00223C46">
            <w:r w:rsidRPr="009D287C">
              <w:t>- and between -</w:t>
            </w:r>
          </w:p>
          <w:p w:rsidR="00223C46" w:rsidRPr="009D287C" w:rsidRDefault="00223C46" w:rsidP="00223C46"/>
        </w:tc>
        <w:tc>
          <w:tcPr>
            <w:tcW w:w="2731" w:type="dxa"/>
          </w:tcPr>
          <w:p w:rsidR="00223C46" w:rsidRPr="009D287C" w:rsidRDefault="00223C46" w:rsidP="00223C46">
            <w:pPr>
              <w:jc w:val="both"/>
            </w:pP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346C6C" w:rsidTr="00EC7188">
        <w:tc>
          <w:tcPr>
            <w:tcW w:w="1530" w:type="dxa"/>
          </w:tcPr>
          <w:p w:rsidR="00223C46" w:rsidRPr="009D287C" w:rsidRDefault="00223C46" w:rsidP="00223C46"/>
        </w:tc>
        <w:tc>
          <w:tcPr>
            <w:tcW w:w="2731" w:type="dxa"/>
          </w:tcPr>
          <w:p w:rsidR="00223C46" w:rsidRPr="009D287C" w:rsidRDefault="00223C46" w:rsidP="00223C46">
            <w:pPr>
              <w:rPr>
                <w:lang w:val="fr-CA"/>
              </w:rPr>
            </w:pPr>
            <w:r w:rsidRPr="009D287C">
              <w:rPr>
                <w:lang w:val="fr-CA"/>
              </w:rPr>
              <w:t>Ville de Montréal</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ab/>
              <w:t>v.</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 xml:space="preserve">Éric </w:t>
            </w:r>
            <w:proofErr w:type="spellStart"/>
            <w:r w:rsidRPr="009D287C">
              <w:rPr>
                <w:lang w:val="fr-CA"/>
              </w:rPr>
              <w:t>Primeau</w:t>
            </w:r>
            <w:proofErr w:type="spellEnd"/>
            <w:r w:rsidRPr="009D287C">
              <w:rPr>
                <w:lang w:val="fr-CA"/>
              </w:rPr>
              <w:t xml:space="preserve"> et autres</w:t>
            </w: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9D287C" w:rsidTr="00EC7188">
        <w:tc>
          <w:tcPr>
            <w:tcW w:w="1530" w:type="dxa"/>
          </w:tcPr>
          <w:p w:rsidR="00223C46" w:rsidRPr="009D287C" w:rsidRDefault="00223C46" w:rsidP="00223C46">
            <w:r w:rsidRPr="009D287C">
              <w:t>- and between -</w:t>
            </w:r>
          </w:p>
          <w:p w:rsidR="00223C46" w:rsidRPr="009D287C" w:rsidRDefault="00223C46" w:rsidP="00223C46"/>
        </w:tc>
        <w:tc>
          <w:tcPr>
            <w:tcW w:w="2731" w:type="dxa"/>
          </w:tcPr>
          <w:p w:rsidR="00223C46" w:rsidRPr="009D287C" w:rsidRDefault="00223C46" w:rsidP="00223C46">
            <w:pPr>
              <w:jc w:val="both"/>
            </w:pP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346C6C" w:rsidTr="00EC7188">
        <w:tc>
          <w:tcPr>
            <w:tcW w:w="1530" w:type="dxa"/>
          </w:tcPr>
          <w:p w:rsidR="00223C46" w:rsidRPr="009D287C" w:rsidRDefault="00223C46" w:rsidP="00223C46"/>
        </w:tc>
        <w:tc>
          <w:tcPr>
            <w:tcW w:w="2731" w:type="dxa"/>
          </w:tcPr>
          <w:p w:rsidR="00223C46" w:rsidRPr="009D287C" w:rsidRDefault="00223C46" w:rsidP="00223C46">
            <w:pPr>
              <w:rPr>
                <w:lang w:val="fr-CA"/>
              </w:rPr>
            </w:pPr>
            <w:r w:rsidRPr="009D287C">
              <w:rPr>
                <w:lang w:val="fr-CA"/>
              </w:rPr>
              <w:t>Ville de Montréal</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ab/>
              <w:t>v.</w:t>
            </w:r>
          </w:p>
          <w:p w:rsidR="00223C46" w:rsidRPr="009D287C" w:rsidRDefault="00223C46" w:rsidP="00223C46">
            <w:pPr>
              <w:jc w:val="both"/>
              <w:rPr>
                <w:lang w:val="fr-CA"/>
              </w:rPr>
            </w:pPr>
          </w:p>
          <w:p w:rsidR="00223C46" w:rsidRPr="009D287C" w:rsidRDefault="00223C46" w:rsidP="00223C46">
            <w:pPr>
              <w:jc w:val="both"/>
              <w:rPr>
                <w:lang w:val="fr-CA"/>
              </w:rPr>
            </w:pPr>
            <w:proofErr w:type="spellStart"/>
            <w:r w:rsidRPr="009D287C">
              <w:rPr>
                <w:lang w:val="fr-CA"/>
              </w:rPr>
              <w:t>Natna</w:t>
            </w:r>
            <w:proofErr w:type="spellEnd"/>
            <w:r w:rsidRPr="009D287C">
              <w:rPr>
                <w:lang w:val="fr-CA"/>
              </w:rPr>
              <w:t xml:space="preserve"> </w:t>
            </w:r>
            <w:proofErr w:type="spellStart"/>
            <w:r w:rsidRPr="009D287C">
              <w:rPr>
                <w:lang w:val="fr-CA"/>
              </w:rPr>
              <w:t>Nega</w:t>
            </w:r>
            <w:proofErr w:type="spellEnd"/>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9D287C" w:rsidTr="00EC7188">
        <w:tc>
          <w:tcPr>
            <w:tcW w:w="1530" w:type="dxa"/>
          </w:tcPr>
          <w:p w:rsidR="00223C46" w:rsidRPr="009D287C" w:rsidRDefault="00223C46" w:rsidP="00223C46">
            <w:r w:rsidRPr="009D287C">
              <w:t>- and between -</w:t>
            </w:r>
          </w:p>
          <w:p w:rsidR="00223C46" w:rsidRPr="009D287C" w:rsidRDefault="00223C46" w:rsidP="00223C46"/>
        </w:tc>
        <w:tc>
          <w:tcPr>
            <w:tcW w:w="2731" w:type="dxa"/>
          </w:tcPr>
          <w:p w:rsidR="00223C46" w:rsidRPr="009D287C" w:rsidRDefault="00223C46" w:rsidP="00223C46">
            <w:pPr>
              <w:jc w:val="both"/>
            </w:pP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r w:rsidR="00223C46" w:rsidRPr="00346C6C" w:rsidTr="00EC7188">
        <w:tc>
          <w:tcPr>
            <w:tcW w:w="1530" w:type="dxa"/>
          </w:tcPr>
          <w:p w:rsidR="00223C46" w:rsidRPr="009D287C" w:rsidRDefault="00223C46" w:rsidP="00223C46"/>
        </w:tc>
        <w:tc>
          <w:tcPr>
            <w:tcW w:w="2731" w:type="dxa"/>
          </w:tcPr>
          <w:p w:rsidR="00223C46" w:rsidRPr="009D287C" w:rsidRDefault="00223C46" w:rsidP="00223C46">
            <w:pPr>
              <w:rPr>
                <w:lang w:val="fr-CA"/>
              </w:rPr>
            </w:pPr>
            <w:r w:rsidRPr="009D287C">
              <w:rPr>
                <w:lang w:val="fr-CA"/>
              </w:rPr>
              <w:t>Ville de Montréal</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ab/>
              <w:t>v.</w:t>
            </w:r>
          </w:p>
          <w:p w:rsidR="00223C46" w:rsidRPr="009D287C" w:rsidRDefault="00223C46" w:rsidP="00223C46">
            <w:pPr>
              <w:jc w:val="both"/>
              <w:rPr>
                <w:lang w:val="fr-CA"/>
              </w:rPr>
            </w:pPr>
          </w:p>
          <w:p w:rsidR="00223C46" w:rsidRPr="009D287C" w:rsidRDefault="00223C46" w:rsidP="00223C46">
            <w:pPr>
              <w:jc w:val="both"/>
              <w:rPr>
                <w:lang w:val="fr-CA"/>
              </w:rPr>
            </w:pPr>
            <w:r w:rsidRPr="009D287C">
              <w:rPr>
                <w:lang w:val="fr-CA"/>
              </w:rPr>
              <w:t xml:space="preserve">Benjamin </w:t>
            </w:r>
            <w:proofErr w:type="spellStart"/>
            <w:r w:rsidRPr="009D287C">
              <w:rPr>
                <w:lang w:val="fr-CA"/>
              </w:rPr>
              <w:t>Kinal</w:t>
            </w:r>
            <w:proofErr w:type="spellEnd"/>
            <w:r w:rsidRPr="009D287C">
              <w:rPr>
                <w:lang w:val="fr-CA"/>
              </w:rPr>
              <w:t xml:space="preserve"> et autres</w:t>
            </w:r>
          </w:p>
        </w:tc>
        <w:tc>
          <w:tcPr>
            <w:tcW w:w="1137" w:type="dxa"/>
          </w:tcPr>
          <w:p w:rsidR="00223C46" w:rsidRPr="009D287C" w:rsidRDefault="00223C46" w:rsidP="00223C46">
            <w:pPr>
              <w:rPr>
                <w:lang w:val="fr-CA"/>
              </w:rPr>
            </w:pPr>
          </w:p>
        </w:tc>
        <w:tc>
          <w:tcPr>
            <w:tcW w:w="4221" w:type="dxa"/>
          </w:tcPr>
          <w:p w:rsidR="00223C46" w:rsidRPr="009D287C" w:rsidRDefault="00223C46" w:rsidP="00223C46">
            <w:pPr>
              <w:rPr>
                <w:lang w:val="fr-CA"/>
              </w:rPr>
            </w:pPr>
          </w:p>
        </w:tc>
      </w:tr>
    </w:tbl>
    <w:p w:rsidR="00484FBC" w:rsidRPr="009D287C" w:rsidRDefault="00484FBC"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b/>
          <w:sz w:val="20"/>
          <w:szCs w:val="20"/>
          <w:lang w:val="fr-CA" w:eastAsia="en-CA"/>
        </w:rPr>
        <w:t>GRANTED / ACCORDÉE</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autoSpaceDE w:val="0"/>
        <w:autoSpaceDN w:val="0"/>
        <w:adjustRightInd w:val="0"/>
        <w:rPr>
          <w:rFonts w:eastAsiaTheme="minorEastAsia" w:cs="Times New Roman"/>
          <w:sz w:val="20"/>
          <w:szCs w:val="20"/>
          <w:lang w:val="fr-CA"/>
        </w:rPr>
      </w:pPr>
      <w:r w:rsidRPr="009D287C">
        <w:rPr>
          <w:rFonts w:eastAsiaTheme="minorEastAsia" w:cs="Times New Roman"/>
          <w:b/>
          <w:bCs/>
          <w:sz w:val="20"/>
          <w:szCs w:val="20"/>
          <w:lang w:val="fr-CA"/>
        </w:rPr>
        <w:t xml:space="preserve">À LA SUITE DE LA DEMANDE </w:t>
      </w:r>
      <w:r w:rsidRPr="009D287C">
        <w:rPr>
          <w:rFonts w:eastAsiaTheme="minorEastAsia" w:cs="Times New Roman"/>
          <w:sz w:val="20"/>
          <w:szCs w:val="20"/>
          <w:lang w:val="fr-CA"/>
        </w:rPr>
        <w:t>présentée par</w:t>
      </w:r>
      <w:r w:rsidRPr="009D287C">
        <w:rPr>
          <w:rFonts w:ascii="Times New" w:eastAsiaTheme="minorEastAsia" w:hAnsi="Times New"/>
          <w:sz w:val="20"/>
          <w:szCs w:val="20"/>
          <w:lang w:val="fr-CA"/>
        </w:rPr>
        <w:t xml:space="preserve"> </w:t>
      </w:r>
      <w:r w:rsidRPr="009D287C">
        <w:rPr>
          <w:rFonts w:eastAsiaTheme="minorEastAsia" w:cs="Times New Roman"/>
          <w:sz w:val="20"/>
          <w:szCs w:val="20"/>
          <w:lang w:val="fr-CA"/>
        </w:rPr>
        <w:t xml:space="preserve">la Ville de Montréal en vertu de la règle 6 des </w:t>
      </w:r>
      <w:r w:rsidRPr="009D287C">
        <w:rPr>
          <w:rFonts w:eastAsiaTheme="minorEastAsia" w:cs="Times New Roman"/>
          <w:i/>
          <w:sz w:val="20"/>
          <w:szCs w:val="20"/>
          <w:lang w:val="fr-CA"/>
        </w:rPr>
        <w:t>Règles de la Cour suprême du Canada</w:t>
      </w:r>
      <w:r w:rsidRPr="009D287C">
        <w:rPr>
          <w:rFonts w:eastAsiaTheme="minorEastAsia" w:cs="Times New Roman"/>
          <w:sz w:val="20"/>
          <w:szCs w:val="20"/>
          <w:lang w:val="fr-CA"/>
        </w:rPr>
        <w:t xml:space="preserve"> pour obtenir la prorogation du délai de signification des documents relatifs à sa demande d’autorisation d’appel à</w:t>
      </w:r>
      <w:r w:rsidRPr="009D287C">
        <w:rPr>
          <w:rFonts w:eastAsiaTheme="minorEastAsia" w:cs="Times New Roman"/>
          <w:sz w:val="20"/>
          <w:szCs w:val="20"/>
          <w:lang w:val="fr-CA" w:eastAsia="fr-FR"/>
        </w:rPr>
        <w:t xml:space="preserve"> Jonathan Beaudin </w:t>
      </w:r>
      <w:proofErr w:type="spellStart"/>
      <w:r w:rsidRPr="009D287C">
        <w:rPr>
          <w:rFonts w:eastAsiaTheme="minorEastAsia" w:cs="Times New Roman"/>
          <w:sz w:val="20"/>
          <w:szCs w:val="20"/>
          <w:lang w:val="fr-CA" w:eastAsia="fr-FR"/>
        </w:rPr>
        <w:t>Naudi</w:t>
      </w:r>
      <w:proofErr w:type="spellEnd"/>
      <w:r w:rsidRPr="009D287C">
        <w:rPr>
          <w:rFonts w:eastAsiaTheme="minorEastAsia" w:cs="Times New Roman"/>
          <w:sz w:val="20"/>
          <w:szCs w:val="20"/>
          <w:lang w:val="fr-CA" w:eastAsia="fr-FR"/>
        </w:rPr>
        <w:t xml:space="preserve"> et Nathan Bradshaw au 7 et 11 octobre 2016, respectivement,</w:t>
      </w:r>
      <w:r w:rsidRPr="009D287C">
        <w:rPr>
          <w:rFonts w:eastAsiaTheme="minorEastAsia" w:cs="Times New Roman"/>
          <w:sz w:val="20"/>
          <w:szCs w:val="20"/>
          <w:lang w:val="fr-CA"/>
        </w:rPr>
        <w:t xml:space="preserve"> à Simon </w:t>
      </w:r>
      <w:proofErr w:type="spellStart"/>
      <w:r w:rsidRPr="009D287C">
        <w:rPr>
          <w:rFonts w:eastAsiaTheme="minorEastAsia" w:cs="Times New Roman"/>
          <w:sz w:val="20"/>
          <w:szCs w:val="20"/>
          <w:lang w:val="fr-CA"/>
        </w:rPr>
        <w:t>Légaré</w:t>
      </w:r>
      <w:proofErr w:type="spellEnd"/>
      <w:r w:rsidRPr="009D287C">
        <w:rPr>
          <w:rFonts w:eastAsiaTheme="minorEastAsia" w:cs="Times New Roman"/>
          <w:sz w:val="20"/>
          <w:szCs w:val="20"/>
          <w:lang w:val="fr-CA"/>
        </w:rPr>
        <w:t xml:space="preserve"> et Simon Côté-Béliveau au 13 octobre 2016, et à Johnny </w:t>
      </w:r>
      <w:proofErr w:type="spellStart"/>
      <w:r w:rsidRPr="009D287C">
        <w:rPr>
          <w:rFonts w:eastAsiaTheme="minorEastAsia" w:cs="Times New Roman"/>
          <w:sz w:val="20"/>
          <w:szCs w:val="20"/>
          <w:lang w:val="fr-CA"/>
        </w:rPr>
        <w:t>Davin</w:t>
      </w:r>
      <w:proofErr w:type="spellEnd"/>
      <w:r w:rsidRPr="009D287C">
        <w:rPr>
          <w:rFonts w:eastAsiaTheme="minorEastAsia" w:cs="Times New Roman"/>
          <w:sz w:val="20"/>
          <w:szCs w:val="20"/>
          <w:lang w:val="fr-CA"/>
        </w:rPr>
        <w:t xml:space="preserve"> au 19 octobre 2016;</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autoSpaceDE w:val="0"/>
        <w:autoSpaceDN w:val="0"/>
        <w:adjustRightInd w:val="0"/>
        <w:rPr>
          <w:rFonts w:eastAsiaTheme="minorEastAsia" w:cs="Times New Roman"/>
          <w:sz w:val="20"/>
          <w:szCs w:val="20"/>
          <w:lang w:val="fr-CA"/>
        </w:rPr>
      </w:pPr>
      <w:r w:rsidRPr="009D287C">
        <w:rPr>
          <w:rFonts w:eastAsiaTheme="minorEastAsia" w:cs="Times New Roman"/>
          <w:b/>
          <w:sz w:val="20"/>
          <w:szCs w:val="20"/>
          <w:lang w:val="fr-CA"/>
        </w:rPr>
        <w:t xml:space="preserve">ET À LA SUITE DE LA DEMANDE </w:t>
      </w:r>
      <w:r w:rsidRPr="009D287C">
        <w:rPr>
          <w:rFonts w:eastAsiaTheme="minorEastAsia" w:cs="Times New Roman"/>
          <w:sz w:val="20"/>
          <w:szCs w:val="20"/>
          <w:lang w:val="fr-CA"/>
        </w:rPr>
        <w:t>présentée par</w:t>
      </w:r>
      <w:r w:rsidRPr="009D287C">
        <w:rPr>
          <w:rFonts w:ascii="Times New" w:eastAsiaTheme="minorEastAsia" w:hAnsi="Times New"/>
          <w:sz w:val="20"/>
          <w:szCs w:val="20"/>
          <w:lang w:val="fr-CA"/>
        </w:rPr>
        <w:t xml:space="preserve"> </w:t>
      </w:r>
      <w:r w:rsidRPr="009D287C">
        <w:rPr>
          <w:rFonts w:eastAsiaTheme="minorEastAsia" w:cs="Times New Roman"/>
          <w:sz w:val="20"/>
          <w:szCs w:val="20"/>
          <w:lang w:val="fr-CA"/>
        </w:rPr>
        <w:t xml:space="preserve">la Ville de Montréal </w:t>
      </w:r>
      <w:r w:rsidRPr="009D287C">
        <w:rPr>
          <w:rFonts w:eastAsiaTheme="minorEastAsia" w:cs="Times New Roman"/>
          <w:sz w:val="20"/>
          <w:szCs w:val="20"/>
          <w:lang w:val="fr-CA" w:eastAsia="fr-FR"/>
        </w:rPr>
        <w:t xml:space="preserve">en vertu de la règle 20(10) des </w:t>
      </w:r>
      <w:r w:rsidRPr="009D287C">
        <w:rPr>
          <w:rFonts w:eastAsiaTheme="minorEastAsia" w:cs="Times New Roman"/>
          <w:i/>
          <w:iCs/>
          <w:sz w:val="20"/>
          <w:szCs w:val="20"/>
          <w:lang w:val="fr-CA" w:eastAsia="fr-FR"/>
        </w:rPr>
        <w:t xml:space="preserve">Règles de la Cour suprême du Canada </w:t>
      </w:r>
      <w:r w:rsidRPr="009D287C">
        <w:rPr>
          <w:rFonts w:eastAsiaTheme="minorEastAsia" w:cs="Times New Roman"/>
          <w:sz w:val="20"/>
          <w:szCs w:val="20"/>
          <w:lang w:val="fr-CA"/>
        </w:rPr>
        <w:t xml:space="preserve">pour obtenir une ordonnance </w:t>
      </w:r>
      <w:r w:rsidRPr="009D287C">
        <w:rPr>
          <w:rFonts w:eastAsiaTheme="minorEastAsia" w:cs="Times New Roman"/>
          <w:iCs/>
          <w:sz w:val="20"/>
          <w:szCs w:val="20"/>
          <w:lang w:val="fr-CA" w:eastAsia="fr-FR"/>
        </w:rPr>
        <w:t>l</w:t>
      </w:r>
      <w:r w:rsidRPr="009D287C">
        <w:rPr>
          <w:rFonts w:eastAsiaTheme="minorEastAsia" w:cs="Times New Roman"/>
          <w:sz w:val="20"/>
          <w:szCs w:val="20"/>
          <w:lang w:val="fr-CA" w:eastAsia="fr-FR"/>
        </w:rPr>
        <w:t xml:space="preserve">ui permettant de signifier les documents relatifs à sa demande d’autorisation d’appel par courriel via Facebook, dans le cas de Simon </w:t>
      </w:r>
      <w:proofErr w:type="spellStart"/>
      <w:r w:rsidRPr="009D287C">
        <w:rPr>
          <w:rFonts w:eastAsiaTheme="minorEastAsia" w:cs="Times New Roman"/>
          <w:sz w:val="20"/>
          <w:szCs w:val="20"/>
          <w:lang w:val="fr-CA" w:eastAsia="fr-FR"/>
        </w:rPr>
        <w:t>Légaré</w:t>
      </w:r>
      <w:proofErr w:type="spellEnd"/>
      <w:r w:rsidRPr="009D287C">
        <w:rPr>
          <w:rFonts w:eastAsiaTheme="minorEastAsia" w:cs="Times New Roman"/>
          <w:sz w:val="20"/>
          <w:szCs w:val="20"/>
          <w:lang w:val="fr-CA" w:eastAsia="fr-FR"/>
        </w:rPr>
        <w:t xml:space="preserve"> et Simon Côté-Béliveau, et par publication dans un quotidien distribué à grande échelle et gratuitement dans la municipalité de la dernière adresse connue du destinataire, dans le cas de Johnny </w:t>
      </w:r>
      <w:proofErr w:type="spellStart"/>
      <w:r w:rsidRPr="009D287C">
        <w:rPr>
          <w:rFonts w:eastAsiaTheme="minorEastAsia" w:cs="Times New Roman"/>
          <w:sz w:val="20"/>
          <w:szCs w:val="20"/>
          <w:lang w:val="fr-CA" w:eastAsia="fr-FR"/>
        </w:rPr>
        <w:t>Davin</w:t>
      </w:r>
      <w:proofErr w:type="spellEnd"/>
      <w:r w:rsidRPr="009D287C">
        <w:rPr>
          <w:rFonts w:eastAsiaTheme="minorEastAsia" w:cs="Times New Roman"/>
          <w:sz w:val="20"/>
          <w:szCs w:val="20"/>
          <w:lang w:val="fr-CA" w:eastAsia="fr-FR"/>
        </w:rPr>
        <w:t>;</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fr-CA"/>
        </w:rPr>
      </w:pPr>
      <w:r w:rsidRPr="009D287C">
        <w:rPr>
          <w:rFonts w:eastAsiaTheme="minorEastAsia" w:cs="Times New Roman"/>
          <w:b/>
          <w:bCs/>
          <w:sz w:val="20"/>
          <w:szCs w:val="20"/>
          <w:lang w:val="fr-CA"/>
        </w:rPr>
        <w:t xml:space="preserve">ET APRÈS EXAMEN </w:t>
      </w:r>
      <w:r w:rsidRPr="009D287C">
        <w:rPr>
          <w:rFonts w:eastAsiaTheme="minorEastAsia" w:cs="Times New Roman"/>
          <w:sz w:val="20"/>
          <w:szCs w:val="20"/>
          <w:lang w:val="fr-CA"/>
        </w:rPr>
        <w:t xml:space="preserve">des documents déposés; </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fr-CA"/>
        </w:rPr>
      </w:pPr>
      <w:r w:rsidRPr="009D287C">
        <w:rPr>
          <w:rFonts w:eastAsiaTheme="minorEastAsia" w:cs="Times New Roman"/>
          <w:b/>
          <w:bCs/>
          <w:sz w:val="20"/>
          <w:szCs w:val="20"/>
          <w:lang w:val="fr-CA"/>
        </w:rPr>
        <w:t xml:space="preserve">IL EST ORDONNÉ CE QUI SUIT : </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lang w:val="fr-CA"/>
        </w:rPr>
      </w:pPr>
    </w:p>
    <w:p w:rsidR="00110AE3" w:rsidRPr="009D287C" w:rsidRDefault="00110AE3" w:rsidP="00110AE3">
      <w:pPr>
        <w:spacing w:line="233" w:lineRule="auto"/>
        <w:rPr>
          <w:rFonts w:eastAsia="Times New Roman" w:cs="Times New Roman"/>
          <w:sz w:val="20"/>
          <w:szCs w:val="20"/>
          <w:lang w:val="en-US" w:eastAsia="en-CA"/>
        </w:rPr>
      </w:pPr>
      <w:r w:rsidRPr="009D287C">
        <w:rPr>
          <w:rFonts w:eastAsiaTheme="minorEastAsia" w:cs="Times New Roman"/>
          <w:sz w:val="20"/>
          <w:szCs w:val="20"/>
          <w:lang w:val="en-US"/>
        </w:rPr>
        <w:t xml:space="preserve">La </w:t>
      </w:r>
      <w:proofErr w:type="spellStart"/>
      <w:r w:rsidRPr="009D287C">
        <w:rPr>
          <w:rFonts w:eastAsiaTheme="minorEastAsia" w:cs="Times New Roman"/>
          <w:sz w:val="20"/>
          <w:szCs w:val="20"/>
          <w:lang w:val="en-US"/>
        </w:rPr>
        <w:t>requête</w:t>
      </w:r>
      <w:proofErr w:type="spellEnd"/>
      <w:r w:rsidRPr="009D287C">
        <w:rPr>
          <w:rFonts w:eastAsiaTheme="minorEastAsia" w:cs="Times New Roman"/>
          <w:sz w:val="20"/>
          <w:szCs w:val="20"/>
          <w:lang w:val="en-US"/>
        </w:rPr>
        <w:t xml:space="preserve"> </w:t>
      </w:r>
      <w:proofErr w:type="spellStart"/>
      <w:proofErr w:type="gramStart"/>
      <w:r w:rsidRPr="009D287C">
        <w:rPr>
          <w:rFonts w:eastAsiaTheme="minorEastAsia" w:cs="Times New Roman"/>
          <w:sz w:val="20"/>
          <w:szCs w:val="20"/>
          <w:lang w:val="en-US"/>
        </w:rPr>
        <w:t>est</w:t>
      </w:r>
      <w:proofErr w:type="spellEnd"/>
      <w:proofErr w:type="gramEnd"/>
      <w:r w:rsidRPr="009D287C">
        <w:rPr>
          <w:rFonts w:eastAsiaTheme="minorEastAsia" w:cs="Times New Roman"/>
          <w:sz w:val="20"/>
          <w:szCs w:val="20"/>
          <w:lang w:val="en-US"/>
        </w:rPr>
        <w:t xml:space="preserve"> </w:t>
      </w:r>
      <w:proofErr w:type="spellStart"/>
      <w:r w:rsidRPr="009D287C">
        <w:rPr>
          <w:rFonts w:eastAsiaTheme="minorEastAsia" w:cs="Times New Roman"/>
          <w:sz w:val="20"/>
          <w:szCs w:val="20"/>
          <w:lang w:val="en-US"/>
        </w:rPr>
        <w:t>accueillie</w:t>
      </w:r>
      <w:proofErr w:type="spellEnd"/>
      <w:r w:rsidRPr="009D287C">
        <w:rPr>
          <w:rFonts w:eastAsiaTheme="minorEastAsia" w:cs="Times New Roman"/>
          <w:sz w:val="20"/>
          <w:szCs w:val="20"/>
          <w:lang w:val="en-US"/>
        </w:rPr>
        <w:t>.</w:t>
      </w:r>
    </w:p>
    <w:p w:rsidR="00110AE3" w:rsidRPr="009D287C" w:rsidRDefault="00110AE3" w:rsidP="00110AE3">
      <w:pPr>
        <w:spacing w:line="233" w:lineRule="auto"/>
        <w:rPr>
          <w:rFonts w:eastAsia="Times New Roman" w:cs="Times New Roman"/>
          <w:sz w:val="20"/>
          <w:szCs w:val="20"/>
          <w:lang w:val="en-US" w:eastAsia="en-CA"/>
        </w:rPr>
      </w:pPr>
    </w:p>
    <w:p w:rsidR="00110AE3" w:rsidRPr="009D287C" w:rsidRDefault="00110AE3" w:rsidP="00110AE3">
      <w:pPr>
        <w:spacing w:line="233" w:lineRule="auto"/>
        <w:rPr>
          <w:rFonts w:eastAsia="Times New Roman" w:cs="Times New Roman"/>
          <w:sz w:val="20"/>
          <w:szCs w:val="20"/>
          <w:lang w:val="en-US" w:eastAsia="en-CA"/>
        </w:rPr>
      </w:pPr>
    </w:p>
    <w:p w:rsidR="00110AE3" w:rsidRPr="009D287C" w:rsidRDefault="00110AE3" w:rsidP="00110AE3">
      <w:pPr>
        <w:spacing w:line="233" w:lineRule="auto"/>
        <w:rPr>
          <w:rFonts w:eastAsia="Times New Roman" w:cs="Times New Roman"/>
          <w:sz w:val="20"/>
          <w:szCs w:val="20"/>
          <w:lang w:val="en-US" w:eastAsia="en-CA"/>
        </w:rPr>
      </w:pPr>
    </w:p>
    <w:p w:rsidR="00110AE3" w:rsidRPr="009D287C" w:rsidRDefault="00110AE3" w:rsidP="00110AE3">
      <w:pPr>
        <w:autoSpaceDE w:val="0"/>
        <w:autoSpaceDN w:val="0"/>
        <w:adjustRightInd w:val="0"/>
        <w:rPr>
          <w:rFonts w:eastAsiaTheme="minorEastAsia" w:cs="Times New Roman"/>
          <w:sz w:val="20"/>
          <w:szCs w:val="20"/>
        </w:rPr>
      </w:pPr>
      <w:r w:rsidRPr="009D287C">
        <w:rPr>
          <w:rFonts w:eastAsiaTheme="minorEastAsia" w:cs="Times New Roman"/>
          <w:b/>
          <w:bCs/>
          <w:sz w:val="20"/>
          <w:szCs w:val="20"/>
        </w:rPr>
        <w:t xml:space="preserve">UPON APPLICATION </w:t>
      </w:r>
      <w:r w:rsidRPr="009D287C">
        <w:rPr>
          <w:rFonts w:eastAsiaTheme="minorEastAsia" w:cs="Times New Roman"/>
          <w:sz w:val="20"/>
          <w:szCs w:val="20"/>
        </w:rPr>
        <w:t xml:space="preserve">by Ville de Montréal under Rule 6 of the </w:t>
      </w:r>
      <w:r w:rsidRPr="009D287C">
        <w:rPr>
          <w:rFonts w:eastAsiaTheme="minorEastAsia" w:cs="Times New Roman"/>
          <w:i/>
          <w:sz w:val="20"/>
          <w:szCs w:val="20"/>
        </w:rPr>
        <w:t>Rules of the Supreme Court of Canada</w:t>
      </w:r>
      <w:r w:rsidRPr="009D287C">
        <w:rPr>
          <w:rFonts w:eastAsiaTheme="minorEastAsia" w:cs="Times New Roman"/>
          <w:sz w:val="20"/>
          <w:szCs w:val="20"/>
        </w:rPr>
        <w:t xml:space="preserve"> for an order extending the time within which to serve the documents relating to its application for leave to appeal on </w:t>
      </w:r>
      <w:r w:rsidRPr="009D287C">
        <w:rPr>
          <w:rFonts w:eastAsiaTheme="minorEastAsia" w:cs="Times New Roman"/>
          <w:sz w:val="20"/>
          <w:szCs w:val="20"/>
          <w:lang w:eastAsia="fr-FR"/>
        </w:rPr>
        <w:t xml:space="preserve">Jonathan </w:t>
      </w:r>
      <w:proofErr w:type="spellStart"/>
      <w:r w:rsidRPr="009D287C">
        <w:rPr>
          <w:rFonts w:eastAsiaTheme="minorEastAsia" w:cs="Times New Roman"/>
          <w:sz w:val="20"/>
          <w:szCs w:val="20"/>
          <w:lang w:eastAsia="fr-FR"/>
        </w:rPr>
        <w:t>Beaudin</w:t>
      </w:r>
      <w:proofErr w:type="spellEnd"/>
      <w:r w:rsidRPr="009D287C">
        <w:rPr>
          <w:rFonts w:eastAsiaTheme="minorEastAsia" w:cs="Times New Roman"/>
          <w:sz w:val="20"/>
          <w:szCs w:val="20"/>
          <w:lang w:eastAsia="fr-FR"/>
        </w:rPr>
        <w:t xml:space="preserve"> </w:t>
      </w:r>
      <w:proofErr w:type="spellStart"/>
      <w:r w:rsidRPr="009D287C">
        <w:rPr>
          <w:rFonts w:eastAsiaTheme="minorEastAsia" w:cs="Times New Roman"/>
          <w:sz w:val="20"/>
          <w:szCs w:val="20"/>
          <w:lang w:eastAsia="fr-FR"/>
        </w:rPr>
        <w:t>Naudi</w:t>
      </w:r>
      <w:proofErr w:type="spellEnd"/>
      <w:r w:rsidRPr="009D287C">
        <w:rPr>
          <w:rFonts w:eastAsiaTheme="minorEastAsia" w:cs="Times New Roman"/>
          <w:sz w:val="20"/>
          <w:szCs w:val="20"/>
          <w:lang w:eastAsia="fr-FR"/>
        </w:rPr>
        <w:t xml:space="preserve"> and Nathan Bradshaw to October 7 and 11, 2016, respectively,</w:t>
      </w:r>
      <w:r w:rsidRPr="009D287C">
        <w:rPr>
          <w:rFonts w:eastAsiaTheme="minorEastAsia" w:cs="Times New Roman"/>
          <w:sz w:val="20"/>
          <w:szCs w:val="20"/>
        </w:rPr>
        <w:t xml:space="preserve"> on Simon </w:t>
      </w:r>
      <w:proofErr w:type="spellStart"/>
      <w:r w:rsidRPr="009D287C">
        <w:rPr>
          <w:rFonts w:eastAsiaTheme="minorEastAsia" w:cs="Times New Roman"/>
          <w:sz w:val="20"/>
          <w:szCs w:val="20"/>
        </w:rPr>
        <w:t>Légaré</w:t>
      </w:r>
      <w:proofErr w:type="spellEnd"/>
      <w:r w:rsidRPr="009D287C">
        <w:rPr>
          <w:rFonts w:eastAsiaTheme="minorEastAsia" w:cs="Times New Roman"/>
          <w:sz w:val="20"/>
          <w:szCs w:val="20"/>
        </w:rPr>
        <w:t xml:space="preserve"> and Simon </w:t>
      </w:r>
      <w:proofErr w:type="spellStart"/>
      <w:r w:rsidRPr="009D287C">
        <w:rPr>
          <w:rFonts w:eastAsiaTheme="minorEastAsia" w:cs="Times New Roman"/>
          <w:sz w:val="20"/>
          <w:szCs w:val="20"/>
        </w:rPr>
        <w:t>Côté-Béliveau</w:t>
      </w:r>
      <w:proofErr w:type="spellEnd"/>
      <w:r w:rsidRPr="009D287C">
        <w:rPr>
          <w:rFonts w:eastAsiaTheme="minorEastAsia" w:cs="Times New Roman"/>
          <w:sz w:val="20"/>
          <w:szCs w:val="20"/>
        </w:rPr>
        <w:t xml:space="preserve"> to October 13, 2016, and on Johnny Davin to October 19, 2016;</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rPr>
      </w:pPr>
    </w:p>
    <w:p w:rsidR="00110AE3" w:rsidRPr="009D287C" w:rsidRDefault="00110AE3" w:rsidP="00110AE3">
      <w:pPr>
        <w:autoSpaceDE w:val="0"/>
        <w:autoSpaceDN w:val="0"/>
        <w:adjustRightInd w:val="0"/>
        <w:rPr>
          <w:rFonts w:eastAsiaTheme="minorEastAsia" w:cs="Times New Roman"/>
          <w:sz w:val="20"/>
          <w:szCs w:val="20"/>
        </w:rPr>
      </w:pPr>
      <w:r w:rsidRPr="009D287C">
        <w:rPr>
          <w:rFonts w:eastAsiaTheme="minorEastAsia" w:cs="Times New Roman"/>
          <w:b/>
          <w:bCs/>
          <w:sz w:val="20"/>
          <w:szCs w:val="20"/>
        </w:rPr>
        <w:t xml:space="preserve">AND UPON APPLICATION </w:t>
      </w:r>
      <w:r w:rsidRPr="009D287C">
        <w:rPr>
          <w:rFonts w:eastAsiaTheme="minorEastAsia" w:cs="Times New Roman"/>
          <w:sz w:val="20"/>
          <w:szCs w:val="20"/>
        </w:rPr>
        <w:t xml:space="preserve">by Ville de Montréal under Rule </w:t>
      </w:r>
      <w:r w:rsidRPr="009D287C">
        <w:rPr>
          <w:rFonts w:eastAsiaTheme="minorEastAsia" w:cs="Times New Roman"/>
          <w:sz w:val="20"/>
          <w:szCs w:val="20"/>
          <w:lang w:eastAsia="fr-FR"/>
        </w:rPr>
        <w:t xml:space="preserve">20(10) of the </w:t>
      </w:r>
      <w:r w:rsidRPr="009D287C">
        <w:rPr>
          <w:rFonts w:eastAsiaTheme="minorEastAsia" w:cs="Times New Roman"/>
          <w:i/>
          <w:sz w:val="20"/>
          <w:szCs w:val="20"/>
          <w:lang w:eastAsia="fr-FR"/>
        </w:rPr>
        <w:t>Rules of the Supreme Court of Canada</w:t>
      </w:r>
      <w:r w:rsidRPr="009D287C">
        <w:rPr>
          <w:rFonts w:eastAsiaTheme="minorEastAsia" w:cs="Times New Roman"/>
          <w:sz w:val="20"/>
          <w:szCs w:val="20"/>
          <w:lang w:eastAsia="fr-FR"/>
        </w:rPr>
        <w:t xml:space="preserve"> for an order</w:t>
      </w:r>
      <w:r w:rsidRPr="009D287C">
        <w:rPr>
          <w:rFonts w:eastAsiaTheme="minorEastAsia" w:cs="Times New Roman"/>
          <w:sz w:val="20"/>
          <w:szCs w:val="20"/>
        </w:rPr>
        <w:t xml:space="preserve"> authorizing it to serve </w:t>
      </w:r>
      <w:r w:rsidRPr="009D287C">
        <w:rPr>
          <w:rFonts w:eastAsiaTheme="minorEastAsia" w:cs="Times New Roman"/>
          <w:iCs/>
          <w:sz w:val="20"/>
          <w:szCs w:val="20"/>
          <w:lang w:eastAsia="fr-FR"/>
        </w:rPr>
        <w:t>the</w:t>
      </w:r>
      <w:r w:rsidRPr="009D287C">
        <w:rPr>
          <w:rFonts w:eastAsiaTheme="minorEastAsia" w:cs="Times New Roman"/>
          <w:sz w:val="20"/>
          <w:szCs w:val="20"/>
          <w:lang w:eastAsia="fr-FR"/>
        </w:rPr>
        <w:t xml:space="preserve"> documents relating to its application for leave to appeal by email via Facebook in the cases of Simon </w:t>
      </w:r>
      <w:proofErr w:type="spellStart"/>
      <w:r w:rsidRPr="009D287C">
        <w:rPr>
          <w:rFonts w:eastAsiaTheme="minorEastAsia" w:cs="Times New Roman"/>
          <w:sz w:val="20"/>
          <w:szCs w:val="20"/>
          <w:lang w:eastAsia="fr-FR"/>
        </w:rPr>
        <w:t>Légaré</w:t>
      </w:r>
      <w:proofErr w:type="spellEnd"/>
      <w:r w:rsidRPr="009D287C">
        <w:rPr>
          <w:rFonts w:eastAsiaTheme="minorEastAsia" w:cs="Times New Roman"/>
          <w:sz w:val="20"/>
          <w:szCs w:val="20"/>
          <w:lang w:eastAsia="fr-FR"/>
        </w:rPr>
        <w:t xml:space="preserve"> and Simon </w:t>
      </w:r>
      <w:proofErr w:type="spellStart"/>
      <w:r w:rsidRPr="009D287C">
        <w:rPr>
          <w:rFonts w:eastAsiaTheme="minorEastAsia" w:cs="Times New Roman"/>
          <w:sz w:val="20"/>
          <w:szCs w:val="20"/>
          <w:lang w:eastAsia="fr-FR"/>
        </w:rPr>
        <w:t>Côté-Béliveau</w:t>
      </w:r>
      <w:proofErr w:type="spellEnd"/>
      <w:r w:rsidRPr="009D287C">
        <w:rPr>
          <w:rFonts w:eastAsiaTheme="minorEastAsia" w:cs="Times New Roman"/>
          <w:sz w:val="20"/>
          <w:szCs w:val="20"/>
          <w:lang w:eastAsia="fr-FR"/>
        </w:rPr>
        <w:t>, and by publication in a daily newspaper distributed widely and free of charge in the municipality of the addressee’s last known address in the case of Johnny Davin;</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rPr>
      </w:pPr>
      <w:r w:rsidRPr="009D287C">
        <w:rPr>
          <w:rFonts w:eastAsiaTheme="minorEastAsia" w:cs="Times New Roman"/>
          <w:b/>
          <w:bCs/>
          <w:sz w:val="20"/>
          <w:szCs w:val="20"/>
        </w:rPr>
        <w:t xml:space="preserve">AND THE MATERIAL FILED </w:t>
      </w:r>
      <w:r w:rsidRPr="009D287C">
        <w:rPr>
          <w:rFonts w:eastAsiaTheme="minorEastAsia" w:cs="Times New Roman"/>
          <w:sz w:val="20"/>
          <w:szCs w:val="20"/>
        </w:rPr>
        <w:t xml:space="preserve">having been read; </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rPr>
      </w:pP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rPr>
      </w:pPr>
      <w:r w:rsidRPr="009D287C">
        <w:rPr>
          <w:rFonts w:eastAsiaTheme="minorEastAsia" w:cs="Times New Roman"/>
          <w:b/>
          <w:bCs/>
          <w:sz w:val="20"/>
          <w:szCs w:val="20"/>
        </w:rPr>
        <w:t xml:space="preserve">IT IS HEREBY ORDERED THAT: </w:t>
      </w:r>
    </w:p>
    <w:p w:rsidR="00110AE3" w:rsidRPr="009D287C" w:rsidRDefault="00110AE3" w:rsidP="00110AE3">
      <w:pPr>
        <w:widowControl w:val="0"/>
        <w:autoSpaceDE w:val="0"/>
        <w:autoSpaceDN w:val="0"/>
        <w:adjustRightInd w:val="0"/>
        <w:spacing w:line="233" w:lineRule="auto"/>
        <w:jc w:val="both"/>
        <w:rPr>
          <w:rFonts w:eastAsiaTheme="minorEastAsia" w:cs="Times New Roman"/>
          <w:sz w:val="20"/>
          <w:szCs w:val="20"/>
        </w:rPr>
      </w:pPr>
    </w:p>
    <w:p w:rsidR="00110AE3" w:rsidRPr="009D287C" w:rsidRDefault="00110AE3" w:rsidP="00110AE3">
      <w:pPr>
        <w:spacing w:line="233" w:lineRule="auto"/>
        <w:jc w:val="both"/>
        <w:rPr>
          <w:rFonts w:eastAsia="Times New Roman" w:cs="Times New Roman"/>
          <w:sz w:val="20"/>
          <w:szCs w:val="20"/>
          <w:lang w:val="en-US" w:eastAsia="en-CA"/>
        </w:rPr>
      </w:pPr>
      <w:r w:rsidRPr="009D287C">
        <w:rPr>
          <w:rFonts w:eastAsiaTheme="minorEastAsia" w:cs="Times New Roman"/>
          <w:sz w:val="20"/>
          <w:szCs w:val="20"/>
        </w:rPr>
        <w:t>The motion is granted.</w:t>
      </w:r>
    </w:p>
    <w:p w:rsidR="00110AE3" w:rsidRPr="009D287C" w:rsidRDefault="00346C6C" w:rsidP="00110AE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sz w:val="20"/>
          <w:szCs w:val="20"/>
          <w:lang w:val="fr-CA" w:eastAsia="en-CA"/>
        </w:rPr>
        <w:t>30.11.2016</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proofErr w:type="spellStart"/>
      <w:r w:rsidRPr="009D287C">
        <w:rPr>
          <w:rFonts w:eastAsia="Times New Roman" w:cs="Times New Roman"/>
          <w:sz w:val="20"/>
          <w:szCs w:val="20"/>
          <w:lang w:val="fr-CA" w:eastAsia="en-CA"/>
        </w:rPr>
        <w:t>Before</w:t>
      </w:r>
      <w:proofErr w:type="spellEnd"/>
      <w:r w:rsidRPr="009D287C">
        <w:rPr>
          <w:rFonts w:eastAsia="Times New Roman" w:cs="Times New Roman"/>
          <w:sz w:val="20"/>
          <w:szCs w:val="20"/>
          <w:lang w:val="fr-CA" w:eastAsia="en-CA"/>
        </w:rPr>
        <w:t xml:space="preserve"> / Devant:   CÔTÉ J. / LA JUGE CÔTÉ</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110AE3" w:rsidRPr="009D287C" w:rsidTr="003956FF">
        <w:tc>
          <w:tcPr>
            <w:tcW w:w="4275" w:type="dxa"/>
            <w:gridSpan w:val="2"/>
          </w:tcPr>
          <w:p w:rsidR="00110AE3" w:rsidRPr="009D287C" w:rsidRDefault="00110AE3" w:rsidP="00110AE3">
            <w:pPr>
              <w:jc w:val="both"/>
              <w:rPr>
                <w:b/>
              </w:rPr>
            </w:pPr>
            <w:r w:rsidRPr="009D287C">
              <w:rPr>
                <w:b/>
                <w:lang w:val="en-US"/>
              </w:rPr>
              <w:t>Order</w:t>
            </w:r>
            <w:r w:rsidRPr="009D287C">
              <w:rPr>
                <w:szCs w:val="24"/>
                <w:lang w:val="en-US"/>
              </w:rPr>
              <w:fldChar w:fldCharType="begin"/>
            </w:r>
            <w:r w:rsidRPr="009D287C">
              <w:rPr>
                <w:szCs w:val="24"/>
              </w:rPr>
              <w:instrText xml:space="preserve"> SEQ CHAPTER \h \r 1</w:instrText>
            </w:r>
            <w:r w:rsidRPr="009D287C">
              <w:rPr>
                <w:szCs w:val="24"/>
                <w:lang w:val="en-US"/>
              </w:rPr>
              <w:fldChar w:fldCharType="end"/>
            </w:r>
          </w:p>
        </w:tc>
        <w:tc>
          <w:tcPr>
            <w:tcW w:w="1134" w:type="dxa"/>
          </w:tcPr>
          <w:p w:rsidR="00110AE3" w:rsidRPr="009D287C" w:rsidRDefault="00110AE3" w:rsidP="00110AE3"/>
          <w:p w:rsidR="00110AE3" w:rsidRPr="009D287C" w:rsidRDefault="00110AE3" w:rsidP="00110AE3"/>
        </w:tc>
        <w:tc>
          <w:tcPr>
            <w:tcW w:w="4210" w:type="dxa"/>
          </w:tcPr>
          <w:p w:rsidR="00110AE3" w:rsidRPr="009D287C" w:rsidRDefault="00110AE3" w:rsidP="00110AE3">
            <w:pPr>
              <w:jc w:val="both"/>
              <w:rPr>
                <w:b/>
                <w:lang w:val="fr-CA"/>
              </w:rPr>
            </w:pPr>
            <w:r w:rsidRPr="009D287C">
              <w:rPr>
                <w:b/>
                <w:lang w:val="fr-CA"/>
              </w:rPr>
              <w:t>Ordonnance</w:t>
            </w:r>
            <w:r w:rsidRPr="009D287C">
              <w:rPr>
                <w:szCs w:val="24"/>
                <w:lang w:val="en-US"/>
              </w:rPr>
              <w:fldChar w:fldCharType="begin"/>
            </w:r>
            <w:r w:rsidRPr="009D287C">
              <w:rPr>
                <w:szCs w:val="24"/>
                <w:lang w:val="fr-CA"/>
              </w:rPr>
              <w:instrText xml:space="preserve"> SEQ CHAPTER \h \r 1</w:instrText>
            </w:r>
            <w:r w:rsidRPr="009D287C">
              <w:rPr>
                <w:szCs w:val="24"/>
                <w:lang w:val="en-US"/>
              </w:rPr>
              <w:fldChar w:fldCharType="end"/>
            </w:r>
          </w:p>
        </w:tc>
      </w:tr>
      <w:tr w:rsidR="00110AE3" w:rsidRPr="009D287C" w:rsidTr="003956FF">
        <w:trPr>
          <w:trHeight w:hRule="exact" w:val="360"/>
        </w:trPr>
        <w:tc>
          <w:tcPr>
            <w:tcW w:w="1436" w:type="dxa"/>
          </w:tcPr>
          <w:p w:rsidR="00110AE3" w:rsidRPr="009D287C" w:rsidRDefault="00ED5EB9" w:rsidP="00110AE3">
            <w:r w:rsidRPr="009D287C">
              <w:t>BY / PAR</w:t>
            </w:r>
          </w:p>
        </w:tc>
        <w:tc>
          <w:tcPr>
            <w:tcW w:w="2839" w:type="dxa"/>
          </w:tcPr>
          <w:p w:rsidR="00110AE3" w:rsidRPr="009D287C" w:rsidRDefault="00110AE3" w:rsidP="00110AE3">
            <w:r w:rsidRPr="009D287C">
              <w:t>Attorney General of Ontario;</w:t>
            </w:r>
          </w:p>
        </w:tc>
        <w:tc>
          <w:tcPr>
            <w:tcW w:w="1134" w:type="dxa"/>
          </w:tcPr>
          <w:p w:rsidR="00110AE3" w:rsidRPr="009D287C" w:rsidRDefault="00110AE3" w:rsidP="00110AE3"/>
        </w:tc>
        <w:tc>
          <w:tcPr>
            <w:tcW w:w="4210" w:type="dxa"/>
          </w:tcPr>
          <w:p w:rsidR="00110AE3" w:rsidRPr="009D287C" w:rsidRDefault="00110AE3" w:rsidP="00110AE3"/>
        </w:tc>
      </w:tr>
      <w:tr w:rsidR="00110AE3" w:rsidRPr="009D287C" w:rsidTr="003956FF">
        <w:trPr>
          <w:trHeight w:hRule="exact" w:val="387"/>
        </w:trPr>
        <w:tc>
          <w:tcPr>
            <w:tcW w:w="1436" w:type="dxa"/>
          </w:tcPr>
          <w:p w:rsidR="00110AE3" w:rsidRPr="009D287C" w:rsidRDefault="00110AE3" w:rsidP="00110AE3"/>
        </w:tc>
        <w:tc>
          <w:tcPr>
            <w:tcW w:w="2839" w:type="dxa"/>
          </w:tcPr>
          <w:p w:rsidR="00110AE3" w:rsidRPr="009D287C" w:rsidRDefault="00110AE3" w:rsidP="00110AE3">
            <w:r w:rsidRPr="009D287C">
              <w:t>Attorney General of Quebec;</w:t>
            </w:r>
          </w:p>
        </w:tc>
        <w:tc>
          <w:tcPr>
            <w:tcW w:w="1134" w:type="dxa"/>
          </w:tcPr>
          <w:p w:rsidR="00110AE3" w:rsidRPr="009D287C" w:rsidRDefault="00110AE3" w:rsidP="00110AE3"/>
        </w:tc>
        <w:tc>
          <w:tcPr>
            <w:tcW w:w="4210" w:type="dxa"/>
          </w:tcPr>
          <w:p w:rsidR="00110AE3" w:rsidRPr="009D287C" w:rsidRDefault="00110AE3" w:rsidP="00110AE3"/>
        </w:tc>
      </w:tr>
      <w:tr w:rsidR="00110AE3" w:rsidRPr="009D287C" w:rsidTr="003956FF">
        <w:trPr>
          <w:trHeight w:hRule="exact" w:val="360"/>
        </w:trPr>
        <w:tc>
          <w:tcPr>
            <w:tcW w:w="1436" w:type="dxa"/>
          </w:tcPr>
          <w:p w:rsidR="00110AE3" w:rsidRPr="009D287C" w:rsidRDefault="00110AE3" w:rsidP="00110AE3"/>
        </w:tc>
        <w:tc>
          <w:tcPr>
            <w:tcW w:w="2839" w:type="dxa"/>
          </w:tcPr>
          <w:p w:rsidR="00110AE3" w:rsidRPr="009D287C" w:rsidRDefault="00110AE3" w:rsidP="00110AE3">
            <w:r w:rsidRPr="009D287C">
              <w:t>Attorney General of Alberta;</w:t>
            </w:r>
          </w:p>
        </w:tc>
        <w:tc>
          <w:tcPr>
            <w:tcW w:w="1134" w:type="dxa"/>
          </w:tcPr>
          <w:p w:rsidR="00110AE3" w:rsidRPr="009D287C" w:rsidRDefault="00110AE3" w:rsidP="00110AE3"/>
        </w:tc>
        <w:tc>
          <w:tcPr>
            <w:tcW w:w="4210" w:type="dxa"/>
          </w:tcPr>
          <w:p w:rsidR="00110AE3" w:rsidRPr="009D287C" w:rsidRDefault="00110AE3" w:rsidP="00110AE3"/>
        </w:tc>
      </w:tr>
      <w:tr w:rsidR="00110AE3" w:rsidRPr="009D287C" w:rsidTr="00125CE0">
        <w:trPr>
          <w:trHeight w:val="513"/>
        </w:trPr>
        <w:tc>
          <w:tcPr>
            <w:tcW w:w="1436" w:type="dxa"/>
          </w:tcPr>
          <w:p w:rsidR="00110AE3" w:rsidRPr="009D287C" w:rsidRDefault="00110AE3" w:rsidP="00110AE3"/>
        </w:tc>
        <w:tc>
          <w:tcPr>
            <w:tcW w:w="2839" w:type="dxa"/>
          </w:tcPr>
          <w:p w:rsidR="00110AE3" w:rsidRPr="009D287C" w:rsidRDefault="00110AE3" w:rsidP="00125CE0">
            <w:r w:rsidRPr="009D287C">
              <w:t>Canadian Association of Chiefs of Police</w:t>
            </w:r>
            <w:r w:rsidR="00125CE0" w:rsidRPr="009D287C">
              <w:t>;</w:t>
            </w:r>
          </w:p>
        </w:tc>
        <w:tc>
          <w:tcPr>
            <w:tcW w:w="1134" w:type="dxa"/>
          </w:tcPr>
          <w:p w:rsidR="00110AE3" w:rsidRPr="009D287C" w:rsidRDefault="00110AE3" w:rsidP="00110AE3"/>
        </w:tc>
        <w:tc>
          <w:tcPr>
            <w:tcW w:w="4210" w:type="dxa"/>
          </w:tcPr>
          <w:p w:rsidR="00110AE3" w:rsidRPr="009D287C" w:rsidRDefault="00110AE3" w:rsidP="00110AE3"/>
        </w:tc>
      </w:tr>
      <w:tr w:rsidR="00125CE0" w:rsidRPr="009D287C" w:rsidTr="00125CE0">
        <w:trPr>
          <w:trHeight w:val="459"/>
        </w:trPr>
        <w:tc>
          <w:tcPr>
            <w:tcW w:w="1436" w:type="dxa"/>
          </w:tcPr>
          <w:p w:rsidR="00125CE0" w:rsidRPr="009D287C" w:rsidRDefault="00125CE0" w:rsidP="00110AE3"/>
        </w:tc>
        <w:tc>
          <w:tcPr>
            <w:tcW w:w="2839" w:type="dxa"/>
          </w:tcPr>
          <w:p w:rsidR="00125CE0" w:rsidRPr="009D287C" w:rsidRDefault="00125CE0" w:rsidP="00110AE3">
            <w:r w:rsidRPr="009D287C">
              <w:t>Criminal Lawyers’ Association (Ontario)</w:t>
            </w:r>
          </w:p>
        </w:tc>
        <w:tc>
          <w:tcPr>
            <w:tcW w:w="1134" w:type="dxa"/>
          </w:tcPr>
          <w:p w:rsidR="00125CE0" w:rsidRPr="009D287C" w:rsidRDefault="00125CE0" w:rsidP="00110AE3"/>
        </w:tc>
        <w:tc>
          <w:tcPr>
            <w:tcW w:w="4210" w:type="dxa"/>
          </w:tcPr>
          <w:p w:rsidR="00125CE0" w:rsidRPr="009D287C" w:rsidRDefault="00125CE0" w:rsidP="00110AE3"/>
        </w:tc>
      </w:tr>
      <w:tr w:rsidR="00110AE3" w:rsidRPr="009D287C" w:rsidTr="003956FF">
        <w:tc>
          <w:tcPr>
            <w:tcW w:w="1436" w:type="dxa"/>
          </w:tcPr>
          <w:p w:rsidR="00110AE3" w:rsidRPr="009D287C" w:rsidRDefault="00110AE3" w:rsidP="00110AE3"/>
        </w:tc>
        <w:tc>
          <w:tcPr>
            <w:tcW w:w="2839" w:type="dxa"/>
          </w:tcPr>
          <w:p w:rsidR="00110AE3" w:rsidRPr="009D287C" w:rsidRDefault="00110AE3" w:rsidP="00110AE3"/>
        </w:tc>
        <w:tc>
          <w:tcPr>
            <w:tcW w:w="1134" w:type="dxa"/>
          </w:tcPr>
          <w:p w:rsidR="00110AE3" w:rsidRPr="009D287C" w:rsidRDefault="00110AE3" w:rsidP="00110AE3"/>
        </w:tc>
        <w:tc>
          <w:tcPr>
            <w:tcW w:w="4210" w:type="dxa"/>
          </w:tcPr>
          <w:p w:rsidR="00110AE3" w:rsidRPr="009D287C" w:rsidRDefault="00110AE3" w:rsidP="00110AE3"/>
        </w:tc>
      </w:tr>
    </w:tbl>
    <w:p w:rsidR="003C0714" w:rsidRPr="009D287C" w:rsidRDefault="003C0714">
      <w:r w:rsidRPr="009D287C">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110AE3" w:rsidRPr="009D287C" w:rsidTr="003956FF">
        <w:tc>
          <w:tcPr>
            <w:tcW w:w="1436" w:type="dxa"/>
          </w:tcPr>
          <w:p w:rsidR="00110AE3" w:rsidRPr="009D287C" w:rsidRDefault="00110AE3" w:rsidP="00110AE3">
            <w:r w:rsidRPr="009D287C">
              <w:lastRenderedPageBreak/>
              <w:t>IN / DANS :</w:t>
            </w:r>
          </w:p>
        </w:tc>
        <w:tc>
          <w:tcPr>
            <w:tcW w:w="2839" w:type="dxa"/>
          </w:tcPr>
          <w:p w:rsidR="00110AE3" w:rsidRPr="009D287C" w:rsidRDefault="00110AE3" w:rsidP="00110AE3">
            <w:r w:rsidRPr="009D287C">
              <w:t>Frederick Allen Clark</w:t>
            </w:r>
          </w:p>
          <w:p w:rsidR="00110AE3" w:rsidRPr="009D287C" w:rsidRDefault="00110AE3" w:rsidP="00110AE3"/>
          <w:p w:rsidR="00110AE3" w:rsidRPr="009D287C" w:rsidRDefault="00110AE3" w:rsidP="00110AE3">
            <w:r w:rsidRPr="009D287C">
              <w:tab/>
              <w:t>v. (36813)</w:t>
            </w:r>
          </w:p>
          <w:p w:rsidR="00110AE3" w:rsidRPr="009D287C" w:rsidRDefault="00110AE3" w:rsidP="00110AE3"/>
          <w:p w:rsidR="00110AE3" w:rsidRPr="009D287C" w:rsidRDefault="00110AE3" w:rsidP="00110AE3">
            <w:r w:rsidRPr="009D287C">
              <w:t>Her Majesty the Queen (B.C.)</w:t>
            </w:r>
          </w:p>
        </w:tc>
        <w:tc>
          <w:tcPr>
            <w:tcW w:w="1134" w:type="dxa"/>
          </w:tcPr>
          <w:p w:rsidR="00110AE3" w:rsidRPr="009D287C" w:rsidRDefault="00110AE3" w:rsidP="00110AE3"/>
        </w:tc>
        <w:tc>
          <w:tcPr>
            <w:tcW w:w="4210" w:type="dxa"/>
          </w:tcPr>
          <w:p w:rsidR="00110AE3" w:rsidRPr="009D287C" w:rsidRDefault="00110AE3" w:rsidP="00110AE3"/>
        </w:tc>
      </w:tr>
    </w:tbl>
    <w:p w:rsidR="00110AE3" w:rsidRPr="009D287C" w:rsidRDefault="00110AE3" w:rsidP="00110AE3">
      <w:pPr>
        <w:jc w:val="both"/>
        <w:rPr>
          <w:rFonts w:eastAsia="Times New Roman" w:cs="Times New Roman"/>
          <w:sz w:val="20"/>
          <w:szCs w:val="20"/>
          <w:lang w:eastAsia="en-CA"/>
        </w:rPr>
      </w:pP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en-US"/>
        </w:rPr>
      </w:pPr>
      <w:r w:rsidRPr="009D287C">
        <w:rPr>
          <w:rFonts w:eastAsiaTheme="minorEastAsia" w:cs="Times New Roman"/>
          <w:b/>
          <w:bCs/>
          <w:sz w:val="20"/>
          <w:szCs w:val="20"/>
          <w:lang w:val="en-US"/>
        </w:rPr>
        <w:t xml:space="preserve">FURTHER TO THE ORDERS </w:t>
      </w:r>
      <w:r w:rsidRPr="009D287C">
        <w:rPr>
          <w:rFonts w:eastAsiaTheme="minorEastAsia" w:cs="Times New Roman"/>
          <w:sz w:val="20"/>
          <w:szCs w:val="20"/>
          <w:lang w:val="en-US"/>
        </w:rPr>
        <w:t>dated September 20, 2016 and September 28, 2016, granting leave to intervene to the Attorney General of Ontario, the Attorney General of Quebec, the Attorney General of Alberta, the Canadian Association of Chiefs of Police and the Criminal Lawyers’ Association (Ontario);</w:t>
      </w:r>
    </w:p>
    <w:p w:rsidR="00110AE3" w:rsidRPr="009D287C" w:rsidRDefault="00110AE3" w:rsidP="00110AE3">
      <w:pPr>
        <w:widowControl w:val="0"/>
        <w:autoSpaceDE w:val="0"/>
        <w:autoSpaceDN w:val="0"/>
        <w:adjustRightInd w:val="0"/>
        <w:spacing w:line="233" w:lineRule="auto"/>
        <w:rPr>
          <w:rFonts w:eastAsiaTheme="minorEastAsia" w:cs="Times New Roman"/>
          <w:sz w:val="20"/>
          <w:szCs w:val="20"/>
          <w:lang w:val="en-US"/>
        </w:rPr>
      </w:pPr>
    </w:p>
    <w:p w:rsidR="00110AE3" w:rsidRPr="009D287C" w:rsidRDefault="00110AE3" w:rsidP="00110AE3">
      <w:pPr>
        <w:widowControl w:val="0"/>
        <w:autoSpaceDE w:val="0"/>
        <w:autoSpaceDN w:val="0"/>
        <w:adjustRightInd w:val="0"/>
        <w:spacing w:line="233" w:lineRule="auto"/>
        <w:rPr>
          <w:rFonts w:eastAsiaTheme="minorEastAsia" w:cs="Times New Roman"/>
          <w:b/>
          <w:bCs/>
          <w:sz w:val="20"/>
          <w:szCs w:val="20"/>
          <w:lang w:val="en-US"/>
        </w:rPr>
      </w:pPr>
      <w:r w:rsidRPr="009D287C">
        <w:rPr>
          <w:rFonts w:eastAsiaTheme="minorEastAsia" w:cs="Times New Roman"/>
          <w:b/>
          <w:bCs/>
          <w:sz w:val="20"/>
          <w:szCs w:val="20"/>
          <w:lang w:val="en-US"/>
        </w:rPr>
        <w:t>IT IS HEREBY FURTHER ORDERED THAT:</w:t>
      </w:r>
    </w:p>
    <w:p w:rsidR="00110AE3" w:rsidRPr="009D287C" w:rsidRDefault="00110AE3" w:rsidP="00110AE3">
      <w:pPr>
        <w:widowControl w:val="0"/>
        <w:autoSpaceDE w:val="0"/>
        <w:autoSpaceDN w:val="0"/>
        <w:adjustRightInd w:val="0"/>
        <w:spacing w:line="233" w:lineRule="auto"/>
        <w:rPr>
          <w:rFonts w:eastAsiaTheme="minorEastAsia" w:cs="Times New Roman"/>
          <w:b/>
          <w:bCs/>
          <w:sz w:val="20"/>
          <w:szCs w:val="20"/>
          <w:lang w:val="en-US"/>
        </w:rPr>
      </w:pPr>
    </w:p>
    <w:p w:rsidR="00110AE3" w:rsidRPr="009D287C" w:rsidRDefault="00110AE3" w:rsidP="00110AE3">
      <w:pPr>
        <w:widowControl w:val="0"/>
        <w:numPr>
          <w:ilvl w:val="0"/>
          <w:numId w:val="7"/>
        </w:numPr>
        <w:autoSpaceDE w:val="0"/>
        <w:autoSpaceDN w:val="0"/>
        <w:adjustRightInd w:val="0"/>
        <w:spacing w:line="233" w:lineRule="auto"/>
        <w:contextualSpacing/>
        <w:rPr>
          <w:rFonts w:eastAsiaTheme="minorEastAsia" w:cs="Times New Roman"/>
          <w:bCs/>
          <w:sz w:val="20"/>
          <w:szCs w:val="20"/>
          <w:lang w:val="en-US"/>
        </w:rPr>
      </w:pPr>
      <w:r w:rsidRPr="009D287C">
        <w:rPr>
          <w:rFonts w:eastAsiaTheme="minorEastAsia" w:cs="Times New Roman"/>
          <w:sz w:val="20"/>
          <w:szCs w:val="20"/>
          <w:lang w:val="en-US"/>
        </w:rPr>
        <w:t>The Attorney General of Ontario</w:t>
      </w:r>
      <w:r w:rsidRPr="009D287C">
        <w:rPr>
          <w:rFonts w:eastAsiaTheme="minorEastAsia" w:cs="Times New Roman"/>
          <w:bCs/>
          <w:sz w:val="20"/>
          <w:szCs w:val="20"/>
          <w:lang w:val="en-US"/>
        </w:rPr>
        <w:t xml:space="preserve">, the Attorney General of Quebec, </w:t>
      </w:r>
      <w:r w:rsidRPr="009D287C">
        <w:rPr>
          <w:rFonts w:eastAsiaTheme="minorEastAsia" w:cs="Times New Roman"/>
          <w:sz w:val="20"/>
          <w:szCs w:val="20"/>
          <w:lang w:val="en-US"/>
        </w:rPr>
        <w:t xml:space="preserve">the Attorney General of Alberta and the Canadian Association of Chiefs of Police </w:t>
      </w:r>
      <w:r w:rsidRPr="009D287C">
        <w:rPr>
          <w:rFonts w:eastAsiaTheme="minorEastAsia" w:cs="Times New Roman"/>
          <w:bCs/>
          <w:sz w:val="20"/>
          <w:szCs w:val="20"/>
          <w:lang w:val="en-US"/>
        </w:rPr>
        <w:t>are each granted permission to present oral argument not exceeding five (5) minutes at the hearing of the appeal; and</w:t>
      </w:r>
    </w:p>
    <w:p w:rsidR="00110AE3" w:rsidRPr="009D287C" w:rsidRDefault="00110AE3" w:rsidP="00110AE3">
      <w:pPr>
        <w:widowControl w:val="0"/>
        <w:autoSpaceDE w:val="0"/>
        <w:autoSpaceDN w:val="0"/>
        <w:adjustRightInd w:val="0"/>
        <w:spacing w:line="233" w:lineRule="auto"/>
        <w:ind w:left="720"/>
        <w:contextualSpacing/>
        <w:rPr>
          <w:rFonts w:eastAsiaTheme="minorEastAsia" w:cs="Times New Roman"/>
          <w:bCs/>
          <w:sz w:val="20"/>
          <w:szCs w:val="20"/>
          <w:lang w:val="en-US"/>
        </w:rPr>
      </w:pPr>
    </w:p>
    <w:p w:rsidR="00110AE3" w:rsidRPr="009D287C" w:rsidRDefault="00110AE3" w:rsidP="00110AE3">
      <w:pPr>
        <w:widowControl w:val="0"/>
        <w:numPr>
          <w:ilvl w:val="0"/>
          <w:numId w:val="7"/>
        </w:numPr>
        <w:autoSpaceDE w:val="0"/>
        <w:autoSpaceDN w:val="0"/>
        <w:adjustRightInd w:val="0"/>
        <w:spacing w:line="233" w:lineRule="auto"/>
        <w:contextualSpacing/>
        <w:rPr>
          <w:rFonts w:eastAsiaTheme="minorEastAsia" w:cs="Times New Roman"/>
          <w:bCs/>
          <w:sz w:val="20"/>
          <w:szCs w:val="20"/>
          <w:lang w:val="en-US"/>
        </w:rPr>
      </w:pPr>
      <w:r w:rsidRPr="009D287C">
        <w:rPr>
          <w:rFonts w:eastAsiaTheme="minorEastAsia" w:cs="Times New Roman"/>
          <w:bCs/>
          <w:sz w:val="20"/>
          <w:szCs w:val="20"/>
          <w:lang w:val="en-US"/>
        </w:rPr>
        <w:t xml:space="preserve">The Criminal Lawyers’ Association (Ontario) </w:t>
      </w:r>
      <w:r w:rsidRPr="009D287C">
        <w:rPr>
          <w:rFonts w:eastAsiaTheme="minorEastAsia" w:cs="Times New Roman"/>
          <w:sz w:val="20"/>
          <w:szCs w:val="20"/>
          <w:lang w:val="en-US"/>
        </w:rPr>
        <w:t>is</w:t>
      </w:r>
      <w:r w:rsidRPr="009D287C">
        <w:rPr>
          <w:rFonts w:eastAsiaTheme="minorEastAsia" w:cs="Times New Roman"/>
          <w:bCs/>
          <w:sz w:val="20"/>
          <w:szCs w:val="20"/>
          <w:lang w:val="en-US"/>
        </w:rPr>
        <w:t xml:space="preserve"> granted permission to present oral argument not exceeding ten (10) minutes at the hearing of the appeal.</w:t>
      </w:r>
    </w:p>
    <w:p w:rsidR="00110AE3" w:rsidRPr="009D287C" w:rsidRDefault="00110AE3" w:rsidP="00110AE3">
      <w:pPr>
        <w:widowControl w:val="0"/>
        <w:autoSpaceDE w:val="0"/>
        <w:autoSpaceDN w:val="0"/>
        <w:adjustRightInd w:val="0"/>
        <w:spacing w:line="233" w:lineRule="auto"/>
        <w:contextualSpacing/>
        <w:rPr>
          <w:rFonts w:eastAsiaTheme="minorEastAsia" w:cs="Times New Roman"/>
          <w:bCs/>
          <w:sz w:val="20"/>
          <w:szCs w:val="20"/>
          <w:lang w:val="en-US"/>
        </w:rPr>
      </w:pPr>
    </w:p>
    <w:p w:rsidR="00110AE3" w:rsidRPr="009D287C" w:rsidRDefault="00110AE3" w:rsidP="00110AE3">
      <w:pPr>
        <w:widowControl w:val="0"/>
        <w:autoSpaceDE w:val="0"/>
        <w:autoSpaceDN w:val="0"/>
        <w:adjustRightInd w:val="0"/>
        <w:spacing w:line="233" w:lineRule="auto"/>
        <w:contextualSpacing/>
        <w:rPr>
          <w:rFonts w:eastAsiaTheme="minorEastAsia" w:cs="Times New Roman"/>
          <w:bCs/>
          <w:sz w:val="20"/>
          <w:szCs w:val="20"/>
          <w:lang w:val="en-US"/>
        </w:rPr>
      </w:pPr>
    </w:p>
    <w:p w:rsidR="00110AE3" w:rsidRPr="009D287C" w:rsidRDefault="00110AE3" w:rsidP="00110AE3">
      <w:pPr>
        <w:widowControl w:val="0"/>
        <w:autoSpaceDE w:val="0"/>
        <w:autoSpaceDN w:val="0"/>
        <w:adjustRightInd w:val="0"/>
        <w:contextualSpacing/>
        <w:rPr>
          <w:rFonts w:eastAsiaTheme="minorEastAsia" w:cs="Times New Roman"/>
          <w:bCs/>
          <w:sz w:val="20"/>
          <w:szCs w:val="20"/>
          <w:lang w:val="en-US"/>
        </w:rPr>
      </w:pPr>
    </w:p>
    <w:p w:rsidR="00110AE3" w:rsidRPr="009D287C" w:rsidRDefault="00110AE3" w:rsidP="00110AE3">
      <w:pPr>
        <w:widowControl w:val="0"/>
        <w:autoSpaceDE w:val="0"/>
        <w:autoSpaceDN w:val="0"/>
        <w:adjustRightInd w:val="0"/>
        <w:rPr>
          <w:rFonts w:eastAsiaTheme="minorEastAsia" w:cs="Times New Roman"/>
          <w:bCs/>
          <w:sz w:val="20"/>
          <w:szCs w:val="20"/>
          <w:lang w:val="fr-CA"/>
        </w:rPr>
      </w:pPr>
      <w:r w:rsidRPr="009D287C">
        <w:rPr>
          <w:rFonts w:eastAsiaTheme="minorEastAsia" w:cs="Times New Roman"/>
          <w:b/>
          <w:sz w:val="20"/>
          <w:szCs w:val="20"/>
          <w:lang w:val="fr-FR"/>
        </w:rPr>
        <w:t xml:space="preserve">À LA SUITE DES ORDONNANCES </w:t>
      </w:r>
      <w:r w:rsidRPr="009D287C">
        <w:rPr>
          <w:rFonts w:eastAsiaTheme="minorEastAsia" w:cs="Times New Roman"/>
          <w:sz w:val="20"/>
          <w:szCs w:val="20"/>
          <w:lang w:val="fr-CA"/>
        </w:rPr>
        <w:t xml:space="preserve">datées du 20 septembre 2016 et du 28 septembre 2016, autorisant le Procureur général de l’Ontario, la Procureure générale du Québec, le Procureur général de l’Alberta, l’Association canadienne des chefs de police et la </w:t>
      </w:r>
      <w:proofErr w:type="spellStart"/>
      <w:r w:rsidRPr="009D287C">
        <w:rPr>
          <w:rFonts w:eastAsiaTheme="minorEastAsia" w:cs="Times New Roman"/>
          <w:sz w:val="20"/>
          <w:szCs w:val="20"/>
          <w:lang w:val="fr-CA"/>
        </w:rPr>
        <w:t>Criminal</w:t>
      </w:r>
      <w:proofErr w:type="spellEnd"/>
      <w:r w:rsidRPr="009D287C">
        <w:rPr>
          <w:rFonts w:eastAsiaTheme="minorEastAsia" w:cs="Times New Roman"/>
          <w:sz w:val="20"/>
          <w:szCs w:val="20"/>
          <w:lang w:val="fr-CA"/>
        </w:rPr>
        <w:t xml:space="preserve"> </w:t>
      </w:r>
      <w:proofErr w:type="spellStart"/>
      <w:r w:rsidRPr="009D287C">
        <w:rPr>
          <w:rFonts w:eastAsiaTheme="minorEastAsia" w:cs="Times New Roman"/>
          <w:sz w:val="20"/>
          <w:szCs w:val="20"/>
          <w:lang w:val="fr-CA"/>
        </w:rPr>
        <w:t>Lawyers</w:t>
      </w:r>
      <w:proofErr w:type="spellEnd"/>
      <w:r w:rsidRPr="009D287C">
        <w:rPr>
          <w:rFonts w:eastAsiaTheme="minorEastAsia" w:cs="Times New Roman"/>
          <w:sz w:val="20"/>
          <w:szCs w:val="20"/>
          <w:lang w:val="fr-CA"/>
        </w:rPr>
        <w:t>’ Association (Ontario) à intervenir;</w:t>
      </w:r>
    </w:p>
    <w:p w:rsidR="00110AE3" w:rsidRPr="009D287C" w:rsidRDefault="00110AE3" w:rsidP="00110AE3">
      <w:pPr>
        <w:widowControl w:val="0"/>
        <w:autoSpaceDE w:val="0"/>
        <w:autoSpaceDN w:val="0"/>
        <w:adjustRightInd w:val="0"/>
        <w:spacing w:line="232" w:lineRule="auto"/>
        <w:rPr>
          <w:rFonts w:eastAsiaTheme="minorEastAsia" w:cs="Times New Roman"/>
          <w:b/>
          <w:sz w:val="20"/>
          <w:szCs w:val="20"/>
          <w:lang w:val="fr-CA"/>
        </w:rPr>
      </w:pPr>
    </w:p>
    <w:p w:rsidR="00110AE3" w:rsidRPr="009D287C" w:rsidRDefault="00110AE3" w:rsidP="00110AE3">
      <w:pPr>
        <w:widowControl w:val="0"/>
        <w:autoSpaceDE w:val="0"/>
        <w:autoSpaceDN w:val="0"/>
        <w:adjustRightInd w:val="0"/>
        <w:spacing w:line="228" w:lineRule="auto"/>
        <w:rPr>
          <w:rFonts w:eastAsiaTheme="minorEastAsia" w:cs="Times New Roman"/>
          <w:b/>
          <w:sz w:val="20"/>
          <w:szCs w:val="20"/>
          <w:lang w:val="fr-FR"/>
        </w:rPr>
      </w:pPr>
      <w:r w:rsidRPr="009D287C">
        <w:rPr>
          <w:rFonts w:eastAsiaTheme="minorEastAsia" w:cs="Times New Roman"/>
          <w:b/>
          <w:sz w:val="20"/>
          <w:szCs w:val="20"/>
          <w:lang w:val="fr-FR"/>
        </w:rPr>
        <w:t xml:space="preserve">IL EST EN OUTRE ORDONNÉ QUE : </w:t>
      </w:r>
    </w:p>
    <w:p w:rsidR="00110AE3" w:rsidRPr="009D287C" w:rsidRDefault="00110AE3" w:rsidP="00110AE3">
      <w:pPr>
        <w:widowControl w:val="0"/>
        <w:autoSpaceDE w:val="0"/>
        <w:autoSpaceDN w:val="0"/>
        <w:adjustRightInd w:val="0"/>
        <w:spacing w:line="228" w:lineRule="auto"/>
        <w:rPr>
          <w:rFonts w:eastAsiaTheme="minorEastAsia" w:cs="Times New Roman"/>
          <w:b/>
          <w:sz w:val="20"/>
          <w:szCs w:val="20"/>
          <w:lang w:val="fr-FR"/>
        </w:rPr>
      </w:pPr>
    </w:p>
    <w:p w:rsidR="00110AE3" w:rsidRPr="009D287C" w:rsidRDefault="00110AE3" w:rsidP="00110AE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fr-CA"/>
        </w:rPr>
      </w:pPr>
      <w:r w:rsidRPr="009D287C">
        <w:rPr>
          <w:rFonts w:eastAsiaTheme="minorEastAsia" w:cs="Times New Roman"/>
          <w:sz w:val="20"/>
          <w:szCs w:val="20"/>
          <w:lang w:val="fr-FR"/>
        </w:rPr>
        <w:t>Le Procureur général de l’Ontario,</w:t>
      </w:r>
      <w:r w:rsidRPr="009D287C">
        <w:rPr>
          <w:rFonts w:eastAsiaTheme="minorEastAsia" w:cs="Times New Roman"/>
          <w:b/>
          <w:sz w:val="20"/>
          <w:szCs w:val="20"/>
          <w:lang w:val="fr-FR"/>
        </w:rPr>
        <w:t> </w:t>
      </w:r>
      <w:r w:rsidRPr="009D287C">
        <w:rPr>
          <w:rFonts w:eastAsiaTheme="minorEastAsia" w:cs="Times New Roman"/>
          <w:bCs/>
          <w:sz w:val="20"/>
          <w:szCs w:val="20"/>
          <w:lang w:val="fr-CA"/>
        </w:rPr>
        <w:t>la Procureure générale du Québec,</w:t>
      </w:r>
      <w:r w:rsidRPr="009D287C">
        <w:rPr>
          <w:rFonts w:eastAsiaTheme="minorEastAsia" w:cs="Times New Roman"/>
          <w:sz w:val="20"/>
          <w:szCs w:val="20"/>
          <w:lang w:val="fr-FR"/>
        </w:rPr>
        <w:t xml:space="preserve"> le Procureur général de l’Alberta et l’Association canadienne des chefs de police </w:t>
      </w:r>
      <w:r w:rsidRPr="009D287C">
        <w:rPr>
          <w:rFonts w:eastAsiaTheme="minorEastAsia" w:cs="Times New Roman"/>
          <w:sz w:val="20"/>
          <w:szCs w:val="20"/>
          <w:lang w:val="fr-CA"/>
        </w:rPr>
        <w:t>auront chacun le droit de présenter une plaidoirie orale d’au plus cinq (5) minutes lors de l’audition de l’appel;</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697"/>
        <w:contextualSpacing/>
        <w:jc w:val="both"/>
        <w:rPr>
          <w:rFonts w:eastAsiaTheme="minorEastAsia" w:cs="Times New Roman"/>
          <w:sz w:val="20"/>
          <w:szCs w:val="20"/>
          <w:lang w:val="fr-CA"/>
        </w:rPr>
      </w:pPr>
    </w:p>
    <w:p w:rsidR="00110AE3" w:rsidRPr="009D287C" w:rsidRDefault="00110AE3" w:rsidP="00110AE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fr-CA"/>
        </w:rPr>
      </w:pPr>
      <w:r w:rsidRPr="009D287C">
        <w:rPr>
          <w:rFonts w:eastAsiaTheme="minorEastAsia" w:cs="Times New Roman"/>
          <w:sz w:val="20"/>
          <w:szCs w:val="20"/>
          <w:lang w:val="fr-CA" w:eastAsia="fr-FR"/>
        </w:rPr>
        <w:t xml:space="preserve">La </w:t>
      </w:r>
      <w:proofErr w:type="spellStart"/>
      <w:r w:rsidRPr="009D287C">
        <w:rPr>
          <w:rFonts w:eastAsiaTheme="minorEastAsia" w:cs="Times New Roman"/>
          <w:sz w:val="20"/>
          <w:szCs w:val="20"/>
          <w:lang w:val="fr-CA" w:eastAsia="fr-FR"/>
        </w:rPr>
        <w:t>Criminal</w:t>
      </w:r>
      <w:proofErr w:type="spellEnd"/>
      <w:r w:rsidRPr="009D287C">
        <w:rPr>
          <w:rFonts w:eastAsiaTheme="minorEastAsia" w:cs="Times New Roman"/>
          <w:sz w:val="20"/>
          <w:szCs w:val="20"/>
          <w:lang w:val="fr-CA" w:eastAsia="fr-FR"/>
        </w:rPr>
        <w:t xml:space="preserve"> </w:t>
      </w:r>
      <w:proofErr w:type="spellStart"/>
      <w:r w:rsidRPr="009D287C">
        <w:rPr>
          <w:rFonts w:eastAsiaTheme="minorEastAsia" w:cs="Times New Roman"/>
          <w:sz w:val="20"/>
          <w:szCs w:val="20"/>
          <w:lang w:val="fr-CA" w:eastAsia="fr-FR"/>
        </w:rPr>
        <w:t>Lawyers</w:t>
      </w:r>
      <w:proofErr w:type="spellEnd"/>
      <w:r w:rsidRPr="009D287C">
        <w:rPr>
          <w:rFonts w:eastAsiaTheme="minorEastAsia" w:cs="Times New Roman"/>
          <w:sz w:val="20"/>
          <w:szCs w:val="20"/>
          <w:lang w:val="fr-CA" w:eastAsia="fr-FR"/>
        </w:rPr>
        <w:t>’ Association (Ontario)</w:t>
      </w:r>
      <w:r w:rsidRPr="009D287C">
        <w:rPr>
          <w:rFonts w:eastAsiaTheme="minorEastAsia" w:cs="Times New Roman"/>
          <w:bCs/>
          <w:sz w:val="20"/>
          <w:szCs w:val="20"/>
          <w:lang w:val="fr-CA"/>
        </w:rPr>
        <w:t xml:space="preserve"> aura le droit de présenter une plaidoirie orale d’au plus dix (10) minutes lors de l’audition de l’appel.</w:t>
      </w:r>
    </w:p>
    <w:p w:rsidR="00110AE3" w:rsidRPr="009D287C" w:rsidRDefault="00110AE3" w:rsidP="00110AE3">
      <w:pPr>
        <w:rPr>
          <w:rFonts w:eastAsia="Times New Roman" w:cs="Times New Roman"/>
          <w:sz w:val="20"/>
          <w:szCs w:val="20"/>
          <w:lang w:val="fr-CA" w:eastAsia="en-CA"/>
        </w:rPr>
      </w:pPr>
    </w:p>
    <w:p w:rsidR="00110AE3" w:rsidRPr="009D287C" w:rsidRDefault="00346C6C" w:rsidP="00110AE3">
      <w:pPr>
        <w:rPr>
          <w:rFonts w:eastAsia="Times New Roman" w:cs="Times New Roman"/>
          <w:sz w:val="20"/>
          <w:szCs w:val="20"/>
          <w:lang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110AE3" w:rsidRPr="009D287C" w:rsidRDefault="00110AE3" w:rsidP="00110AE3">
      <w:pPr>
        <w:rPr>
          <w:rFonts w:eastAsia="Times New Roman" w:cs="Times New Roman"/>
          <w:sz w:val="20"/>
          <w:szCs w:val="20"/>
          <w:lang w:val="fr-CA" w:eastAsia="en-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imes New Roman" w:cs="Times New Roman"/>
          <w:sz w:val="20"/>
          <w:szCs w:val="20"/>
          <w:lang w:val="fr-CA" w:eastAsia="en-CA"/>
        </w:rPr>
        <w:t>01.12.2016</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110AE3" w:rsidRPr="009D287C" w:rsidRDefault="00110AE3" w:rsidP="00110AE3">
      <w:pPr>
        <w:jc w:val="both"/>
        <w:rPr>
          <w:rFonts w:eastAsia="Times New Roman" w:cs="Times New Roman"/>
          <w:sz w:val="20"/>
          <w:szCs w:val="20"/>
          <w:lang w:val="fr-CA" w:eastAsia="en-CA"/>
        </w:rPr>
      </w:pPr>
      <w:proofErr w:type="spellStart"/>
      <w:r w:rsidRPr="009D287C">
        <w:rPr>
          <w:rFonts w:eastAsia="Times New Roman" w:cs="Times New Roman"/>
          <w:sz w:val="20"/>
          <w:szCs w:val="20"/>
          <w:lang w:val="fr-CA" w:eastAsia="en-CA"/>
        </w:rPr>
        <w:t>Before</w:t>
      </w:r>
      <w:proofErr w:type="spellEnd"/>
      <w:r w:rsidRPr="009D287C">
        <w:rPr>
          <w:rFonts w:eastAsia="Times New Roman" w:cs="Times New Roman"/>
          <w:sz w:val="20"/>
          <w:szCs w:val="20"/>
          <w:lang w:val="fr-CA" w:eastAsia="en-CA"/>
        </w:rPr>
        <w:t xml:space="preserve"> / Devant:   CÔTÉ J. / LA JUGE CÔTÉ</w:t>
      </w:r>
    </w:p>
    <w:p w:rsidR="00110AE3" w:rsidRPr="009D287C" w:rsidRDefault="00110AE3" w:rsidP="00110AE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110AE3" w:rsidRPr="009D287C" w:rsidTr="003956FF">
        <w:tc>
          <w:tcPr>
            <w:tcW w:w="4275" w:type="dxa"/>
            <w:gridSpan w:val="2"/>
          </w:tcPr>
          <w:p w:rsidR="00110AE3" w:rsidRPr="009D287C" w:rsidRDefault="00110AE3" w:rsidP="00110AE3">
            <w:pPr>
              <w:jc w:val="both"/>
              <w:rPr>
                <w:b/>
              </w:rPr>
            </w:pPr>
            <w:r w:rsidRPr="009D287C">
              <w:rPr>
                <w:b/>
                <w:lang w:val="en-US"/>
              </w:rPr>
              <w:t>Motion for leave to intervene</w:t>
            </w:r>
            <w:r w:rsidRPr="009D287C">
              <w:rPr>
                <w:szCs w:val="24"/>
                <w:lang w:val="en-US"/>
              </w:rPr>
              <w:fldChar w:fldCharType="begin"/>
            </w:r>
            <w:r w:rsidRPr="009D287C">
              <w:rPr>
                <w:szCs w:val="24"/>
              </w:rPr>
              <w:instrText xml:space="preserve"> SEQ CHAPTER \h \r 1</w:instrText>
            </w:r>
            <w:r w:rsidRPr="009D287C">
              <w:rPr>
                <w:szCs w:val="24"/>
                <w:lang w:val="en-US"/>
              </w:rPr>
              <w:fldChar w:fldCharType="end"/>
            </w:r>
          </w:p>
        </w:tc>
        <w:tc>
          <w:tcPr>
            <w:tcW w:w="1134" w:type="dxa"/>
          </w:tcPr>
          <w:p w:rsidR="00110AE3" w:rsidRPr="009D287C" w:rsidRDefault="00110AE3" w:rsidP="00110AE3"/>
          <w:p w:rsidR="00110AE3" w:rsidRPr="009D287C" w:rsidRDefault="00110AE3" w:rsidP="00110AE3"/>
        </w:tc>
        <w:tc>
          <w:tcPr>
            <w:tcW w:w="4210" w:type="dxa"/>
          </w:tcPr>
          <w:p w:rsidR="00110AE3" w:rsidRPr="009D287C" w:rsidRDefault="00110AE3" w:rsidP="00110AE3">
            <w:pPr>
              <w:jc w:val="both"/>
              <w:rPr>
                <w:b/>
                <w:bCs/>
              </w:rPr>
            </w:pPr>
            <w:r w:rsidRPr="009D287C">
              <w:rPr>
                <w:b/>
                <w:bCs/>
                <w:lang w:val="fr-CA"/>
              </w:rPr>
              <w:t>Requête en autorisation d’intervenir</w:t>
            </w:r>
          </w:p>
        </w:tc>
      </w:tr>
      <w:tr w:rsidR="00110AE3" w:rsidRPr="009D287C" w:rsidTr="003956FF">
        <w:trPr>
          <w:trHeight w:hRule="exact" w:val="495"/>
        </w:trPr>
        <w:tc>
          <w:tcPr>
            <w:tcW w:w="1436" w:type="dxa"/>
          </w:tcPr>
          <w:p w:rsidR="00110AE3" w:rsidRPr="009D287C" w:rsidRDefault="00C72D8B" w:rsidP="00110AE3">
            <w:r w:rsidRPr="009D287C">
              <w:t>BY / PAR</w:t>
            </w:r>
          </w:p>
        </w:tc>
        <w:tc>
          <w:tcPr>
            <w:tcW w:w="2839" w:type="dxa"/>
          </w:tcPr>
          <w:p w:rsidR="00110AE3" w:rsidRPr="009D287C" w:rsidRDefault="00110AE3" w:rsidP="00110AE3">
            <w:r w:rsidRPr="009D287C">
              <w:t>Criminal Lawyers’ Association of Ontario</w:t>
            </w:r>
          </w:p>
        </w:tc>
        <w:tc>
          <w:tcPr>
            <w:tcW w:w="1134" w:type="dxa"/>
          </w:tcPr>
          <w:p w:rsidR="00110AE3" w:rsidRPr="009D287C" w:rsidRDefault="00110AE3" w:rsidP="00110AE3"/>
        </w:tc>
        <w:tc>
          <w:tcPr>
            <w:tcW w:w="4210" w:type="dxa"/>
          </w:tcPr>
          <w:p w:rsidR="00110AE3" w:rsidRPr="009D287C" w:rsidRDefault="00110AE3" w:rsidP="00110AE3"/>
        </w:tc>
      </w:tr>
      <w:tr w:rsidR="00110AE3" w:rsidRPr="009D287C" w:rsidTr="003956FF">
        <w:tc>
          <w:tcPr>
            <w:tcW w:w="1436" w:type="dxa"/>
          </w:tcPr>
          <w:p w:rsidR="00110AE3" w:rsidRPr="009D287C" w:rsidRDefault="00110AE3" w:rsidP="00110AE3"/>
        </w:tc>
        <w:tc>
          <w:tcPr>
            <w:tcW w:w="2839" w:type="dxa"/>
          </w:tcPr>
          <w:p w:rsidR="00110AE3" w:rsidRPr="009D287C" w:rsidRDefault="00110AE3" w:rsidP="00110AE3"/>
        </w:tc>
        <w:tc>
          <w:tcPr>
            <w:tcW w:w="1134" w:type="dxa"/>
          </w:tcPr>
          <w:p w:rsidR="00110AE3" w:rsidRPr="009D287C" w:rsidRDefault="00110AE3" w:rsidP="00110AE3"/>
        </w:tc>
        <w:tc>
          <w:tcPr>
            <w:tcW w:w="4210" w:type="dxa"/>
          </w:tcPr>
          <w:p w:rsidR="00110AE3" w:rsidRPr="009D287C" w:rsidRDefault="00110AE3" w:rsidP="00110AE3"/>
        </w:tc>
      </w:tr>
      <w:tr w:rsidR="00110AE3" w:rsidRPr="009D287C" w:rsidTr="003956FF">
        <w:tc>
          <w:tcPr>
            <w:tcW w:w="1436" w:type="dxa"/>
          </w:tcPr>
          <w:p w:rsidR="00110AE3" w:rsidRPr="009D287C" w:rsidRDefault="00110AE3" w:rsidP="00110AE3">
            <w:r w:rsidRPr="009D287C">
              <w:t>IN / DANS :</w:t>
            </w:r>
          </w:p>
        </w:tc>
        <w:tc>
          <w:tcPr>
            <w:tcW w:w="2839" w:type="dxa"/>
          </w:tcPr>
          <w:p w:rsidR="00110AE3" w:rsidRPr="009D287C" w:rsidRDefault="00110AE3" w:rsidP="00110AE3">
            <w:pPr>
              <w:tabs>
                <w:tab w:val="left" w:pos="-1440"/>
                <w:tab w:val="left" w:pos="-720"/>
              </w:tabs>
              <w:jc w:val="both"/>
            </w:pPr>
            <w:r w:rsidRPr="009D287C">
              <w:t>William Scott Clifford</w:t>
            </w:r>
          </w:p>
          <w:p w:rsidR="00110AE3" w:rsidRPr="009D287C" w:rsidRDefault="00110AE3" w:rsidP="00110AE3">
            <w:pPr>
              <w:tabs>
                <w:tab w:val="left" w:pos="-1440"/>
                <w:tab w:val="left" w:pos="-720"/>
              </w:tabs>
              <w:jc w:val="both"/>
            </w:pPr>
          </w:p>
          <w:p w:rsidR="00110AE3" w:rsidRPr="009D287C" w:rsidRDefault="00110AE3" w:rsidP="00110AE3">
            <w:pPr>
              <w:tabs>
                <w:tab w:val="left" w:pos="-1440"/>
                <w:tab w:val="left" w:pos="-720"/>
              </w:tabs>
              <w:jc w:val="both"/>
            </w:pPr>
            <w:r w:rsidRPr="009D287C">
              <w:tab/>
              <w:t>v. (37140)</w:t>
            </w:r>
          </w:p>
          <w:p w:rsidR="00110AE3" w:rsidRPr="009D287C" w:rsidRDefault="00110AE3" w:rsidP="00110AE3">
            <w:pPr>
              <w:tabs>
                <w:tab w:val="left" w:pos="-1440"/>
                <w:tab w:val="left" w:pos="-720"/>
              </w:tabs>
              <w:jc w:val="both"/>
            </w:pPr>
          </w:p>
          <w:p w:rsidR="00110AE3" w:rsidRPr="009D287C" w:rsidRDefault="00110AE3" w:rsidP="00110AE3">
            <w:r w:rsidRPr="009D287C">
              <w:t>Her Majesty the Queen (Crim.) (B.C.)</w:t>
            </w:r>
          </w:p>
        </w:tc>
        <w:tc>
          <w:tcPr>
            <w:tcW w:w="1134" w:type="dxa"/>
          </w:tcPr>
          <w:p w:rsidR="00110AE3" w:rsidRPr="009D287C" w:rsidRDefault="00110AE3" w:rsidP="00110AE3"/>
        </w:tc>
        <w:tc>
          <w:tcPr>
            <w:tcW w:w="4210" w:type="dxa"/>
          </w:tcPr>
          <w:p w:rsidR="00110AE3" w:rsidRPr="009D287C" w:rsidRDefault="00110AE3" w:rsidP="00110AE3"/>
        </w:tc>
      </w:tr>
    </w:tbl>
    <w:p w:rsidR="00110AE3" w:rsidRPr="009D287C" w:rsidRDefault="00110AE3" w:rsidP="00110AE3">
      <w:pPr>
        <w:jc w:val="both"/>
        <w:rPr>
          <w:rFonts w:eastAsia="Times New Roman" w:cs="Times New Roman"/>
          <w:sz w:val="20"/>
          <w:szCs w:val="20"/>
          <w:lang w:val="en-US" w:eastAsia="en-CA"/>
        </w:rPr>
      </w:pPr>
    </w:p>
    <w:p w:rsidR="00110AE3" w:rsidRPr="009D287C" w:rsidRDefault="00110AE3" w:rsidP="00110AE3">
      <w:pPr>
        <w:tabs>
          <w:tab w:val="left" w:pos="-1440"/>
          <w:tab w:val="left" w:pos="-720"/>
        </w:tabs>
        <w:jc w:val="both"/>
        <w:rPr>
          <w:rFonts w:eastAsia="Times New Roman" w:cs="Times New Roman"/>
          <w:b/>
          <w:sz w:val="20"/>
          <w:szCs w:val="20"/>
          <w:lang w:eastAsia="en-CA"/>
        </w:rPr>
      </w:pPr>
      <w:r w:rsidRPr="009D287C">
        <w:rPr>
          <w:rFonts w:eastAsia="Times New Roman" w:cs="Times New Roman"/>
          <w:b/>
          <w:sz w:val="20"/>
          <w:szCs w:val="20"/>
          <w:lang w:eastAsia="en-CA"/>
        </w:rPr>
        <w:t>GRANTED / ACCORDÉE</w:t>
      </w:r>
    </w:p>
    <w:p w:rsidR="00110AE3" w:rsidRPr="009D287C" w:rsidRDefault="00110AE3" w:rsidP="00110AE3">
      <w:pPr>
        <w:tabs>
          <w:tab w:val="left" w:pos="-1440"/>
          <w:tab w:val="left" w:pos="-720"/>
        </w:tabs>
        <w:jc w:val="both"/>
        <w:rPr>
          <w:rFonts w:eastAsia="Times New Roman" w:cs="Times New Roman"/>
          <w:sz w:val="20"/>
          <w:szCs w:val="20"/>
          <w:lang w:eastAsia="en-CA"/>
        </w:rPr>
      </w:pPr>
    </w:p>
    <w:p w:rsidR="003C0714" w:rsidRPr="009D287C" w:rsidRDefault="003C0714">
      <w:pPr>
        <w:rPr>
          <w:rFonts w:eastAsiaTheme="minorEastAsia" w:cs="Times New Roman"/>
          <w:b/>
          <w:bCs/>
          <w:sz w:val="20"/>
          <w:szCs w:val="20"/>
          <w:lang w:val="en-US"/>
        </w:rPr>
      </w:pPr>
      <w:r w:rsidRPr="009D287C">
        <w:rPr>
          <w:rFonts w:eastAsiaTheme="minorEastAsia" w:cs="Times New Roman"/>
          <w:b/>
          <w:bCs/>
          <w:sz w:val="20"/>
          <w:szCs w:val="20"/>
          <w:lang w:val="en-US"/>
        </w:rPr>
        <w:br w:type="page"/>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9D287C">
        <w:rPr>
          <w:rFonts w:eastAsiaTheme="minorEastAsia" w:cs="Times New Roman"/>
          <w:b/>
          <w:bCs/>
          <w:sz w:val="20"/>
          <w:szCs w:val="20"/>
          <w:lang w:val="en-US"/>
        </w:rPr>
        <w:lastRenderedPageBreak/>
        <w:t xml:space="preserve">UPON APPLICATION </w:t>
      </w:r>
      <w:r w:rsidRPr="009D287C">
        <w:rPr>
          <w:rFonts w:eastAsiaTheme="minorEastAsia" w:cs="Times New Roman"/>
          <w:sz w:val="20"/>
          <w:szCs w:val="20"/>
          <w:lang w:val="en-US"/>
        </w:rPr>
        <w:t xml:space="preserve">by </w:t>
      </w:r>
      <w:r w:rsidRPr="009D287C">
        <w:rPr>
          <w:rFonts w:eastAsiaTheme="minorEastAsia" w:cs="Times New Roman"/>
          <w:sz w:val="20"/>
          <w:szCs w:val="20"/>
        </w:rPr>
        <w:t>the Criminal Lawyers’ Association of Ontario for leave to intervene in the above appeal;</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9D287C">
        <w:rPr>
          <w:rFonts w:eastAsiaTheme="minorEastAsia" w:cs="Times New Roman"/>
          <w:b/>
          <w:bCs/>
          <w:sz w:val="20"/>
          <w:szCs w:val="20"/>
          <w:lang w:val="en-US"/>
        </w:rPr>
        <w:t>AND THE MATERIAL FILED</w:t>
      </w:r>
      <w:r w:rsidRPr="009D287C">
        <w:rPr>
          <w:rFonts w:eastAsiaTheme="minorEastAsia" w:cs="Times New Roman"/>
          <w:sz w:val="20"/>
          <w:szCs w:val="20"/>
          <w:lang w:val="en-US"/>
        </w:rPr>
        <w:t xml:space="preserve"> having been read;</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r w:rsidRPr="009D287C">
        <w:rPr>
          <w:rFonts w:eastAsiaTheme="minorEastAsia" w:cs="Times New Roman"/>
          <w:b/>
          <w:bCs/>
          <w:sz w:val="20"/>
          <w:szCs w:val="20"/>
          <w:lang w:val="en-US"/>
        </w:rPr>
        <w:t>IT IS HEREBY ORDERED THAT:</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lang w:val="en-US"/>
        </w:rPr>
      </w:pPr>
      <w:r w:rsidRPr="009D287C">
        <w:rPr>
          <w:rFonts w:eastAsiaTheme="minorEastAsia" w:cs="Times New Roman"/>
          <w:sz w:val="20"/>
          <w:szCs w:val="20"/>
          <w:lang w:val="en-US"/>
        </w:rPr>
        <w:t xml:space="preserve">The motion for leave to intervene </w:t>
      </w:r>
      <w:r w:rsidRPr="009D287C">
        <w:rPr>
          <w:rFonts w:eastAsiaTheme="minorEastAsia" w:cs="Times New Roman"/>
          <w:sz w:val="20"/>
          <w:szCs w:val="20"/>
        </w:rPr>
        <w:t xml:space="preserve">is granted and the said intervener </w:t>
      </w:r>
      <w:r w:rsidRPr="009D287C">
        <w:rPr>
          <w:rFonts w:eastAsiaTheme="minorEastAsia" w:cs="Times New Roman"/>
          <w:sz w:val="20"/>
          <w:szCs w:val="20"/>
          <w:lang w:val="en-US"/>
        </w:rPr>
        <w:t>shall be entitled to serve and file a factum not to exceed ten (10) pages in length on or before January 25, 2017.</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lang w:val="en-US"/>
        </w:rPr>
      </w:pPr>
      <w:r w:rsidRPr="009D287C">
        <w:rPr>
          <w:rFonts w:eastAsiaTheme="minorEastAsia" w:cs="Times New Roman"/>
          <w:sz w:val="20"/>
          <w:szCs w:val="20"/>
          <w:lang w:val="en-US"/>
        </w:rPr>
        <w:t>The request to present oral argument is deferred to a date following receipt and consideration of the written arguments of the parties and the intervener.</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lang w:val="en-US"/>
        </w:rPr>
      </w:pPr>
      <w:r w:rsidRPr="009D287C">
        <w:rPr>
          <w:rFonts w:eastAsiaTheme="minorEastAsia" w:cs="Times New Roman"/>
          <w:sz w:val="20"/>
          <w:szCs w:val="20"/>
          <w:lang w:val="en-ZW"/>
        </w:rPr>
        <w:t>The appellant is permitted to serve and file a five (5) page factum in reply to this intervention on or before February 2, 2017.</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bCs/>
          <w:sz w:val="20"/>
          <w:szCs w:val="20"/>
          <w:lang w:val="en-US"/>
        </w:rPr>
      </w:pPr>
      <w:r w:rsidRPr="009D287C">
        <w:rPr>
          <w:rFonts w:eastAsiaTheme="minorEastAsia" w:cs="Times New Roman"/>
          <w:sz w:val="20"/>
          <w:szCs w:val="20"/>
        </w:rPr>
        <w:fldChar w:fldCharType="begin"/>
      </w:r>
      <w:r w:rsidRPr="009D287C">
        <w:rPr>
          <w:rFonts w:eastAsiaTheme="minorEastAsia" w:cs="Times New Roman"/>
          <w:sz w:val="20"/>
          <w:szCs w:val="20"/>
        </w:rPr>
        <w:instrText xml:space="preserve"> SEQ CHAPTER \h \r 1</w:instrText>
      </w:r>
      <w:r w:rsidRPr="009D287C">
        <w:rPr>
          <w:rFonts w:eastAsiaTheme="minorEastAsia" w:cs="Times New Roman"/>
          <w:sz w:val="20"/>
          <w:szCs w:val="20"/>
        </w:rPr>
        <w:fldChar w:fldCharType="end"/>
      </w:r>
      <w:r w:rsidRPr="009D287C">
        <w:rPr>
          <w:rFonts w:eastAsiaTheme="minorEastAsia" w:cs="Times New Roman"/>
          <w:bCs/>
          <w:sz w:val="20"/>
          <w:szCs w:val="20"/>
          <w:lang w:val="en-US"/>
        </w:rPr>
        <w:t>The intervener is not entitled to raise new issues or to adduce further evidence or otherwise to supplement the record of the parties.</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b/>
          <w:bCs/>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9D287C">
        <w:rPr>
          <w:rFonts w:eastAsiaTheme="minorEastAsia" w:cs="Times New Roman"/>
          <w:sz w:val="20"/>
          <w:szCs w:val="20"/>
          <w:lang w:val="en-US"/>
        </w:rPr>
        <w:t>Pursuant to Rule 59(1</w:t>
      </w:r>
      <w:proofErr w:type="gramStart"/>
      <w:r w:rsidRPr="009D287C">
        <w:rPr>
          <w:rFonts w:eastAsiaTheme="minorEastAsia" w:cs="Times New Roman"/>
          <w:sz w:val="20"/>
          <w:szCs w:val="20"/>
          <w:lang w:val="en-US"/>
        </w:rPr>
        <w:t>)(</w:t>
      </w:r>
      <w:proofErr w:type="gramEnd"/>
      <w:r w:rsidRPr="009D287C">
        <w:rPr>
          <w:rFonts w:eastAsiaTheme="minorEastAsia" w:cs="Times New Roman"/>
          <w:i/>
          <w:iCs/>
          <w:sz w:val="20"/>
          <w:szCs w:val="20"/>
          <w:lang w:val="en-US"/>
        </w:rPr>
        <w:t>a</w:t>
      </w:r>
      <w:r w:rsidRPr="009D287C">
        <w:rPr>
          <w:rFonts w:eastAsiaTheme="minorEastAsia" w:cs="Times New Roman"/>
          <w:sz w:val="20"/>
          <w:szCs w:val="20"/>
          <w:lang w:val="en-US"/>
        </w:rPr>
        <w:t xml:space="preserve">) of the </w:t>
      </w:r>
      <w:r w:rsidRPr="009D287C">
        <w:rPr>
          <w:rFonts w:eastAsiaTheme="minorEastAsia" w:cs="Times New Roman"/>
          <w:i/>
          <w:iCs/>
          <w:sz w:val="20"/>
          <w:szCs w:val="20"/>
          <w:lang w:val="en-US"/>
        </w:rPr>
        <w:t>Rules of the Supreme Court of Canada</w:t>
      </w:r>
      <w:r w:rsidRPr="009D287C">
        <w:rPr>
          <w:rFonts w:eastAsiaTheme="minorEastAsia" w:cs="Times New Roman"/>
          <w:sz w:val="20"/>
          <w:szCs w:val="20"/>
          <w:lang w:val="en-US"/>
        </w:rPr>
        <w:t>, the intervener shall pay to the appellant and respondent any additional disbursements occasioned to the appellant and respondent by its intervention.</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D287C">
        <w:rPr>
          <w:rFonts w:eastAsiaTheme="minorEastAsia" w:cs="Times New Roman"/>
          <w:b/>
          <w:sz w:val="20"/>
          <w:szCs w:val="20"/>
          <w:lang w:val="fr-CA"/>
        </w:rPr>
        <w:t>À LA SUITE DE LA DEMANDE</w:t>
      </w:r>
      <w:r w:rsidRPr="009D287C">
        <w:rPr>
          <w:rFonts w:eastAsiaTheme="minorEastAsia" w:cs="Times New Roman"/>
          <w:sz w:val="20"/>
          <w:szCs w:val="20"/>
          <w:lang w:val="fr-CA"/>
        </w:rPr>
        <w:t xml:space="preserve"> présentée par la </w:t>
      </w:r>
      <w:proofErr w:type="spellStart"/>
      <w:r w:rsidRPr="009D287C">
        <w:rPr>
          <w:rFonts w:eastAsiaTheme="minorEastAsia" w:cs="Times New Roman"/>
          <w:sz w:val="20"/>
          <w:szCs w:val="20"/>
          <w:lang w:val="fr-CA"/>
        </w:rPr>
        <w:t>Criminal</w:t>
      </w:r>
      <w:proofErr w:type="spellEnd"/>
      <w:r w:rsidRPr="009D287C">
        <w:rPr>
          <w:rFonts w:eastAsiaTheme="minorEastAsia" w:cs="Times New Roman"/>
          <w:sz w:val="20"/>
          <w:szCs w:val="20"/>
          <w:lang w:val="fr-CA"/>
        </w:rPr>
        <w:t xml:space="preserve"> </w:t>
      </w:r>
      <w:proofErr w:type="spellStart"/>
      <w:r w:rsidRPr="009D287C">
        <w:rPr>
          <w:rFonts w:eastAsiaTheme="minorEastAsia" w:cs="Times New Roman"/>
          <w:sz w:val="20"/>
          <w:szCs w:val="20"/>
          <w:lang w:val="fr-CA"/>
        </w:rPr>
        <w:t>Lawyers</w:t>
      </w:r>
      <w:proofErr w:type="spellEnd"/>
      <w:r w:rsidRPr="009D287C">
        <w:rPr>
          <w:rFonts w:eastAsiaTheme="minorEastAsia" w:cs="Times New Roman"/>
          <w:sz w:val="20"/>
          <w:szCs w:val="20"/>
          <w:lang w:val="fr-CA"/>
        </w:rPr>
        <w:t>’ Association of Ontario en vue d’intervenir dans l’appel;</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D287C">
        <w:rPr>
          <w:rFonts w:eastAsiaTheme="minorEastAsia" w:cs="Times New Roman"/>
          <w:b/>
          <w:sz w:val="20"/>
          <w:szCs w:val="20"/>
          <w:lang w:val="fr-CA"/>
        </w:rPr>
        <w:t>ET APRÈS EXAMEN</w:t>
      </w:r>
      <w:r w:rsidRPr="009D287C">
        <w:rPr>
          <w:rFonts w:eastAsiaTheme="minorEastAsia" w:cs="Times New Roman"/>
          <w:sz w:val="20"/>
          <w:szCs w:val="20"/>
          <w:lang w:val="fr-CA"/>
        </w:rPr>
        <w:t xml:space="preserve"> des documents déposés;</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r w:rsidRPr="009D287C">
        <w:rPr>
          <w:rFonts w:eastAsiaTheme="minorEastAsia" w:cs="Times New Roman"/>
          <w:b/>
          <w:sz w:val="20"/>
          <w:szCs w:val="20"/>
          <w:lang w:val="fr-CA"/>
        </w:rPr>
        <w:t>IL EST ORDONNÉ QUE :</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D287C">
        <w:rPr>
          <w:rFonts w:eastAsiaTheme="minorEastAsia" w:cs="Times New Roman"/>
          <w:sz w:val="20"/>
          <w:szCs w:val="20"/>
          <w:lang w:val="fr-CA"/>
        </w:rPr>
        <w:t>La requête en autorisation d’intervenir est accueillie et cette intervenante pourra signifier et déposer un mémoire d’au plus dix (10) pages au plus tard le 25 janvier 2017.</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D287C">
        <w:rPr>
          <w:rFonts w:eastAsiaTheme="minorEastAsia" w:cs="Times New Roman"/>
          <w:sz w:val="20"/>
          <w:szCs w:val="20"/>
          <w:lang w:val="fr-CA"/>
        </w:rPr>
        <w:t>La décision sur la demande en vue de présenter une plaidoirie orale sera rendue après réception et examen des arguments écrits des parties et de l’intervenante.</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D287C">
        <w:rPr>
          <w:rFonts w:eastAsiaTheme="minorEastAsia" w:cs="Times New Roman"/>
          <w:sz w:val="20"/>
          <w:szCs w:val="20"/>
          <w:lang w:val="fr-CA"/>
        </w:rPr>
        <w:t>L’appelant est autorisé à signifier et déposer un mémoire d’au plus cinq (5) pages en réplique à cette intervention au plus tard le 2 février 2017.</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D287C">
        <w:rPr>
          <w:rFonts w:eastAsiaTheme="minorEastAsia" w:cs="Times New Roman"/>
          <w:sz w:val="20"/>
          <w:szCs w:val="20"/>
          <w:lang w:val="fr-CA"/>
        </w:rPr>
        <w:t>L’intervenante n’a pas le droit de soulever de nouvelles questions, de produire d’autres éléments de preuve ni de compléter de quelque autre façon le dossier des parties.</w:t>
      </w:r>
    </w:p>
    <w:p w:rsidR="00110AE3" w:rsidRPr="009D287C" w:rsidRDefault="00110AE3" w:rsidP="00110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110AE3" w:rsidRPr="009D287C" w:rsidRDefault="00110AE3" w:rsidP="00110AE3">
      <w:pPr>
        <w:tabs>
          <w:tab w:val="left" w:pos="-1440"/>
          <w:tab w:val="left" w:pos="-720"/>
        </w:tabs>
        <w:jc w:val="both"/>
        <w:rPr>
          <w:rFonts w:eastAsia="Times New Roman" w:cs="Times New Roman"/>
          <w:sz w:val="20"/>
          <w:szCs w:val="20"/>
          <w:lang w:val="fr-CA" w:eastAsia="en-CA"/>
        </w:rPr>
      </w:pPr>
      <w:r w:rsidRPr="009D287C">
        <w:rPr>
          <w:rFonts w:eastAsiaTheme="minorEastAsia" w:cs="Times New Roman"/>
          <w:sz w:val="20"/>
          <w:szCs w:val="20"/>
          <w:lang w:val="fr-CA"/>
        </w:rPr>
        <w:t>Conformément à l’alinéa 59(1)</w:t>
      </w:r>
      <w:r w:rsidRPr="009D287C">
        <w:rPr>
          <w:rFonts w:eastAsiaTheme="minorEastAsia" w:cs="Times New Roman"/>
          <w:i/>
          <w:sz w:val="20"/>
          <w:szCs w:val="20"/>
          <w:lang w:val="fr-CA"/>
        </w:rPr>
        <w:t>a</w:t>
      </w:r>
      <w:r w:rsidRPr="009D287C">
        <w:rPr>
          <w:rFonts w:eastAsiaTheme="minorEastAsia" w:cs="Times New Roman"/>
          <w:sz w:val="20"/>
          <w:szCs w:val="20"/>
          <w:lang w:val="fr-CA"/>
        </w:rPr>
        <w:t xml:space="preserve">) des </w:t>
      </w:r>
      <w:r w:rsidRPr="009D287C">
        <w:rPr>
          <w:rFonts w:eastAsiaTheme="minorEastAsia" w:cs="Times New Roman"/>
          <w:i/>
          <w:sz w:val="20"/>
          <w:szCs w:val="20"/>
          <w:lang w:val="fr-CA"/>
        </w:rPr>
        <w:t>Règles de la Cour suprême du Canada</w:t>
      </w:r>
      <w:r w:rsidRPr="009D287C">
        <w:rPr>
          <w:rFonts w:eastAsiaTheme="minorEastAsia" w:cs="Times New Roman"/>
          <w:sz w:val="20"/>
          <w:szCs w:val="20"/>
          <w:lang w:val="fr-CA"/>
        </w:rPr>
        <w:t>, l’intervenante paiera à l’appelant et à l’intimée tous débours supplémentaires résultant de son intervention.</w:t>
      </w:r>
    </w:p>
    <w:p w:rsidR="00110AE3" w:rsidRPr="009D287C" w:rsidRDefault="00110AE3" w:rsidP="00110AE3">
      <w:pPr>
        <w:tabs>
          <w:tab w:val="left" w:pos="-1440"/>
          <w:tab w:val="left" w:pos="-720"/>
        </w:tabs>
        <w:jc w:val="both"/>
        <w:rPr>
          <w:rFonts w:eastAsia="Times New Roman" w:cs="Times New Roman"/>
          <w:sz w:val="20"/>
          <w:szCs w:val="20"/>
          <w:lang w:val="fr-CA" w:eastAsia="en-CA"/>
        </w:rPr>
      </w:pPr>
    </w:p>
    <w:p w:rsidR="00CA2DEA" w:rsidRPr="009D287C" w:rsidRDefault="00346C6C"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CA2DEA" w:rsidRPr="009D287C" w:rsidRDefault="00CA2DEA" w:rsidP="00CA2DEA">
      <w:pPr>
        <w:widowControl w:val="0"/>
        <w:rPr>
          <w:rFonts w:eastAsia="Times New Roman" w:cs="Times New Roman"/>
          <w:sz w:val="20"/>
          <w:szCs w:val="20"/>
          <w:lang w:val="en-US" w:eastAsia="en-CA"/>
        </w:rPr>
      </w:pPr>
    </w:p>
    <w:p w:rsidR="00CA2DEA" w:rsidRPr="009D287C" w:rsidRDefault="00CA2DEA" w:rsidP="0010587F">
      <w:pPr>
        <w:tabs>
          <w:tab w:val="left" w:pos="-1440"/>
          <w:tab w:val="left" w:pos="-720"/>
        </w:tabs>
        <w:jc w:val="both"/>
        <w:rPr>
          <w:sz w:val="20"/>
          <w:szCs w:val="20"/>
          <w:lang w:val="fr-CA"/>
        </w:rPr>
      </w:pPr>
    </w:p>
    <w:p w:rsidR="00890FEB" w:rsidRPr="009D287C" w:rsidRDefault="00890FEB" w:rsidP="00831CA9">
      <w:pPr>
        <w:jc w:val="both"/>
        <w:rPr>
          <w:sz w:val="20"/>
          <w:szCs w:val="20"/>
          <w:lang w:val="fr-CA"/>
        </w:rPr>
      </w:pPr>
    </w:p>
    <w:p w:rsidR="00831CA9" w:rsidRPr="009D287C" w:rsidRDefault="00831CA9" w:rsidP="00831CA9">
      <w:pPr>
        <w:jc w:val="both"/>
        <w:rPr>
          <w:sz w:val="20"/>
          <w:szCs w:val="20"/>
          <w:lang w:val="fr-CA"/>
        </w:rPr>
        <w:sectPr w:rsidR="00831CA9" w:rsidRPr="009D287C" w:rsidSect="00831CA9">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46C6C" w:rsidTr="00EB2B90">
        <w:tc>
          <w:tcPr>
            <w:tcW w:w="4200" w:type="dxa"/>
            <w:shd w:val="clear" w:color="auto" w:fill="auto"/>
            <w:tcMar>
              <w:left w:w="0" w:type="dxa"/>
              <w:right w:w="0" w:type="dxa"/>
            </w:tcMar>
          </w:tcPr>
          <w:p w:rsidR="00F40249" w:rsidRPr="009D287C" w:rsidRDefault="00F40249" w:rsidP="00EB2B90">
            <w:pPr>
              <w:rPr>
                <w:b/>
                <w:szCs w:val="24"/>
              </w:rPr>
            </w:pPr>
            <w:r w:rsidRPr="009D287C">
              <w:rPr>
                <w:b/>
                <w:szCs w:val="24"/>
              </w:rPr>
              <w:lastRenderedPageBreak/>
              <w:t>NOTICES OF APPEAL FILED SINCE LAST ISSUE</w:t>
            </w:r>
          </w:p>
        </w:tc>
        <w:tc>
          <w:tcPr>
            <w:tcW w:w="1200" w:type="dxa"/>
            <w:shd w:val="clear" w:color="auto" w:fill="auto"/>
            <w:tcMar>
              <w:left w:w="0" w:type="dxa"/>
              <w:right w:w="0" w:type="dxa"/>
            </w:tcMar>
          </w:tcPr>
          <w:p w:rsidR="00F40249" w:rsidRPr="009D287C" w:rsidRDefault="00F40249" w:rsidP="00F40249">
            <w:pPr>
              <w:jc w:val="center"/>
              <w:rPr>
                <w:szCs w:val="24"/>
              </w:rPr>
            </w:pPr>
          </w:p>
          <w:p w:rsidR="00F33CCE" w:rsidRPr="009D287C" w:rsidRDefault="00F33CCE" w:rsidP="00F40249">
            <w:pPr>
              <w:jc w:val="center"/>
              <w:rPr>
                <w:szCs w:val="24"/>
              </w:rPr>
            </w:pPr>
          </w:p>
          <w:p w:rsidR="00F33CCE" w:rsidRPr="009D287C" w:rsidRDefault="00F33CCE" w:rsidP="00F40249">
            <w:pPr>
              <w:jc w:val="center"/>
              <w:rPr>
                <w:szCs w:val="24"/>
              </w:rPr>
            </w:pPr>
          </w:p>
        </w:tc>
        <w:tc>
          <w:tcPr>
            <w:tcW w:w="4230" w:type="dxa"/>
            <w:shd w:val="clear" w:color="auto" w:fill="auto"/>
            <w:tcMar>
              <w:left w:w="0" w:type="dxa"/>
              <w:right w:w="0" w:type="dxa"/>
            </w:tcMar>
          </w:tcPr>
          <w:p w:rsidR="00F40249" w:rsidRPr="009D287C" w:rsidRDefault="00F40249" w:rsidP="00EB2B90">
            <w:pPr>
              <w:rPr>
                <w:b/>
                <w:szCs w:val="24"/>
                <w:lang w:val="fr-CA"/>
              </w:rPr>
            </w:pPr>
            <w:r w:rsidRPr="009D287C">
              <w:rPr>
                <w:b/>
                <w:szCs w:val="24"/>
                <w:lang w:val="fr-CA"/>
              </w:rPr>
              <w:t>AVIS D’APPEL DÉPOSÉS DEPUIS LA DERNIÈRE PARUTION</w:t>
            </w:r>
          </w:p>
        </w:tc>
      </w:tr>
    </w:tbl>
    <w:p w:rsidR="00F40249" w:rsidRPr="009D287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E4CBE" w:rsidRPr="009D287C" w:rsidTr="003956FF">
        <w:trPr>
          <w:cantSplit/>
        </w:trPr>
        <w:tc>
          <w:tcPr>
            <w:tcW w:w="2206" w:type="pct"/>
            <w:tcMar>
              <w:left w:w="0" w:type="dxa"/>
              <w:right w:w="0" w:type="dxa"/>
            </w:tcMar>
          </w:tcPr>
          <w:p w:rsidR="001E4CBE" w:rsidRPr="009D287C" w:rsidRDefault="001E4CBE" w:rsidP="003956FF">
            <w:pPr>
              <w:rPr>
                <w:sz w:val="20"/>
                <w:szCs w:val="20"/>
              </w:rPr>
            </w:pPr>
            <w:r w:rsidRPr="009D287C">
              <w:rPr>
                <w:sz w:val="20"/>
                <w:szCs w:val="20"/>
              </w:rPr>
              <w:t>24.11.2016</w:t>
            </w:r>
          </w:p>
          <w:p w:rsidR="001E4CBE" w:rsidRPr="009D287C" w:rsidRDefault="001E4CBE" w:rsidP="003956FF">
            <w:pPr>
              <w:rPr>
                <w:sz w:val="20"/>
                <w:szCs w:val="20"/>
              </w:rPr>
            </w:pPr>
          </w:p>
          <w:p w:rsidR="001E4CBE" w:rsidRPr="009D287C" w:rsidRDefault="001E4CBE" w:rsidP="003956FF">
            <w:pPr>
              <w:rPr>
                <w:b/>
                <w:sz w:val="20"/>
                <w:szCs w:val="20"/>
              </w:rPr>
            </w:pPr>
            <w:r w:rsidRPr="009D287C">
              <w:rPr>
                <w:b/>
                <w:sz w:val="20"/>
                <w:szCs w:val="20"/>
              </w:rPr>
              <w:t>Her Majesty the Queen</w:t>
            </w:r>
          </w:p>
          <w:p w:rsidR="001E4CBE" w:rsidRPr="009D287C" w:rsidRDefault="001E4CBE" w:rsidP="003956FF">
            <w:pPr>
              <w:rPr>
                <w:b/>
                <w:sz w:val="20"/>
                <w:szCs w:val="20"/>
              </w:rPr>
            </w:pPr>
          </w:p>
          <w:p w:rsidR="001E4CBE" w:rsidRPr="009D287C" w:rsidRDefault="001E4CBE" w:rsidP="003956FF">
            <w:pPr>
              <w:rPr>
                <w:b/>
                <w:sz w:val="20"/>
                <w:szCs w:val="20"/>
              </w:rPr>
            </w:pPr>
            <w:r w:rsidRPr="009D287C">
              <w:rPr>
                <w:b/>
                <w:sz w:val="20"/>
                <w:szCs w:val="20"/>
              </w:rPr>
              <w:tab/>
              <w:t>v. (37314)</w:t>
            </w:r>
          </w:p>
          <w:p w:rsidR="001E4CBE" w:rsidRPr="009D287C" w:rsidRDefault="001E4CBE" w:rsidP="003956FF">
            <w:pPr>
              <w:rPr>
                <w:b/>
                <w:sz w:val="20"/>
                <w:szCs w:val="20"/>
              </w:rPr>
            </w:pPr>
          </w:p>
          <w:p w:rsidR="001E4CBE" w:rsidRPr="009D287C" w:rsidRDefault="001E4CBE" w:rsidP="003956FF">
            <w:pPr>
              <w:rPr>
                <w:b/>
                <w:sz w:val="20"/>
                <w:szCs w:val="20"/>
                <w:lang w:val="fr-CA"/>
              </w:rPr>
            </w:pPr>
            <w:r w:rsidRPr="009D287C">
              <w:rPr>
                <w:b/>
                <w:sz w:val="20"/>
                <w:szCs w:val="20"/>
                <w:lang w:val="fr-CA"/>
              </w:rPr>
              <w:t>Hubert Hunt et al. (N.L.)</w:t>
            </w:r>
          </w:p>
          <w:p w:rsidR="001E4CBE" w:rsidRPr="009D287C" w:rsidRDefault="001E4CBE" w:rsidP="003956FF">
            <w:pPr>
              <w:rPr>
                <w:b/>
                <w:sz w:val="20"/>
                <w:szCs w:val="20"/>
                <w:lang w:val="fr-CA"/>
              </w:rPr>
            </w:pPr>
          </w:p>
          <w:p w:rsidR="001E4CBE" w:rsidRPr="009D287C" w:rsidRDefault="001E4CBE" w:rsidP="003956FF">
            <w:pPr>
              <w:rPr>
                <w:sz w:val="20"/>
                <w:szCs w:val="20"/>
              </w:rPr>
            </w:pPr>
            <w:r w:rsidRPr="009D287C">
              <w:rPr>
                <w:sz w:val="20"/>
                <w:szCs w:val="20"/>
              </w:rPr>
              <w:t>(As of right)</w:t>
            </w:r>
          </w:p>
          <w:p w:rsidR="001E4CBE" w:rsidRPr="009D287C" w:rsidRDefault="001E4CBE" w:rsidP="003956FF">
            <w:pPr>
              <w:rPr>
                <w:sz w:val="20"/>
                <w:szCs w:val="20"/>
              </w:rPr>
            </w:pPr>
          </w:p>
          <w:p w:rsidR="001E4CBE" w:rsidRPr="009D287C" w:rsidRDefault="00346C6C" w:rsidP="003956FF">
            <w:pPr>
              <w:rPr>
                <w:sz w:val="20"/>
                <w:szCs w:val="20"/>
                <w:lang w:val="en-US"/>
              </w:rPr>
            </w:pPr>
            <w:r>
              <w:rPr>
                <w:sz w:val="20"/>
                <w:szCs w:val="20"/>
                <w:lang w:val="fr-CA"/>
              </w:rPr>
              <w:pict>
                <v:rect id="_x0000_i1049" style="width:106.1pt;height:1pt" o:hrpct="500" o:hralign="center" o:hrstd="t" o:hrnoshade="t" o:hr="t" fillcolor="black [3213]" stroked="f"/>
              </w:pict>
            </w:r>
          </w:p>
        </w:tc>
        <w:tc>
          <w:tcPr>
            <w:tcW w:w="588" w:type="pct"/>
          </w:tcPr>
          <w:p w:rsidR="001E4CBE" w:rsidRPr="009D287C" w:rsidRDefault="001E4CBE" w:rsidP="003956FF">
            <w:pPr>
              <w:jc w:val="center"/>
              <w:rPr>
                <w:sz w:val="20"/>
                <w:szCs w:val="20"/>
              </w:rPr>
            </w:pPr>
          </w:p>
        </w:tc>
        <w:tc>
          <w:tcPr>
            <w:tcW w:w="2206" w:type="pct"/>
          </w:tcPr>
          <w:p w:rsidR="001E4CBE" w:rsidRPr="009D287C" w:rsidRDefault="001E4CBE" w:rsidP="003956FF">
            <w:pPr>
              <w:rPr>
                <w:sz w:val="20"/>
                <w:szCs w:val="20"/>
                <w:lang w:val="fr-CA"/>
              </w:rPr>
            </w:pPr>
            <w:r w:rsidRPr="009D287C">
              <w:rPr>
                <w:sz w:val="20"/>
                <w:szCs w:val="20"/>
                <w:lang w:val="fr-CA"/>
              </w:rPr>
              <w:t>02.12.2016</w:t>
            </w:r>
          </w:p>
          <w:p w:rsidR="001E4CBE" w:rsidRPr="009D287C" w:rsidRDefault="001E4CBE" w:rsidP="003956FF">
            <w:pPr>
              <w:rPr>
                <w:sz w:val="20"/>
                <w:szCs w:val="20"/>
                <w:lang w:val="fr-CA"/>
              </w:rPr>
            </w:pPr>
          </w:p>
          <w:p w:rsidR="001E4CBE" w:rsidRPr="009D287C" w:rsidRDefault="001E4CBE" w:rsidP="003956FF">
            <w:pPr>
              <w:rPr>
                <w:b/>
                <w:sz w:val="20"/>
                <w:szCs w:val="20"/>
                <w:lang w:val="fr-CA"/>
              </w:rPr>
            </w:pPr>
            <w:proofErr w:type="spellStart"/>
            <w:r w:rsidRPr="009D287C">
              <w:rPr>
                <w:b/>
                <w:sz w:val="20"/>
                <w:szCs w:val="20"/>
                <w:lang w:val="fr-CA"/>
              </w:rPr>
              <w:t>Ultramar</w:t>
            </w:r>
            <w:proofErr w:type="spellEnd"/>
            <w:r w:rsidRPr="009D287C">
              <w:rPr>
                <w:b/>
                <w:sz w:val="20"/>
                <w:szCs w:val="20"/>
                <w:lang w:val="fr-CA"/>
              </w:rPr>
              <w:t xml:space="preserve"> Ltée et autres</w:t>
            </w:r>
          </w:p>
          <w:p w:rsidR="001E4CBE" w:rsidRPr="009D287C" w:rsidRDefault="001E4CBE" w:rsidP="003956FF">
            <w:pPr>
              <w:rPr>
                <w:b/>
                <w:sz w:val="20"/>
                <w:szCs w:val="20"/>
                <w:lang w:val="fr-CA"/>
              </w:rPr>
            </w:pPr>
          </w:p>
          <w:p w:rsidR="001E4CBE" w:rsidRPr="009D287C" w:rsidRDefault="001E4CBE" w:rsidP="003956FF">
            <w:pPr>
              <w:rPr>
                <w:b/>
                <w:sz w:val="20"/>
                <w:szCs w:val="20"/>
                <w:lang w:val="fr-CA"/>
              </w:rPr>
            </w:pPr>
            <w:r w:rsidRPr="009D287C">
              <w:rPr>
                <w:b/>
                <w:sz w:val="20"/>
                <w:szCs w:val="20"/>
                <w:lang w:val="fr-CA"/>
              </w:rPr>
              <w:tab/>
              <w:t>c. (36869)</w:t>
            </w:r>
          </w:p>
          <w:p w:rsidR="001E4CBE" w:rsidRPr="009D287C" w:rsidRDefault="001E4CBE" w:rsidP="003956FF">
            <w:pPr>
              <w:rPr>
                <w:b/>
                <w:sz w:val="20"/>
                <w:szCs w:val="20"/>
                <w:lang w:val="fr-CA"/>
              </w:rPr>
            </w:pPr>
          </w:p>
          <w:p w:rsidR="001E4CBE" w:rsidRPr="009D287C" w:rsidRDefault="001E4CBE" w:rsidP="003956FF">
            <w:pPr>
              <w:rPr>
                <w:b/>
                <w:sz w:val="20"/>
                <w:szCs w:val="20"/>
                <w:lang w:val="fr-CA"/>
              </w:rPr>
            </w:pPr>
            <w:r w:rsidRPr="009D287C">
              <w:rPr>
                <w:b/>
                <w:sz w:val="20"/>
                <w:szCs w:val="20"/>
                <w:lang w:val="fr-CA"/>
              </w:rPr>
              <w:t xml:space="preserve">Daniel </w:t>
            </w:r>
            <w:proofErr w:type="spellStart"/>
            <w:r w:rsidRPr="009D287C">
              <w:rPr>
                <w:b/>
                <w:sz w:val="20"/>
                <w:szCs w:val="20"/>
                <w:lang w:val="fr-CA"/>
              </w:rPr>
              <w:t>Thouin</w:t>
            </w:r>
            <w:proofErr w:type="spellEnd"/>
            <w:r w:rsidRPr="009D287C">
              <w:rPr>
                <w:b/>
                <w:sz w:val="20"/>
                <w:szCs w:val="20"/>
                <w:lang w:val="fr-CA"/>
              </w:rPr>
              <w:t xml:space="preserve"> et autre (</w:t>
            </w:r>
            <w:proofErr w:type="spellStart"/>
            <w:r w:rsidRPr="009D287C">
              <w:rPr>
                <w:b/>
                <w:sz w:val="20"/>
                <w:szCs w:val="20"/>
                <w:lang w:val="fr-CA"/>
              </w:rPr>
              <w:t>Qc</w:t>
            </w:r>
            <w:proofErr w:type="spellEnd"/>
            <w:r w:rsidRPr="009D287C">
              <w:rPr>
                <w:b/>
                <w:sz w:val="20"/>
                <w:szCs w:val="20"/>
                <w:lang w:val="fr-CA"/>
              </w:rPr>
              <w:t>)</w:t>
            </w:r>
          </w:p>
          <w:p w:rsidR="001E4CBE" w:rsidRPr="009D287C" w:rsidRDefault="001E4CBE" w:rsidP="003956FF">
            <w:pPr>
              <w:rPr>
                <w:b/>
                <w:sz w:val="20"/>
                <w:szCs w:val="20"/>
                <w:lang w:val="fr-CA"/>
              </w:rPr>
            </w:pPr>
          </w:p>
          <w:p w:rsidR="001E4CBE" w:rsidRPr="009D287C" w:rsidRDefault="001E4CBE" w:rsidP="003956FF">
            <w:pPr>
              <w:rPr>
                <w:sz w:val="20"/>
                <w:szCs w:val="20"/>
              </w:rPr>
            </w:pPr>
            <w:r w:rsidRPr="009D287C">
              <w:rPr>
                <w:sz w:val="20"/>
                <w:szCs w:val="20"/>
              </w:rPr>
              <w:t>(</w:t>
            </w:r>
            <w:proofErr w:type="spellStart"/>
            <w:r w:rsidRPr="009D287C">
              <w:rPr>
                <w:sz w:val="20"/>
                <w:szCs w:val="20"/>
              </w:rPr>
              <w:t>Autorisation</w:t>
            </w:r>
            <w:proofErr w:type="spellEnd"/>
            <w:r w:rsidRPr="009D287C">
              <w:rPr>
                <w:sz w:val="20"/>
                <w:szCs w:val="20"/>
              </w:rPr>
              <w:t>)</w:t>
            </w:r>
          </w:p>
          <w:p w:rsidR="001E4CBE" w:rsidRPr="009D287C" w:rsidRDefault="00346C6C" w:rsidP="003956FF">
            <w:pPr>
              <w:rPr>
                <w:sz w:val="20"/>
                <w:szCs w:val="20"/>
              </w:rPr>
            </w:pPr>
            <w:r>
              <w:rPr>
                <w:sz w:val="20"/>
                <w:szCs w:val="20"/>
                <w:lang w:val="fr-CA"/>
              </w:rPr>
              <w:pict>
                <v:rect id="_x0000_i1050" style="width:106.1pt;height:1pt" o:hrpct="500" o:hralign="center" o:hrstd="t" o:hrnoshade="t" o:hr="t" fillcolor="black [3213]" stroked="f"/>
              </w:pict>
            </w:r>
          </w:p>
          <w:p w:rsidR="001E4CBE" w:rsidRPr="009D287C" w:rsidRDefault="001E4CBE" w:rsidP="003956FF">
            <w:pPr>
              <w:rPr>
                <w:sz w:val="20"/>
                <w:szCs w:val="20"/>
              </w:rPr>
            </w:pPr>
          </w:p>
        </w:tc>
      </w:tr>
    </w:tbl>
    <w:p w:rsidR="006F392A" w:rsidRPr="009D287C" w:rsidRDefault="006F392A" w:rsidP="00F40249">
      <w:pPr>
        <w:rPr>
          <w:sz w:val="20"/>
          <w:szCs w:val="20"/>
        </w:rPr>
      </w:pPr>
    </w:p>
    <w:p w:rsidR="00F95037" w:rsidRPr="009D287C" w:rsidRDefault="00F95037" w:rsidP="00F40249">
      <w:pPr>
        <w:rPr>
          <w:sz w:val="20"/>
          <w:szCs w:val="20"/>
        </w:rPr>
      </w:pPr>
    </w:p>
    <w:p w:rsidR="0010587F" w:rsidRPr="009D287C" w:rsidRDefault="0010587F" w:rsidP="00F40249">
      <w:pPr>
        <w:rPr>
          <w:sz w:val="20"/>
          <w:szCs w:val="20"/>
        </w:rPr>
      </w:pPr>
    </w:p>
    <w:p w:rsidR="00EB2B90" w:rsidRPr="009D287C" w:rsidRDefault="00EB2B90" w:rsidP="00F40249">
      <w:pPr>
        <w:rPr>
          <w:sz w:val="20"/>
          <w:szCs w:val="20"/>
        </w:rPr>
        <w:sectPr w:rsidR="00EB2B90" w:rsidRPr="009D287C" w:rsidSect="00F40249">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46C6C" w:rsidTr="0085476B">
        <w:trPr>
          <w:cantSplit/>
        </w:trPr>
        <w:tc>
          <w:tcPr>
            <w:tcW w:w="4410" w:type="dxa"/>
            <w:tcMar>
              <w:left w:w="0" w:type="dxa"/>
              <w:right w:w="0" w:type="dxa"/>
            </w:tcMar>
          </w:tcPr>
          <w:p w:rsidR="00C1697B" w:rsidRPr="009D287C" w:rsidRDefault="00732DB7" w:rsidP="00697C62">
            <w:pPr>
              <w:keepNext/>
              <w:keepLines/>
              <w:widowControl w:val="0"/>
              <w:jc w:val="both"/>
              <w:rPr>
                <w:b/>
                <w:szCs w:val="24"/>
              </w:rPr>
            </w:pPr>
            <w:r w:rsidRPr="009D287C">
              <w:rPr>
                <w:b/>
                <w:szCs w:val="24"/>
              </w:rPr>
              <w:lastRenderedPageBreak/>
              <w:t>APPEALS HEARD SINCE LAST ISSUE AND DISPOSITION</w:t>
            </w:r>
          </w:p>
          <w:p w:rsidR="00732DB7" w:rsidRPr="009D287C" w:rsidRDefault="00732DB7" w:rsidP="00C1697B">
            <w:pPr>
              <w:tabs>
                <w:tab w:val="left" w:pos="1116"/>
              </w:tabs>
              <w:rPr>
                <w:szCs w:val="24"/>
              </w:rPr>
            </w:pPr>
          </w:p>
        </w:tc>
        <w:tc>
          <w:tcPr>
            <w:tcW w:w="720" w:type="dxa"/>
            <w:tcMar>
              <w:left w:w="0" w:type="dxa"/>
              <w:right w:w="0" w:type="dxa"/>
            </w:tcMar>
          </w:tcPr>
          <w:p w:rsidR="00732DB7" w:rsidRPr="009D287C" w:rsidRDefault="00732DB7" w:rsidP="00732DB7">
            <w:pPr>
              <w:keepNext/>
              <w:keepLines/>
              <w:widowControl w:val="0"/>
              <w:jc w:val="center"/>
              <w:rPr>
                <w:b/>
                <w:szCs w:val="24"/>
              </w:rPr>
            </w:pPr>
          </w:p>
          <w:p w:rsidR="00732DB7" w:rsidRPr="009D287C" w:rsidRDefault="00732DB7" w:rsidP="00732DB7">
            <w:pPr>
              <w:keepNext/>
              <w:keepLines/>
              <w:widowControl w:val="0"/>
              <w:jc w:val="center"/>
              <w:rPr>
                <w:b/>
                <w:szCs w:val="24"/>
              </w:rPr>
            </w:pPr>
          </w:p>
          <w:p w:rsidR="00732DB7" w:rsidRPr="009D287C" w:rsidRDefault="00732DB7" w:rsidP="00732DB7">
            <w:pPr>
              <w:keepNext/>
              <w:keepLines/>
              <w:widowControl w:val="0"/>
              <w:jc w:val="center"/>
              <w:rPr>
                <w:b/>
                <w:szCs w:val="24"/>
              </w:rPr>
            </w:pPr>
          </w:p>
        </w:tc>
        <w:tc>
          <w:tcPr>
            <w:tcW w:w="4350" w:type="dxa"/>
            <w:tcMar>
              <w:left w:w="0" w:type="dxa"/>
              <w:right w:w="0" w:type="dxa"/>
            </w:tcMar>
          </w:tcPr>
          <w:p w:rsidR="00732DB7" w:rsidRPr="009D287C" w:rsidRDefault="00732DB7" w:rsidP="00697C62">
            <w:pPr>
              <w:keepNext/>
              <w:keepLines/>
              <w:widowControl w:val="0"/>
              <w:jc w:val="both"/>
              <w:rPr>
                <w:b/>
                <w:szCs w:val="24"/>
                <w:lang w:val="fr-CA"/>
              </w:rPr>
            </w:pPr>
            <w:r w:rsidRPr="009D287C">
              <w:rPr>
                <w:b/>
                <w:szCs w:val="24"/>
                <w:lang w:val="fr-CA"/>
              </w:rPr>
              <w:t>APPELS ENTENDUS DEPUIS LA DERNIÈRE PARUTION ET RÉSULTAT</w:t>
            </w:r>
          </w:p>
        </w:tc>
      </w:tr>
    </w:tbl>
    <w:p w:rsidR="00732DB7" w:rsidRPr="009D287C" w:rsidRDefault="00732DB7" w:rsidP="00732DB7">
      <w:pPr>
        <w:widowControl w:val="0"/>
        <w:rPr>
          <w:sz w:val="20"/>
          <w:szCs w:val="20"/>
          <w:lang w:val="fr-CA"/>
        </w:rPr>
      </w:pPr>
    </w:p>
    <w:p w:rsidR="007C47C2" w:rsidRPr="009D287C" w:rsidRDefault="007A25C7" w:rsidP="007C47C2">
      <w:pPr>
        <w:widowControl w:val="0"/>
        <w:rPr>
          <w:sz w:val="20"/>
          <w:szCs w:val="20"/>
          <w:lang w:val="fr-CA"/>
        </w:rPr>
      </w:pPr>
      <w:r w:rsidRPr="009D287C">
        <w:rPr>
          <w:sz w:val="20"/>
          <w:szCs w:val="20"/>
          <w:lang w:val="fr-CA"/>
        </w:rPr>
        <w:t>05</w:t>
      </w:r>
      <w:r w:rsidR="00E942C2" w:rsidRPr="009D287C">
        <w:rPr>
          <w:sz w:val="20"/>
          <w:szCs w:val="20"/>
          <w:lang w:val="fr-CA"/>
        </w:rPr>
        <w:t>.</w:t>
      </w:r>
      <w:r w:rsidRPr="009D287C">
        <w:rPr>
          <w:sz w:val="20"/>
          <w:szCs w:val="20"/>
          <w:lang w:val="fr-CA"/>
        </w:rPr>
        <w:t>1</w:t>
      </w:r>
      <w:r w:rsidR="00E942C2" w:rsidRPr="009D287C">
        <w:rPr>
          <w:sz w:val="20"/>
          <w:szCs w:val="20"/>
          <w:lang w:val="fr-CA"/>
        </w:rPr>
        <w:t>2.2016</w:t>
      </w:r>
    </w:p>
    <w:p w:rsidR="007C47C2" w:rsidRPr="009D287C" w:rsidRDefault="007C47C2" w:rsidP="007C47C2">
      <w:pPr>
        <w:widowControl w:val="0"/>
        <w:rPr>
          <w:sz w:val="20"/>
          <w:szCs w:val="20"/>
          <w:lang w:val="fr-CA"/>
        </w:rPr>
      </w:pPr>
    </w:p>
    <w:p w:rsidR="007C47C2" w:rsidRPr="009D287C" w:rsidRDefault="007C47C2" w:rsidP="007C47C2">
      <w:pPr>
        <w:widowControl w:val="0"/>
        <w:ind w:left="720" w:hanging="720"/>
        <w:rPr>
          <w:sz w:val="20"/>
          <w:szCs w:val="20"/>
          <w:u w:val="single"/>
          <w:lang w:val="fr-CA"/>
        </w:rPr>
      </w:pPr>
      <w:r w:rsidRPr="009D287C">
        <w:rPr>
          <w:sz w:val="20"/>
          <w:szCs w:val="20"/>
          <w:lang w:val="fr-CA"/>
        </w:rPr>
        <w:t xml:space="preserve">Coram: </w:t>
      </w:r>
      <w:r w:rsidRPr="009D287C">
        <w:rPr>
          <w:sz w:val="20"/>
          <w:szCs w:val="20"/>
          <w:lang w:val="fr-CA"/>
        </w:rPr>
        <w:tab/>
      </w:r>
      <w:r w:rsidR="007A25C7" w:rsidRPr="009D287C">
        <w:rPr>
          <w:sz w:val="20"/>
          <w:szCs w:val="20"/>
          <w:u w:val="single"/>
          <w:lang w:val="fr-CA"/>
        </w:rPr>
        <w:t xml:space="preserve">La juge en chef McLachlin et les juges Abella, </w:t>
      </w:r>
      <w:proofErr w:type="spellStart"/>
      <w:r w:rsidR="007A25C7" w:rsidRPr="009D287C">
        <w:rPr>
          <w:sz w:val="20"/>
          <w:szCs w:val="20"/>
          <w:u w:val="single"/>
          <w:lang w:val="fr-CA"/>
        </w:rPr>
        <w:t>Moldaver</w:t>
      </w:r>
      <w:proofErr w:type="spellEnd"/>
      <w:r w:rsidR="007A25C7" w:rsidRPr="009D287C">
        <w:rPr>
          <w:sz w:val="20"/>
          <w:szCs w:val="20"/>
          <w:u w:val="single"/>
          <w:lang w:val="fr-CA"/>
        </w:rPr>
        <w:t xml:space="preserve">, </w:t>
      </w:r>
      <w:proofErr w:type="spellStart"/>
      <w:r w:rsidR="007A25C7" w:rsidRPr="009D287C">
        <w:rPr>
          <w:sz w:val="20"/>
          <w:szCs w:val="20"/>
          <w:u w:val="single"/>
          <w:lang w:val="fr-CA"/>
        </w:rPr>
        <w:t>Karakatsanis</w:t>
      </w:r>
      <w:proofErr w:type="spellEnd"/>
      <w:r w:rsidR="007A25C7" w:rsidRPr="009D287C">
        <w:rPr>
          <w:sz w:val="20"/>
          <w:szCs w:val="20"/>
          <w:u w:val="single"/>
          <w:lang w:val="fr-CA"/>
        </w:rPr>
        <w:t>, Wagner, Gascon, Côté, Brown et Rowe</w:t>
      </w:r>
    </w:p>
    <w:p w:rsidR="007C47C2" w:rsidRPr="009D287C"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D287C" w:rsidTr="00E942C2">
        <w:tc>
          <w:tcPr>
            <w:tcW w:w="4380" w:type="dxa"/>
            <w:tcMar>
              <w:left w:w="0" w:type="dxa"/>
              <w:right w:w="0" w:type="dxa"/>
            </w:tcMar>
          </w:tcPr>
          <w:p w:rsidR="007C47C2" w:rsidRPr="009D287C" w:rsidRDefault="007A25C7" w:rsidP="00E942C2">
            <w:pPr>
              <w:widowControl w:val="0"/>
              <w:rPr>
                <w:b/>
                <w:sz w:val="20"/>
                <w:szCs w:val="20"/>
                <w:lang w:val="fr-CA"/>
              </w:rPr>
            </w:pPr>
            <w:r w:rsidRPr="009D287C">
              <w:rPr>
                <w:b/>
                <w:sz w:val="20"/>
                <w:szCs w:val="20"/>
                <w:lang w:val="fr-CA"/>
              </w:rPr>
              <w:t>Directeur des poursuites criminelles et pénales</w:t>
            </w:r>
          </w:p>
          <w:p w:rsidR="007C47C2" w:rsidRPr="009D287C" w:rsidRDefault="007C47C2" w:rsidP="00E942C2">
            <w:pPr>
              <w:widowControl w:val="0"/>
              <w:rPr>
                <w:b/>
                <w:sz w:val="20"/>
                <w:szCs w:val="20"/>
                <w:lang w:val="fr-CA"/>
              </w:rPr>
            </w:pPr>
          </w:p>
          <w:p w:rsidR="007C47C2" w:rsidRPr="009D287C" w:rsidRDefault="007C47C2" w:rsidP="00E942C2">
            <w:pPr>
              <w:widowControl w:val="0"/>
              <w:rPr>
                <w:b/>
                <w:sz w:val="20"/>
                <w:szCs w:val="20"/>
                <w:lang w:val="fr-CA"/>
              </w:rPr>
            </w:pPr>
            <w:r w:rsidRPr="009D287C">
              <w:rPr>
                <w:b/>
                <w:sz w:val="20"/>
                <w:szCs w:val="20"/>
                <w:lang w:val="fr-CA"/>
              </w:rPr>
              <w:tab/>
              <w:t xml:space="preserve">c. </w:t>
            </w:r>
            <w:r w:rsidRPr="009D287C">
              <w:rPr>
                <w:sz w:val="20"/>
                <w:szCs w:val="20"/>
                <w:lang w:val="fr-CA"/>
              </w:rPr>
              <w:t>(</w:t>
            </w:r>
            <w:hyperlink r:id="rId50" w:history="1">
              <w:r w:rsidRPr="009D287C">
                <w:rPr>
                  <w:rStyle w:val="Hyperlink"/>
                  <w:sz w:val="20"/>
                  <w:szCs w:val="20"/>
                  <w:lang w:val="fr-CA"/>
                </w:rPr>
                <w:t>3</w:t>
              </w:r>
              <w:r w:rsidR="007A25C7" w:rsidRPr="009D287C">
                <w:rPr>
                  <w:rStyle w:val="Hyperlink"/>
                  <w:sz w:val="20"/>
                  <w:szCs w:val="20"/>
                  <w:lang w:val="fr-CA"/>
                </w:rPr>
                <w:t>6</w:t>
              </w:r>
              <w:r w:rsidRPr="009D287C">
                <w:rPr>
                  <w:rStyle w:val="Hyperlink"/>
                  <w:sz w:val="20"/>
                  <w:szCs w:val="20"/>
                  <w:lang w:val="fr-CA"/>
                </w:rPr>
                <w:t>5</w:t>
              </w:r>
              <w:r w:rsidR="007A25C7" w:rsidRPr="009D287C">
                <w:rPr>
                  <w:rStyle w:val="Hyperlink"/>
                  <w:sz w:val="20"/>
                  <w:szCs w:val="20"/>
                  <w:lang w:val="fr-CA"/>
                </w:rPr>
                <w:t>3</w:t>
              </w:r>
              <w:r w:rsidRPr="009D287C">
                <w:rPr>
                  <w:rStyle w:val="Hyperlink"/>
                  <w:sz w:val="20"/>
                  <w:szCs w:val="20"/>
                  <w:lang w:val="fr-CA"/>
                </w:rPr>
                <w:t>9</w:t>
              </w:r>
            </w:hyperlink>
            <w:r w:rsidRPr="009D287C">
              <w:rPr>
                <w:sz w:val="20"/>
                <w:szCs w:val="20"/>
                <w:lang w:val="fr-CA"/>
              </w:rPr>
              <w:t>)</w:t>
            </w:r>
          </w:p>
          <w:p w:rsidR="007C47C2" w:rsidRPr="009D287C" w:rsidRDefault="007C47C2" w:rsidP="00E942C2">
            <w:pPr>
              <w:widowControl w:val="0"/>
              <w:rPr>
                <w:b/>
                <w:sz w:val="20"/>
                <w:szCs w:val="20"/>
                <w:lang w:val="fr-CA"/>
              </w:rPr>
            </w:pPr>
          </w:p>
          <w:p w:rsidR="007C47C2" w:rsidRPr="009D287C" w:rsidRDefault="007A25C7" w:rsidP="007A25C7">
            <w:pPr>
              <w:widowControl w:val="0"/>
              <w:rPr>
                <w:sz w:val="20"/>
                <w:szCs w:val="20"/>
                <w:lang w:val="fr-CA"/>
              </w:rPr>
            </w:pPr>
            <w:r w:rsidRPr="009D287C">
              <w:rPr>
                <w:b/>
                <w:sz w:val="20"/>
                <w:szCs w:val="20"/>
                <w:lang w:val="fr-CA"/>
              </w:rPr>
              <w:t xml:space="preserve">Robert </w:t>
            </w:r>
            <w:proofErr w:type="spellStart"/>
            <w:r w:rsidRPr="009D287C">
              <w:rPr>
                <w:b/>
                <w:sz w:val="20"/>
                <w:szCs w:val="20"/>
                <w:lang w:val="fr-CA"/>
              </w:rPr>
              <w:t>Jodoin</w:t>
            </w:r>
            <w:proofErr w:type="spellEnd"/>
            <w:r w:rsidRPr="009D287C">
              <w:rPr>
                <w:b/>
                <w:sz w:val="20"/>
                <w:szCs w:val="20"/>
                <w:lang w:val="fr-CA"/>
              </w:rPr>
              <w:t xml:space="preserve"> </w:t>
            </w:r>
            <w:r w:rsidR="007C47C2" w:rsidRPr="009D287C">
              <w:rPr>
                <w:b/>
                <w:sz w:val="20"/>
                <w:szCs w:val="20"/>
                <w:lang w:val="fr-CA"/>
              </w:rPr>
              <w:t>(</w:t>
            </w:r>
            <w:proofErr w:type="spellStart"/>
            <w:r w:rsidR="007C47C2" w:rsidRPr="009D287C">
              <w:rPr>
                <w:b/>
                <w:sz w:val="20"/>
                <w:szCs w:val="20"/>
                <w:lang w:val="fr-CA"/>
              </w:rPr>
              <w:t>Qc</w:t>
            </w:r>
            <w:proofErr w:type="spellEnd"/>
            <w:r w:rsidR="007C47C2" w:rsidRPr="009D287C">
              <w:rPr>
                <w:b/>
                <w:sz w:val="20"/>
                <w:szCs w:val="20"/>
                <w:lang w:val="fr-CA"/>
              </w:rPr>
              <w:t>) (C</w:t>
            </w:r>
            <w:r w:rsidRPr="009D287C">
              <w:rPr>
                <w:b/>
                <w:sz w:val="20"/>
                <w:szCs w:val="20"/>
                <w:lang w:val="fr-CA"/>
              </w:rPr>
              <w:t>r</w:t>
            </w:r>
            <w:r w:rsidR="007C47C2" w:rsidRPr="009D287C">
              <w:rPr>
                <w:b/>
                <w:sz w:val="20"/>
                <w:szCs w:val="20"/>
                <w:lang w:val="fr-CA"/>
              </w:rPr>
              <w:t>i</w:t>
            </w:r>
            <w:r w:rsidRPr="009D287C">
              <w:rPr>
                <w:b/>
                <w:sz w:val="20"/>
                <w:szCs w:val="20"/>
                <w:lang w:val="fr-CA"/>
              </w:rPr>
              <w:t>m</w:t>
            </w:r>
            <w:r w:rsidR="007C47C2" w:rsidRPr="009D287C">
              <w:rPr>
                <w:b/>
                <w:sz w:val="20"/>
                <w:szCs w:val="20"/>
                <w:lang w:val="fr-CA"/>
              </w:rPr>
              <w:t>i</w:t>
            </w:r>
            <w:r w:rsidRPr="009D287C">
              <w:rPr>
                <w:b/>
                <w:sz w:val="20"/>
                <w:szCs w:val="20"/>
                <w:lang w:val="fr-CA"/>
              </w:rPr>
              <w:t>nel</w:t>
            </w:r>
            <w:r w:rsidR="007C47C2" w:rsidRPr="009D287C">
              <w:rPr>
                <w:b/>
                <w:sz w:val="20"/>
                <w:szCs w:val="20"/>
                <w:lang w:val="fr-CA"/>
              </w:rPr>
              <w:t>le) (Autorisation)</w:t>
            </w:r>
          </w:p>
        </w:tc>
        <w:tc>
          <w:tcPr>
            <w:tcW w:w="720" w:type="dxa"/>
            <w:tcMar>
              <w:left w:w="0" w:type="dxa"/>
              <w:right w:w="0" w:type="dxa"/>
            </w:tcMar>
          </w:tcPr>
          <w:p w:rsidR="007C47C2" w:rsidRPr="009D287C" w:rsidRDefault="007C47C2" w:rsidP="00E942C2">
            <w:pPr>
              <w:widowControl w:val="0"/>
              <w:jc w:val="center"/>
              <w:rPr>
                <w:sz w:val="20"/>
                <w:szCs w:val="20"/>
                <w:lang w:val="fr-CA"/>
              </w:rPr>
            </w:pPr>
          </w:p>
        </w:tc>
        <w:tc>
          <w:tcPr>
            <w:tcW w:w="4380" w:type="dxa"/>
            <w:tcMar>
              <w:left w:w="0" w:type="dxa"/>
              <w:right w:w="0" w:type="dxa"/>
            </w:tcMar>
          </w:tcPr>
          <w:p w:rsidR="007C47C2" w:rsidRPr="009D287C" w:rsidRDefault="007C47C2" w:rsidP="00E942C2">
            <w:pPr>
              <w:rPr>
                <w:sz w:val="20"/>
                <w:szCs w:val="20"/>
                <w:lang w:val="fr-CA"/>
              </w:rPr>
            </w:pPr>
            <w:r w:rsidRPr="009D287C">
              <w:rPr>
                <w:sz w:val="20"/>
                <w:szCs w:val="20"/>
                <w:lang w:val="fr-CA"/>
              </w:rPr>
              <w:t>Da</w:t>
            </w:r>
            <w:r w:rsidR="00351639" w:rsidRPr="009D287C">
              <w:rPr>
                <w:sz w:val="20"/>
                <w:szCs w:val="20"/>
                <w:lang w:val="fr-CA"/>
              </w:rPr>
              <w:t>niel Royer et Catherine Dumais</w:t>
            </w:r>
            <w:r w:rsidRPr="009D287C">
              <w:rPr>
                <w:sz w:val="20"/>
                <w:szCs w:val="20"/>
                <w:lang w:val="fr-CA"/>
              </w:rPr>
              <w:t xml:space="preserve"> pour l’appelant.</w:t>
            </w:r>
          </w:p>
          <w:p w:rsidR="007C47C2" w:rsidRPr="009D287C" w:rsidRDefault="007C47C2" w:rsidP="00E942C2">
            <w:pPr>
              <w:rPr>
                <w:sz w:val="20"/>
                <w:szCs w:val="20"/>
                <w:lang w:val="fr-CA"/>
              </w:rPr>
            </w:pPr>
          </w:p>
          <w:p w:rsidR="007C47C2" w:rsidRPr="009D287C" w:rsidRDefault="00351639" w:rsidP="00351639">
            <w:pPr>
              <w:widowControl w:val="0"/>
              <w:jc w:val="both"/>
              <w:rPr>
                <w:sz w:val="20"/>
                <w:szCs w:val="20"/>
                <w:lang w:val="fr-CA"/>
              </w:rPr>
            </w:pPr>
            <w:r w:rsidRPr="009D287C">
              <w:rPr>
                <w:sz w:val="20"/>
                <w:szCs w:val="20"/>
                <w:lang w:val="fr-CA"/>
              </w:rPr>
              <w:t xml:space="preserve">Gilles Villeneuve et Mathieu Stanton </w:t>
            </w:r>
            <w:r w:rsidR="007C47C2" w:rsidRPr="009D287C">
              <w:rPr>
                <w:sz w:val="20"/>
                <w:szCs w:val="20"/>
                <w:lang w:val="fr-CA"/>
              </w:rPr>
              <w:t>pour l’int</w:t>
            </w:r>
            <w:r w:rsidRPr="009D287C">
              <w:rPr>
                <w:sz w:val="20"/>
                <w:szCs w:val="20"/>
                <w:lang w:val="fr-CA"/>
              </w:rPr>
              <w:t>ervenant Directeur des poursuites pénales</w:t>
            </w:r>
            <w:r w:rsidR="007C47C2" w:rsidRPr="009D287C">
              <w:rPr>
                <w:sz w:val="20"/>
                <w:szCs w:val="20"/>
                <w:lang w:val="fr-CA"/>
              </w:rPr>
              <w:t>.</w:t>
            </w:r>
          </w:p>
          <w:p w:rsidR="00351639" w:rsidRPr="009D287C" w:rsidRDefault="00351639" w:rsidP="00351639">
            <w:pPr>
              <w:widowControl w:val="0"/>
              <w:jc w:val="both"/>
              <w:rPr>
                <w:sz w:val="20"/>
                <w:szCs w:val="20"/>
                <w:lang w:val="fr-CA"/>
              </w:rPr>
            </w:pPr>
          </w:p>
          <w:p w:rsidR="00351639" w:rsidRPr="009D287C" w:rsidRDefault="00351639" w:rsidP="00351639">
            <w:pPr>
              <w:widowControl w:val="0"/>
              <w:jc w:val="both"/>
              <w:rPr>
                <w:sz w:val="20"/>
                <w:szCs w:val="20"/>
                <w:lang w:val="fr-CA"/>
              </w:rPr>
            </w:pPr>
            <w:r w:rsidRPr="009D287C">
              <w:rPr>
                <w:sz w:val="20"/>
                <w:szCs w:val="20"/>
                <w:lang w:val="fr-CA"/>
              </w:rPr>
              <w:t>Catherine Cantin-Dussault pour l’intimé.</w:t>
            </w:r>
          </w:p>
          <w:p w:rsidR="00351639" w:rsidRPr="009D287C" w:rsidRDefault="00351639" w:rsidP="00351639">
            <w:pPr>
              <w:widowControl w:val="0"/>
              <w:jc w:val="both"/>
              <w:rPr>
                <w:sz w:val="20"/>
                <w:szCs w:val="20"/>
                <w:lang w:val="fr-CA"/>
              </w:rPr>
            </w:pPr>
          </w:p>
          <w:p w:rsidR="00351639" w:rsidRPr="009D287C" w:rsidRDefault="00351639" w:rsidP="00351639">
            <w:pPr>
              <w:widowControl w:val="0"/>
              <w:jc w:val="both"/>
              <w:rPr>
                <w:sz w:val="20"/>
                <w:szCs w:val="20"/>
                <w:lang w:val="fr-CA"/>
              </w:rPr>
            </w:pPr>
            <w:r w:rsidRPr="009D287C">
              <w:rPr>
                <w:sz w:val="20"/>
                <w:szCs w:val="20"/>
                <w:lang w:val="fr-CA"/>
              </w:rPr>
              <w:t xml:space="preserve">Walid </w:t>
            </w:r>
            <w:proofErr w:type="spellStart"/>
            <w:r w:rsidRPr="009D287C">
              <w:rPr>
                <w:sz w:val="20"/>
                <w:szCs w:val="20"/>
                <w:lang w:val="fr-CA"/>
              </w:rPr>
              <w:t>Hijazi</w:t>
            </w:r>
            <w:proofErr w:type="spellEnd"/>
            <w:r w:rsidRPr="009D287C">
              <w:rPr>
                <w:sz w:val="20"/>
                <w:szCs w:val="20"/>
                <w:lang w:val="fr-CA"/>
              </w:rPr>
              <w:t xml:space="preserve">, Lida Sara </w:t>
            </w:r>
            <w:proofErr w:type="spellStart"/>
            <w:r w:rsidRPr="009D287C">
              <w:rPr>
                <w:sz w:val="20"/>
                <w:szCs w:val="20"/>
                <w:lang w:val="fr-CA"/>
              </w:rPr>
              <w:t>Nouraie</w:t>
            </w:r>
            <w:proofErr w:type="spellEnd"/>
            <w:r w:rsidRPr="009D287C">
              <w:rPr>
                <w:sz w:val="20"/>
                <w:szCs w:val="20"/>
                <w:lang w:val="fr-CA"/>
              </w:rPr>
              <w:t xml:space="preserve"> et Nicholas St-Jacques pour l’intervenante Association des avocats de la défense de Montréal.</w:t>
            </w:r>
          </w:p>
          <w:p w:rsidR="00351639" w:rsidRPr="009D287C" w:rsidRDefault="00351639" w:rsidP="00351639">
            <w:pPr>
              <w:widowControl w:val="0"/>
              <w:jc w:val="both"/>
              <w:rPr>
                <w:sz w:val="20"/>
                <w:szCs w:val="20"/>
                <w:lang w:val="fr-CA"/>
              </w:rPr>
            </w:pPr>
          </w:p>
          <w:p w:rsidR="00351639" w:rsidRPr="009D287C" w:rsidRDefault="00351639" w:rsidP="00351639">
            <w:pPr>
              <w:widowControl w:val="0"/>
              <w:jc w:val="both"/>
              <w:rPr>
                <w:sz w:val="20"/>
                <w:szCs w:val="20"/>
                <w:lang w:val="en-US"/>
              </w:rPr>
            </w:pPr>
            <w:r w:rsidRPr="009D287C">
              <w:rPr>
                <w:sz w:val="20"/>
                <w:szCs w:val="20"/>
                <w:lang w:val="en-US"/>
              </w:rPr>
              <w:t xml:space="preserve">Frank Addario and Stephen </w:t>
            </w:r>
            <w:proofErr w:type="spellStart"/>
            <w:r w:rsidRPr="009D287C">
              <w:rPr>
                <w:sz w:val="20"/>
                <w:szCs w:val="20"/>
                <w:lang w:val="en-US"/>
              </w:rPr>
              <w:t>Aylward</w:t>
            </w:r>
            <w:proofErr w:type="spellEnd"/>
            <w:r w:rsidRPr="009D287C">
              <w:rPr>
                <w:sz w:val="20"/>
                <w:szCs w:val="20"/>
                <w:lang w:val="en-US"/>
              </w:rPr>
              <w:t xml:space="preserve"> for the intervener Canadian Civil Liberties Association.</w:t>
            </w:r>
          </w:p>
          <w:p w:rsidR="00351639" w:rsidRPr="009D287C" w:rsidRDefault="00351639" w:rsidP="00351639">
            <w:pPr>
              <w:widowControl w:val="0"/>
              <w:jc w:val="both"/>
              <w:rPr>
                <w:sz w:val="20"/>
                <w:szCs w:val="20"/>
                <w:lang w:val="en-US"/>
              </w:rPr>
            </w:pPr>
          </w:p>
          <w:p w:rsidR="00351639" w:rsidRPr="009D287C" w:rsidRDefault="00351639" w:rsidP="00351639">
            <w:pPr>
              <w:widowControl w:val="0"/>
              <w:jc w:val="both"/>
              <w:rPr>
                <w:sz w:val="20"/>
                <w:szCs w:val="20"/>
                <w:lang w:val="en-US"/>
              </w:rPr>
            </w:pPr>
            <w:proofErr w:type="spellStart"/>
            <w:r w:rsidRPr="009D287C">
              <w:rPr>
                <w:sz w:val="20"/>
                <w:szCs w:val="20"/>
                <w:lang w:val="en-US"/>
              </w:rPr>
              <w:t>Maxime</w:t>
            </w:r>
            <w:proofErr w:type="spellEnd"/>
            <w:r w:rsidRPr="009D287C">
              <w:rPr>
                <w:sz w:val="20"/>
                <w:szCs w:val="20"/>
                <w:lang w:val="en-US"/>
              </w:rPr>
              <w:t xml:space="preserve"> </w:t>
            </w:r>
            <w:proofErr w:type="spellStart"/>
            <w:r w:rsidRPr="009D287C">
              <w:rPr>
                <w:sz w:val="20"/>
                <w:szCs w:val="20"/>
                <w:lang w:val="en-US"/>
              </w:rPr>
              <w:t>Hébrard</w:t>
            </w:r>
            <w:proofErr w:type="spellEnd"/>
            <w:r w:rsidRPr="009D287C">
              <w:rPr>
                <w:sz w:val="20"/>
                <w:szCs w:val="20"/>
                <w:lang w:val="en-US"/>
              </w:rPr>
              <w:t xml:space="preserve"> and </w:t>
            </w:r>
            <w:proofErr w:type="spellStart"/>
            <w:r w:rsidRPr="009D287C">
              <w:rPr>
                <w:sz w:val="20"/>
                <w:szCs w:val="20"/>
                <w:lang w:val="en-US"/>
              </w:rPr>
              <w:t>Marlys</w:t>
            </w:r>
            <w:proofErr w:type="spellEnd"/>
            <w:r w:rsidRPr="009D287C">
              <w:rPr>
                <w:sz w:val="20"/>
                <w:szCs w:val="20"/>
                <w:lang w:val="en-US"/>
              </w:rPr>
              <w:t xml:space="preserve"> A. Edward for the Intervener Criminal Lawyers’ Association (Ontario).</w:t>
            </w:r>
          </w:p>
          <w:p w:rsidR="00351639" w:rsidRPr="009D287C" w:rsidRDefault="00351639" w:rsidP="00351639">
            <w:pPr>
              <w:widowControl w:val="0"/>
              <w:jc w:val="both"/>
              <w:rPr>
                <w:sz w:val="20"/>
                <w:szCs w:val="20"/>
                <w:lang w:val="en-US"/>
              </w:rPr>
            </w:pPr>
          </w:p>
          <w:p w:rsidR="00351639" w:rsidRPr="009D287C" w:rsidRDefault="00351639" w:rsidP="00351639">
            <w:pPr>
              <w:widowControl w:val="0"/>
              <w:jc w:val="both"/>
              <w:rPr>
                <w:sz w:val="20"/>
                <w:szCs w:val="20"/>
                <w:lang w:val="en-US"/>
              </w:rPr>
            </w:pPr>
            <w:r w:rsidRPr="009D287C">
              <w:rPr>
                <w:sz w:val="20"/>
                <w:szCs w:val="20"/>
                <w:lang w:val="en-US"/>
              </w:rPr>
              <w:t xml:space="preserve">Mathew P. Good and Ariane </w:t>
            </w:r>
            <w:proofErr w:type="spellStart"/>
            <w:r w:rsidRPr="009D287C">
              <w:rPr>
                <w:sz w:val="20"/>
                <w:szCs w:val="20"/>
                <w:lang w:val="en-US"/>
              </w:rPr>
              <w:t>Bisaillon</w:t>
            </w:r>
            <w:proofErr w:type="spellEnd"/>
            <w:r w:rsidRPr="009D287C">
              <w:rPr>
                <w:sz w:val="20"/>
                <w:szCs w:val="20"/>
                <w:lang w:val="en-US"/>
              </w:rPr>
              <w:t xml:space="preserve"> for the intervener Trial Lawyers Association for British Columbia.</w:t>
            </w:r>
          </w:p>
        </w:tc>
      </w:tr>
    </w:tbl>
    <w:p w:rsidR="007C47C2" w:rsidRPr="009D287C" w:rsidRDefault="007C47C2" w:rsidP="007C47C2">
      <w:pPr>
        <w:widowControl w:val="0"/>
        <w:rPr>
          <w:sz w:val="20"/>
          <w:szCs w:val="20"/>
          <w:lang w:val="en-US"/>
        </w:rPr>
      </w:pPr>
    </w:p>
    <w:p w:rsidR="007C47C2" w:rsidRPr="009D287C" w:rsidRDefault="007C47C2" w:rsidP="007C47C2">
      <w:pPr>
        <w:widowControl w:val="0"/>
        <w:rPr>
          <w:sz w:val="20"/>
          <w:szCs w:val="20"/>
        </w:rPr>
      </w:pPr>
      <w:r w:rsidRPr="009D287C">
        <w:rPr>
          <w:b/>
          <w:sz w:val="20"/>
          <w:szCs w:val="20"/>
        </w:rPr>
        <w:t xml:space="preserve">RESERVED / </w:t>
      </w:r>
      <w:r w:rsidRPr="009D287C">
        <w:rPr>
          <w:b/>
          <w:sz w:val="20"/>
          <w:szCs w:val="20"/>
          <w:lang w:val="en-US"/>
        </w:rPr>
        <w:t>EN DÉLIBÉRÉ</w:t>
      </w:r>
    </w:p>
    <w:p w:rsidR="007C47C2" w:rsidRPr="009D287C"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46C6C" w:rsidTr="00E942C2">
        <w:tc>
          <w:tcPr>
            <w:tcW w:w="4380" w:type="dxa"/>
            <w:tcMar>
              <w:left w:w="0" w:type="dxa"/>
              <w:right w:w="0" w:type="dxa"/>
            </w:tcMar>
          </w:tcPr>
          <w:p w:rsidR="007C47C2" w:rsidRPr="009D287C" w:rsidRDefault="007C47C2" w:rsidP="00E942C2">
            <w:pPr>
              <w:widowControl w:val="0"/>
              <w:jc w:val="both"/>
              <w:rPr>
                <w:b/>
                <w:sz w:val="20"/>
                <w:szCs w:val="20"/>
                <w:u w:val="single"/>
              </w:rPr>
            </w:pPr>
            <w:r w:rsidRPr="009D287C">
              <w:rPr>
                <w:b/>
                <w:sz w:val="20"/>
                <w:szCs w:val="20"/>
                <w:u w:val="single"/>
              </w:rPr>
              <w:t>Nature of the case:</w:t>
            </w:r>
          </w:p>
          <w:p w:rsidR="007C47C2" w:rsidRPr="009D287C" w:rsidRDefault="007C47C2" w:rsidP="00E942C2">
            <w:pPr>
              <w:widowControl w:val="0"/>
              <w:jc w:val="both"/>
              <w:rPr>
                <w:b/>
                <w:sz w:val="20"/>
                <w:szCs w:val="20"/>
              </w:rPr>
            </w:pPr>
          </w:p>
          <w:p w:rsidR="007C47C2" w:rsidRPr="009D287C" w:rsidRDefault="007A25C7" w:rsidP="00E942C2">
            <w:pPr>
              <w:widowControl w:val="0"/>
              <w:jc w:val="both"/>
              <w:rPr>
                <w:b/>
                <w:sz w:val="20"/>
                <w:szCs w:val="20"/>
              </w:rPr>
            </w:pPr>
            <w:r w:rsidRPr="009D287C">
              <w:rPr>
                <w:sz w:val="20"/>
                <w:szCs w:val="20"/>
              </w:rPr>
              <w:t>Criminal law - Costs - Whether Quebec Court of Appeal erred in law in disregarding applicable standard of review when intervening in exercise of Superior Court’s discretion to order counsel to pay costs for abusive and dishonest conduct - Whether Quebec Court of Appeal erred in law in analyzing seriousness of counsel’s misconduct by disregarding similar misconduct by same lawyer in other cases in assessing his state of mind and dishonest nature of his motions - Whether Quebec Court of Appeal erred in law in unduly limiting inherent power of superior court to enforce respect for courts and their authority.</w:t>
            </w:r>
          </w:p>
        </w:tc>
        <w:tc>
          <w:tcPr>
            <w:tcW w:w="720" w:type="dxa"/>
            <w:tcMar>
              <w:left w:w="0" w:type="dxa"/>
              <w:right w:w="0" w:type="dxa"/>
            </w:tcMar>
          </w:tcPr>
          <w:p w:rsidR="007C47C2" w:rsidRPr="009D287C" w:rsidRDefault="007C47C2" w:rsidP="00E942C2">
            <w:pPr>
              <w:widowControl w:val="0"/>
              <w:jc w:val="center"/>
              <w:rPr>
                <w:sz w:val="20"/>
                <w:szCs w:val="20"/>
              </w:rPr>
            </w:pPr>
          </w:p>
        </w:tc>
        <w:tc>
          <w:tcPr>
            <w:tcW w:w="4380" w:type="dxa"/>
            <w:tcMar>
              <w:left w:w="0" w:type="dxa"/>
              <w:right w:w="0" w:type="dxa"/>
            </w:tcMar>
          </w:tcPr>
          <w:p w:rsidR="007C47C2" w:rsidRPr="009D287C" w:rsidRDefault="007C47C2" w:rsidP="00E942C2">
            <w:pPr>
              <w:widowControl w:val="0"/>
              <w:jc w:val="both"/>
              <w:rPr>
                <w:b/>
                <w:sz w:val="20"/>
                <w:szCs w:val="20"/>
                <w:u w:val="single"/>
                <w:lang w:val="fr-CA"/>
              </w:rPr>
            </w:pPr>
            <w:r w:rsidRPr="009D287C">
              <w:rPr>
                <w:b/>
                <w:sz w:val="20"/>
                <w:szCs w:val="20"/>
                <w:u w:val="single"/>
                <w:lang w:val="fr-CA"/>
              </w:rPr>
              <w:t>Nature de la cause :</w:t>
            </w:r>
          </w:p>
          <w:p w:rsidR="007C47C2" w:rsidRPr="009D287C" w:rsidRDefault="007C47C2" w:rsidP="00E942C2">
            <w:pPr>
              <w:widowControl w:val="0"/>
              <w:jc w:val="both"/>
              <w:rPr>
                <w:sz w:val="20"/>
                <w:szCs w:val="20"/>
                <w:lang w:val="fr-CA"/>
              </w:rPr>
            </w:pPr>
          </w:p>
          <w:p w:rsidR="007C47C2" w:rsidRPr="009D287C" w:rsidRDefault="007A25C7" w:rsidP="00E942C2">
            <w:pPr>
              <w:widowControl w:val="0"/>
              <w:jc w:val="both"/>
              <w:rPr>
                <w:sz w:val="20"/>
                <w:szCs w:val="20"/>
                <w:lang w:val="fr-CA"/>
              </w:rPr>
            </w:pPr>
            <w:r w:rsidRPr="009D287C">
              <w:rPr>
                <w:sz w:val="20"/>
                <w:szCs w:val="20"/>
                <w:lang w:val="fr-CA"/>
              </w:rPr>
              <w:t>Droit criminel - Dépens - La Cour d’appel du Québec a-t-elle erré en droit en intervenant dans le pouvoir discrétionnaire de la Cour supérieure de condamner un avocat aux frais pour conduite abusive et malhonnête en faisant abstraction de la norme de contrôle applicable? - La Cour d’appel du Québec a-t-elle erré en droit dans son analyse de la gravité de l’inconduite de l’avocat en faisant abstraction d’autres inconduites similaires de cet avocat dans d’autres dossiers pour évaluer son état d’esprit et le caractère malhonnête de son recours? - La Cour d’appel du Québec a-t-elle erré en droit en limitant indûment le pouvoir inhérent d’une cour supérieure de veiller au respect des tribunaux et de leur autorité?</w:t>
            </w:r>
          </w:p>
        </w:tc>
      </w:tr>
    </w:tbl>
    <w:p w:rsidR="007C47C2" w:rsidRPr="009D287C" w:rsidRDefault="007C47C2" w:rsidP="007C47C2">
      <w:pPr>
        <w:widowControl w:val="0"/>
        <w:rPr>
          <w:sz w:val="20"/>
          <w:szCs w:val="20"/>
          <w:lang w:val="fr-CA"/>
        </w:rPr>
      </w:pPr>
    </w:p>
    <w:p w:rsidR="002A27D1" w:rsidRPr="009D287C" w:rsidRDefault="00346C6C" w:rsidP="002A27D1">
      <w:pPr>
        <w:widowControl w:val="0"/>
        <w:rPr>
          <w:sz w:val="20"/>
          <w:szCs w:val="20"/>
        </w:rPr>
      </w:pPr>
      <w:r>
        <w:rPr>
          <w:sz w:val="20"/>
          <w:szCs w:val="20"/>
          <w:lang w:val="fr-CA"/>
        </w:rPr>
        <w:pict>
          <v:rect id="_x0000_i1053" style="width:2in;height:1pt" o:hrpct="0" o:hralign="center" o:hrstd="t" o:hrnoshade="t" o:hr="t" fillcolor="black [3213]" stroked="f"/>
        </w:pict>
      </w:r>
    </w:p>
    <w:p w:rsidR="00E4610B" w:rsidRPr="009D287C" w:rsidRDefault="00E4610B">
      <w:pPr>
        <w:rPr>
          <w:sz w:val="20"/>
          <w:szCs w:val="20"/>
        </w:rPr>
      </w:pPr>
      <w:r w:rsidRPr="009D287C">
        <w:rPr>
          <w:sz w:val="20"/>
          <w:szCs w:val="20"/>
        </w:rPr>
        <w:br w:type="page"/>
      </w:r>
    </w:p>
    <w:p w:rsidR="007C47C2" w:rsidRPr="009D287C" w:rsidRDefault="007A25C7" w:rsidP="007C47C2">
      <w:pPr>
        <w:widowControl w:val="0"/>
        <w:rPr>
          <w:sz w:val="20"/>
          <w:szCs w:val="20"/>
        </w:rPr>
      </w:pPr>
      <w:r w:rsidRPr="009D287C">
        <w:rPr>
          <w:sz w:val="20"/>
          <w:szCs w:val="20"/>
        </w:rPr>
        <w:lastRenderedPageBreak/>
        <w:t>06</w:t>
      </w:r>
      <w:r w:rsidR="007C47C2" w:rsidRPr="009D287C">
        <w:rPr>
          <w:sz w:val="20"/>
          <w:szCs w:val="20"/>
        </w:rPr>
        <w:t>.</w:t>
      </w:r>
      <w:r w:rsidRPr="009D287C">
        <w:rPr>
          <w:sz w:val="20"/>
          <w:szCs w:val="20"/>
        </w:rPr>
        <w:t>12</w:t>
      </w:r>
      <w:r w:rsidR="007C47C2" w:rsidRPr="009D287C">
        <w:rPr>
          <w:sz w:val="20"/>
          <w:szCs w:val="20"/>
        </w:rPr>
        <w:t>.201</w:t>
      </w:r>
      <w:r w:rsidR="00E942C2" w:rsidRPr="009D287C">
        <w:rPr>
          <w:sz w:val="20"/>
          <w:szCs w:val="20"/>
        </w:rPr>
        <w:t>6</w:t>
      </w:r>
    </w:p>
    <w:p w:rsidR="007C47C2" w:rsidRPr="009D287C" w:rsidRDefault="007C47C2" w:rsidP="007C47C2">
      <w:pPr>
        <w:widowControl w:val="0"/>
        <w:rPr>
          <w:sz w:val="20"/>
          <w:szCs w:val="20"/>
        </w:rPr>
      </w:pPr>
    </w:p>
    <w:p w:rsidR="007C47C2" w:rsidRPr="009D287C" w:rsidRDefault="007C47C2" w:rsidP="0017664B">
      <w:pPr>
        <w:widowControl w:val="0"/>
        <w:ind w:left="720" w:hanging="720"/>
        <w:rPr>
          <w:sz w:val="20"/>
          <w:szCs w:val="20"/>
          <w:u w:val="single"/>
        </w:rPr>
      </w:pPr>
      <w:r w:rsidRPr="009D287C">
        <w:rPr>
          <w:sz w:val="20"/>
          <w:szCs w:val="20"/>
        </w:rPr>
        <w:t xml:space="preserve">Coram: </w:t>
      </w:r>
      <w:r w:rsidRPr="009D287C">
        <w:rPr>
          <w:sz w:val="20"/>
          <w:szCs w:val="20"/>
        </w:rPr>
        <w:tab/>
      </w:r>
      <w:proofErr w:type="spellStart"/>
      <w:r w:rsidR="0017664B" w:rsidRPr="009D287C">
        <w:rPr>
          <w:sz w:val="20"/>
          <w:szCs w:val="20"/>
          <w:u w:val="single"/>
        </w:rPr>
        <w:t>McLachlin</w:t>
      </w:r>
      <w:proofErr w:type="spellEnd"/>
      <w:r w:rsidR="0017664B" w:rsidRPr="009D287C">
        <w:rPr>
          <w:sz w:val="20"/>
          <w:szCs w:val="20"/>
          <w:u w:val="single"/>
        </w:rPr>
        <w:t xml:space="preserve"> C.J. and </w:t>
      </w:r>
      <w:proofErr w:type="spellStart"/>
      <w:r w:rsidR="0017664B" w:rsidRPr="009D287C">
        <w:rPr>
          <w:sz w:val="20"/>
          <w:szCs w:val="20"/>
          <w:u w:val="single"/>
        </w:rPr>
        <w:t>Abella</w:t>
      </w:r>
      <w:proofErr w:type="spellEnd"/>
      <w:r w:rsidR="0017664B" w:rsidRPr="009D287C">
        <w:rPr>
          <w:sz w:val="20"/>
          <w:szCs w:val="20"/>
          <w:u w:val="single"/>
        </w:rPr>
        <w:t xml:space="preserve">, </w:t>
      </w:r>
      <w:proofErr w:type="spellStart"/>
      <w:r w:rsidR="0017664B" w:rsidRPr="009D287C">
        <w:rPr>
          <w:sz w:val="20"/>
          <w:szCs w:val="20"/>
          <w:u w:val="single"/>
        </w:rPr>
        <w:t>Moldaver</w:t>
      </w:r>
      <w:proofErr w:type="spellEnd"/>
      <w:r w:rsidR="0017664B" w:rsidRPr="009D287C">
        <w:rPr>
          <w:sz w:val="20"/>
          <w:szCs w:val="20"/>
          <w:u w:val="single"/>
        </w:rPr>
        <w:t xml:space="preserve">, </w:t>
      </w:r>
      <w:proofErr w:type="spellStart"/>
      <w:r w:rsidR="0017664B" w:rsidRPr="009D287C">
        <w:rPr>
          <w:sz w:val="20"/>
          <w:szCs w:val="20"/>
          <w:u w:val="single"/>
        </w:rPr>
        <w:t>Karakatsanis</w:t>
      </w:r>
      <w:proofErr w:type="spellEnd"/>
      <w:r w:rsidR="0017664B" w:rsidRPr="009D287C">
        <w:rPr>
          <w:sz w:val="20"/>
          <w:szCs w:val="20"/>
          <w:u w:val="single"/>
        </w:rPr>
        <w:t xml:space="preserve">, Wagner, </w:t>
      </w:r>
      <w:proofErr w:type="spellStart"/>
      <w:r w:rsidR="0017664B" w:rsidRPr="009D287C">
        <w:rPr>
          <w:sz w:val="20"/>
          <w:szCs w:val="20"/>
          <w:u w:val="single"/>
        </w:rPr>
        <w:t>Gascon</w:t>
      </w:r>
      <w:proofErr w:type="spellEnd"/>
      <w:r w:rsidR="0017664B" w:rsidRPr="009D287C">
        <w:rPr>
          <w:sz w:val="20"/>
          <w:szCs w:val="20"/>
          <w:u w:val="single"/>
        </w:rPr>
        <w:t>, Côté, Brown and Rowe JJ.</w:t>
      </w:r>
    </w:p>
    <w:p w:rsidR="0017664B" w:rsidRPr="009D287C" w:rsidRDefault="0017664B" w:rsidP="0017664B">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D287C" w:rsidTr="00E942C2">
        <w:tc>
          <w:tcPr>
            <w:tcW w:w="4380" w:type="dxa"/>
            <w:tcMar>
              <w:left w:w="0" w:type="dxa"/>
              <w:right w:w="0" w:type="dxa"/>
            </w:tcMar>
          </w:tcPr>
          <w:p w:rsidR="007C47C2" w:rsidRPr="009D287C" w:rsidRDefault="007A25C7" w:rsidP="00E942C2">
            <w:pPr>
              <w:widowControl w:val="0"/>
              <w:jc w:val="both"/>
              <w:rPr>
                <w:b/>
                <w:sz w:val="20"/>
                <w:szCs w:val="20"/>
                <w:lang w:val="fr-CA"/>
              </w:rPr>
            </w:pPr>
            <w:r w:rsidRPr="009D287C">
              <w:rPr>
                <w:b/>
                <w:sz w:val="20"/>
                <w:szCs w:val="20"/>
                <w:lang w:val="fr-CA"/>
              </w:rPr>
              <w:t>Google Inc.</w:t>
            </w:r>
          </w:p>
          <w:p w:rsidR="007C47C2" w:rsidRPr="009D287C" w:rsidRDefault="007C47C2" w:rsidP="00E942C2">
            <w:pPr>
              <w:widowControl w:val="0"/>
              <w:jc w:val="both"/>
              <w:rPr>
                <w:b/>
                <w:sz w:val="20"/>
                <w:szCs w:val="20"/>
                <w:lang w:val="fr-CA"/>
              </w:rPr>
            </w:pPr>
          </w:p>
          <w:p w:rsidR="007C47C2" w:rsidRPr="009D287C" w:rsidRDefault="007C47C2" w:rsidP="00E942C2">
            <w:pPr>
              <w:widowControl w:val="0"/>
              <w:tabs>
                <w:tab w:val="left" w:pos="736"/>
              </w:tabs>
              <w:jc w:val="both"/>
              <w:rPr>
                <w:b/>
                <w:sz w:val="20"/>
                <w:szCs w:val="20"/>
                <w:lang w:val="fr-CA"/>
              </w:rPr>
            </w:pPr>
            <w:r w:rsidRPr="009D287C">
              <w:rPr>
                <w:b/>
                <w:sz w:val="20"/>
                <w:szCs w:val="20"/>
                <w:lang w:val="fr-CA"/>
              </w:rPr>
              <w:tab/>
              <w:t xml:space="preserve">v. </w:t>
            </w:r>
            <w:r w:rsidRPr="009D287C">
              <w:rPr>
                <w:sz w:val="20"/>
                <w:szCs w:val="20"/>
                <w:lang w:val="fr-CA"/>
              </w:rPr>
              <w:t>(</w:t>
            </w:r>
            <w:hyperlink r:id="rId51" w:history="1">
              <w:r w:rsidRPr="009D287C">
                <w:rPr>
                  <w:rStyle w:val="Hyperlink"/>
                  <w:sz w:val="20"/>
                  <w:szCs w:val="20"/>
                  <w:lang w:val="fr-CA"/>
                </w:rPr>
                <w:t>3</w:t>
              </w:r>
              <w:r w:rsidR="007A25C7" w:rsidRPr="009D287C">
                <w:rPr>
                  <w:rStyle w:val="Hyperlink"/>
                  <w:sz w:val="20"/>
                  <w:szCs w:val="20"/>
                  <w:lang w:val="fr-CA"/>
                </w:rPr>
                <w:t>6602</w:t>
              </w:r>
            </w:hyperlink>
            <w:r w:rsidRPr="009D287C">
              <w:rPr>
                <w:sz w:val="20"/>
                <w:szCs w:val="20"/>
                <w:lang w:val="fr-CA"/>
              </w:rPr>
              <w:t>)</w:t>
            </w:r>
          </w:p>
          <w:p w:rsidR="007C47C2" w:rsidRPr="009D287C" w:rsidRDefault="007C47C2" w:rsidP="00E942C2">
            <w:pPr>
              <w:widowControl w:val="0"/>
              <w:jc w:val="both"/>
              <w:rPr>
                <w:b/>
                <w:sz w:val="20"/>
                <w:szCs w:val="20"/>
                <w:lang w:val="fr-CA"/>
              </w:rPr>
            </w:pPr>
          </w:p>
          <w:p w:rsidR="007C47C2" w:rsidRPr="009D287C" w:rsidRDefault="007A25C7" w:rsidP="007A25C7">
            <w:pPr>
              <w:widowControl w:val="0"/>
              <w:jc w:val="both"/>
              <w:rPr>
                <w:sz w:val="20"/>
                <w:szCs w:val="20"/>
              </w:rPr>
            </w:pPr>
            <w:proofErr w:type="spellStart"/>
            <w:r w:rsidRPr="009D287C">
              <w:rPr>
                <w:b/>
                <w:sz w:val="20"/>
                <w:szCs w:val="20"/>
                <w:lang w:val="fr-CA"/>
              </w:rPr>
              <w:t>Equustek</w:t>
            </w:r>
            <w:proofErr w:type="spellEnd"/>
            <w:r w:rsidRPr="009D287C">
              <w:rPr>
                <w:b/>
                <w:sz w:val="20"/>
                <w:szCs w:val="20"/>
                <w:lang w:val="fr-CA"/>
              </w:rPr>
              <w:t xml:space="preserve"> Solutions Inc. et al.</w:t>
            </w:r>
            <w:r w:rsidR="007C47C2" w:rsidRPr="009D287C">
              <w:rPr>
                <w:b/>
                <w:sz w:val="20"/>
                <w:szCs w:val="20"/>
                <w:lang w:val="fr-CA"/>
              </w:rPr>
              <w:t xml:space="preserve"> </w:t>
            </w:r>
            <w:r w:rsidR="007C47C2" w:rsidRPr="009D287C">
              <w:rPr>
                <w:b/>
                <w:sz w:val="20"/>
                <w:szCs w:val="20"/>
              </w:rPr>
              <w:t>(</w:t>
            </w:r>
            <w:r w:rsidRPr="009D287C">
              <w:rPr>
                <w:b/>
                <w:sz w:val="20"/>
                <w:szCs w:val="20"/>
              </w:rPr>
              <w:t>B.C.</w:t>
            </w:r>
            <w:r w:rsidR="007C47C2" w:rsidRPr="009D287C">
              <w:rPr>
                <w:b/>
                <w:sz w:val="20"/>
                <w:szCs w:val="20"/>
              </w:rPr>
              <w:t>) (Ci</w:t>
            </w:r>
            <w:r w:rsidRPr="009D287C">
              <w:rPr>
                <w:b/>
                <w:sz w:val="20"/>
                <w:szCs w:val="20"/>
              </w:rPr>
              <w:t>v</w:t>
            </w:r>
            <w:r w:rsidR="007C47C2" w:rsidRPr="009D287C">
              <w:rPr>
                <w:b/>
                <w:sz w:val="20"/>
                <w:szCs w:val="20"/>
              </w:rPr>
              <w:t>il) (</w:t>
            </w:r>
            <w:r w:rsidRPr="009D287C">
              <w:rPr>
                <w:b/>
                <w:sz w:val="20"/>
                <w:szCs w:val="20"/>
              </w:rPr>
              <w:t>By Leave</w:t>
            </w:r>
            <w:r w:rsidR="007C47C2" w:rsidRPr="009D287C">
              <w:rPr>
                <w:b/>
                <w:sz w:val="20"/>
                <w:szCs w:val="20"/>
              </w:rPr>
              <w:t>)</w:t>
            </w:r>
          </w:p>
        </w:tc>
        <w:tc>
          <w:tcPr>
            <w:tcW w:w="720" w:type="dxa"/>
            <w:tcMar>
              <w:left w:w="0" w:type="dxa"/>
              <w:right w:w="0" w:type="dxa"/>
            </w:tcMar>
          </w:tcPr>
          <w:p w:rsidR="007C47C2" w:rsidRPr="009D287C" w:rsidRDefault="007C47C2" w:rsidP="00E942C2">
            <w:pPr>
              <w:widowControl w:val="0"/>
              <w:jc w:val="center"/>
              <w:rPr>
                <w:sz w:val="20"/>
                <w:szCs w:val="20"/>
              </w:rPr>
            </w:pPr>
          </w:p>
        </w:tc>
        <w:tc>
          <w:tcPr>
            <w:tcW w:w="4380" w:type="dxa"/>
            <w:tcMar>
              <w:left w:w="0" w:type="dxa"/>
              <w:right w:w="0" w:type="dxa"/>
            </w:tcMar>
          </w:tcPr>
          <w:p w:rsidR="006409CB" w:rsidRPr="009D287C" w:rsidRDefault="006409CB" w:rsidP="006409CB">
            <w:pPr>
              <w:widowControl w:val="0"/>
              <w:jc w:val="both"/>
              <w:rPr>
                <w:sz w:val="20"/>
                <w:szCs w:val="20"/>
              </w:rPr>
            </w:pPr>
            <w:r w:rsidRPr="009D287C">
              <w:rPr>
                <w:sz w:val="20"/>
                <w:szCs w:val="20"/>
              </w:rPr>
              <w:t xml:space="preserve">William C. McDowell, Marguerite F. </w:t>
            </w:r>
            <w:proofErr w:type="spellStart"/>
            <w:r w:rsidRPr="009D287C">
              <w:rPr>
                <w:sz w:val="20"/>
                <w:szCs w:val="20"/>
              </w:rPr>
              <w:t>Ethier</w:t>
            </w:r>
            <w:proofErr w:type="spellEnd"/>
            <w:r w:rsidRPr="009D287C">
              <w:rPr>
                <w:sz w:val="20"/>
                <w:szCs w:val="20"/>
              </w:rPr>
              <w:t xml:space="preserve"> and Scott M. J. </w:t>
            </w:r>
            <w:proofErr w:type="spellStart"/>
            <w:r w:rsidRPr="009D287C">
              <w:rPr>
                <w:sz w:val="20"/>
                <w:szCs w:val="20"/>
              </w:rPr>
              <w:t>Rollwagen</w:t>
            </w:r>
            <w:proofErr w:type="spellEnd"/>
            <w:r w:rsidRPr="009D287C">
              <w:rPr>
                <w:sz w:val="20"/>
                <w:szCs w:val="20"/>
              </w:rPr>
              <w:t xml:space="preserve"> for the Appellant.</w:t>
            </w:r>
          </w:p>
          <w:p w:rsidR="006409CB" w:rsidRPr="009D287C" w:rsidRDefault="006409CB" w:rsidP="006409CB">
            <w:pPr>
              <w:widowControl w:val="0"/>
              <w:jc w:val="both"/>
              <w:rPr>
                <w:sz w:val="20"/>
                <w:szCs w:val="20"/>
              </w:rPr>
            </w:pPr>
          </w:p>
          <w:p w:rsidR="007C47C2" w:rsidRPr="009D287C" w:rsidRDefault="006409CB" w:rsidP="006409CB">
            <w:pPr>
              <w:widowControl w:val="0"/>
              <w:jc w:val="both"/>
              <w:rPr>
                <w:sz w:val="20"/>
                <w:szCs w:val="20"/>
              </w:rPr>
            </w:pPr>
            <w:r w:rsidRPr="009D287C">
              <w:rPr>
                <w:sz w:val="20"/>
                <w:szCs w:val="20"/>
              </w:rPr>
              <w:t>Jeffrey G. Johnston for the Intervener Attorney General of Canada.</w:t>
            </w:r>
          </w:p>
          <w:p w:rsidR="006409CB" w:rsidRPr="009D287C" w:rsidRDefault="006409CB" w:rsidP="006409CB">
            <w:pPr>
              <w:widowControl w:val="0"/>
              <w:jc w:val="both"/>
              <w:rPr>
                <w:sz w:val="20"/>
                <w:szCs w:val="20"/>
              </w:rPr>
            </w:pPr>
          </w:p>
          <w:p w:rsidR="006409CB" w:rsidRPr="009D287C" w:rsidRDefault="006409CB" w:rsidP="006409CB">
            <w:pPr>
              <w:widowControl w:val="0"/>
              <w:jc w:val="both"/>
              <w:rPr>
                <w:sz w:val="20"/>
                <w:szCs w:val="20"/>
              </w:rPr>
            </w:pPr>
            <w:r w:rsidRPr="009D287C">
              <w:rPr>
                <w:sz w:val="20"/>
                <w:szCs w:val="20"/>
              </w:rPr>
              <w:t xml:space="preserve">Justin </w:t>
            </w:r>
            <w:proofErr w:type="spellStart"/>
            <w:r w:rsidRPr="009D287C">
              <w:rPr>
                <w:sz w:val="20"/>
                <w:szCs w:val="20"/>
              </w:rPr>
              <w:t>Safayeni</w:t>
            </w:r>
            <w:proofErr w:type="spellEnd"/>
            <w:r w:rsidRPr="009D287C">
              <w:rPr>
                <w:sz w:val="20"/>
                <w:szCs w:val="20"/>
              </w:rPr>
              <w:t xml:space="preserve"> and Carlo Di Carlo for the intervener British Columbia Civil Liberties Association.</w:t>
            </w:r>
          </w:p>
          <w:p w:rsidR="006409CB" w:rsidRPr="009D287C" w:rsidRDefault="006409CB" w:rsidP="006409CB">
            <w:pPr>
              <w:widowControl w:val="0"/>
              <w:jc w:val="both"/>
              <w:rPr>
                <w:sz w:val="20"/>
                <w:szCs w:val="20"/>
              </w:rPr>
            </w:pPr>
          </w:p>
          <w:p w:rsidR="006409CB" w:rsidRPr="009D287C" w:rsidRDefault="006409CB" w:rsidP="006409CB">
            <w:pPr>
              <w:widowControl w:val="0"/>
              <w:jc w:val="both"/>
              <w:rPr>
                <w:sz w:val="20"/>
                <w:szCs w:val="20"/>
              </w:rPr>
            </w:pPr>
            <w:r w:rsidRPr="009D287C">
              <w:rPr>
                <w:sz w:val="20"/>
                <w:szCs w:val="20"/>
              </w:rPr>
              <w:t xml:space="preserve">David </w:t>
            </w:r>
            <w:proofErr w:type="spellStart"/>
            <w:r w:rsidRPr="009D287C">
              <w:rPr>
                <w:sz w:val="20"/>
                <w:szCs w:val="20"/>
              </w:rPr>
              <w:t>Wotherspoon</w:t>
            </w:r>
            <w:proofErr w:type="spellEnd"/>
            <w:r w:rsidRPr="009D287C">
              <w:rPr>
                <w:sz w:val="20"/>
                <w:szCs w:val="20"/>
              </w:rPr>
              <w:t xml:space="preserve"> and Daniel </w:t>
            </w:r>
            <w:proofErr w:type="spellStart"/>
            <w:r w:rsidRPr="009D287C">
              <w:rPr>
                <w:sz w:val="20"/>
                <w:szCs w:val="20"/>
              </w:rPr>
              <w:t>Byma</w:t>
            </w:r>
            <w:proofErr w:type="spellEnd"/>
            <w:r w:rsidRPr="009D287C">
              <w:rPr>
                <w:sz w:val="20"/>
                <w:szCs w:val="20"/>
              </w:rPr>
              <w:t xml:space="preserve"> for the intervener Electronic Frontier Foundation.</w:t>
            </w:r>
          </w:p>
          <w:p w:rsidR="006409CB" w:rsidRPr="009D287C" w:rsidRDefault="006409CB" w:rsidP="006409CB">
            <w:pPr>
              <w:widowControl w:val="0"/>
              <w:jc w:val="both"/>
              <w:rPr>
                <w:sz w:val="20"/>
                <w:szCs w:val="20"/>
              </w:rPr>
            </w:pPr>
          </w:p>
          <w:p w:rsidR="006409CB" w:rsidRPr="009D287C" w:rsidRDefault="006409CB" w:rsidP="006409CB">
            <w:pPr>
              <w:widowControl w:val="0"/>
              <w:jc w:val="both"/>
              <w:rPr>
                <w:sz w:val="20"/>
                <w:szCs w:val="20"/>
              </w:rPr>
            </w:pPr>
            <w:r w:rsidRPr="009D287C">
              <w:rPr>
                <w:sz w:val="20"/>
                <w:szCs w:val="20"/>
              </w:rPr>
              <w:t xml:space="preserve">Robbie Fleming and Michael </w:t>
            </w:r>
            <w:proofErr w:type="spellStart"/>
            <w:r w:rsidRPr="009D287C">
              <w:rPr>
                <w:sz w:val="20"/>
                <w:szCs w:val="20"/>
              </w:rPr>
              <w:t>Sobkin</w:t>
            </w:r>
            <w:proofErr w:type="spellEnd"/>
            <w:r w:rsidRPr="009D287C">
              <w:rPr>
                <w:sz w:val="20"/>
                <w:szCs w:val="20"/>
              </w:rPr>
              <w:t xml:space="preserve"> for the respondents.</w:t>
            </w:r>
          </w:p>
          <w:p w:rsidR="006409CB" w:rsidRPr="009D287C" w:rsidRDefault="006409CB" w:rsidP="006409CB">
            <w:pPr>
              <w:widowControl w:val="0"/>
              <w:jc w:val="both"/>
              <w:rPr>
                <w:sz w:val="20"/>
                <w:szCs w:val="20"/>
              </w:rPr>
            </w:pPr>
          </w:p>
          <w:p w:rsidR="006409CB" w:rsidRPr="009D287C" w:rsidRDefault="006409CB" w:rsidP="006409CB">
            <w:pPr>
              <w:widowControl w:val="0"/>
              <w:jc w:val="both"/>
              <w:rPr>
                <w:sz w:val="20"/>
                <w:szCs w:val="20"/>
              </w:rPr>
            </w:pPr>
            <w:r w:rsidRPr="009D287C">
              <w:rPr>
                <w:sz w:val="20"/>
                <w:szCs w:val="20"/>
              </w:rPr>
              <w:t xml:space="preserve">Sandra </w:t>
            </w:r>
            <w:r w:rsidR="000A1145" w:rsidRPr="009D287C">
              <w:rPr>
                <w:sz w:val="20"/>
                <w:szCs w:val="20"/>
              </w:rPr>
              <w:t>N</w:t>
            </w:r>
            <w:r w:rsidRPr="009D287C">
              <w:rPr>
                <w:sz w:val="20"/>
                <w:szCs w:val="20"/>
              </w:rPr>
              <w:t>ishikawa, John Corelli and Brent Kettles for the intervener Attorney General of Ontario.</w:t>
            </w:r>
          </w:p>
          <w:p w:rsidR="006409CB" w:rsidRPr="009D287C" w:rsidRDefault="006409CB" w:rsidP="006409CB">
            <w:pPr>
              <w:widowControl w:val="0"/>
              <w:jc w:val="both"/>
              <w:rPr>
                <w:sz w:val="20"/>
                <w:szCs w:val="20"/>
              </w:rPr>
            </w:pPr>
          </w:p>
          <w:p w:rsidR="006409CB" w:rsidRPr="009D287C" w:rsidRDefault="006409CB" w:rsidP="006409CB">
            <w:pPr>
              <w:widowControl w:val="0"/>
              <w:jc w:val="both"/>
              <w:rPr>
                <w:sz w:val="20"/>
                <w:szCs w:val="20"/>
              </w:rPr>
            </w:pPr>
            <w:r w:rsidRPr="009D287C">
              <w:rPr>
                <w:sz w:val="20"/>
                <w:szCs w:val="20"/>
              </w:rPr>
              <w:t>Dan Glover and Miranda Lam for the interveners International Federation of the Phonographic Industry et al.</w:t>
            </w:r>
          </w:p>
          <w:p w:rsidR="006409CB" w:rsidRPr="009D287C" w:rsidRDefault="006409CB" w:rsidP="006409CB">
            <w:pPr>
              <w:widowControl w:val="0"/>
              <w:jc w:val="both"/>
              <w:rPr>
                <w:sz w:val="20"/>
                <w:szCs w:val="20"/>
              </w:rPr>
            </w:pPr>
          </w:p>
          <w:p w:rsidR="006409CB" w:rsidRPr="009D287C" w:rsidRDefault="006409CB" w:rsidP="00061AAA">
            <w:pPr>
              <w:widowControl w:val="0"/>
              <w:jc w:val="both"/>
              <w:rPr>
                <w:sz w:val="20"/>
                <w:szCs w:val="20"/>
              </w:rPr>
            </w:pPr>
            <w:r w:rsidRPr="009D287C">
              <w:rPr>
                <w:sz w:val="20"/>
                <w:szCs w:val="20"/>
              </w:rPr>
              <w:t xml:space="preserve">Gavin </w:t>
            </w:r>
            <w:proofErr w:type="spellStart"/>
            <w:r w:rsidRPr="009D287C">
              <w:rPr>
                <w:sz w:val="20"/>
                <w:szCs w:val="20"/>
              </w:rPr>
              <w:t>MacKenzie</w:t>
            </w:r>
            <w:proofErr w:type="spellEnd"/>
            <w:r w:rsidRPr="009D287C">
              <w:rPr>
                <w:sz w:val="20"/>
                <w:szCs w:val="20"/>
              </w:rPr>
              <w:t xml:space="preserve"> and Brooke </w:t>
            </w:r>
            <w:proofErr w:type="spellStart"/>
            <w:r w:rsidRPr="009D287C">
              <w:rPr>
                <w:sz w:val="20"/>
                <w:szCs w:val="20"/>
              </w:rPr>
              <w:t>MacKenzie</w:t>
            </w:r>
            <w:proofErr w:type="spellEnd"/>
            <w:r w:rsidRPr="009D287C">
              <w:rPr>
                <w:sz w:val="20"/>
                <w:szCs w:val="20"/>
              </w:rPr>
              <w:t xml:space="preserve"> for the intervener International Federation of Film Producers Associations.</w:t>
            </w:r>
          </w:p>
        </w:tc>
      </w:tr>
    </w:tbl>
    <w:p w:rsidR="007C47C2" w:rsidRPr="009D287C" w:rsidRDefault="007C47C2" w:rsidP="007C47C2">
      <w:pPr>
        <w:widowControl w:val="0"/>
      </w:pPr>
    </w:p>
    <w:p w:rsidR="007A25C7" w:rsidRPr="009D287C" w:rsidRDefault="007A25C7" w:rsidP="007A25C7">
      <w:pPr>
        <w:widowControl w:val="0"/>
        <w:rPr>
          <w:sz w:val="20"/>
          <w:szCs w:val="20"/>
        </w:rPr>
      </w:pPr>
      <w:r w:rsidRPr="009D287C">
        <w:rPr>
          <w:b/>
          <w:sz w:val="20"/>
          <w:szCs w:val="20"/>
        </w:rPr>
        <w:t xml:space="preserve">RESERVED / </w:t>
      </w:r>
      <w:r w:rsidRPr="009D287C">
        <w:rPr>
          <w:b/>
          <w:sz w:val="20"/>
          <w:szCs w:val="20"/>
          <w:lang w:val="fr-CA"/>
        </w:rPr>
        <w:t>EN DÉLIBÉRÉ</w:t>
      </w:r>
    </w:p>
    <w:p w:rsidR="007C47C2" w:rsidRPr="009D287C"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46C6C" w:rsidTr="00E942C2">
        <w:tc>
          <w:tcPr>
            <w:tcW w:w="4380" w:type="dxa"/>
            <w:tcMar>
              <w:left w:w="0" w:type="dxa"/>
              <w:right w:w="0" w:type="dxa"/>
            </w:tcMar>
          </w:tcPr>
          <w:p w:rsidR="007C47C2" w:rsidRPr="009D287C" w:rsidRDefault="007C47C2" w:rsidP="00E942C2">
            <w:pPr>
              <w:widowControl w:val="0"/>
              <w:jc w:val="both"/>
              <w:rPr>
                <w:b/>
                <w:sz w:val="20"/>
                <w:szCs w:val="20"/>
                <w:u w:val="single"/>
              </w:rPr>
            </w:pPr>
            <w:r w:rsidRPr="009D287C">
              <w:rPr>
                <w:b/>
                <w:sz w:val="20"/>
                <w:szCs w:val="20"/>
                <w:u w:val="single"/>
              </w:rPr>
              <w:t>Nature of the case:</w:t>
            </w:r>
          </w:p>
          <w:p w:rsidR="007C47C2" w:rsidRPr="009D287C" w:rsidRDefault="007C47C2" w:rsidP="00E942C2">
            <w:pPr>
              <w:widowControl w:val="0"/>
              <w:jc w:val="both"/>
              <w:rPr>
                <w:b/>
                <w:sz w:val="20"/>
                <w:szCs w:val="20"/>
              </w:rPr>
            </w:pPr>
          </w:p>
          <w:p w:rsidR="007C47C2" w:rsidRPr="009D287C" w:rsidRDefault="00031E61" w:rsidP="00E942C2">
            <w:pPr>
              <w:widowControl w:val="0"/>
              <w:jc w:val="both"/>
              <w:rPr>
                <w:b/>
                <w:sz w:val="20"/>
                <w:szCs w:val="20"/>
              </w:rPr>
            </w:pPr>
            <w:r w:rsidRPr="009D287C">
              <w:rPr>
                <w:sz w:val="20"/>
                <w:szCs w:val="20"/>
              </w:rPr>
              <w:t>Administrative law - Interlocutory orders - Injunctions - Private international law -Extraterritoriality - Communications law - Internet - Intellectual property - Industrial design - Interim injunction issued against non-party to litigation - Google prohibited from displaying impugned websites in Internet search results - Whether the injunction order is consistent with the jurisprudence on freedom of expression, and with Parliamentary guidance on granting injunctions against search engines - Whether the courts below erred in applying the conventional interlocutory injunction test in the absence of a cause of action pleaded against a non-party, and therefore erred in the nature and scope of the remedial injunction granted against the non-party - Whether the order is contrary to the jurisprudence on international comity.</w:t>
            </w:r>
          </w:p>
        </w:tc>
        <w:tc>
          <w:tcPr>
            <w:tcW w:w="720" w:type="dxa"/>
            <w:tcMar>
              <w:left w:w="0" w:type="dxa"/>
              <w:right w:w="0" w:type="dxa"/>
            </w:tcMar>
          </w:tcPr>
          <w:p w:rsidR="007C47C2" w:rsidRPr="009D287C" w:rsidRDefault="007C47C2" w:rsidP="00E942C2">
            <w:pPr>
              <w:widowControl w:val="0"/>
              <w:jc w:val="center"/>
              <w:rPr>
                <w:sz w:val="20"/>
                <w:szCs w:val="20"/>
              </w:rPr>
            </w:pPr>
          </w:p>
        </w:tc>
        <w:tc>
          <w:tcPr>
            <w:tcW w:w="4380" w:type="dxa"/>
            <w:tcMar>
              <w:left w:w="0" w:type="dxa"/>
              <w:right w:w="0" w:type="dxa"/>
            </w:tcMar>
          </w:tcPr>
          <w:p w:rsidR="007C47C2" w:rsidRPr="009D287C" w:rsidRDefault="007C47C2" w:rsidP="00E942C2">
            <w:pPr>
              <w:widowControl w:val="0"/>
              <w:jc w:val="both"/>
              <w:rPr>
                <w:b/>
                <w:sz w:val="20"/>
                <w:szCs w:val="20"/>
                <w:u w:val="single"/>
                <w:lang w:val="fr-CA"/>
              </w:rPr>
            </w:pPr>
            <w:r w:rsidRPr="009D287C">
              <w:rPr>
                <w:b/>
                <w:sz w:val="20"/>
                <w:szCs w:val="20"/>
                <w:u w:val="single"/>
                <w:lang w:val="fr-CA"/>
              </w:rPr>
              <w:t>Nature de la cause :</w:t>
            </w:r>
          </w:p>
          <w:p w:rsidR="007C47C2" w:rsidRPr="009D287C" w:rsidRDefault="007C47C2" w:rsidP="00E942C2">
            <w:pPr>
              <w:widowControl w:val="0"/>
              <w:jc w:val="both"/>
              <w:rPr>
                <w:sz w:val="20"/>
                <w:szCs w:val="20"/>
                <w:lang w:val="fr-CA"/>
              </w:rPr>
            </w:pPr>
          </w:p>
          <w:p w:rsidR="007C47C2" w:rsidRPr="009D287C" w:rsidRDefault="00031E61" w:rsidP="00E942C2">
            <w:pPr>
              <w:widowControl w:val="0"/>
              <w:jc w:val="both"/>
              <w:rPr>
                <w:sz w:val="20"/>
                <w:szCs w:val="20"/>
                <w:lang w:val="fr-CA"/>
              </w:rPr>
            </w:pPr>
            <w:r w:rsidRPr="009D287C">
              <w:rPr>
                <w:sz w:val="20"/>
                <w:szCs w:val="20"/>
                <w:lang w:val="fr-CA"/>
              </w:rPr>
              <w:t xml:space="preserve">Droit administratif - Ordonnances interlocutoires - Injonctions - Droit international privé - Extraterritorialité - Droit des communications - Internet - Propriété intellectuelle - Dessins industriels - Prononcé d’une injonction provisoire contre un tiers au litige - Interdiction faite à Google d’afficher certains sites Web contestés dans ses résultats de recherche sur Internet - L’injonction est-elle conforme à la jurisprudence en matière de liberté d’expression et aux directives du législateur sur le prononcé d’injonctions contre les moteurs de recherche? - Les juridictions inférieures </w:t>
            </w:r>
            <w:proofErr w:type="spellStart"/>
            <w:r w:rsidRPr="009D287C">
              <w:rPr>
                <w:sz w:val="20"/>
                <w:szCs w:val="20"/>
                <w:lang w:val="fr-CA"/>
              </w:rPr>
              <w:t>ont-elles</w:t>
            </w:r>
            <w:proofErr w:type="spellEnd"/>
            <w:r w:rsidRPr="009D287C">
              <w:rPr>
                <w:sz w:val="20"/>
                <w:szCs w:val="20"/>
                <w:lang w:val="fr-CA"/>
              </w:rPr>
              <w:t xml:space="preserve"> eu tort d’appliquer le critère classique relatif à l’injonction interlocutoire en l’absence d’une cause d’action plaidée contre un tiers, se trompant ainsi sur la nature et la portée de l’injonction réparatrice prononcée contre le tiers en question? - L’injonction est-elle contraire à la jurisprudence en matière de courtoisie internationale?</w:t>
            </w:r>
          </w:p>
        </w:tc>
      </w:tr>
    </w:tbl>
    <w:p w:rsidR="007C47C2" w:rsidRPr="009D287C" w:rsidRDefault="007C47C2" w:rsidP="007C47C2">
      <w:pPr>
        <w:widowControl w:val="0"/>
        <w:rPr>
          <w:sz w:val="20"/>
          <w:szCs w:val="20"/>
          <w:lang w:val="fr-CA"/>
        </w:rPr>
      </w:pPr>
    </w:p>
    <w:p w:rsidR="00E940EB" w:rsidRPr="009D287C" w:rsidRDefault="00346C6C" w:rsidP="00732DB7">
      <w:pPr>
        <w:widowControl w:val="0"/>
        <w:rPr>
          <w:sz w:val="20"/>
          <w:szCs w:val="20"/>
          <w:lang w:val="fr-CA"/>
        </w:rPr>
      </w:pPr>
      <w:r>
        <w:rPr>
          <w:sz w:val="20"/>
          <w:szCs w:val="20"/>
          <w:lang w:val="fr-CA"/>
        </w:rPr>
        <w:pict>
          <v:rect id="_x0000_i1054" style="width:2in;height:1pt" o:hrpct="0" o:hralign="center" o:hrstd="t" o:hrnoshade="t" o:hr="t" fillcolor="black [3213]" stroked="f"/>
        </w:pict>
      </w:r>
    </w:p>
    <w:p w:rsidR="007A25C7" w:rsidRPr="009D287C" w:rsidRDefault="007A25C7" w:rsidP="007A25C7">
      <w:pPr>
        <w:widowControl w:val="0"/>
        <w:rPr>
          <w:sz w:val="20"/>
          <w:szCs w:val="20"/>
        </w:rPr>
      </w:pPr>
    </w:p>
    <w:p w:rsidR="007A25C7" w:rsidRPr="009D287C" w:rsidRDefault="007A25C7" w:rsidP="007A25C7">
      <w:pPr>
        <w:widowControl w:val="0"/>
        <w:rPr>
          <w:sz w:val="20"/>
          <w:szCs w:val="20"/>
        </w:rPr>
      </w:pPr>
      <w:r w:rsidRPr="009D287C">
        <w:rPr>
          <w:sz w:val="20"/>
          <w:szCs w:val="20"/>
        </w:rPr>
        <w:t>08.12.2016</w:t>
      </w:r>
    </w:p>
    <w:p w:rsidR="007A25C7" w:rsidRPr="009D287C" w:rsidRDefault="007A25C7" w:rsidP="007A25C7">
      <w:pPr>
        <w:widowControl w:val="0"/>
        <w:rPr>
          <w:sz w:val="20"/>
          <w:szCs w:val="20"/>
        </w:rPr>
      </w:pPr>
    </w:p>
    <w:p w:rsidR="007A25C7" w:rsidRPr="009D287C" w:rsidRDefault="007A25C7" w:rsidP="007A25C7">
      <w:pPr>
        <w:widowControl w:val="0"/>
        <w:ind w:left="720" w:hanging="720"/>
        <w:rPr>
          <w:sz w:val="20"/>
          <w:szCs w:val="20"/>
        </w:rPr>
      </w:pPr>
      <w:r w:rsidRPr="009D287C">
        <w:rPr>
          <w:sz w:val="20"/>
          <w:szCs w:val="20"/>
        </w:rPr>
        <w:t xml:space="preserve">Coram: </w:t>
      </w:r>
      <w:r w:rsidRPr="009D287C">
        <w:rPr>
          <w:sz w:val="20"/>
          <w:szCs w:val="20"/>
        </w:rPr>
        <w:tab/>
      </w:r>
      <w:proofErr w:type="spellStart"/>
      <w:r w:rsidR="00ED0DD8" w:rsidRPr="009D287C">
        <w:rPr>
          <w:sz w:val="20"/>
          <w:szCs w:val="20"/>
          <w:u w:val="single"/>
        </w:rPr>
        <w:t>McLachlin</w:t>
      </w:r>
      <w:proofErr w:type="spellEnd"/>
      <w:r w:rsidR="00ED0DD8" w:rsidRPr="009D287C">
        <w:rPr>
          <w:sz w:val="20"/>
          <w:szCs w:val="20"/>
          <w:u w:val="single"/>
        </w:rPr>
        <w:t xml:space="preserve"> C.J. and </w:t>
      </w:r>
      <w:proofErr w:type="spellStart"/>
      <w:r w:rsidR="00ED0DD8" w:rsidRPr="009D287C">
        <w:rPr>
          <w:sz w:val="20"/>
          <w:szCs w:val="20"/>
          <w:u w:val="single"/>
        </w:rPr>
        <w:t>Abella</w:t>
      </w:r>
      <w:proofErr w:type="spellEnd"/>
      <w:r w:rsidR="00ED0DD8" w:rsidRPr="009D287C">
        <w:rPr>
          <w:sz w:val="20"/>
          <w:szCs w:val="20"/>
          <w:u w:val="single"/>
        </w:rPr>
        <w:t xml:space="preserve">, </w:t>
      </w:r>
      <w:proofErr w:type="spellStart"/>
      <w:r w:rsidR="00ED0DD8" w:rsidRPr="009D287C">
        <w:rPr>
          <w:sz w:val="20"/>
          <w:szCs w:val="20"/>
          <w:u w:val="single"/>
        </w:rPr>
        <w:t>Moldaver</w:t>
      </w:r>
      <w:proofErr w:type="spellEnd"/>
      <w:r w:rsidR="00ED0DD8" w:rsidRPr="009D287C">
        <w:rPr>
          <w:sz w:val="20"/>
          <w:szCs w:val="20"/>
          <w:u w:val="single"/>
        </w:rPr>
        <w:t xml:space="preserve">, </w:t>
      </w:r>
      <w:proofErr w:type="spellStart"/>
      <w:r w:rsidR="00ED0DD8" w:rsidRPr="009D287C">
        <w:rPr>
          <w:sz w:val="20"/>
          <w:szCs w:val="20"/>
          <w:u w:val="single"/>
        </w:rPr>
        <w:t>Karakatsanis</w:t>
      </w:r>
      <w:proofErr w:type="spellEnd"/>
      <w:r w:rsidR="00ED0DD8" w:rsidRPr="009D287C">
        <w:rPr>
          <w:sz w:val="20"/>
          <w:szCs w:val="20"/>
          <w:u w:val="single"/>
        </w:rPr>
        <w:t xml:space="preserve">, Wagner, </w:t>
      </w:r>
      <w:proofErr w:type="spellStart"/>
      <w:r w:rsidR="00ED0DD8" w:rsidRPr="009D287C">
        <w:rPr>
          <w:sz w:val="20"/>
          <w:szCs w:val="20"/>
          <w:u w:val="single"/>
        </w:rPr>
        <w:t>Gascon</w:t>
      </w:r>
      <w:proofErr w:type="spellEnd"/>
      <w:r w:rsidR="00ED0DD8" w:rsidRPr="009D287C">
        <w:rPr>
          <w:sz w:val="20"/>
          <w:szCs w:val="20"/>
          <w:u w:val="single"/>
        </w:rPr>
        <w:t>, Côté, Brown and Rowe JJ.</w:t>
      </w:r>
    </w:p>
    <w:p w:rsidR="007A25C7" w:rsidRPr="009D287C" w:rsidRDefault="007A25C7" w:rsidP="007A25C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A25C7" w:rsidRPr="009D287C" w:rsidTr="003956FF">
        <w:tc>
          <w:tcPr>
            <w:tcW w:w="4380" w:type="dxa"/>
            <w:tcMar>
              <w:left w:w="0" w:type="dxa"/>
              <w:right w:w="0" w:type="dxa"/>
            </w:tcMar>
          </w:tcPr>
          <w:p w:rsidR="007A25C7" w:rsidRPr="009D287C" w:rsidRDefault="00C95454" w:rsidP="003956FF">
            <w:pPr>
              <w:widowControl w:val="0"/>
              <w:jc w:val="both"/>
              <w:rPr>
                <w:b/>
                <w:sz w:val="20"/>
                <w:szCs w:val="20"/>
                <w:lang w:val="en-US"/>
              </w:rPr>
            </w:pPr>
            <w:r w:rsidRPr="009D287C">
              <w:rPr>
                <w:b/>
                <w:sz w:val="20"/>
                <w:szCs w:val="20"/>
                <w:lang w:val="en-US"/>
              </w:rPr>
              <w:t>Dion Henry Alex</w:t>
            </w:r>
          </w:p>
          <w:p w:rsidR="007A25C7" w:rsidRPr="009D287C" w:rsidRDefault="007A25C7" w:rsidP="003956FF">
            <w:pPr>
              <w:widowControl w:val="0"/>
              <w:jc w:val="both"/>
              <w:rPr>
                <w:b/>
                <w:sz w:val="20"/>
                <w:szCs w:val="20"/>
                <w:lang w:val="en-US"/>
              </w:rPr>
            </w:pPr>
          </w:p>
          <w:p w:rsidR="007A25C7" w:rsidRPr="009D287C" w:rsidRDefault="007A25C7" w:rsidP="003956FF">
            <w:pPr>
              <w:widowControl w:val="0"/>
              <w:tabs>
                <w:tab w:val="left" w:pos="736"/>
              </w:tabs>
              <w:jc w:val="both"/>
              <w:rPr>
                <w:b/>
                <w:sz w:val="20"/>
                <w:szCs w:val="20"/>
                <w:lang w:val="en-US"/>
              </w:rPr>
            </w:pPr>
            <w:r w:rsidRPr="009D287C">
              <w:rPr>
                <w:b/>
                <w:sz w:val="20"/>
                <w:szCs w:val="20"/>
                <w:lang w:val="en-US"/>
              </w:rPr>
              <w:tab/>
              <w:t xml:space="preserve">v. </w:t>
            </w:r>
            <w:r w:rsidRPr="009D287C">
              <w:rPr>
                <w:sz w:val="20"/>
                <w:szCs w:val="20"/>
                <w:lang w:val="en-US"/>
              </w:rPr>
              <w:t>(</w:t>
            </w:r>
            <w:hyperlink r:id="rId52" w:history="1">
              <w:r w:rsidRPr="009D287C">
                <w:rPr>
                  <w:rStyle w:val="Hyperlink"/>
                  <w:sz w:val="20"/>
                  <w:szCs w:val="20"/>
                  <w:lang w:val="en-US"/>
                </w:rPr>
                <w:t>36</w:t>
              </w:r>
              <w:r w:rsidR="00C95454" w:rsidRPr="009D287C">
                <w:rPr>
                  <w:rStyle w:val="Hyperlink"/>
                  <w:sz w:val="20"/>
                  <w:szCs w:val="20"/>
                  <w:lang w:val="en-US"/>
                </w:rPr>
                <w:t>771</w:t>
              </w:r>
            </w:hyperlink>
            <w:r w:rsidRPr="009D287C">
              <w:rPr>
                <w:sz w:val="20"/>
                <w:szCs w:val="20"/>
                <w:lang w:val="en-US"/>
              </w:rPr>
              <w:t>)</w:t>
            </w:r>
          </w:p>
          <w:p w:rsidR="007A25C7" w:rsidRPr="009D287C" w:rsidRDefault="007A25C7" w:rsidP="003956FF">
            <w:pPr>
              <w:widowControl w:val="0"/>
              <w:jc w:val="both"/>
              <w:rPr>
                <w:b/>
                <w:sz w:val="20"/>
                <w:szCs w:val="20"/>
                <w:lang w:val="en-US"/>
              </w:rPr>
            </w:pPr>
          </w:p>
          <w:p w:rsidR="007A25C7" w:rsidRPr="009D287C" w:rsidRDefault="00C95454" w:rsidP="00C95454">
            <w:pPr>
              <w:widowControl w:val="0"/>
              <w:jc w:val="both"/>
              <w:rPr>
                <w:sz w:val="20"/>
                <w:szCs w:val="20"/>
              </w:rPr>
            </w:pPr>
            <w:r w:rsidRPr="009D287C">
              <w:rPr>
                <w:b/>
                <w:sz w:val="20"/>
                <w:szCs w:val="20"/>
                <w:lang w:val="en-US"/>
              </w:rPr>
              <w:t>Her Majesty the Queen</w:t>
            </w:r>
            <w:r w:rsidR="007A25C7" w:rsidRPr="009D287C">
              <w:rPr>
                <w:b/>
                <w:sz w:val="20"/>
                <w:szCs w:val="20"/>
                <w:lang w:val="en-US"/>
              </w:rPr>
              <w:t xml:space="preserve"> </w:t>
            </w:r>
            <w:r w:rsidR="007A25C7" w:rsidRPr="009D287C">
              <w:rPr>
                <w:b/>
                <w:sz w:val="20"/>
                <w:szCs w:val="20"/>
              </w:rPr>
              <w:t>(B.C.) (C</w:t>
            </w:r>
            <w:r w:rsidRPr="009D287C">
              <w:rPr>
                <w:b/>
                <w:sz w:val="20"/>
                <w:szCs w:val="20"/>
              </w:rPr>
              <w:t>r</w:t>
            </w:r>
            <w:r w:rsidR="007A25C7" w:rsidRPr="009D287C">
              <w:rPr>
                <w:b/>
                <w:sz w:val="20"/>
                <w:szCs w:val="20"/>
              </w:rPr>
              <w:t>i</w:t>
            </w:r>
            <w:r w:rsidRPr="009D287C">
              <w:rPr>
                <w:b/>
                <w:sz w:val="20"/>
                <w:szCs w:val="20"/>
              </w:rPr>
              <w:t>m</w:t>
            </w:r>
            <w:r w:rsidR="007A25C7" w:rsidRPr="009D287C">
              <w:rPr>
                <w:b/>
                <w:sz w:val="20"/>
                <w:szCs w:val="20"/>
              </w:rPr>
              <w:t>i</w:t>
            </w:r>
            <w:r w:rsidRPr="009D287C">
              <w:rPr>
                <w:b/>
                <w:sz w:val="20"/>
                <w:szCs w:val="20"/>
              </w:rPr>
              <w:t>na</w:t>
            </w:r>
            <w:r w:rsidR="007A25C7" w:rsidRPr="009D287C">
              <w:rPr>
                <w:b/>
                <w:sz w:val="20"/>
                <w:szCs w:val="20"/>
              </w:rPr>
              <w:t>l) (By Leave)</w:t>
            </w:r>
          </w:p>
        </w:tc>
        <w:tc>
          <w:tcPr>
            <w:tcW w:w="720" w:type="dxa"/>
            <w:tcMar>
              <w:left w:w="0" w:type="dxa"/>
              <w:right w:w="0" w:type="dxa"/>
            </w:tcMar>
          </w:tcPr>
          <w:p w:rsidR="007A25C7" w:rsidRPr="009D287C" w:rsidRDefault="007A25C7" w:rsidP="003956FF">
            <w:pPr>
              <w:widowControl w:val="0"/>
              <w:jc w:val="center"/>
              <w:rPr>
                <w:sz w:val="20"/>
                <w:szCs w:val="20"/>
              </w:rPr>
            </w:pPr>
          </w:p>
        </w:tc>
        <w:tc>
          <w:tcPr>
            <w:tcW w:w="4380" w:type="dxa"/>
            <w:tcMar>
              <w:left w:w="0" w:type="dxa"/>
              <w:right w:w="0" w:type="dxa"/>
            </w:tcMar>
          </w:tcPr>
          <w:p w:rsidR="007A25C7" w:rsidRPr="009D287C" w:rsidRDefault="00FA2C85" w:rsidP="003956FF">
            <w:pPr>
              <w:widowControl w:val="0"/>
              <w:jc w:val="both"/>
              <w:rPr>
                <w:sz w:val="20"/>
                <w:szCs w:val="20"/>
              </w:rPr>
            </w:pPr>
            <w:r w:rsidRPr="009D287C">
              <w:rPr>
                <w:sz w:val="20"/>
                <w:szCs w:val="20"/>
              </w:rPr>
              <w:t>Michael F. Welsh for the appellant.</w:t>
            </w:r>
          </w:p>
          <w:p w:rsidR="00FA2C85" w:rsidRPr="009D287C" w:rsidRDefault="00FA2C85" w:rsidP="003956FF">
            <w:pPr>
              <w:widowControl w:val="0"/>
              <w:jc w:val="both"/>
              <w:rPr>
                <w:sz w:val="20"/>
                <w:szCs w:val="20"/>
              </w:rPr>
            </w:pPr>
          </w:p>
          <w:p w:rsidR="00FA2C85" w:rsidRPr="009D287C" w:rsidRDefault="00FA2C85" w:rsidP="003956FF">
            <w:pPr>
              <w:widowControl w:val="0"/>
              <w:jc w:val="both"/>
              <w:rPr>
                <w:sz w:val="20"/>
                <w:szCs w:val="20"/>
              </w:rPr>
            </w:pPr>
            <w:r w:rsidRPr="009D287C">
              <w:rPr>
                <w:sz w:val="20"/>
                <w:szCs w:val="20"/>
              </w:rPr>
              <w:t>Adam Little, Jonathan M. Rosenthal and Shannon S.W. O’Connor for the intervener Criminal Lawyers’ Association (Ontario).</w:t>
            </w:r>
          </w:p>
          <w:p w:rsidR="00FA2C85" w:rsidRPr="009D287C" w:rsidRDefault="00FA2C85" w:rsidP="003956FF">
            <w:pPr>
              <w:widowControl w:val="0"/>
              <w:jc w:val="both"/>
              <w:rPr>
                <w:sz w:val="20"/>
                <w:szCs w:val="20"/>
              </w:rPr>
            </w:pPr>
          </w:p>
          <w:p w:rsidR="00FA2C85" w:rsidRPr="009D287C" w:rsidRDefault="00FA2C85" w:rsidP="003956FF">
            <w:pPr>
              <w:widowControl w:val="0"/>
              <w:jc w:val="both"/>
              <w:rPr>
                <w:sz w:val="20"/>
                <w:szCs w:val="20"/>
              </w:rPr>
            </w:pPr>
            <w:r w:rsidRPr="009D287C">
              <w:rPr>
                <w:sz w:val="20"/>
                <w:szCs w:val="20"/>
              </w:rPr>
              <w:t>Rodney Garson for the respondent.</w:t>
            </w:r>
          </w:p>
          <w:p w:rsidR="00FA2C85" w:rsidRPr="009D287C" w:rsidRDefault="00FA2C85" w:rsidP="003956FF">
            <w:pPr>
              <w:widowControl w:val="0"/>
              <w:jc w:val="both"/>
              <w:rPr>
                <w:sz w:val="20"/>
                <w:szCs w:val="20"/>
              </w:rPr>
            </w:pPr>
          </w:p>
          <w:p w:rsidR="00FA2C85" w:rsidRPr="009D287C" w:rsidRDefault="00FA2C85" w:rsidP="003956FF">
            <w:pPr>
              <w:widowControl w:val="0"/>
              <w:jc w:val="both"/>
              <w:rPr>
                <w:sz w:val="20"/>
                <w:szCs w:val="20"/>
              </w:rPr>
            </w:pPr>
            <w:r w:rsidRPr="009D287C">
              <w:rPr>
                <w:sz w:val="20"/>
                <w:szCs w:val="20"/>
              </w:rPr>
              <w:t xml:space="preserve">James V. </w:t>
            </w:r>
            <w:proofErr w:type="spellStart"/>
            <w:r w:rsidRPr="009D287C">
              <w:rPr>
                <w:sz w:val="20"/>
                <w:szCs w:val="20"/>
              </w:rPr>
              <w:t>Palangio</w:t>
            </w:r>
            <w:proofErr w:type="spellEnd"/>
            <w:r w:rsidRPr="009D287C">
              <w:rPr>
                <w:sz w:val="20"/>
                <w:szCs w:val="20"/>
              </w:rPr>
              <w:t xml:space="preserve"> and Michael Medeiros for the intervener Attorney General of Ontario.</w:t>
            </w:r>
          </w:p>
        </w:tc>
      </w:tr>
    </w:tbl>
    <w:p w:rsidR="007A25C7" w:rsidRPr="009D287C" w:rsidRDefault="007A25C7" w:rsidP="007A25C7">
      <w:pPr>
        <w:widowControl w:val="0"/>
      </w:pPr>
    </w:p>
    <w:p w:rsidR="00C95454" w:rsidRPr="009D287C" w:rsidRDefault="00C95454" w:rsidP="00C95454">
      <w:pPr>
        <w:widowControl w:val="0"/>
        <w:rPr>
          <w:sz w:val="20"/>
          <w:szCs w:val="20"/>
          <w:lang w:val="en-US"/>
        </w:rPr>
      </w:pPr>
      <w:r w:rsidRPr="009D287C">
        <w:rPr>
          <w:b/>
          <w:sz w:val="20"/>
          <w:szCs w:val="20"/>
          <w:lang w:val="en-US"/>
        </w:rPr>
        <w:t>RESERVED / EN DÉLIBÉRÉ</w:t>
      </w:r>
    </w:p>
    <w:p w:rsidR="007A25C7" w:rsidRPr="009D287C" w:rsidRDefault="007A25C7" w:rsidP="007A25C7">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A25C7" w:rsidRPr="00346C6C" w:rsidTr="003956FF">
        <w:tc>
          <w:tcPr>
            <w:tcW w:w="4380" w:type="dxa"/>
            <w:tcMar>
              <w:left w:w="0" w:type="dxa"/>
              <w:right w:w="0" w:type="dxa"/>
            </w:tcMar>
          </w:tcPr>
          <w:p w:rsidR="007A25C7" w:rsidRPr="009D287C" w:rsidRDefault="007A25C7" w:rsidP="003956FF">
            <w:pPr>
              <w:widowControl w:val="0"/>
              <w:jc w:val="both"/>
              <w:rPr>
                <w:b/>
                <w:sz w:val="20"/>
                <w:szCs w:val="20"/>
                <w:u w:val="single"/>
              </w:rPr>
            </w:pPr>
            <w:r w:rsidRPr="009D287C">
              <w:rPr>
                <w:b/>
                <w:sz w:val="20"/>
                <w:szCs w:val="20"/>
                <w:u w:val="single"/>
              </w:rPr>
              <w:t>Nature of the case:</w:t>
            </w:r>
          </w:p>
          <w:p w:rsidR="007A25C7" w:rsidRPr="009D287C" w:rsidRDefault="007A25C7" w:rsidP="003956FF">
            <w:pPr>
              <w:widowControl w:val="0"/>
              <w:jc w:val="both"/>
              <w:rPr>
                <w:sz w:val="20"/>
                <w:szCs w:val="20"/>
              </w:rPr>
            </w:pPr>
          </w:p>
          <w:p w:rsidR="007A25C7" w:rsidRPr="009D287C" w:rsidRDefault="00EC5D3C" w:rsidP="003956FF">
            <w:pPr>
              <w:widowControl w:val="0"/>
              <w:jc w:val="both"/>
              <w:rPr>
                <w:b/>
                <w:sz w:val="20"/>
                <w:szCs w:val="20"/>
              </w:rPr>
            </w:pPr>
            <w:r w:rsidRPr="009D287C">
              <w:rPr>
                <w:i/>
                <w:sz w:val="20"/>
              </w:rPr>
              <w:t>Charter of Rights</w:t>
            </w:r>
            <w:r w:rsidRPr="009D287C">
              <w:rPr>
                <w:sz w:val="20"/>
              </w:rPr>
              <w:t xml:space="preserve"> </w:t>
            </w:r>
            <w:r w:rsidRPr="009D287C">
              <w:rPr>
                <w:i/>
                <w:iCs/>
                <w:sz w:val="20"/>
              </w:rPr>
              <w:t>and Freedoms</w:t>
            </w:r>
            <w:r w:rsidRPr="009D287C">
              <w:rPr>
                <w:sz w:val="20"/>
              </w:rPr>
              <w:t xml:space="preserve"> - Search and Seizure - Criminal law - Evidence - Application of </w:t>
            </w:r>
            <w:r w:rsidRPr="009D287C">
              <w:rPr>
                <w:i/>
                <w:iCs/>
                <w:sz w:val="20"/>
              </w:rPr>
              <w:t xml:space="preserve">R. v. </w:t>
            </w:r>
            <w:proofErr w:type="spellStart"/>
            <w:r w:rsidRPr="009D287C">
              <w:rPr>
                <w:i/>
                <w:iCs/>
                <w:sz w:val="20"/>
              </w:rPr>
              <w:t>Rilling</w:t>
            </w:r>
            <w:proofErr w:type="spellEnd"/>
            <w:r w:rsidRPr="009D287C">
              <w:rPr>
                <w:i/>
                <w:iCs/>
                <w:sz w:val="20"/>
              </w:rPr>
              <w:t xml:space="preserve"> </w:t>
            </w:r>
            <w:r w:rsidRPr="009D287C">
              <w:rPr>
                <w:sz w:val="20"/>
              </w:rPr>
              <w:t xml:space="preserve">[1976] 2 S.C.R. 183 - Should </w:t>
            </w:r>
            <w:proofErr w:type="spellStart"/>
            <w:r w:rsidRPr="009D287C">
              <w:rPr>
                <w:i/>
                <w:iCs/>
                <w:sz w:val="20"/>
              </w:rPr>
              <w:t>Rilling</w:t>
            </w:r>
            <w:proofErr w:type="spellEnd"/>
            <w:r w:rsidRPr="009D287C">
              <w:rPr>
                <w:iCs/>
                <w:sz w:val="20"/>
              </w:rPr>
              <w:t xml:space="preserve"> be reconsidered</w:t>
            </w:r>
            <w:r w:rsidRPr="009D287C">
              <w:rPr>
                <w:i/>
                <w:iCs/>
                <w:sz w:val="20"/>
              </w:rPr>
              <w:t xml:space="preserve"> </w:t>
            </w:r>
            <w:r w:rsidRPr="009D287C">
              <w:rPr>
                <w:sz w:val="20"/>
              </w:rPr>
              <w:t>in light</w:t>
            </w:r>
            <w:r w:rsidRPr="009D287C">
              <w:rPr>
                <w:i/>
                <w:iCs/>
                <w:sz w:val="20"/>
              </w:rPr>
              <w:t xml:space="preserve"> </w:t>
            </w:r>
            <w:r w:rsidRPr="009D287C">
              <w:rPr>
                <w:iCs/>
                <w:sz w:val="20"/>
              </w:rPr>
              <w:t xml:space="preserve">of </w:t>
            </w:r>
            <w:r w:rsidRPr="009D287C">
              <w:rPr>
                <w:sz w:val="20"/>
              </w:rPr>
              <w:t xml:space="preserve">the subsequent enactment of the </w:t>
            </w:r>
            <w:r w:rsidRPr="009D287C">
              <w:rPr>
                <w:i/>
                <w:iCs/>
                <w:sz w:val="20"/>
              </w:rPr>
              <w:t xml:space="preserve">Charter </w:t>
            </w:r>
            <w:r w:rsidRPr="009D287C">
              <w:rPr>
                <w:sz w:val="20"/>
              </w:rPr>
              <w:t>-</w:t>
            </w:r>
            <w:r w:rsidRPr="009D287C">
              <w:rPr>
                <w:b/>
                <w:sz w:val="20"/>
              </w:rPr>
              <w:t xml:space="preserve"> </w:t>
            </w:r>
            <w:r w:rsidRPr="009D287C">
              <w:rPr>
                <w:sz w:val="20"/>
              </w:rPr>
              <w:t xml:space="preserve">Is the majority or minority interpretation in </w:t>
            </w:r>
            <w:proofErr w:type="spellStart"/>
            <w:r w:rsidRPr="009D287C">
              <w:rPr>
                <w:i/>
                <w:sz w:val="20"/>
              </w:rPr>
              <w:t>Rilling</w:t>
            </w:r>
            <w:proofErr w:type="spellEnd"/>
            <w:r w:rsidRPr="009D287C">
              <w:rPr>
                <w:sz w:val="20"/>
              </w:rPr>
              <w:t xml:space="preserve"> of sections 254 and 258 of the </w:t>
            </w:r>
            <w:r w:rsidRPr="009D287C">
              <w:rPr>
                <w:i/>
                <w:sz w:val="20"/>
              </w:rPr>
              <w:t>Criminal Code</w:t>
            </w:r>
            <w:r w:rsidRPr="009D287C">
              <w:rPr>
                <w:sz w:val="20"/>
              </w:rPr>
              <w:t xml:space="preserve"> the proper one to apply in light of the constitutional requirement to interpret legislation in a manner that is compliant with </w:t>
            </w:r>
            <w:r w:rsidRPr="009D287C">
              <w:rPr>
                <w:i/>
                <w:sz w:val="20"/>
              </w:rPr>
              <w:t>Charter</w:t>
            </w:r>
            <w:r w:rsidRPr="009D287C">
              <w:rPr>
                <w:sz w:val="20"/>
              </w:rPr>
              <w:t xml:space="preserve"> values - Is </w:t>
            </w:r>
            <w:proofErr w:type="spellStart"/>
            <w:r w:rsidRPr="009D287C">
              <w:rPr>
                <w:i/>
                <w:sz w:val="20"/>
              </w:rPr>
              <w:t>Rilling</w:t>
            </w:r>
            <w:proofErr w:type="spellEnd"/>
            <w:r w:rsidRPr="009D287C">
              <w:rPr>
                <w:sz w:val="20"/>
              </w:rPr>
              <w:t xml:space="preserve"> irreconcilable with the other decisions of this Court on the necessity for strict compliance with statutory preconditions to the use of evidentiary presumptions or “shortcuts” - </w:t>
            </w:r>
            <w:r w:rsidRPr="009D287C">
              <w:rPr>
                <w:i/>
                <w:sz w:val="20"/>
              </w:rPr>
              <w:t>Charter</w:t>
            </w:r>
            <w:r w:rsidRPr="009D287C">
              <w:rPr>
                <w:sz w:val="20"/>
              </w:rPr>
              <w:t xml:space="preserve"> ss. 8, 24(2).</w:t>
            </w:r>
          </w:p>
        </w:tc>
        <w:tc>
          <w:tcPr>
            <w:tcW w:w="720" w:type="dxa"/>
            <w:tcMar>
              <w:left w:w="0" w:type="dxa"/>
              <w:right w:w="0" w:type="dxa"/>
            </w:tcMar>
          </w:tcPr>
          <w:p w:rsidR="007A25C7" w:rsidRPr="009D287C" w:rsidRDefault="007A25C7" w:rsidP="003956FF">
            <w:pPr>
              <w:widowControl w:val="0"/>
              <w:jc w:val="center"/>
              <w:rPr>
                <w:sz w:val="20"/>
                <w:szCs w:val="20"/>
              </w:rPr>
            </w:pPr>
          </w:p>
        </w:tc>
        <w:tc>
          <w:tcPr>
            <w:tcW w:w="4380" w:type="dxa"/>
            <w:tcMar>
              <w:left w:w="0" w:type="dxa"/>
              <w:right w:w="0" w:type="dxa"/>
            </w:tcMar>
          </w:tcPr>
          <w:p w:rsidR="007A25C7" w:rsidRPr="009D287C" w:rsidRDefault="007A25C7" w:rsidP="003956FF">
            <w:pPr>
              <w:widowControl w:val="0"/>
              <w:jc w:val="both"/>
              <w:rPr>
                <w:b/>
                <w:sz w:val="20"/>
                <w:szCs w:val="20"/>
                <w:u w:val="single"/>
                <w:lang w:val="fr-CA"/>
              </w:rPr>
            </w:pPr>
            <w:r w:rsidRPr="009D287C">
              <w:rPr>
                <w:b/>
                <w:sz w:val="20"/>
                <w:szCs w:val="20"/>
                <w:u w:val="single"/>
                <w:lang w:val="fr-CA"/>
              </w:rPr>
              <w:t>Nature de la cause :</w:t>
            </w:r>
          </w:p>
          <w:p w:rsidR="007A25C7" w:rsidRPr="009D287C" w:rsidRDefault="007A25C7" w:rsidP="003956FF">
            <w:pPr>
              <w:widowControl w:val="0"/>
              <w:jc w:val="both"/>
              <w:rPr>
                <w:sz w:val="20"/>
                <w:szCs w:val="20"/>
                <w:lang w:val="fr-CA"/>
              </w:rPr>
            </w:pPr>
          </w:p>
          <w:p w:rsidR="007A25C7" w:rsidRPr="009D287C" w:rsidRDefault="00EC5D3C" w:rsidP="003956FF">
            <w:pPr>
              <w:widowControl w:val="0"/>
              <w:jc w:val="both"/>
              <w:rPr>
                <w:sz w:val="20"/>
                <w:szCs w:val="20"/>
                <w:lang w:val="fr-CA"/>
              </w:rPr>
            </w:pPr>
            <w:r w:rsidRPr="009D287C">
              <w:rPr>
                <w:i/>
                <w:sz w:val="20"/>
                <w:lang w:val="fr-CA"/>
              </w:rPr>
              <w:t xml:space="preserve">Charte des droits et libertés </w:t>
            </w:r>
            <w:r w:rsidRPr="009D287C">
              <w:rPr>
                <w:sz w:val="20"/>
                <w:lang w:val="fr-CA"/>
              </w:rPr>
              <w:t xml:space="preserve">- Fouilles, perquisitions et saisies - Droit criminel - Preuve - Application de l’arrêt </w:t>
            </w:r>
            <w:r w:rsidRPr="009D287C">
              <w:rPr>
                <w:i/>
                <w:iCs/>
                <w:sz w:val="20"/>
                <w:lang w:val="fr-CA"/>
              </w:rPr>
              <w:t xml:space="preserve">R. c. </w:t>
            </w:r>
            <w:proofErr w:type="spellStart"/>
            <w:r w:rsidRPr="009D287C">
              <w:rPr>
                <w:i/>
                <w:iCs/>
                <w:sz w:val="20"/>
                <w:lang w:val="fr-CA"/>
              </w:rPr>
              <w:t>Rilling</w:t>
            </w:r>
            <w:proofErr w:type="spellEnd"/>
            <w:r w:rsidRPr="009D287C">
              <w:rPr>
                <w:i/>
                <w:iCs/>
                <w:sz w:val="20"/>
                <w:lang w:val="fr-CA"/>
              </w:rPr>
              <w:t xml:space="preserve"> </w:t>
            </w:r>
            <w:r w:rsidRPr="009D287C">
              <w:rPr>
                <w:sz w:val="20"/>
                <w:lang w:val="fr-CA"/>
              </w:rPr>
              <w:t xml:space="preserve">[1976] 2 R.C.S. 183 - L’arrêt </w:t>
            </w:r>
            <w:proofErr w:type="spellStart"/>
            <w:r w:rsidRPr="009D287C">
              <w:rPr>
                <w:i/>
                <w:iCs/>
                <w:sz w:val="20"/>
                <w:lang w:val="fr-CA"/>
              </w:rPr>
              <w:t>Rilling</w:t>
            </w:r>
            <w:proofErr w:type="spellEnd"/>
            <w:r w:rsidRPr="009D287C">
              <w:rPr>
                <w:iCs/>
                <w:sz w:val="20"/>
                <w:lang w:val="fr-CA"/>
              </w:rPr>
              <w:t xml:space="preserve"> doit-il être réexaminé à la suite de l’adoption de la </w:t>
            </w:r>
            <w:r w:rsidRPr="009D287C">
              <w:rPr>
                <w:i/>
                <w:iCs/>
                <w:sz w:val="20"/>
                <w:lang w:val="fr-CA"/>
              </w:rPr>
              <w:t>Charte</w:t>
            </w:r>
            <w:r w:rsidRPr="009D287C">
              <w:rPr>
                <w:iCs/>
                <w:sz w:val="20"/>
                <w:lang w:val="fr-CA"/>
              </w:rPr>
              <w:t>?</w:t>
            </w:r>
            <w:r w:rsidRPr="009D287C">
              <w:rPr>
                <w:i/>
                <w:iCs/>
                <w:sz w:val="20"/>
                <w:lang w:val="fr-CA"/>
              </w:rPr>
              <w:t xml:space="preserve"> </w:t>
            </w:r>
            <w:r w:rsidRPr="009D287C">
              <w:rPr>
                <w:sz w:val="20"/>
                <w:lang w:val="fr-CA"/>
              </w:rPr>
              <w:t xml:space="preserve">- Vu l’obligation constitutionnelle d’interpréter des dispositions législatives conformément aux valeurs consacrées par la </w:t>
            </w:r>
            <w:r w:rsidRPr="009D287C">
              <w:rPr>
                <w:i/>
                <w:sz w:val="20"/>
                <w:lang w:val="fr-CA"/>
              </w:rPr>
              <w:t>Charte,</w:t>
            </w:r>
            <w:r w:rsidRPr="009D287C">
              <w:rPr>
                <w:sz w:val="20"/>
                <w:lang w:val="fr-CA"/>
              </w:rPr>
              <w:t xml:space="preserve"> faut-il appliquer l’interprétation donnée aux articles 254 et 258 du </w:t>
            </w:r>
            <w:r w:rsidRPr="009D287C">
              <w:rPr>
                <w:i/>
                <w:sz w:val="20"/>
                <w:lang w:val="fr-CA"/>
              </w:rPr>
              <w:t>Code criminel</w:t>
            </w:r>
            <w:r w:rsidRPr="009D287C">
              <w:rPr>
                <w:sz w:val="20"/>
                <w:lang w:val="fr-CA"/>
              </w:rPr>
              <w:t xml:space="preserve"> par les juges majoritaires dans l’arrêt </w:t>
            </w:r>
            <w:proofErr w:type="spellStart"/>
            <w:r w:rsidRPr="009D287C">
              <w:rPr>
                <w:i/>
                <w:sz w:val="20"/>
                <w:lang w:val="fr-CA"/>
              </w:rPr>
              <w:t>Rilling</w:t>
            </w:r>
            <w:proofErr w:type="spellEnd"/>
            <w:r w:rsidRPr="009D287C">
              <w:rPr>
                <w:sz w:val="20"/>
                <w:lang w:val="fr-CA"/>
              </w:rPr>
              <w:t xml:space="preserve"> ou celle donnée par les juges minoritaires dans cet arrêt? - L’arrêt </w:t>
            </w:r>
            <w:proofErr w:type="spellStart"/>
            <w:r w:rsidRPr="009D287C">
              <w:rPr>
                <w:i/>
                <w:iCs/>
                <w:sz w:val="20"/>
                <w:lang w:val="fr-CA"/>
              </w:rPr>
              <w:t>Rilling</w:t>
            </w:r>
            <w:proofErr w:type="spellEnd"/>
            <w:r w:rsidRPr="009D287C">
              <w:rPr>
                <w:sz w:val="20"/>
                <w:lang w:val="fr-CA"/>
              </w:rPr>
              <w:t xml:space="preserve"> est-il irréconciliable avec les autres arrêts de la Cour sur la nécessité de se conformer strictement aux conditions légales qui doivent être préalablement remplies pour pouvoir utiliser des présomptions de preuve? - </w:t>
            </w:r>
            <w:r w:rsidRPr="009D287C">
              <w:rPr>
                <w:i/>
                <w:sz w:val="20"/>
                <w:lang w:val="fr-CA"/>
              </w:rPr>
              <w:t>Charte</w:t>
            </w:r>
            <w:r w:rsidRPr="009D287C">
              <w:rPr>
                <w:sz w:val="20"/>
                <w:lang w:val="fr-CA"/>
              </w:rPr>
              <w:t>, art. 8, 24(2).</w:t>
            </w:r>
          </w:p>
        </w:tc>
      </w:tr>
    </w:tbl>
    <w:p w:rsidR="007A25C7" w:rsidRPr="009D287C" w:rsidRDefault="007A25C7" w:rsidP="007A25C7">
      <w:pPr>
        <w:widowControl w:val="0"/>
        <w:rPr>
          <w:sz w:val="20"/>
          <w:szCs w:val="20"/>
          <w:lang w:val="fr-CA"/>
        </w:rPr>
      </w:pPr>
    </w:p>
    <w:p w:rsidR="007A25C7" w:rsidRPr="009D287C" w:rsidRDefault="00346C6C" w:rsidP="007A25C7">
      <w:pPr>
        <w:widowControl w:val="0"/>
        <w:rPr>
          <w:sz w:val="20"/>
          <w:szCs w:val="20"/>
          <w:lang w:val="fr-CA"/>
        </w:rPr>
      </w:pPr>
      <w:r>
        <w:rPr>
          <w:sz w:val="20"/>
          <w:szCs w:val="20"/>
          <w:lang w:val="fr-CA"/>
        </w:rPr>
        <w:pict>
          <v:rect id="_x0000_i1055" style="width:2in;height:1pt" o:hrpct="0" o:hralign="center" o:hrstd="t" o:hrnoshade="t" o:hr="t" fillcolor="black [3213]" stroked="f"/>
        </w:pict>
      </w:r>
    </w:p>
    <w:p w:rsidR="007A25C7" w:rsidRPr="009D287C" w:rsidRDefault="007A25C7" w:rsidP="007A25C7">
      <w:pPr>
        <w:widowControl w:val="0"/>
        <w:rPr>
          <w:sz w:val="20"/>
          <w:szCs w:val="20"/>
          <w:lang w:val="fr-CA"/>
        </w:rPr>
      </w:pPr>
    </w:p>
    <w:p w:rsidR="007A25C7" w:rsidRPr="009D287C" w:rsidRDefault="007A25C7" w:rsidP="00732DB7">
      <w:pPr>
        <w:widowControl w:val="0"/>
        <w:rPr>
          <w:sz w:val="20"/>
          <w:szCs w:val="20"/>
          <w:lang w:val="fr-CA"/>
        </w:rPr>
      </w:pPr>
    </w:p>
    <w:p w:rsidR="007A25C7" w:rsidRPr="009D287C" w:rsidRDefault="007A25C7" w:rsidP="00732DB7">
      <w:pPr>
        <w:widowControl w:val="0"/>
        <w:rPr>
          <w:sz w:val="20"/>
          <w:szCs w:val="20"/>
          <w:lang w:val="fr-CA"/>
        </w:rPr>
      </w:pPr>
    </w:p>
    <w:p w:rsidR="007A25C7" w:rsidRPr="009D287C" w:rsidRDefault="007A25C7" w:rsidP="00732DB7">
      <w:pPr>
        <w:widowControl w:val="0"/>
        <w:rPr>
          <w:sz w:val="20"/>
          <w:szCs w:val="20"/>
          <w:lang w:val="fr-CA"/>
        </w:rPr>
      </w:pPr>
    </w:p>
    <w:p w:rsidR="00732DB7" w:rsidRPr="009D287C" w:rsidRDefault="00732DB7" w:rsidP="00732DB7">
      <w:pPr>
        <w:widowControl w:val="0"/>
        <w:rPr>
          <w:sz w:val="20"/>
          <w:szCs w:val="20"/>
          <w:lang w:val="fr-CA"/>
        </w:rPr>
      </w:pPr>
    </w:p>
    <w:p w:rsidR="00732DB7" w:rsidRPr="009D287C" w:rsidRDefault="00732DB7" w:rsidP="00732DB7">
      <w:pPr>
        <w:widowControl w:val="0"/>
        <w:rPr>
          <w:sz w:val="20"/>
          <w:szCs w:val="20"/>
          <w:lang w:val="fr-CA"/>
        </w:rPr>
        <w:sectPr w:rsidR="00732DB7" w:rsidRPr="009D287C" w:rsidSect="00732DB7">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46C6C" w:rsidTr="0085476B">
        <w:tc>
          <w:tcPr>
            <w:tcW w:w="4200" w:type="dxa"/>
            <w:tcMar>
              <w:left w:w="0" w:type="dxa"/>
              <w:right w:w="0" w:type="dxa"/>
            </w:tcMar>
          </w:tcPr>
          <w:p w:rsidR="00FF6EEC" w:rsidRPr="009D287C" w:rsidRDefault="00FF6EEC" w:rsidP="0085476B">
            <w:pPr>
              <w:keepNext/>
              <w:keepLines/>
              <w:tabs>
                <w:tab w:val="left" w:pos="-1440"/>
                <w:tab w:val="left" w:pos="-720"/>
              </w:tabs>
              <w:rPr>
                <w:b/>
                <w:szCs w:val="24"/>
              </w:rPr>
            </w:pPr>
            <w:r w:rsidRPr="009D287C">
              <w:rPr>
                <w:b/>
                <w:szCs w:val="24"/>
              </w:rPr>
              <w:lastRenderedPageBreak/>
              <w:t>PRONOUNCEMENTS OF APPEALS</w:t>
            </w:r>
            <w:r w:rsidR="0085476B" w:rsidRPr="009D287C">
              <w:rPr>
                <w:b/>
                <w:szCs w:val="24"/>
              </w:rPr>
              <w:t xml:space="preserve"> </w:t>
            </w:r>
            <w:r w:rsidRPr="009D287C">
              <w:rPr>
                <w:b/>
                <w:szCs w:val="24"/>
              </w:rPr>
              <w:t>RESERVED</w:t>
            </w:r>
          </w:p>
          <w:p w:rsidR="00FF6EEC" w:rsidRPr="009D287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D287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D287C">
              <w:rPr>
                <w:b/>
                <w:szCs w:val="24"/>
              </w:rPr>
              <w:t>Reasons for judgment are available</w:t>
            </w:r>
          </w:p>
        </w:tc>
        <w:tc>
          <w:tcPr>
            <w:tcW w:w="1200" w:type="dxa"/>
            <w:tcMar>
              <w:left w:w="0" w:type="dxa"/>
              <w:right w:w="0" w:type="dxa"/>
            </w:tcMar>
          </w:tcPr>
          <w:p w:rsidR="00FF6EEC" w:rsidRPr="009D287C" w:rsidRDefault="00FF6EEC" w:rsidP="00FF6EEC">
            <w:pPr>
              <w:keepNext/>
              <w:keepLines/>
              <w:tabs>
                <w:tab w:val="left" w:pos="-1440"/>
                <w:tab w:val="left" w:pos="-720"/>
              </w:tabs>
              <w:jc w:val="center"/>
              <w:rPr>
                <w:b/>
                <w:szCs w:val="24"/>
              </w:rPr>
            </w:pPr>
          </w:p>
          <w:p w:rsidR="00FF6EEC" w:rsidRPr="009D287C" w:rsidRDefault="00FF6EEC" w:rsidP="00FF6EEC">
            <w:pPr>
              <w:keepNext/>
              <w:keepLines/>
              <w:tabs>
                <w:tab w:val="left" w:pos="-1440"/>
                <w:tab w:val="left" w:pos="-720"/>
              </w:tabs>
              <w:jc w:val="center"/>
              <w:rPr>
                <w:b/>
                <w:szCs w:val="24"/>
              </w:rPr>
            </w:pPr>
          </w:p>
          <w:p w:rsidR="00FF6EEC" w:rsidRPr="009D287C" w:rsidRDefault="00FF6EEC" w:rsidP="00FF6EEC">
            <w:pPr>
              <w:keepNext/>
              <w:keepLines/>
              <w:tabs>
                <w:tab w:val="left" w:pos="-1440"/>
                <w:tab w:val="left" w:pos="-720"/>
              </w:tabs>
              <w:jc w:val="center"/>
              <w:rPr>
                <w:b/>
                <w:szCs w:val="24"/>
              </w:rPr>
            </w:pPr>
          </w:p>
          <w:p w:rsidR="00FF6EEC" w:rsidRPr="009D287C" w:rsidRDefault="00FF6EEC" w:rsidP="00FF6EEC">
            <w:pPr>
              <w:keepNext/>
              <w:keepLines/>
              <w:tabs>
                <w:tab w:val="left" w:pos="-1440"/>
                <w:tab w:val="left" w:pos="-720"/>
              </w:tabs>
              <w:jc w:val="center"/>
              <w:rPr>
                <w:b/>
                <w:szCs w:val="24"/>
              </w:rPr>
            </w:pPr>
          </w:p>
          <w:p w:rsidR="00FF6EEC" w:rsidRPr="009D287C"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D287C" w:rsidRDefault="00FF6EEC" w:rsidP="00FF6EEC">
            <w:pPr>
              <w:keepNext/>
              <w:keepLines/>
              <w:tabs>
                <w:tab w:val="left" w:pos="-1440"/>
                <w:tab w:val="left" w:pos="-720"/>
              </w:tabs>
              <w:rPr>
                <w:b/>
                <w:szCs w:val="24"/>
                <w:lang w:val="fr-CA"/>
              </w:rPr>
            </w:pPr>
            <w:r w:rsidRPr="009D287C">
              <w:rPr>
                <w:b/>
                <w:szCs w:val="24"/>
                <w:lang w:val="fr-CA"/>
              </w:rPr>
              <w:t>JUGEMENTS RENDUS SUR LES APPELS EN DÉLIBÉRÉ</w:t>
            </w:r>
          </w:p>
          <w:p w:rsidR="00FF6EEC" w:rsidRPr="009D287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D287C"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D287C">
              <w:rPr>
                <w:b/>
                <w:szCs w:val="24"/>
                <w:lang w:val="fr-CA"/>
              </w:rPr>
              <w:t>Les motifs de jugement sont disponibles</w:t>
            </w:r>
          </w:p>
        </w:tc>
      </w:tr>
    </w:tbl>
    <w:p w:rsidR="00FF6EEC" w:rsidRPr="009D287C" w:rsidRDefault="00FF6EEC" w:rsidP="00FF6EEC">
      <w:pPr>
        <w:rPr>
          <w:b/>
          <w:sz w:val="20"/>
          <w:szCs w:val="20"/>
          <w:lang w:val="fr-CA"/>
        </w:rPr>
      </w:pPr>
    </w:p>
    <w:p w:rsidR="0052229C" w:rsidRPr="009D287C" w:rsidRDefault="0085017A" w:rsidP="0052229C">
      <w:pPr>
        <w:rPr>
          <w:b/>
          <w:sz w:val="20"/>
          <w:szCs w:val="20"/>
          <w:lang w:val="en-US"/>
        </w:rPr>
      </w:pPr>
      <w:r w:rsidRPr="009D287C">
        <w:rPr>
          <w:b/>
          <w:sz w:val="20"/>
          <w:szCs w:val="20"/>
          <w:lang w:val="en-US"/>
        </w:rPr>
        <w:t>DECEMBER</w:t>
      </w:r>
      <w:r w:rsidR="0052229C" w:rsidRPr="009D287C">
        <w:rPr>
          <w:b/>
          <w:sz w:val="20"/>
          <w:szCs w:val="20"/>
          <w:lang w:val="en-US"/>
        </w:rPr>
        <w:t xml:space="preserve"> </w:t>
      </w:r>
      <w:r w:rsidRPr="009D287C">
        <w:rPr>
          <w:b/>
          <w:sz w:val="20"/>
          <w:szCs w:val="20"/>
          <w:lang w:val="en-US"/>
        </w:rPr>
        <w:t>8</w:t>
      </w:r>
      <w:r w:rsidR="0052229C" w:rsidRPr="009D287C">
        <w:rPr>
          <w:b/>
          <w:sz w:val="20"/>
          <w:szCs w:val="20"/>
          <w:lang w:val="en-US"/>
        </w:rPr>
        <w:t>, 201</w:t>
      </w:r>
      <w:r w:rsidR="00E942C2" w:rsidRPr="009D287C">
        <w:rPr>
          <w:b/>
          <w:sz w:val="20"/>
          <w:szCs w:val="20"/>
          <w:lang w:val="en-US"/>
        </w:rPr>
        <w:t>6</w:t>
      </w:r>
      <w:r w:rsidR="0052229C" w:rsidRPr="009D287C">
        <w:rPr>
          <w:b/>
          <w:sz w:val="20"/>
          <w:szCs w:val="20"/>
          <w:lang w:val="en-US"/>
        </w:rPr>
        <w:t xml:space="preserve"> / LE </w:t>
      </w:r>
      <w:r w:rsidRPr="009D287C">
        <w:rPr>
          <w:b/>
          <w:sz w:val="20"/>
          <w:szCs w:val="20"/>
          <w:lang w:val="en-US"/>
        </w:rPr>
        <w:t>8</w:t>
      </w:r>
      <w:r w:rsidR="0052229C" w:rsidRPr="009D287C">
        <w:rPr>
          <w:b/>
          <w:sz w:val="20"/>
          <w:szCs w:val="20"/>
          <w:lang w:val="en-US"/>
        </w:rPr>
        <w:t xml:space="preserve"> </w:t>
      </w:r>
      <w:r w:rsidRPr="009D287C">
        <w:rPr>
          <w:b/>
          <w:sz w:val="20"/>
          <w:szCs w:val="20"/>
          <w:lang w:val="en-US"/>
        </w:rPr>
        <w:t>DÉCEMBRE</w:t>
      </w:r>
      <w:r w:rsidR="0052229C" w:rsidRPr="009D287C">
        <w:rPr>
          <w:b/>
          <w:sz w:val="20"/>
          <w:szCs w:val="20"/>
          <w:lang w:val="en-US"/>
        </w:rPr>
        <w:t xml:space="preserve"> 201</w:t>
      </w:r>
      <w:r w:rsidR="00E942C2" w:rsidRPr="009D287C">
        <w:rPr>
          <w:b/>
          <w:sz w:val="20"/>
          <w:szCs w:val="20"/>
          <w:lang w:val="en-US"/>
        </w:rPr>
        <w:t>6</w:t>
      </w:r>
    </w:p>
    <w:p w:rsidR="0052229C" w:rsidRPr="009D287C" w:rsidRDefault="0052229C" w:rsidP="0052229C">
      <w:pPr>
        <w:rPr>
          <w:sz w:val="20"/>
          <w:szCs w:val="20"/>
          <w:lang w:val="en-US"/>
        </w:rPr>
      </w:pPr>
    </w:p>
    <w:p w:rsidR="0085017A" w:rsidRPr="009D287C" w:rsidRDefault="000E27A5" w:rsidP="0085017A">
      <w:pPr>
        <w:ind w:left="1440" w:hanging="1440"/>
        <w:jc w:val="both"/>
        <w:rPr>
          <w:b/>
          <w:sz w:val="20"/>
          <w:u w:val="single"/>
          <w:lang w:val="en-US"/>
        </w:rPr>
      </w:pPr>
      <w:r w:rsidRPr="009D287C">
        <w:rPr>
          <w:b/>
          <w:sz w:val="20"/>
        </w:rPr>
        <w:fldChar w:fldCharType="begin"/>
      </w:r>
      <w:r w:rsidR="0052229C" w:rsidRPr="009D287C">
        <w:rPr>
          <w:b/>
          <w:sz w:val="20"/>
          <w:lang w:val="en-US"/>
        </w:rPr>
        <w:instrText xml:space="preserve"> SEQ CHAPTER \h \r 1</w:instrText>
      </w:r>
      <w:r w:rsidRPr="009D287C">
        <w:rPr>
          <w:b/>
          <w:sz w:val="20"/>
        </w:rPr>
        <w:fldChar w:fldCharType="end"/>
      </w:r>
      <w:r w:rsidR="0052229C" w:rsidRPr="009D287C">
        <w:rPr>
          <w:b/>
          <w:sz w:val="20"/>
          <w:lang w:val="en-US"/>
        </w:rPr>
        <w:t>3</w:t>
      </w:r>
      <w:r w:rsidR="0085017A" w:rsidRPr="009D287C">
        <w:rPr>
          <w:b/>
          <w:sz w:val="20"/>
          <w:lang w:val="en-US"/>
        </w:rPr>
        <w:t>6465</w:t>
      </w:r>
      <w:r w:rsidR="0052229C" w:rsidRPr="009D287C">
        <w:rPr>
          <w:sz w:val="20"/>
          <w:lang w:val="en-US"/>
        </w:rPr>
        <w:tab/>
      </w:r>
      <w:r w:rsidR="0085017A" w:rsidRPr="009D287C">
        <w:rPr>
          <w:b/>
          <w:sz w:val="20"/>
          <w:u w:val="single"/>
          <w:lang w:val="en-US"/>
        </w:rPr>
        <w:t>Corporation of the City of Windsor v. Canadian Transit Company – and – Attorney General of Canada and Federation of Canadian Municipalities</w:t>
      </w:r>
      <w:r w:rsidR="0085017A" w:rsidRPr="009D287C">
        <w:rPr>
          <w:b/>
          <w:sz w:val="20"/>
          <w:lang w:val="en-US"/>
        </w:rPr>
        <w:t xml:space="preserve"> (F.C.)</w:t>
      </w:r>
    </w:p>
    <w:p w:rsidR="0052229C" w:rsidRPr="009D287C" w:rsidRDefault="0085017A" w:rsidP="0085017A">
      <w:pPr>
        <w:ind w:left="1440"/>
        <w:jc w:val="both"/>
        <w:rPr>
          <w:sz w:val="20"/>
          <w:lang w:val="en-US"/>
        </w:rPr>
      </w:pPr>
      <w:r w:rsidRPr="009D287C">
        <w:rPr>
          <w:b/>
          <w:sz w:val="20"/>
          <w:lang w:val="en-US"/>
        </w:rPr>
        <w:t>2016 SCC 54 / 2016 CSC 54</w:t>
      </w:r>
    </w:p>
    <w:p w:rsidR="0052229C" w:rsidRPr="009D287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9D287C" w:rsidRDefault="0052229C" w:rsidP="0052229C">
      <w:pPr>
        <w:ind w:left="1440" w:hanging="1440"/>
        <w:rPr>
          <w:sz w:val="20"/>
          <w:u w:val="single"/>
          <w:lang w:val="en-US"/>
        </w:rPr>
      </w:pPr>
      <w:r w:rsidRPr="009D287C">
        <w:rPr>
          <w:sz w:val="20"/>
          <w:lang w:val="en-US"/>
        </w:rPr>
        <w:t>Coram:</w:t>
      </w:r>
      <w:r w:rsidRPr="009D287C">
        <w:rPr>
          <w:sz w:val="20"/>
          <w:lang w:val="en-US"/>
        </w:rPr>
        <w:tab/>
      </w:r>
      <w:proofErr w:type="spellStart"/>
      <w:r w:rsidR="0085017A" w:rsidRPr="009D287C">
        <w:rPr>
          <w:sz w:val="20"/>
          <w:u w:val="single"/>
        </w:rPr>
        <w:t>McLachlin</w:t>
      </w:r>
      <w:proofErr w:type="spellEnd"/>
      <w:r w:rsidR="0085017A" w:rsidRPr="009D287C">
        <w:rPr>
          <w:sz w:val="20"/>
          <w:u w:val="single"/>
        </w:rPr>
        <w:t xml:space="preserve"> C.J. and </w:t>
      </w:r>
      <w:proofErr w:type="spellStart"/>
      <w:r w:rsidR="0085017A" w:rsidRPr="009D287C">
        <w:rPr>
          <w:sz w:val="20"/>
          <w:u w:val="single"/>
        </w:rPr>
        <w:t>Abella</w:t>
      </w:r>
      <w:proofErr w:type="spellEnd"/>
      <w:r w:rsidR="0085017A" w:rsidRPr="009D287C">
        <w:rPr>
          <w:sz w:val="20"/>
          <w:u w:val="single"/>
        </w:rPr>
        <w:t xml:space="preserve">, Cromwell, </w:t>
      </w:r>
      <w:proofErr w:type="spellStart"/>
      <w:r w:rsidR="0085017A" w:rsidRPr="009D287C">
        <w:rPr>
          <w:sz w:val="20"/>
          <w:u w:val="single"/>
        </w:rPr>
        <w:t>Moldaver</w:t>
      </w:r>
      <w:proofErr w:type="spellEnd"/>
      <w:r w:rsidR="0085017A" w:rsidRPr="009D287C">
        <w:rPr>
          <w:sz w:val="20"/>
          <w:u w:val="single"/>
        </w:rPr>
        <w:t xml:space="preserve">, </w:t>
      </w:r>
      <w:proofErr w:type="spellStart"/>
      <w:r w:rsidR="0085017A" w:rsidRPr="009D287C">
        <w:rPr>
          <w:sz w:val="20"/>
          <w:u w:val="single"/>
        </w:rPr>
        <w:t>Karakatsanis</w:t>
      </w:r>
      <w:proofErr w:type="spellEnd"/>
      <w:r w:rsidR="0085017A" w:rsidRPr="009D287C">
        <w:rPr>
          <w:sz w:val="20"/>
          <w:u w:val="single"/>
        </w:rPr>
        <w:t xml:space="preserve">, Wagner, </w:t>
      </w:r>
      <w:proofErr w:type="spellStart"/>
      <w:r w:rsidR="0085017A" w:rsidRPr="009D287C">
        <w:rPr>
          <w:sz w:val="20"/>
          <w:u w:val="single"/>
        </w:rPr>
        <w:t>Gascon</w:t>
      </w:r>
      <w:proofErr w:type="spellEnd"/>
      <w:r w:rsidR="0085017A" w:rsidRPr="009D287C">
        <w:rPr>
          <w:sz w:val="20"/>
          <w:u w:val="single"/>
        </w:rPr>
        <w:t>, Côté and Brown JJ.</w:t>
      </w:r>
    </w:p>
    <w:p w:rsidR="0052229C" w:rsidRPr="009D287C" w:rsidRDefault="0052229C" w:rsidP="0052229C">
      <w:pPr>
        <w:ind w:left="1440" w:hanging="1440"/>
        <w:rPr>
          <w:sz w:val="16"/>
          <w:u w:val="single"/>
          <w:lang w:val="en-US"/>
        </w:rPr>
      </w:pPr>
    </w:p>
    <w:p w:rsidR="003A492A" w:rsidRPr="009D287C" w:rsidRDefault="003A492A" w:rsidP="003A492A">
      <w:pPr>
        <w:jc w:val="both"/>
        <w:rPr>
          <w:rFonts w:eastAsia="Times New Roman" w:cs="Times New Roman"/>
          <w:sz w:val="20"/>
          <w:szCs w:val="20"/>
          <w:lang w:val="fr-CA"/>
        </w:rPr>
      </w:pPr>
      <w:r w:rsidRPr="009D287C">
        <w:rPr>
          <w:rFonts w:eastAsia="Times New Roman" w:cs="Times New Roman"/>
          <w:sz w:val="20"/>
          <w:szCs w:val="20"/>
          <w:lang w:val="en-US"/>
        </w:rPr>
        <w:t xml:space="preserve">The appeal from the judgment of the Federal Court of Appeal, Number A-297-14, 2015 FCA 88, dated April 7, 2015, heard on April 21, 2016, is allowed.  The order of the Federal Court of Appeal is set aside and the order of the Federal Court striking the Canadian Transit Company’s notice of application is reinstated.  Costs are awarded to the Corporation of the City of Windsor in this Court and in the courts below. </w:t>
      </w:r>
      <w:r w:rsidRPr="009D287C">
        <w:rPr>
          <w:rFonts w:eastAsia="Times New Roman" w:cs="Times New Roman"/>
          <w:sz w:val="20"/>
          <w:szCs w:val="20"/>
          <w:lang w:val="fr-CA"/>
        </w:rPr>
        <w:t xml:space="preserve">Abella, </w:t>
      </w:r>
      <w:proofErr w:type="spellStart"/>
      <w:r w:rsidRPr="009D287C">
        <w:rPr>
          <w:rFonts w:eastAsia="Times New Roman" w:cs="Times New Roman"/>
          <w:sz w:val="20"/>
          <w:szCs w:val="20"/>
          <w:lang w:val="fr-CA"/>
        </w:rPr>
        <w:t>Moldaver</w:t>
      </w:r>
      <w:proofErr w:type="spellEnd"/>
      <w:r w:rsidRPr="009D287C">
        <w:rPr>
          <w:rFonts w:eastAsia="Times New Roman" w:cs="Times New Roman"/>
          <w:sz w:val="20"/>
          <w:szCs w:val="20"/>
          <w:lang w:val="fr-CA"/>
        </w:rPr>
        <w:t xml:space="preserve">, Côté and Brown JJ. </w:t>
      </w:r>
      <w:proofErr w:type="gramStart"/>
      <w:r w:rsidRPr="009D287C">
        <w:rPr>
          <w:rFonts w:eastAsia="Times New Roman" w:cs="Times New Roman"/>
          <w:sz w:val="20"/>
          <w:szCs w:val="20"/>
          <w:lang w:val="fr-CA"/>
        </w:rPr>
        <w:t>are</w:t>
      </w:r>
      <w:proofErr w:type="gramEnd"/>
      <w:r w:rsidRPr="009D287C">
        <w:rPr>
          <w:rFonts w:eastAsia="Times New Roman" w:cs="Times New Roman"/>
          <w:sz w:val="20"/>
          <w:szCs w:val="20"/>
          <w:lang w:val="fr-CA"/>
        </w:rPr>
        <w:t xml:space="preserve"> </w:t>
      </w:r>
      <w:proofErr w:type="spellStart"/>
      <w:r w:rsidRPr="009D287C">
        <w:rPr>
          <w:rFonts w:eastAsia="Times New Roman" w:cs="Times New Roman"/>
          <w:sz w:val="20"/>
          <w:szCs w:val="20"/>
          <w:lang w:val="fr-CA"/>
        </w:rPr>
        <w:t>dissenting</w:t>
      </w:r>
      <w:proofErr w:type="spellEnd"/>
      <w:r w:rsidRPr="009D287C">
        <w:rPr>
          <w:rFonts w:eastAsia="Times New Roman" w:cs="Times New Roman"/>
          <w:sz w:val="20"/>
          <w:szCs w:val="20"/>
          <w:lang w:val="fr-CA"/>
        </w:rPr>
        <w:t>.</w:t>
      </w:r>
    </w:p>
    <w:p w:rsidR="003A492A" w:rsidRPr="009D287C" w:rsidRDefault="003A492A" w:rsidP="003A492A">
      <w:pPr>
        <w:jc w:val="both"/>
        <w:rPr>
          <w:rFonts w:eastAsia="Times New Roman" w:cs="Times New Roman"/>
          <w:sz w:val="20"/>
          <w:szCs w:val="20"/>
          <w:lang w:val="fr-CA"/>
        </w:rPr>
      </w:pPr>
    </w:p>
    <w:p w:rsidR="003A492A" w:rsidRPr="009D287C" w:rsidRDefault="003A492A" w:rsidP="003A492A">
      <w:pPr>
        <w:jc w:val="both"/>
        <w:rPr>
          <w:rFonts w:eastAsia="Times New Roman" w:cs="Times New Roman"/>
          <w:sz w:val="20"/>
          <w:szCs w:val="20"/>
          <w:lang w:val="fr-CA"/>
        </w:rPr>
      </w:pPr>
      <w:r w:rsidRPr="009D287C">
        <w:rPr>
          <w:rFonts w:eastAsia="Times New Roman" w:cs="Times New Roman"/>
          <w:sz w:val="20"/>
          <w:szCs w:val="20"/>
          <w:lang w:val="fr-CA"/>
        </w:rPr>
        <w:t xml:space="preserve">L’appel interjeté contre l’arrêt de la Cour d’appel fédérale, numéro A-297-14, 2015 CAF 88, daté du 7 avril 2015, entendu le 21 avril 2016, est accueilli. L’ordonnance de la Cour d’appel fédérale est annulée et l’ordonnance de la Cour fédérale radiant l’avis de demande de la société Canadian Transit </w:t>
      </w:r>
      <w:proofErr w:type="spellStart"/>
      <w:r w:rsidRPr="009D287C">
        <w:rPr>
          <w:rFonts w:eastAsia="Times New Roman" w:cs="Times New Roman"/>
          <w:sz w:val="20"/>
          <w:szCs w:val="20"/>
          <w:lang w:val="fr-CA"/>
        </w:rPr>
        <w:t>Company</w:t>
      </w:r>
      <w:proofErr w:type="spellEnd"/>
      <w:r w:rsidRPr="009D287C">
        <w:rPr>
          <w:rFonts w:eastAsia="Times New Roman" w:cs="Times New Roman"/>
          <w:sz w:val="20"/>
          <w:szCs w:val="20"/>
          <w:lang w:val="fr-CA"/>
        </w:rPr>
        <w:t xml:space="preserve"> est rétablie. Les dépens sont accordés à Corporation of the City of Windsor devant notre Cour et devant les cours d’instance inférieure. Les juges Abella, </w:t>
      </w:r>
      <w:proofErr w:type="spellStart"/>
      <w:r w:rsidRPr="009D287C">
        <w:rPr>
          <w:rFonts w:eastAsia="Times New Roman" w:cs="Times New Roman"/>
          <w:sz w:val="20"/>
          <w:szCs w:val="20"/>
          <w:lang w:val="fr-CA"/>
        </w:rPr>
        <w:t>Moldaver</w:t>
      </w:r>
      <w:proofErr w:type="spellEnd"/>
      <w:r w:rsidRPr="009D287C">
        <w:rPr>
          <w:rFonts w:eastAsia="Times New Roman" w:cs="Times New Roman"/>
          <w:sz w:val="20"/>
          <w:szCs w:val="20"/>
          <w:lang w:val="fr-CA"/>
        </w:rPr>
        <w:t>, Côté et Brown sont dissidents.</w:t>
      </w:r>
    </w:p>
    <w:p w:rsidR="0052229C" w:rsidRPr="009D287C" w:rsidRDefault="0052229C" w:rsidP="0052229C">
      <w:pPr>
        <w:rPr>
          <w:sz w:val="20"/>
          <w:szCs w:val="20"/>
        </w:rPr>
      </w:pPr>
    </w:p>
    <w:p w:rsidR="0052229C" w:rsidRPr="009D287C" w:rsidRDefault="00346C6C" w:rsidP="0052229C">
      <w:pPr>
        <w:spacing w:line="0" w:lineRule="atLeast"/>
        <w:rPr>
          <w:sz w:val="20"/>
          <w:szCs w:val="20"/>
        </w:rPr>
      </w:pPr>
      <w:r>
        <w:rPr>
          <w:b/>
          <w:sz w:val="20"/>
          <w:szCs w:val="20"/>
        </w:rPr>
        <w:pict>
          <v:rect id="_x0000_i1058" style="width:144.3pt;height:1pt" o:hrpct="300" o:hralign="center" o:hrstd="t" o:hrnoshade="t" o:hr="t" fillcolor="black [3213]" stroked="f"/>
        </w:pict>
      </w:r>
    </w:p>
    <w:p w:rsidR="0052229C" w:rsidRPr="009D287C" w:rsidRDefault="0052229C" w:rsidP="0052229C">
      <w:pPr>
        <w:spacing w:line="0" w:lineRule="atLeast"/>
        <w:rPr>
          <w:sz w:val="20"/>
          <w:szCs w:val="20"/>
        </w:rPr>
      </w:pPr>
    </w:p>
    <w:p w:rsidR="0052229C" w:rsidRPr="009D287C" w:rsidRDefault="00723E18" w:rsidP="0052229C">
      <w:pPr>
        <w:rPr>
          <w:b/>
          <w:sz w:val="20"/>
          <w:szCs w:val="20"/>
          <w:lang w:val="fr-CA"/>
        </w:rPr>
      </w:pPr>
      <w:r w:rsidRPr="009D287C">
        <w:rPr>
          <w:b/>
          <w:sz w:val="20"/>
          <w:szCs w:val="20"/>
          <w:lang w:val="fr-CA"/>
        </w:rPr>
        <w:t>DECEMBER</w:t>
      </w:r>
      <w:r w:rsidR="0052229C" w:rsidRPr="009D287C">
        <w:rPr>
          <w:b/>
          <w:sz w:val="20"/>
          <w:szCs w:val="20"/>
          <w:lang w:val="fr-CA"/>
        </w:rPr>
        <w:t xml:space="preserve"> </w:t>
      </w:r>
      <w:r w:rsidRPr="009D287C">
        <w:rPr>
          <w:b/>
          <w:sz w:val="20"/>
          <w:szCs w:val="20"/>
          <w:lang w:val="fr-CA"/>
        </w:rPr>
        <w:t>9</w:t>
      </w:r>
      <w:r w:rsidR="0052229C" w:rsidRPr="009D287C">
        <w:rPr>
          <w:b/>
          <w:sz w:val="20"/>
          <w:szCs w:val="20"/>
          <w:lang w:val="fr-CA"/>
        </w:rPr>
        <w:t>, 201</w:t>
      </w:r>
      <w:r w:rsidR="00E942C2" w:rsidRPr="009D287C">
        <w:rPr>
          <w:b/>
          <w:sz w:val="20"/>
          <w:szCs w:val="20"/>
          <w:lang w:val="fr-CA"/>
        </w:rPr>
        <w:t>6</w:t>
      </w:r>
      <w:r w:rsidR="0052229C" w:rsidRPr="009D287C">
        <w:rPr>
          <w:b/>
          <w:sz w:val="20"/>
          <w:szCs w:val="20"/>
          <w:lang w:val="fr-CA"/>
        </w:rPr>
        <w:t xml:space="preserve"> / LE </w:t>
      </w:r>
      <w:r w:rsidRPr="009D287C">
        <w:rPr>
          <w:b/>
          <w:sz w:val="20"/>
          <w:szCs w:val="20"/>
          <w:lang w:val="fr-CA"/>
        </w:rPr>
        <w:t>9</w:t>
      </w:r>
      <w:r w:rsidR="0052229C" w:rsidRPr="009D287C">
        <w:rPr>
          <w:b/>
          <w:sz w:val="20"/>
          <w:szCs w:val="20"/>
          <w:lang w:val="fr-CA"/>
        </w:rPr>
        <w:t xml:space="preserve"> </w:t>
      </w:r>
      <w:r w:rsidRPr="009D287C">
        <w:rPr>
          <w:b/>
          <w:sz w:val="20"/>
          <w:szCs w:val="20"/>
          <w:lang w:val="fr-CA"/>
        </w:rPr>
        <w:t>DÉCEMBRE</w:t>
      </w:r>
      <w:r w:rsidR="0052229C" w:rsidRPr="009D287C">
        <w:rPr>
          <w:b/>
          <w:sz w:val="20"/>
          <w:szCs w:val="20"/>
          <w:lang w:val="fr-CA"/>
        </w:rPr>
        <w:t xml:space="preserve"> 201</w:t>
      </w:r>
      <w:r w:rsidR="00E942C2" w:rsidRPr="009D287C">
        <w:rPr>
          <w:b/>
          <w:sz w:val="20"/>
          <w:szCs w:val="20"/>
          <w:lang w:val="fr-CA"/>
        </w:rPr>
        <w:t>6</w:t>
      </w:r>
    </w:p>
    <w:p w:rsidR="0052229C" w:rsidRPr="009D287C" w:rsidRDefault="0052229C" w:rsidP="0052229C">
      <w:pPr>
        <w:spacing w:line="0" w:lineRule="atLeast"/>
        <w:rPr>
          <w:rFonts w:cs="Times New Roman"/>
          <w:sz w:val="20"/>
          <w:szCs w:val="20"/>
          <w:lang w:val="fr-CA"/>
        </w:rPr>
      </w:pPr>
    </w:p>
    <w:p w:rsidR="00723E18" w:rsidRPr="009D287C" w:rsidRDefault="000E27A5" w:rsidP="00723E18">
      <w:pPr>
        <w:ind w:left="1440" w:hanging="1440"/>
        <w:jc w:val="both"/>
        <w:rPr>
          <w:rFonts w:eastAsia="Times New Roman" w:cs="Times New Roman"/>
          <w:sz w:val="20"/>
          <w:szCs w:val="20"/>
          <w:lang w:val="fr-CA"/>
        </w:rPr>
      </w:pPr>
      <w:r w:rsidRPr="009D287C">
        <w:rPr>
          <w:b/>
          <w:sz w:val="20"/>
          <w:szCs w:val="20"/>
        </w:rPr>
        <w:fldChar w:fldCharType="begin"/>
      </w:r>
      <w:r w:rsidR="0052229C" w:rsidRPr="009D287C">
        <w:rPr>
          <w:b/>
          <w:sz w:val="20"/>
          <w:szCs w:val="20"/>
          <w:lang w:val="fr-CA"/>
        </w:rPr>
        <w:instrText xml:space="preserve"> SEQ CHAPTER \h \r 1</w:instrText>
      </w:r>
      <w:r w:rsidRPr="009D287C">
        <w:rPr>
          <w:b/>
          <w:sz w:val="20"/>
          <w:szCs w:val="20"/>
        </w:rPr>
        <w:fldChar w:fldCharType="end"/>
      </w:r>
      <w:r w:rsidR="0052229C" w:rsidRPr="009D287C">
        <w:rPr>
          <w:b/>
          <w:sz w:val="20"/>
          <w:szCs w:val="20"/>
          <w:lang w:val="fr-CA"/>
        </w:rPr>
        <w:t>3</w:t>
      </w:r>
      <w:r w:rsidR="00723E18" w:rsidRPr="009D287C">
        <w:rPr>
          <w:b/>
          <w:sz w:val="20"/>
          <w:szCs w:val="20"/>
          <w:lang w:val="fr-CA"/>
        </w:rPr>
        <w:t>6505</w:t>
      </w:r>
      <w:r w:rsidR="0052229C" w:rsidRPr="009D287C">
        <w:rPr>
          <w:sz w:val="20"/>
          <w:szCs w:val="20"/>
          <w:lang w:val="fr-CA"/>
        </w:rPr>
        <w:tab/>
      </w:r>
      <w:r w:rsidR="00723E18" w:rsidRPr="009D287C">
        <w:rPr>
          <w:rFonts w:eastAsia="Times New Roman" w:cs="Times New Roman"/>
          <w:b/>
          <w:iCs/>
          <w:sz w:val="20"/>
          <w:szCs w:val="20"/>
          <w:u w:val="single"/>
          <w:lang w:val="fr-CA"/>
        </w:rPr>
        <w:t xml:space="preserve">Le Groupe Jean </w:t>
      </w:r>
      <w:proofErr w:type="spellStart"/>
      <w:r w:rsidR="00723E18" w:rsidRPr="009D287C">
        <w:rPr>
          <w:rFonts w:eastAsia="Times New Roman" w:cs="Times New Roman"/>
          <w:b/>
          <w:iCs/>
          <w:sz w:val="20"/>
          <w:szCs w:val="20"/>
          <w:u w:val="single"/>
          <w:lang w:val="fr-CA"/>
        </w:rPr>
        <w:t>Coutu</w:t>
      </w:r>
      <w:proofErr w:type="spellEnd"/>
      <w:r w:rsidR="00723E18" w:rsidRPr="009D287C">
        <w:rPr>
          <w:rFonts w:eastAsia="Times New Roman" w:cs="Times New Roman"/>
          <w:b/>
          <w:iCs/>
          <w:sz w:val="20"/>
          <w:szCs w:val="20"/>
          <w:u w:val="single"/>
          <w:lang w:val="fr-CA"/>
        </w:rPr>
        <w:t xml:space="preserve"> (PJC) </w:t>
      </w:r>
      <w:proofErr w:type="spellStart"/>
      <w:r w:rsidR="00723E18" w:rsidRPr="009D287C">
        <w:rPr>
          <w:rFonts w:eastAsia="Times New Roman" w:cs="Times New Roman"/>
          <w:b/>
          <w:iCs/>
          <w:sz w:val="20"/>
          <w:szCs w:val="20"/>
          <w:u w:val="single"/>
          <w:lang w:val="fr-CA"/>
        </w:rPr>
        <w:t>inc.</w:t>
      </w:r>
      <w:proofErr w:type="spellEnd"/>
      <w:r w:rsidR="00723E18" w:rsidRPr="009D287C">
        <w:rPr>
          <w:rFonts w:eastAsia="Times New Roman" w:cs="Times New Roman"/>
          <w:b/>
          <w:iCs/>
          <w:sz w:val="20"/>
          <w:szCs w:val="20"/>
          <w:u w:val="single"/>
          <w:lang w:val="fr-CA"/>
        </w:rPr>
        <w:t xml:space="preserve"> c. Procureur général du Canada – et – Agence du revenu du Québec</w:t>
      </w:r>
      <w:r w:rsidR="00723E18" w:rsidRPr="009D287C">
        <w:rPr>
          <w:rFonts w:eastAsia="Times New Roman" w:cs="Times New Roman"/>
          <w:iCs/>
          <w:sz w:val="20"/>
          <w:szCs w:val="20"/>
          <w:lang w:val="fr-CA"/>
        </w:rPr>
        <w:t xml:space="preserve"> (</w:t>
      </w:r>
      <w:proofErr w:type="spellStart"/>
      <w:r w:rsidR="00723E18" w:rsidRPr="009D287C">
        <w:rPr>
          <w:rFonts w:eastAsia="Times New Roman" w:cs="Times New Roman"/>
          <w:iCs/>
          <w:sz w:val="20"/>
          <w:szCs w:val="20"/>
          <w:lang w:val="fr-CA"/>
        </w:rPr>
        <w:t>Qc</w:t>
      </w:r>
      <w:proofErr w:type="spellEnd"/>
      <w:r w:rsidR="00723E18" w:rsidRPr="009D287C">
        <w:rPr>
          <w:rFonts w:eastAsia="Times New Roman" w:cs="Times New Roman"/>
          <w:iCs/>
          <w:sz w:val="20"/>
          <w:szCs w:val="20"/>
          <w:lang w:val="fr-CA"/>
        </w:rPr>
        <w:t>)</w:t>
      </w:r>
    </w:p>
    <w:p w:rsidR="0052229C" w:rsidRPr="009D287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9D287C">
        <w:rPr>
          <w:b/>
          <w:sz w:val="20"/>
          <w:szCs w:val="20"/>
          <w:lang w:val="fr-CA"/>
        </w:rPr>
        <w:t>201</w:t>
      </w:r>
      <w:r w:rsidR="00E942C2" w:rsidRPr="009D287C">
        <w:rPr>
          <w:b/>
          <w:sz w:val="20"/>
          <w:szCs w:val="20"/>
          <w:lang w:val="fr-CA"/>
        </w:rPr>
        <w:t>6</w:t>
      </w:r>
      <w:r w:rsidRPr="009D287C">
        <w:rPr>
          <w:b/>
          <w:sz w:val="20"/>
          <w:szCs w:val="20"/>
          <w:lang w:val="fr-CA"/>
        </w:rPr>
        <w:t xml:space="preserve"> SCC </w:t>
      </w:r>
      <w:r w:rsidR="00723E18" w:rsidRPr="009D287C">
        <w:rPr>
          <w:b/>
          <w:sz w:val="20"/>
          <w:szCs w:val="20"/>
          <w:lang w:val="fr-CA"/>
        </w:rPr>
        <w:t>55</w:t>
      </w:r>
      <w:r w:rsidRPr="009D287C">
        <w:rPr>
          <w:b/>
          <w:sz w:val="20"/>
          <w:szCs w:val="20"/>
          <w:lang w:val="fr-CA"/>
        </w:rPr>
        <w:t xml:space="preserve"> / 201</w:t>
      </w:r>
      <w:r w:rsidR="00E942C2" w:rsidRPr="009D287C">
        <w:rPr>
          <w:b/>
          <w:sz w:val="20"/>
          <w:szCs w:val="20"/>
          <w:lang w:val="fr-CA"/>
        </w:rPr>
        <w:t>6</w:t>
      </w:r>
      <w:r w:rsidRPr="009D287C">
        <w:rPr>
          <w:b/>
          <w:sz w:val="20"/>
          <w:szCs w:val="20"/>
          <w:lang w:val="fr-CA"/>
        </w:rPr>
        <w:t xml:space="preserve"> CSC </w:t>
      </w:r>
      <w:r w:rsidR="00723E18" w:rsidRPr="009D287C">
        <w:rPr>
          <w:b/>
          <w:sz w:val="20"/>
          <w:szCs w:val="20"/>
          <w:lang w:val="fr-CA"/>
        </w:rPr>
        <w:t>55</w:t>
      </w:r>
    </w:p>
    <w:p w:rsidR="0052229C" w:rsidRPr="009D287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52229C" w:rsidRPr="009D287C" w:rsidRDefault="0052229C" w:rsidP="0052229C">
      <w:pPr>
        <w:ind w:left="1440" w:hanging="1440"/>
        <w:rPr>
          <w:sz w:val="20"/>
          <w:szCs w:val="20"/>
          <w:u w:val="single"/>
          <w:lang w:val="fr-CA"/>
        </w:rPr>
      </w:pPr>
      <w:r w:rsidRPr="009D287C">
        <w:rPr>
          <w:sz w:val="20"/>
          <w:szCs w:val="20"/>
          <w:lang w:val="fr-CA"/>
        </w:rPr>
        <w:t>Coram:</w:t>
      </w:r>
      <w:r w:rsidRPr="009D287C">
        <w:rPr>
          <w:sz w:val="20"/>
          <w:szCs w:val="20"/>
          <w:lang w:val="fr-CA"/>
        </w:rPr>
        <w:tab/>
      </w:r>
      <w:r w:rsidR="00723E18" w:rsidRPr="009D287C">
        <w:rPr>
          <w:sz w:val="20"/>
          <w:u w:val="single"/>
          <w:lang w:val="fr-CA"/>
        </w:rPr>
        <w:t xml:space="preserve">La juge en chef McLachlin et les juges Abella, Cromwell, </w:t>
      </w:r>
      <w:proofErr w:type="spellStart"/>
      <w:r w:rsidR="00723E18" w:rsidRPr="009D287C">
        <w:rPr>
          <w:sz w:val="20"/>
          <w:u w:val="single"/>
          <w:lang w:val="fr-CA"/>
        </w:rPr>
        <w:t>Moldaver</w:t>
      </w:r>
      <w:proofErr w:type="spellEnd"/>
      <w:r w:rsidR="00723E18" w:rsidRPr="009D287C">
        <w:rPr>
          <w:sz w:val="20"/>
          <w:u w:val="single"/>
          <w:lang w:val="fr-CA"/>
        </w:rPr>
        <w:t xml:space="preserve">, </w:t>
      </w:r>
      <w:proofErr w:type="spellStart"/>
      <w:r w:rsidR="00723E18" w:rsidRPr="009D287C">
        <w:rPr>
          <w:sz w:val="20"/>
          <w:u w:val="single"/>
          <w:lang w:val="fr-CA"/>
        </w:rPr>
        <w:t>Karakatsanis</w:t>
      </w:r>
      <w:proofErr w:type="spellEnd"/>
      <w:r w:rsidR="00723E18" w:rsidRPr="009D287C">
        <w:rPr>
          <w:sz w:val="20"/>
          <w:u w:val="single"/>
          <w:lang w:val="fr-CA"/>
        </w:rPr>
        <w:t>, Wagner, Gascon, Côté et Brown</w:t>
      </w:r>
    </w:p>
    <w:p w:rsidR="0052229C" w:rsidRPr="009D287C" w:rsidRDefault="0052229C" w:rsidP="0052229C">
      <w:pPr>
        <w:ind w:left="1440" w:hanging="1440"/>
        <w:jc w:val="both"/>
        <w:rPr>
          <w:sz w:val="20"/>
          <w:szCs w:val="20"/>
          <w:u w:val="single"/>
          <w:lang w:val="fr-CA"/>
        </w:rPr>
      </w:pPr>
    </w:p>
    <w:p w:rsidR="00335D10" w:rsidRPr="009D287C" w:rsidRDefault="00335D10" w:rsidP="00335D10">
      <w:pPr>
        <w:jc w:val="both"/>
        <w:rPr>
          <w:rFonts w:cs="Times New Roman"/>
          <w:sz w:val="20"/>
          <w:szCs w:val="20"/>
          <w:lang w:val="en-US"/>
        </w:rPr>
      </w:pPr>
      <w:r w:rsidRPr="009D287C">
        <w:rPr>
          <w:rFonts w:eastAsia="Times New Roman" w:cs="Times New Roman"/>
          <w:sz w:val="20"/>
          <w:szCs w:val="20"/>
          <w:lang w:val="fr-CA"/>
        </w:rPr>
        <w:t xml:space="preserve">L’appel interjeté contre l’arrêt de la Cour d’appel du Québec (Montréal), numéro 500-09-023229-131, 2015 QCCA 838, daté du 12 mai 2015, entendu le 18 mai 2016, est rejeté avec dépens dans toutes les cours. </w:t>
      </w:r>
      <w:r w:rsidRPr="009D287C">
        <w:rPr>
          <w:rFonts w:eastAsia="Times New Roman" w:cs="Times New Roman"/>
          <w:sz w:val="20"/>
          <w:szCs w:val="20"/>
          <w:lang w:val="en-US"/>
        </w:rPr>
        <w:t xml:space="preserve">Les </w:t>
      </w:r>
      <w:proofErr w:type="spellStart"/>
      <w:r w:rsidRPr="009D287C">
        <w:rPr>
          <w:rFonts w:eastAsia="Times New Roman" w:cs="Times New Roman"/>
          <w:sz w:val="20"/>
          <w:szCs w:val="20"/>
          <w:lang w:val="en-US"/>
        </w:rPr>
        <w:t>juges</w:t>
      </w:r>
      <w:proofErr w:type="spellEnd"/>
      <w:r w:rsidRPr="009D287C">
        <w:rPr>
          <w:rFonts w:eastAsia="Times New Roman" w:cs="Times New Roman"/>
          <w:sz w:val="20"/>
          <w:szCs w:val="20"/>
          <w:lang w:val="en-US"/>
        </w:rPr>
        <w:t xml:space="preserve"> </w:t>
      </w:r>
      <w:proofErr w:type="spellStart"/>
      <w:r w:rsidRPr="009D287C">
        <w:rPr>
          <w:rFonts w:eastAsia="Times New Roman" w:cs="Times New Roman"/>
          <w:sz w:val="20"/>
          <w:szCs w:val="20"/>
          <w:lang w:val="en-US"/>
        </w:rPr>
        <w:t>Abella</w:t>
      </w:r>
      <w:proofErr w:type="spellEnd"/>
      <w:r w:rsidRPr="009D287C">
        <w:rPr>
          <w:rFonts w:eastAsia="Times New Roman" w:cs="Times New Roman"/>
          <w:sz w:val="20"/>
          <w:szCs w:val="20"/>
          <w:lang w:val="en-US"/>
        </w:rPr>
        <w:t xml:space="preserve"> </w:t>
      </w:r>
      <w:proofErr w:type="gramStart"/>
      <w:r w:rsidRPr="009D287C">
        <w:rPr>
          <w:rFonts w:eastAsia="Times New Roman" w:cs="Times New Roman"/>
          <w:sz w:val="20"/>
          <w:szCs w:val="20"/>
          <w:lang w:val="en-US"/>
        </w:rPr>
        <w:t>et</w:t>
      </w:r>
      <w:proofErr w:type="gramEnd"/>
      <w:r w:rsidRPr="009D287C">
        <w:rPr>
          <w:rFonts w:eastAsia="Times New Roman" w:cs="Times New Roman"/>
          <w:sz w:val="20"/>
          <w:szCs w:val="20"/>
          <w:lang w:val="en-US"/>
        </w:rPr>
        <w:t xml:space="preserve"> </w:t>
      </w:r>
      <w:proofErr w:type="spellStart"/>
      <w:r w:rsidRPr="009D287C">
        <w:rPr>
          <w:rFonts w:eastAsia="Times New Roman" w:cs="Times New Roman"/>
          <w:sz w:val="20"/>
          <w:szCs w:val="20"/>
          <w:lang w:val="en-US"/>
        </w:rPr>
        <w:t>Côté</w:t>
      </w:r>
      <w:proofErr w:type="spellEnd"/>
      <w:r w:rsidRPr="009D287C">
        <w:rPr>
          <w:rFonts w:eastAsia="Times New Roman" w:cs="Times New Roman"/>
          <w:sz w:val="20"/>
          <w:szCs w:val="20"/>
          <w:lang w:val="en-US"/>
        </w:rPr>
        <w:t xml:space="preserve"> </w:t>
      </w:r>
      <w:proofErr w:type="spellStart"/>
      <w:r w:rsidRPr="009D287C">
        <w:rPr>
          <w:rFonts w:eastAsia="Times New Roman" w:cs="Times New Roman"/>
          <w:sz w:val="20"/>
          <w:szCs w:val="20"/>
          <w:lang w:val="en-US"/>
        </w:rPr>
        <w:t>sont</w:t>
      </w:r>
      <w:proofErr w:type="spellEnd"/>
      <w:r w:rsidRPr="009D287C">
        <w:rPr>
          <w:rFonts w:eastAsia="Times New Roman" w:cs="Times New Roman"/>
          <w:sz w:val="20"/>
          <w:szCs w:val="20"/>
          <w:lang w:val="en-US"/>
        </w:rPr>
        <w:t xml:space="preserve"> </w:t>
      </w:r>
      <w:proofErr w:type="spellStart"/>
      <w:r w:rsidRPr="009D287C">
        <w:rPr>
          <w:rFonts w:eastAsia="Times New Roman" w:cs="Times New Roman"/>
          <w:sz w:val="20"/>
          <w:szCs w:val="20"/>
          <w:lang w:val="en-US"/>
        </w:rPr>
        <w:t>dissidentes</w:t>
      </w:r>
      <w:proofErr w:type="spellEnd"/>
      <w:r w:rsidRPr="009D287C">
        <w:rPr>
          <w:rFonts w:eastAsia="Times New Roman" w:cs="Times New Roman"/>
          <w:sz w:val="20"/>
          <w:szCs w:val="20"/>
          <w:lang w:val="en-US"/>
        </w:rPr>
        <w:t>.</w:t>
      </w:r>
    </w:p>
    <w:p w:rsidR="00335D10" w:rsidRPr="009D287C" w:rsidRDefault="00335D10" w:rsidP="00335D10">
      <w:pPr>
        <w:ind w:left="1440" w:hanging="1440"/>
        <w:rPr>
          <w:rFonts w:eastAsia="Times New Roman" w:cs="Times New Roman"/>
          <w:sz w:val="20"/>
          <w:szCs w:val="20"/>
          <w:lang w:val="en-US"/>
        </w:rPr>
      </w:pPr>
    </w:p>
    <w:p w:rsidR="00335D10" w:rsidRPr="009D287C" w:rsidRDefault="00335D10" w:rsidP="00335D10">
      <w:pPr>
        <w:rPr>
          <w:rFonts w:eastAsia="Times New Roman" w:cs="Times New Roman"/>
          <w:sz w:val="20"/>
          <w:szCs w:val="20"/>
          <w:lang w:val="en-US"/>
        </w:rPr>
      </w:pPr>
      <w:r w:rsidRPr="009D287C">
        <w:rPr>
          <w:rFonts w:eastAsia="Times New Roman" w:cs="Times New Roman"/>
          <w:sz w:val="20"/>
          <w:szCs w:val="20"/>
        </w:rPr>
        <w:t xml:space="preserve">The appeal from the judgment of the Court of Appeal of Quebec (Montréal), Number 500-09-023229-131, 2015 QCCA 838, dated May 12, 2015, heard on May 18, 2016, is dismissed with costs throughout. </w:t>
      </w:r>
      <w:proofErr w:type="spellStart"/>
      <w:r w:rsidRPr="009D287C">
        <w:rPr>
          <w:rFonts w:eastAsia="Times New Roman" w:cs="Times New Roman"/>
          <w:sz w:val="20"/>
          <w:szCs w:val="20"/>
        </w:rPr>
        <w:t>Abella</w:t>
      </w:r>
      <w:proofErr w:type="spellEnd"/>
      <w:r w:rsidRPr="009D287C">
        <w:rPr>
          <w:rFonts w:eastAsia="Times New Roman" w:cs="Times New Roman"/>
          <w:sz w:val="20"/>
          <w:szCs w:val="20"/>
        </w:rPr>
        <w:t xml:space="preserve"> and </w:t>
      </w:r>
      <w:proofErr w:type="spellStart"/>
      <w:r w:rsidRPr="009D287C">
        <w:rPr>
          <w:rFonts w:eastAsia="Times New Roman" w:cs="Times New Roman"/>
          <w:sz w:val="20"/>
          <w:szCs w:val="20"/>
        </w:rPr>
        <w:t>Côté</w:t>
      </w:r>
      <w:proofErr w:type="spellEnd"/>
      <w:r w:rsidRPr="009D287C">
        <w:rPr>
          <w:rFonts w:eastAsia="Times New Roman" w:cs="Times New Roman"/>
          <w:sz w:val="20"/>
          <w:szCs w:val="20"/>
        </w:rPr>
        <w:t xml:space="preserve"> JJ. </w:t>
      </w:r>
      <w:proofErr w:type="gramStart"/>
      <w:r w:rsidRPr="009D287C">
        <w:rPr>
          <w:rFonts w:eastAsia="Times New Roman" w:cs="Times New Roman"/>
          <w:sz w:val="20"/>
          <w:szCs w:val="20"/>
        </w:rPr>
        <w:t>are</w:t>
      </w:r>
      <w:proofErr w:type="gramEnd"/>
      <w:r w:rsidRPr="009D287C">
        <w:rPr>
          <w:rFonts w:eastAsia="Times New Roman" w:cs="Times New Roman"/>
          <w:sz w:val="20"/>
          <w:szCs w:val="20"/>
        </w:rPr>
        <w:t xml:space="preserve"> dissenting.</w:t>
      </w:r>
    </w:p>
    <w:p w:rsidR="00D004FC" w:rsidRPr="009D287C" w:rsidRDefault="00D004FC" w:rsidP="00D004FC">
      <w:pPr>
        <w:spacing w:line="0" w:lineRule="atLeast"/>
        <w:rPr>
          <w:rFonts w:cs="Times New Roman"/>
          <w:sz w:val="20"/>
          <w:szCs w:val="20"/>
          <w:lang w:val="fr-CA"/>
        </w:rPr>
      </w:pPr>
    </w:p>
    <w:p w:rsidR="00D004FC" w:rsidRPr="009D287C" w:rsidRDefault="00346C6C" w:rsidP="00D004FC">
      <w:pPr>
        <w:jc w:val="both"/>
        <w:rPr>
          <w:rFonts w:cs="Times New Roman"/>
          <w:b/>
          <w:sz w:val="20"/>
          <w:szCs w:val="20"/>
        </w:rPr>
      </w:pPr>
      <w:r>
        <w:rPr>
          <w:rFonts w:cs="Times New Roman"/>
          <w:b/>
          <w:sz w:val="20"/>
          <w:szCs w:val="20"/>
        </w:rPr>
        <w:pict>
          <v:rect id="_x0000_i1059" style="width:144.3pt;height:1pt" o:hrpct="300" o:hralign="center" o:hrstd="t" o:hrnoshade="t" o:hr="t" fillcolor="black [3213]" stroked="f"/>
        </w:pict>
      </w:r>
    </w:p>
    <w:p w:rsidR="00CB2D29" w:rsidRPr="009D287C" w:rsidRDefault="00CB2D29">
      <w:pPr>
        <w:rPr>
          <w:rFonts w:cs="Times New Roman"/>
          <w:sz w:val="20"/>
          <w:szCs w:val="20"/>
        </w:rPr>
      </w:pPr>
    </w:p>
    <w:p w:rsidR="00CB2D29" w:rsidRPr="009D287C" w:rsidRDefault="00CB2D29">
      <w:pPr>
        <w:rPr>
          <w:rFonts w:cs="Times New Roman"/>
          <w:sz w:val="20"/>
          <w:szCs w:val="20"/>
        </w:rPr>
      </w:pPr>
      <w:r w:rsidRPr="009D287C">
        <w:rPr>
          <w:rFonts w:cs="Times New Roman"/>
          <w:sz w:val="20"/>
          <w:szCs w:val="20"/>
        </w:rPr>
        <w:br w:type="page"/>
      </w:r>
    </w:p>
    <w:p w:rsidR="00335D10" w:rsidRPr="009D287C" w:rsidRDefault="00335D10" w:rsidP="00335D10">
      <w:pPr>
        <w:ind w:left="1440" w:hanging="1440"/>
        <w:jc w:val="both"/>
        <w:rPr>
          <w:rFonts w:eastAsia="Times New Roman" w:cs="Times New Roman"/>
          <w:sz w:val="20"/>
          <w:szCs w:val="20"/>
          <w:lang w:val="en-US"/>
        </w:rPr>
      </w:pPr>
      <w:r w:rsidRPr="009D287C">
        <w:rPr>
          <w:b/>
          <w:sz w:val="20"/>
          <w:szCs w:val="20"/>
        </w:rPr>
        <w:lastRenderedPageBreak/>
        <w:fldChar w:fldCharType="begin"/>
      </w:r>
      <w:r w:rsidRPr="009D287C">
        <w:rPr>
          <w:b/>
          <w:sz w:val="20"/>
          <w:szCs w:val="20"/>
          <w:lang w:val="en-US"/>
        </w:rPr>
        <w:instrText xml:space="preserve"> SEQ CHAPTER \h \r 1</w:instrText>
      </w:r>
      <w:r w:rsidRPr="009D287C">
        <w:rPr>
          <w:b/>
          <w:sz w:val="20"/>
          <w:szCs w:val="20"/>
        </w:rPr>
        <w:fldChar w:fldCharType="end"/>
      </w:r>
      <w:r w:rsidRPr="009D287C">
        <w:rPr>
          <w:b/>
          <w:sz w:val="20"/>
          <w:szCs w:val="20"/>
          <w:lang w:val="en-US"/>
        </w:rPr>
        <w:t>36606</w:t>
      </w:r>
      <w:r w:rsidRPr="009D287C">
        <w:rPr>
          <w:sz w:val="20"/>
          <w:szCs w:val="20"/>
          <w:lang w:val="en-US"/>
        </w:rPr>
        <w:tab/>
      </w:r>
      <w:r w:rsidRPr="009D287C">
        <w:rPr>
          <w:b/>
          <w:iCs/>
          <w:sz w:val="20"/>
          <w:u w:val="single"/>
        </w:rPr>
        <w:t>Attorney General of Canada v. Fairmont Hotels Inc., FHIW Hotel Investments (Canada) Inc. and FHIS Hotel Investments (Canada) Inc.</w:t>
      </w:r>
      <w:r w:rsidRPr="009D287C">
        <w:rPr>
          <w:iCs/>
          <w:sz w:val="20"/>
        </w:rPr>
        <w:t xml:space="preserve"> (Ont.)</w:t>
      </w:r>
    </w:p>
    <w:p w:rsidR="00335D10" w:rsidRPr="009D287C" w:rsidRDefault="00335D10" w:rsidP="00335D1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en-US"/>
        </w:rPr>
      </w:pPr>
      <w:r w:rsidRPr="009D287C">
        <w:rPr>
          <w:b/>
          <w:sz w:val="20"/>
          <w:szCs w:val="20"/>
          <w:lang w:val="en-US"/>
        </w:rPr>
        <w:t>2016 SCC 56 / 2016 CSC 56</w:t>
      </w:r>
    </w:p>
    <w:p w:rsidR="00335D10" w:rsidRPr="009D287C" w:rsidRDefault="00335D10" w:rsidP="00335D1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en-US"/>
        </w:rPr>
      </w:pPr>
    </w:p>
    <w:p w:rsidR="00335D10" w:rsidRPr="009D287C" w:rsidRDefault="00335D10" w:rsidP="00335D10">
      <w:pPr>
        <w:ind w:left="1440" w:hanging="1440"/>
        <w:rPr>
          <w:sz w:val="20"/>
          <w:szCs w:val="20"/>
          <w:u w:val="single"/>
          <w:lang w:val="en-US"/>
        </w:rPr>
      </w:pPr>
      <w:r w:rsidRPr="009D287C">
        <w:rPr>
          <w:sz w:val="20"/>
          <w:szCs w:val="20"/>
          <w:lang w:val="en-US"/>
        </w:rPr>
        <w:t>Coram:</w:t>
      </w:r>
      <w:r w:rsidRPr="009D287C">
        <w:rPr>
          <w:sz w:val="20"/>
          <w:szCs w:val="20"/>
          <w:lang w:val="en-US"/>
        </w:rPr>
        <w:tab/>
      </w:r>
      <w:proofErr w:type="spellStart"/>
      <w:r w:rsidR="00CF6258" w:rsidRPr="009D287C">
        <w:rPr>
          <w:sz w:val="20"/>
          <w:u w:val="single"/>
        </w:rPr>
        <w:t>McLachlin</w:t>
      </w:r>
      <w:proofErr w:type="spellEnd"/>
      <w:r w:rsidR="00CF6258" w:rsidRPr="009D287C">
        <w:rPr>
          <w:sz w:val="20"/>
          <w:u w:val="single"/>
        </w:rPr>
        <w:t xml:space="preserve"> C.J. and </w:t>
      </w:r>
      <w:proofErr w:type="spellStart"/>
      <w:r w:rsidR="00CF6258" w:rsidRPr="009D287C">
        <w:rPr>
          <w:sz w:val="20"/>
          <w:u w:val="single"/>
        </w:rPr>
        <w:t>Abella</w:t>
      </w:r>
      <w:proofErr w:type="spellEnd"/>
      <w:r w:rsidR="00CF6258" w:rsidRPr="009D287C">
        <w:rPr>
          <w:sz w:val="20"/>
          <w:u w:val="single"/>
        </w:rPr>
        <w:t xml:space="preserve">, Cromwell, </w:t>
      </w:r>
      <w:proofErr w:type="spellStart"/>
      <w:r w:rsidR="00CF6258" w:rsidRPr="009D287C">
        <w:rPr>
          <w:sz w:val="20"/>
          <w:u w:val="single"/>
        </w:rPr>
        <w:t>Moldaver</w:t>
      </w:r>
      <w:proofErr w:type="spellEnd"/>
      <w:r w:rsidR="00CF6258" w:rsidRPr="009D287C">
        <w:rPr>
          <w:sz w:val="20"/>
          <w:u w:val="single"/>
        </w:rPr>
        <w:t xml:space="preserve">, </w:t>
      </w:r>
      <w:proofErr w:type="spellStart"/>
      <w:r w:rsidR="00CF6258" w:rsidRPr="009D287C">
        <w:rPr>
          <w:sz w:val="20"/>
          <w:u w:val="single"/>
        </w:rPr>
        <w:t>Karakatsanis</w:t>
      </w:r>
      <w:proofErr w:type="spellEnd"/>
      <w:r w:rsidR="00CF6258" w:rsidRPr="009D287C">
        <w:rPr>
          <w:sz w:val="20"/>
          <w:u w:val="single"/>
        </w:rPr>
        <w:t xml:space="preserve">, Wagner, </w:t>
      </w:r>
      <w:proofErr w:type="spellStart"/>
      <w:r w:rsidR="00CF6258" w:rsidRPr="009D287C">
        <w:rPr>
          <w:sz w:val="20"/>
          <w:u w:val="single"/>
        </w:rPr>
        <w:t>Gascon</w:t>
      </w:r>
      <w:proofErr w:type="spellEnd"/>
      <w:r w:rsidR="00CF6258" w:rsidRPr="009D287C">
        <w:rPr>
          <w:sz w:val="20"/>
          <w:u w:val="single"/>
        </w:rPr>
        <w:t>, Côté and Brown JJ.</w:t>
      </w:r>
    </w:p>
    <w:p w:rsidR="00335D10" w:rsidRPr="009D287C" w:rsidRDefault="00335D10" w:rsidP="00335D10">
      <w:pPr>
        <w:ind w:left="1440" w:hanging="1440"/>
        <w:jc w:val="both"/>
        <w:rPr>
          <w:sz w:val="20"/>
          <w:szCs w:val="20"/>
          <w:u w:val="single"/>
          <w:lang w:val="en-US"/>
        </w:rPr>
      </w:pPr>
    </w:p>
    <w:p w:rsidR="00CF6258" w:rsidRPr="009D287C" w:rsidRDefault="00CF6258" w:rsidP="00CF6258">
      <w:pPr>
        <w:rPr>
          <w:rFonts w:eastAsia="Times New Roman" w:cs="Times New Roman"/>
          <w:sz w:val="20"/>
          <w:szCs w:val="20"/>
          <w:lang w:val="fr-CA"/>
        </w:rPr>
      </w:pPr>
      <w:r w:rsidRPr="009D287C">
        <w:rPr>
          <w:rFonts w:eastAsia="Times New Roman" w:cs="Times New Roman"/>
          <w:sz w:val="20"/>
          <w:szCs w:val="20"/>
          <w:lang w:val="en-US"/>
        </w:rPr>
        <w:t xml:space="preserve">The appeal from the judgment of the Court of Appeal for Ontario, Number C59942, 2015 ONCA 441, dated June 17, 2015, heard on May 18, 2016, is allowed, with costs in this Court and in the courts below. </w:t>
      </w:r>
      <w:r w:rsidRPr="009D287C">
        <w:rPr>
          <w:rFonts w:eastAsia="Times New Roman" w:cs="Times New Roman"/>
          <w:sz w:val="20"/>
          <w:szCs w:val="20"/>
          <w:lang w:val="fr-CA"/>
        </w:rPr>
        <w:t xml:space="preserve">Abella and Côté JJ. </w:t>
      </w:r>
      <w:proofErr w:type="gramStart"/>
      <w:r w:rsidRPr="009D287C">
        <w:rPr>
          <w:rFonts w:eastAsia="Times New Roman" w:cs="Times New Roman"/>
          <w:sz w:val="20"/>
          <w:szCs w:val="20"/>
          <w:lang w:val="fr-CA"/>
        </w:rPr>
        <w:t>are</w:t>
      </w:r>
      <w:proofErr w:type="gramEnd"/>
      <w:r w:rsidRPr="009D287C">
        <w:rPr>
          <w:rFonts w:eastAsia="Times New Roman" w:cs="Times New Roman"/>
          <w:sz w:val="20"/>
          <w:szCs w:val="20"/>
          <w:lang w:val="fr-CA"/>
        </w:rPr>
        <w:t xml:space="preserve"> </w:t>
      </w:r>
      <w:proofErr w:type="spellStart"/>
      <w:r w:rsidRPr="009D287C">
        <w:rPr>
          <w:rFonts w:eastAsia="Times New Roman" w:cs="Times New Roman"/>
          <w:sz w:val="20"/>
          <w:szCs w:val="20"/>
          <w:lang w:val="fr-CA"/>
        </w:rPr>
        <w:t>dissenting</w:t>
      </w:r>
      <w:proofErr w:type="spellEnd"/>
      <w:r w:rsidRPr="009D287C">
        <w:rPr>
          <w:rFonts w:eastAsia="Times New Roman" w:cs="Times New Roman"/>
          <w:sz w:val="20"/>
          <w:szCs w:val="20"/>
          <w:lang w:val="fr-CA"/>
        </w:rPr>
        <w:t>.</w:t>
      </w:r>
    </w:p>
    <w:p w:rsidR="00CF6258" w:rsidRPr="009D287C" w:rsidRDefault="00CF6258" w:rsidP="00CF6258">
      <w:pPr>
        <w:widowControl w:val="0"/>
        <w:jc w:val="both"/>
        <w:outlineLvl w:val="0"/>
        <w:rPr>
          <w:rFonts w:eastAsia="Times New Roman" w:cs="Times New Roman"/>
          <w:sz w:val="20"/>
          <w:szCs w:val="20"/>
          <w:lang w:val="fr-CA"/>
        </w:rPr>
      </w:pPr>
    </w:p>
    <w:p w:rsidR="00D004FC" w:rsidRPr="009D287C" w:rsidRDefault="00CF6258" w:rsidP="00CF625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9D287C">
        <w:rPr>
          <w:rFonts w:eastAsia="Times New Roman" w:cs="Times New Roman"/>
          <w:sz w:val="20"/>
          <w:szCs w:val="20"/>
          <w:lang w:val="fr-CA"/>
        </w:rPr>
        <w:t>L’appel interjeté contre l’arrêt de la Cour d’appel de l’Ontario, numéro C59942, 2015 ONCA 441, daté du 17 juin 2015, entendu le 18 mai 2016, est accueilli, avec dépens devant la Cour et les juridictions inférieures. Les juges Abella et Côté sont dissidentes.</w:t>
      </w:r>
    </w:p>
    <w:p w:rsidR="00335D10" w:rsidRPr="009D287C" w:rsidRDefault="00335D1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35D10" w:rsidRPr="009D287C" w:rsidRDefault="00346C6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rFonts w:cs="Times New Roman"/>
          <w:b/>
          <w:sz w:val="20"/>
          <w:szCs w:val="20"/>
        </w:rPr>
        <w:pict>
          <v:rect id="_x0000_i1060" style="width:144.3pt;height:1pt" o:hrpct="300" o:hralign="center" o:hrstd="t" o:hrnoshade="t" o:hr="t" fillcolor="black [3213]" stroked="f"/>
        </w:pict>
      </w:r>
    </w:p>
    <w:p w:rsidR="00335D10" w:rsidRPr="009D287C" w:rsidRDefault="00335D1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35D10" w:rsidRPr="009D287C" w:rsidRDefault="00335D1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35D10" w:rsidRPr="009D287C" w:rsidRDefault="00335D1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35D10" w:rsidRPr="009D287C" w:rsidRDefault="00335D1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9D287C" w:rsidRDefault="00732DB7" w:rsidP="00732DB7">
      <w:pPr>
        <w:widowControl w:val="0"/>
        <w:rPr>
          <w:sz w:val="20"/>
          <w:szCs w:val="20"/>
        </w:rPr>
      </w:pPr>
    </w:p>
    <w:p w:rsidR="00697C62" w:rsidRPr="009D287C" w:rsidRDefault="00697C62" w:rsidP="00732DB7">
      <w:pPr>
        <w:widowControl w:val="0"/>
        <w:rPr>
          <w:sz w:val="20"/>
          <w:szCs w:val="20"/>
        </w:rPr>
        <w:sectPr w:rsidR="00697C62" w:rsidRPr="009D287C"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9D287C" w:rsidTr="0085476B">
        <w:tc>
          <w:tcPr>
            <w:tcW w:w="4200" w:type="dxa"/>
            <w:tcMar>
              <w:left w:w="0" w:type="dxa"/>
              <w:right w:w="0" w:type="dxa"/>
            </w:tcMar>
          </w:tcPr>
          <w:p w:rsidR="00782AE4" w:rsidRPr="009D287C" w:rsidRDefault="00782AE4" w:rsidP="00782AE4">
            <w:pPr>
              <w:keepNext/>
              <w:keepLines/>
              <w:jc w:val="both"/>
              <w:rPr>
                <w:b/>
                <w:szCs w:val="24"/>
              </w:rPr>
            </w:pPr>
            <w:r w:rsidRPr="009D287C">
              <w:rPr>
                <w:b/>
                <w:szCs w:val="24"/>
              </w:rPr>
              <w:lastRenderedPageBreak/>
              <w:t>HEADNOTES OF RECENT</w:t>
            </w:r>
          </w:p>
          <w:p w:rsidR="00782AE4" w:rsidRPr="009D287C" w:rsidRDefault="00782AE4" w:rsidP="00782AE4">
            <w:pPr>
              <w:keepNext/>
              <w:keepLines/>
              <w:jc w:val="both"/>
              <w:rPr>
                <w:b/>
                <w:szCs w:val="24"/>
              </w:rPr>
            </w:pPr>
            <w:r w:rsidRPr="009D287C">
              <w:rPr>
                <w:b/>
                <w:szCs w:val="24"/>
              </w:rPr>
              <w:t>JUDGMENTS</w:t>
            </w:r>
          </w:p>
        </w:tc>
        <w:tc>
          <w:tcPr>
            <w:tcW w:w="1200" w:type="dxa"/>
            <w:tcMar>
              <w:left w:w="0" w:type="dxa"/>
              <w:right w:w="0" w:type="dxa"/>
            </w:tcMar>
          </w:tcPr>
          <w:p w:rsidR="00782AE4" w:rsidRPr="009D287C" w:rsidRDefault="00782AE4" w:rsidP="00102926">
            <w:pPr>
              <w:keepNext/>
              <w:keepLines/>
              <w:jc w:val="center"/>
              <w:rPr>
                <w:b/>
                <w:szCs w:val="24"/>
              </w:rPr>
            </w:pPr>
          </w:p>
          <w:p w:rsidR="00782AE4" w:rsidRPr="009D287C" w:rsidRDefault="00782AE4" w:rsidP="00102926">
            <w:pPr>
              <w:keepNext/>
              <w:keepLines/>
              <w:jc w:val="center"/>
              <w:rPr>
                <w:b/>
                <w:szCs w:val="24"/>
              </w:rPr>
            </w:pPr>
          </w:p>
          <w:p w:rsidR="00782AE4" w:rsidRPr="009D287C" w:rsidRDefault="00782AE4" w:rsidP="00102926">
            <w:pPr>
              <w:keepNext/>
              <w:keepLines/>
              <w:jc w:val="center"/>
              <w:rPr>
                <w:b/>
                <w:szCs w:val="24"/>
              </w:rPr>
            </w:pPr>
          </w:p>
        </w:tc>
        <w:tc>
          <w:tcPr>
            <w:tcW w:w="4080" w:type="dxa"/>
            <w:tcMar>
              <w:left w:w="0" w:type="dxa"/>
              <w:right w:w="0" w:type="dxa"/>
            </w:tcMar>
          </w:tcPr>
          <w:p w:rsidR="00782AE4" w:rsidRPr="009D287C" w:rsidRDefault="00782AE4" w:rsidP="00782AE4">
            <w:pPr>
              <w:keepNext/>
              <w:keepLines/>
              <w:rPr>
                <w:b/>
                <w:szCs w:val="24"/>
              </w:rPr>
            </w:pPr>
            <w:r w:rsidRPr="009D287C">
              <w:rPr>
                <w:b/>
                <w:szCs w:val="24"/>
              </w:rPr>
              <w:t>SOMMAIRES DE JUGEMENTS RÉCENTS</w:t>
            </w:r>
          </w:p>
        </w:tc>
      </w:tr>
    </w:tbl>
    <w:p w:rsidR="003B3977" w:rsidRPr="009D287C" w:rsidRDefault="003B3977" w:rsidP="005C6840">
      <w:pPr>
        <w:rPr>
          <w:rFonts w:cs="Times New Roman"/>
          <w:i/>
          <w:sz w:val="20"/>
          <w:szCs w:val="20"/>
        </w:rPr>
      </w:pPr>
    </w:p>
    <w:p w:rsidR="0052229C" w:rsidRPr="009D287C" w:rsidRDefault="00175007" w:rsidP="0052229C">
      <w:pPr>
        <w:ind w:left="1440" w:hanging="1440"/>
        <w:jc w:val="both"/>
        <w:rPr>
          <w:sz w:val="20"/>
          <w:szCs w:val="20"/>
          <w:lang w:val="en-US"/>
        </w:rPr>
      </w:pPr>
      <w:r w:rsidRPr="009D287C">
        <w:rPr>
          <w:rFonts w:eastAsia="Calibri"/>
          <w:i/>
          <w:sz w:val="20"/>
          <w:szCs w:val="20"/>
          <w:lang w:val="en-US"/>
        </w:rPr>
        <w:t>Corporation of the City of Windsor</w:t>
      </w:r>
      <w:r w:rsidR="0052229C" w:rsidRPr="009D287C">
        <w:rPr>
          <w:rFonts w:eastAsia="Calibri"/>
          <w:i/>
          <w:sz w:val="20"/>
          <w:szCs w:val="20"/>
          <w:lang w:val="en-US"/>
        </w:rPr>
        <w:t xml:space="preserve"> </w:t>
      </w:r>
      <w:r w:rsidRPr="009D287C">
        <w:rPr>
          <w:rFonts w:eastAsia="Calibri"/>
          <w:i/>
          <w:sz w:val="20"/>
          <w:szCs w:val="20"/>
          <w:lang w:val="en-US"/>
        </w:rPr>
        <w:t>v</w:t>
      </w:r>
      <w:r w:rsidR="0052229C" w:rsidRPr="009D287C">
        <w:rPr>
          <w:rFonts w:eastAsia="Calibri"/>
          <w:i/>
          <w:sz w:val="20"/>
          <w:szCs w:val="20"/>
          <w:lang w:val="en-US"/>
        </w:rPr>
        <w:t xml:space="preserve">. </w:t>
      </w:r>
      <w:r w:rsidRPr="009D287C">
        <w:rPr>
          <w:rFonts w:eastAsia="Calibri"/>
          <w:i/>
          <w:sz w:val="20"/>
          <w:szCs w:val="20"/>
          <w:lang w:val="en-US"/>
        </w:rPr>
        <w:t>Canadian Transit Company</w:t>
      </w:r>
      <w:r w:rsidR="0052229C" w:rsidRPr="009D287C">
        <w:rPr>
          <w:sz w:val="20"/>
          <w:szCs w:val="20"/>
          <w:lang w:val="en-US"/>
        </w:rPr>
        <w:t xml:space="preserve"> (</w:t>
      </w:r>
      <w:r w:rsidRPr="009D287C">
        <w:rPr>
          <w:sz w:val="20"/>
          <w:szCs w:val="20"/>
          <w:lang w:val="en-US"/>
        </w:rPr>
        <w:t>F.C.</w:t>
      </w:r>
      <w:r w:rsidR="0052229C" w:rsidRPr="009D287C">
        <w:rPr>
          <w:sz w:val="20"/>
          <w:szCs w:val="20"/>
          <w:lang w:val="en-US"/>
        </w:rPr>
        <w:t>) (</w:t>
      </w:r>
      <w:hyperlink r:id="rId65" w:history="1">
        <w:r w:rsidR="0052229C" w:rsidRPr="009D287C">
          <w:rPr>
            <w:rStyle w:val="Hyperlink"/>
            <w:sz w:val="20"/>
            <w:szCs w:val="20"/>
            <w:lang w:val="en-US"/>
          </w:rPr>
          <w:t>3</w:t>
        </w:r>
        <w:r w:rsidRPr="009D287C">
          <w:rPr>
            <w:rStyle w:val="Hyperlink"/>
            <w:sz w:val="20"/>
            <w:szCs w:val="20"/>
            <w:lang w:val="en-US"/>
          </w:rPr>
          <w:t>6</w:t>
        </w:r>
        <w:r w:rsidR="0052229C" w:rsidRPr="009D287C">
          <w:rPr>
            <w:rStyle w:val="Hyperlink"/>
            <w:sz w:val="20"/>
            <w:szCs w:val="20"/>
            <w:lang w:val="en-US"/>
          </w:rPr>
          <w:t>4</w:t>
        </w:r>
        <w:r w:rsidRPr="009D287C">
          <w:rPr>
            <w:rStyle w:val="Hyperlink"/>
            <w:sz w:val="20"/>
            <w:szCs w:val="20"/>
            <w:lang w:val="en-US"/>
          </w:rPr>
          <w:t>65</w:t>
        </w:r>
      </w:hyperlink>
      <w:r w:rsidR="0052229C" w:rsidRPr="009D287C">
        <w:rPr>
          <w:sz w:val="20"/>
          <w:szCs w:val="20"/>
          <w:lang w:val="en-US"/>
        </w:rPr>
        <w:t>)</w:t>
      </w:r>
    </w:p>
    <w:p w:rsidR="0052229C" w:rsidRPr="009D287C" w:rsidRDefault="0052229C" w:rsidP="0052229C">
      <w:pPr>
        <w:jc w:val="both"/>
        <w:rPr>
          <w:b/>
          <w:sz w:val="20"/>
          <w:szCs w:val="20"/>
          <w:lang w:val="en-US"/>
        </w:rPr>
      </w:pPr>
      <w:r w:rsidRPr="009D287C">
        <w:rPr>
          <w:b/>
          <w:sz w:val="20"/>
          <w:szCs w:val="20"/>
          <w:lang w:val="en-US"/>
        </w:rPr>
        <w:t xml:space="preserve">Indexed as:  </w:t>
      </w:r>
      <w:r w:rsidR="00175007" w:rsidRPr="009D287C">
        <w:rPr>
          <w:b/>
          <w:sz w:val="20"/>
          <w:szCs w:val="20"/>
          <w:lang w:val="en-US"/>
        </w:rPr>
        <w:t>Windsor (City)</w:t>
      </w:r>
      <w:r w:rsidRPr="009D287C">
        <w:rPr>
          <w:b/>
          <w:sz w:val="20"/>
          <w:szCs w:val="20"/>
          <w:lang w:val="en-US"/>
        </w:rPr>
        <w:t xml:space="preserve"> </w:t>
      </w:r>
      <w:r w:rsidRPr="009D287C">
        <w:rPr>
          <w:b/>
          <w:i/>
          <w:sz w:val="20"/>
          <w:szCs w:val="20"/>
          <w:lang w:val="en-US"/>
        </w:rPr>
        <w:t>v.</w:t>
      </w:r>
      <w:r w:rsidRPr="009D287C">
        <w:rPr>
          <w:b/>
          <w:sz w:val="20"/>
          <w:szCs w:val="20"/>
          <w:lang w:val="en-US"/>
        </w:rPr>
        <w:t xml:space="preserve"> </w:t>
      </w:r>
      <w:r w:rsidR="00175007" w:rsidRPr="009D287C">
        <w:rPr>
          <w:b/>
          <w:sz w:val="20"/>
          <w:szCs w:val="20"/>
          <w:lang w:val="en-US"/>
        </w:rPr>
        <w:t>Canadian Transit Co.</w:t>
      </w:r>
      <w:r w:rsidRPr="009D287C">
        <w:rPr>
          <w:rStyle w:val="SCCRespondentForIndexChar"/>
          <w:rFonts w:eastAsiaTheme="minorHAnsi"/>
          <w:sz w:val="20"/>
          <w:lang w:val="en-US"/>
        </w:rPr>
        <w:t xml:space="preserve"> / </w:t>
      </w:r>
      <w:proofErr w:type="spellStart"/>
      <w:proofErr w:type="gramStart"/>
      <w:r w:rsidRPr="009D287C">
        <w:rPr>
          <w:b/>
          <w:sz w:val="20"/>
          <w:szCs w:val="20"/>
          <w:lang w:val="en-US"/>
        </w:rPr>
        <w:t>Répertorié</w:t>
      </w:r>
      <w:proofErr w:type="spellEnd"/>
      <w:r w:rsidRPr="009D287C">
        <w:rPr>
          <w:b/>
          <w:sz w:val="20"/>
          <w:szCs w:val="20"/>
          <w:lang w:val="en-US"/>
        </w:rPr>
        <w:t> :</w:t>
      </w:r>
      <w:proofErr w:type="gramEnd"/>
      <w:r w:rsidRPr="009D287C">
        <w:rPr>
          <w:b/>
          <w:sz w:val="20"/>
          <w:szCs w:val="20"/>
          <w:lang w:val="en-US"/>
        </w:rPr>
        <w:t> </w:t>
      </w:r>
      <w:r w:rsidR="00175007" w:rsidRPr="009D287C">
        <w:rPr>
          <w:b/>
          <w:sz w:val="20"/>
          <w:szCs w:val="20"/>
          <w:lang w:val="en-US"/>
        </w:rPr>
        <w:t>Windsor (City) c</w:t>
      </w:r>
      <w:r w:rsidR="00175007" w:rsidRPr="009D287C">
        <w:rPr>
          <w:b/>
          <w:i/>
          <w:sz w:val="20"/>
          <w:szCs w:val="20"/>
          <w:lang w:val="en-US"/>
        </w:rPr>
        <w:t>.</w:t>
      </w:r>
      <w:r w:rsidR="00175007" w:rsidRPr="009D287C">
        <w:rPr>
          <w:b/>
          <w:sz w:val="20"/>
          <w:szCs w:val="20"/>
          <w:lang w:val="en-US"/>
        </w:rPr>
        <w:t xml:space="preserve"> Canadian Transit Co.</w:t>
      </w:r>
    </w:p>
    <w:p w:rsidR="0052229C" w:rsidRPr="009D287C" w:rsidRDefault="0052229C" w:rsidP="0052229C">
      <w:pPr>
        <w:pStyle w:val="SCCSystemYear"/>
        <w:jc w:val="both"/>
        <w:rPr>
          <w:sz w:val="20"/>
        </w:rPr>
      </w:pPr>
      <w:proofErr w:type="spellStart"/>
      <w:r w:rsidRPr="009D287C">
        <w:rPr>
          <w:sz w:val="20"/>
        </w:rPr>
        <w:t>Neutral</w:t>
      </w:r>
      <w:proofErr w:type="spellEnd"/>
      <w:r w:rsidRPr="009D287C">
        <w:rPr>
          <w:sz w:val="20"/>
        </w:rPr>
        <w:t xml:space="preserve"> citation: </w:t>
      </w:r>
      <w:r w:rsidR="0030050B" w:rsidRPr="009D287C">
        <w:rPr>
          <w:sz w:val="20"/>
        </w:rPr>
        <w:t>2016</w:t>
      </w:r>
      <w:r w:rsidRPr="009D287C">
        <w:rPr>
          <w:sz w:val="20"/>
        </w:rPr>
        <w:t xml:space="preserve"> SCC </w:t>
      </w:r>
      <w:r w:rsidR="00175007" w:rsidRPr="009D287C">
        <w:rPr>
          <w:sz w:val="20"/>
        </w:rPr>
        <w:t>54</w:t>
      </w:r>
      <w:r w:rsidRPr="009D287C">
        <w:rPr>
          <w:sz w:val="20"/>
        </w:rPr>
        <w:t xml:space="preserve"> / Référence neutre : </w:t>
      </w:r>
      <w:r w:rsidR="0030050B" w:rsidRPr="009D287C">
        <w:rPr>
          <w:sz w:val="20"/>
        </w:rPr>
        <w:t>2016</w:t>
      </w:r>
      <w:r w:rsidRPr="009D287C">
        <w:rPr>
          <w:sz w:val="20"/>
        </w:rPr>
        <w:t xml:space="preserve"> CSC </w:t>
      </w:r>
      <w:r w:rsidR="00175007" w:rsidRPr="009D287C">
        <w:rPr>
          <w:sz w:val="20"/>
        </w:rPr>
        <w:t>54</w:t>
      </w:r>
    </w:p>
    <w:p w:rsidR="0052229C" w:rsidRPr="009D287C" w:rsidRDefault="0052229C" w:rsidP="0052229C">
      <w:pPr>
        <w:rPr>
          <w:rFonts w:cs="Times New Roman"/>
          <w:sz w:val="20"/>
          <w:szCs w:val="20"/>
          <w:lang w:val="fr-CA"/>
        </w:rPr>
      </w:pPr>
      <w:proofErr w:type="spellStart"/>
      <w:r w:rsidRPr="009D287C">
        <w:rPr>
          <w:rFonts w:cs="Times New Roman"/>
          <w:sz w:val="20"/>
          <w:szCs w:val="20"/>
          <w:lang w:val="fr-CA"/>
        </w:rPr>
        <w:t>Hearing</w:t>
      </w:r>
      <w:proofErr w:type="spellEnd"/>
      <w:proofErr w:type="gramStart"/>
      <w:r w:rsidRPr="009D287C">
        <w:rPr>
          <w:rFonts w:cs="Times New Roman"/>
          <w:sz w:val="20"/>
          <w:szCs w:val="20"/>
          <w:lang w:val="fr-CA"/>
        </w:rPr>
        <w:t>:  April</w:t>
      </w:r>
      <w:proofErr w:type="gramEnd"/>
      <w:r w:rsidRPr="009D287C">
        <w:rPr>
          <w:rFonts w:cs="Times New Roman"/>
          <w:sz w:val="20"/>
          <w:szCs w:val="20"/>
          <w:lang w:val="fr-CA"/>
        </w:rPr>
        <w:t xml:space="preserve"> 2</w:t>
      </w:r>
      <w:r w:rsidR="00175007" w:rsidRPr="009D287C">
        <w:rPr>
          <w:rFonts w:cs="Times New Roman"/>
          <w:sz w:val="20"/>
          <w:szCs w:val="20"/>
          <w:lang w:val="fr-CA"/>
        </w:rPr>
        <w:t>1</w:t>
      </w:r>
      <w:r w:rsidRPr="009D287C">
        <w:rPr>
          <w:rFonts w:cs="Times New Roman"/>
          <w:sz w:val="20"/>
          <w:szCs w:val="20"/>
          <w:lang w:val="fr-CA"/>
        </w:rPr>
        <w:t>, 201</w:t>
      </w:r>
      <w:r w:rsidR="00175007" w:rsidRPr="009D287C">
        <w:rPr>
          <w:rFonts w:cs="Times New Roman"/>
          <w:sz w:val="20"/>
          <w:szCs w:val="20"/>
          <w:lang w:val="fr-CA"/>
        </w:rPr>
        <w:t>6</w:t>
      </w:r>
      <w:r w:rsidRPr="009D287C">
        <w:rPr>
          <w:rFonts w:cs="Times New Roman"/>
          <w:sz w:val="20"/>
          <w:szCs w:val="20"/>
          <w:lang w:val="fr-CA"/>
        </w:rPr>
        <w:t xml:space="preserve"> / </w:t>
      </w:r>
      <w:proofErr w:type="spellStart"/>
      <w:r w:rsidRPr="009D287C">
        <w:rPr>
          <w:rFonts w:cs="Times New Roman"/>
          <w:sz w:val="20"/>
          <w:szCs w:val="20"/>
          <w:lang w:val="fr-CA"/>
        </w:rPr>
        <w:t>Judgment</w:t>
      </w:r>
      <w:proofErr w:type="spellEnd"/>
      <w:r w:rsidRPr="009D287C">
        <w:rPr>
          <w:rFonts w:cs="Times New Roman"/>
          <w:sz w:val="20"/>
          <w:szCs w:val="20"/>
          <w:lang w:val="fr-CA"/>
        </w:rPr>
        <w:t xml:space="preserve">:  </w:t>
      </w:r>
      <w:proofErr w:type="spellStart"/>
      <w:r w:rsidR="00175007" w:rsidRPr="009D287C">
        <w:rPr>
          <w:rFonts w:cs="Times New Roman"/>
          <w:sz w:val="20"/>
          <w:szCs w:val="20"/>
          <w:lang w:val="fr-CA"/>
        </w:rPr>
        <w:t>December</w:t>
      </w:r>
      <w:proofErr w:type="spellEnd"/>
      <w:r w:rsidRPr="009D287C">
        <w:rPr>
          <w:rFonts w:cs="Times New Roman"/>
          <w:sz w:val="20"/>
          <w:szCs w:val="20"/>
          <w:lang w:val="fr-CA"/>
        </w:rPr>
        <w:t xml:space="preserve"> </w:t>
      </w:r>
      <w:r w:rsidR="00175007" w:rsidRPr="009D287C">
        <w:rPr>
          <w:rFonts w:cs="Times New Roman"/>
          <w:sz w:val="20"/>
          <w:szCs w:val="20"/>
          <w:lang w:val="fr-CA"/>
        </w:rPr>
        <w:t>8</w:t>
      </w:r>
      <w:r w:rsidRPr="009D287C">
        <w:rPr>
          <w:rFonts w:cs="Times New Roman"/>
          <w:sz w:val="20"/>
          <w:szCs w:val="20"/>
          <w:lang w:val="fr-CA"/>
        </w:rPr>
        <w:t xml:space="preserve">, </w:t>
      </w:r>
      <w:r w:rsidR="0030050B" w:rsidRPr="009D287C">
        <w:rPr>
          <w:rFonts w:cs="Times New Roman"/>
          <w:sz w:val="20"/>
          <w:szCs w:val="20"/>
          <w:lang w:val="fr-CA"/>
        </w:rPr>
        <w:t>2016</w:t>
      </w:r>
    </w:p>
    <w:p w:rsidR="0052229C" w:rsidRPr="009D287C" w:rsidRDefault="0052229C" w:rsidP="0052229C">
      <w:pPr>
        <w:rPr>
          <w:rFonts w:cs="Times New Roman"/>
          <w:sz w:val="20"/>
          <w:szCs w:val="20"/>
          <w:lang w:val="fr-CA"/>
        </w:rPr>
      </w:pPr>
      <w:r w:rsidRPr="009D287C">
        <w:rPr>
          <w:rFonts w:cs="Times New Roman"/>
          <w:sz w:val="20"/>
          <w:szCs w:val="20"/>
          <w:lang w:val="fr-CA"/>
        </w:rPr>
        <w:t>Audition : Le 2</w:t>
      </w:r>
      <w:r w:rsidR="00175007" w:rsidRPr="009D287C">
        <w:rPr>
          <w:rFonts w:cs="Times New Roman"/>
          <w:sz w:val="20"/>
          <w:szCs w:val="20"/>
          <w:lang w:val="fr-CA"/>
        </w:rPr>
        <w:t>1</w:t>
      </w:r>
      <w:r w:rsidRPr="009D287C">
        <w:rPr>
          <w:rFonts w:cs="Times New Roman"/>
          <w:sz w:val="20"/>
          <w:szCs w:val="20"/>
          <w:lang w:val="fr-CA"/>
        </w:rPr>
        <w:t xml:space="preserve"> avril 201</w:t>
      </w:r>
      <w:r w:rsidR="00175007" w:rsidRPr="009D287C">
        <w:rPr>
          <w:rFonts w:cs="Times New Roman"/>
          <w:sz w:val="20"/>
          <w:szCs w:val="20"/>
          <w:lang w:val="fr-CA"/>
        </w:rPr>
        <w:t>6</w:t>
      </w:r>
      <w:r w:rsidRPr="009D287C">
        <w:rPr>
          <w:rFonts w:cs="Times New Roman"/>
          <w:sz w:val="20"/>
          <w:szCs w:val="20"/>
          <w:lang w:val="fr-CA"/>
        </w:rPr>
        <w:t xml:space="preserve"> / Jugement : Le </w:t>
      </w:r>
      <w:r w:rsidR="00175007" w:rsidRPr="009D287C">
        <w:rPr>
          <w:rFonts w:cs="Times New Roman"/>
          <w:sz w:val="20"/>
          <w:szCs w:val="20"/>
          <w:lang w:val="fr-CA"/>
        </w:rPr>
        <w:t>8</w:t>
      </w:r>
      <w:r w:rsidRPr="009D287C">
        <w:rPr>
          <w:rFonts w:cs="Times New Roman"/>
          <w:sz w:val="20"/>
          <w:szCs w:val="20"/>
          <w:lang w:val="fr-CA"/>
        </w:rPr>
        <w:t xml:space="preserve"> </w:t>
      </w:r>
      <w:r w:rsidR="00175007" w:rsidRPr="009D287C">
        <w:rPr>
          <w:rFonts w:cs="Times New Roman"/>
          <w:sz w:val="20"/>
          <w:szCs w:val="20"/>
          <w:lang w:val="fr-CA"/>
        </w:rPr>
        <w:t>décembre</w:t>
      </w:r>
      <w:r w:rsidRPr="009D287C">
        <w:rPr>
          <w:rFonts w:cs="Times New Roman"/>
          <w:sz w:val="20"/>
          <w:szCs w:val="20"/>
          <w:lang w:val="fr-CA"/>
        </w:rPr>
        <w:t xml:space="preserve"> </w:t>
      </w:r>
      <w:r w:rsidR="0030050B" w:rsidRPr="009D287C">
        <w:rPr>
          <w:rFonts w:cs="Times New Roman"/>
          <w:sz w:val="20"/>
          <w:szCs w:val="20"/>
          <w:lang w:val="fr-CA"/>
        </w:rPr>
        <w:t>2016</w:t>
      </w:r>
    </w:p>
    <w:p w:rsidR="005C6840" w:rsidRPr="009D287C" w:rsidRDefault="00346C6C"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5C6840" w:rsidRPr="009D287C" w:rsidRDefault="005C6840" w:rsidP="005C6840">
      <w:pPr>
        <w:rPr>
          <w:rFonts w:cs="Times New Roman"/>
          <w:sz w:val="20"/>
          <w:szCs w:val="20"/>
          <w:lang w:val="fr-CA"/>
        </w:rPr>
      </w:pPr>
    </w:p>
    <w:p w:rsidR="004A28F2" w:rsidRPr="009D287C" w:rsidRDefault="004A28F2" w:rsidP="004A28F2">
      <w:pPr>
        <w:jc w:val="both"/>
        <w:rPr>
          <w:rFonts w:eastAsia="Times New Roman" w:cs="Times New Roman"/>
          <w:sz w:val="20"/>
          <w:szCs w:val="20"/>
          <w:lang w:eastAsia="en-CA"/>
        </w:rPr>
      </w:pPr>
      <w:r w:rsidRPr="009D287C">
        <w:rPr>
          <w:rFonts w:eastAsia="Times New Roman" w:cs="Times New Roman"/>
          <w:sz w:val="20"/>
          <w:szCs w:val="20"/>
          <w:lang w:eastAsia="en-CA"/>
        </w:rPr>
        <w:t xml:space="preserve">Present: </w:t>
      </w:r>
      <w:proofErr w:type="spellStart"/>
      <w:r w:rsidRPr="009D287C">
        <w:rPr>
          <w:rFonts w:eastAsia="Times New Roman" w:cs="Times New Roman"/>
          <w:sz w:val="20"/>
          <w:szCs w:val="20"/>
          <w:lang w:eastAsia="en-CA"/>
        </w:rPr>
        <w:t>McLachlin</w:t>
      </w:r>
      <w:proofErr w:type="spellEnd"/>
      <w:r w:rsidRPr="009D287C">
        <w:rPr>
          <w:rFonts w:eastAsia="Times New Roman" w:cs="Times New Roman"/>
          <w:sz w:val="20"/>
          <w:szCs w:val="20"/>
          <w:lang w:eastAsia="en-CA"/>
        </w:rPr>
        <w:t xml:space="preserve"> C.J. and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Cromwell,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Karakatsanis</w:t>
      </w:r>
      <w:proofErr w:type="spellEnd"/>
      <w:r w:rsidRPr="009D287C">
        <w:rPr>
          <w:rFonts w:eastAsia="Times New Roman" w:cs="Times New Roman"/>
          <w:sz w:val="20"/>
          <w:szCs w:val="20"/>
          <w:lang w:eastAsia="en-CA"/>
        </w:rPr>
        <w:t xml:space="preserve">, Wagner, </w:t>
      </w:r>
      <w:proofErr w:type="spellStart"/>
      <w:r w:rsidRPr="009D287C">
        <w:rPr>
          <w:rFonts w:eastAsia="Times New Roman" w:cs="Times New Roman"/>
          <w:sz w:val="20"/>
          <w:szCs w:val="20"/>
          <w:lang w:eastAsia="en-CA"/>
        </w:rPr>
        <w:t>Gascon</w:t>
      </w:r>
      <w:proofErr w:type="spellEnd"/>
      <w:r w:rsidRPr="009D287C">
        <w:rPr>
          <w:rFonts w:eastAsia="Times New Roman" w:cs="Times New Roman"/>
          <w:sz w:val="20"/>
          <w:szCs w:val="20"/>
          <w:lang w:eastAsia="en-CA"/>
        </w:rPr>
        <w:t>, Côté and Brown JJ.</w:t>
      </w:r>
    </w:p>
    <w:p w:rsidR="004A28F2" w:rsidRPr="009D287C" w:rsidRDefault="004A28F2" w:rsidP="004A28F2">
      <w:pPr>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i/>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Courts — Jurisdiction — Federal Court — Relief sought under constitutional law — Company incorporated by federal legislation owning and operating Canadian half of bridge between Canada and United States — Company purchasing residential properties near bridge to facilitate maintenance and expansion — City issuing repair orders against properties pursuant to municipal by-law — Company applying to Federal Court for declarations that it has rights under its incorporating legislation which supersede municipal by-law — Whether Federal Court has jurisdiction to decide whether Company must comply with by-law and repair orders — Federal Courts Act, R.S.C. 1985, c. F-7, s. 23 — An Act to incorporate The Canadian Transit Company, S.C. 1921, c. 57.</w:t>
      </w:r>
    </w:p>
    <w:p w:rsidR="004A28F2" w:rsidRPr="009D287C" w:rsidRDefault="004A28F2" w:rsidP="004A28F2">
      <w:pPr>
        <w:tabs>
          <w:tab w:val="left" w:pos="1168"/>
        </w:tabs>
        <w:jc w:val="both"/>
        <w:rPr>
          <w:rFonts w:eastAsiaTheme="minorEastAsia" w:cs="Times New Roman"/>
          <w:sz w:val="20"/>
          <w:szCs w:val="20"/>
        </w:rPr>
      </w:pPr>
    </w:p>
    <w:p w:rsidR="004A28F2" w:rsidRPr="009D287C" w:rsidRDefault="004A28F2" w:rsidP="004A28F2">
      <w:pPr>
        <w:tabs>
          <w:tab w:val="left" w:pos="1168"/>
        </w:tabs>
        <w:jc w:val="both"/>
        <w:rPr>
          <w:rFonts w:eastAsiaTheme="minorEastAsia" w:cs="Times New Roman"/>
          <w:sz w:val="20"/>
          <w:szCs w:val="20"/>
        </w:rPr>
      </w:pPr>
      <w:r w:rsidRPr="009D287C">
        <w:rPr>
          <w:rFonts w:eastAsiaTheme="minorEastAsia" w:cs="Times New Roman"/>
          <w:sz w:val="20"/>
          <w:szCs w:val="20"/>
        </w:rPr>
        <w:tab/>
        <w:t xml:space="preserve">The Canadian Transit Company owns and operates the Canadian half of the Ambassador Bridge connecting Windsor, Ontario and Detroit, Michigan. The Company was incorporated in 1921 by </w:t>
      </w:r>
      <w:r w:rsidRPr="009D287C">
        <w:rPr>
          <w:rFonts w:eastAsiaTheme="minorEastAsia" w:cs="Times New Roman"/>
          <w:i/>
          <w:sz w:val="20"/>
          <w:szCs w:val="20"/>
        </w:rPr>
        <w:t>An Act to incorporate The Canadian Transit Company</w:t>
      </w:r>
      <w:r w:rsidRPr="009D287C">
        <w:rPr>
          <w:rFonts w:eastAsiaTheme="minorEastAsia" w:cs="Times New Roman"/>
          <w:sz w:val="20"/>
          <w:szCs w:val="20"/>
        </w:rPr>
        <w:t xml:space="preserve"> (the “</w:t>
      </w:r>
      <w:r w:rsidRPr="009D287C">
        <w:rPr>
          <w:rFonts w:eastAsiaTheme="minorEastAsia" w:cs="Times New Roman"/>
          <w:i/>
          <w:sz w:val="20"/>
          <w:szCs w:val="20"/>
        </w:rPr>
        <w:t>CTC Act</w:t>
      </w:r>
      <w:r w:rsidRPr="009D287C">
        <w:rPr>
          <w:rFonts w:eastAsiaTheme="minorEastAsia" w:cs="Times New Roman"/>
          <w:sz w:val="20"/>
          <w:szCs w:val="20"/>
        </w:rPr>
        <w:t>”).</w:t>
      </w:r>
      <w:r w:rsidRPr="009D287C" w:rsidDel="00C9707B">
        <w:rPr>
          <w:rFonts w:eastAsiaTheme="minorEastAsia" w:cs="Times New Roman"/>
          <w:sz w:val="20"/>
          <w:szCs w:val="20"/>
        </w:rPr>
        <w:t xml:space="preserve"> </w:t>
      </w:r>
      <w:r w:rsidRPr="009D287C">
        <w:rPr>
          <w:rFonts w:eastAsiaTheme="minorEastAsia" w:cs="Times New Roman"/>
          <w:sz w:val="20"/>
          <w:szCs w:val="20"/>
        </w:rPr>
        <w:t xml:space="preserve">The </w:t>
      </w:r>
      <w:r w:rsidRPr="009D287C">
        <w:rPr>
          <w:rFonts w:eastAsiaTheme="minorEastAsia" w:cs="Times New Roman"/>
          <w:i/>
          <w:sz w:val="20"/>
          <w:szCs w:val="20"/>
        </w:rPr>
        <w:t>CTC Act</w:t>
      </w:r>
      <w:r w:rsidRPr="009D287C">
        <w:rPr>
          <w:rFonts w:eastAsiaTheme="minorEastAsia" w:cs="Times New Roman"/>
          <w:sz w:val="20"/>
          <w:szCs w:val="20"/>
        </w:rPr>
        <w:t xml:space="preserve"> empowered the Company to construct, maintain and operate a general traffic bridge across the Detroit River, to purchase, lease or otherwise acquire and hold lands for the bridge, and to construct, erect and maintain buildings and other structures required for the convenient working of traffic to, from and over the bridge. The </w:t>
      </w:r>
      <w:r w:rsidRPr="009D287C">
        <w:rPr>
          <w:rFonts w:eastAsiaTheme="minorEastAsia" w:cs="Times New Roman"/>
          <w:i/>
          <w:sz w:val="20"/>
          <w:szCs w:val="20"/>
        </w:rPr>
        <w:t>CTC Act</w:t>
      </w:r>
      <w:r w:rsidRPr="009D287C">
        <w:rPr>
          <w:rFonts w:eastAsiaTheme="minorEastAsia" w:cs="Times New Roman"/>
          <w:sz w:val="20"/>
          <w:szCs w:val="20"/>
        </w:rPr>
        <w:t xml:space="preserve"> also declared the works and undertaking of the Company to be for the general advantage of Canada, triggering federal jurisdiction under the </w:t>
      </w:r>
      <w:r w:rsidRPr="009D287C">
        <w:rPr>
          <w:rFonts w:eastAsiaTheme="minorEastAsia" w:cs="Times New Roman"/>
          <w:i/>
          <w:sz w:val="20"/>
          <w:szCs w:val="20"/>
        </w:rPr>
        <w:t>Constitution Act, 1867</w:t>
      </w:r>
      <w:r w:rsidRPr="009D287C">
        <w:rPr>
          <w:rFonts w:eastAsiaTheme="minorEastAsia" w:cs="Times New Roman"/>
          <w:sz w:val="20"/>
          <w:szCs w:val="20"/>
        </w:rPr>
        <w:t>.</w:t>
      </w:r>
    </w:p>
    <w:p w:rsidR="004A28F2" w:rsidRPr="009D287C" w:rsidRDefault="004A28F2" w:rsidP="004A28F2">
      <w:pPr>
        <w:tabs>
          <w:tab w:val="left" w:pos="1168"/>
        </w:tabs>
        <w:jc w:val="both"/>
        <w:rPr>
          <w:rFonts w:eastAsiaTheme="minorEastAsia" w:cs="Times New Roman"/>
          <w:sz w:val="20"/>
          <w:szCs w:val="20"/>
        </w:rPr>
      </w:pPr>
    </w:p>
    <w:p w:rsidR="004A28F2" w:rsidRPr="009D287C" w:rsidRDefault="004A28F2" w:rsidP="004A28F2">
      <w:pPr>
        <w:tabs>
          <w:tab w:val="left" w:pos="1168"/>
        </w:tabs>
        <w:jc w:val="both"/>
        <w:rPr>
          <w:rFonts w:eastAsiaTheme="minorEastAsia" w:cs="Times New Roman"/>
          <w:sz w:val="20"/>
          <w:szCs w:val="20"/>
        </w:rPr>
      </w:pPr>
      <w:r w:rsidRPr="009D287C">
        <w:rPr>
          <w:rFonts w:eastAsiaTheme="minorEastAsia" w:cs="Times New Roman"/>
          <w:sz w:val="20"/>
          <w:szCs w:val="20"/>
        </w:rPr>
        <w:tab/>
        <w:t>The Company has purchased more than 100 residential properties in Windsor with the intention of eventually demolishing the homes and using the land to facilitate maintenance and expansion of the bridge and its facilities. Most of the homes are now vacant and in varying states of disrepair. The City of Windsor issued repair orders against the properties pursuant to a municipal by</w:t>
      </w:r>
      <w:r w:rsidRPr="009D287C">
        <w:rPr>
          <w:rFonts w:eastAsiaTheme="minorEastAsia" w:cs="Times New Roman"/>
          <w:sz w:val="20"/>
          <w:szCs w:val="20"/>
        </w:rPr>
        <w:noBreakHyphen/>
        <w:t xml:space="preserve">law. The Company has not complied with the repair orders. The parties have been engaged in proceedings relating to these repair orders in the Ontario Superior Court of Justice. In addition, the Company applied to the Federal Court for declarations to the effect that it has certain rights under the </w:t>
      </w:r>
      <w:r w:rsidRPr="009D287C">
        <w:rPr>
          <w:rFonts w:eastAsiaTheme="minorEastAsia" w:cs="Times New Roman"/>
          <w:i/>
          <w:sz w:val="20"/>
          <w:szCs w:val="20"/>
        </w:rPr>
        <w:t>CTC Act</w:t>
      </w:r>
      <w:r w:rsidRPr="009D287C">
        <w:rPr>
          <w:rFonts w:eastAsiaTheme="minorEastAsia" w:cs="Times New Roman"/>
          <w:sz w:val="20"/>
          <w:szCs w:val="20"/>
        </w:rPr>
        <w:t xml:space="preserve"> which supersede the by</w:t>
      </w:r>
      <w:r w:rsidRPr="009D287C">
        <w:rPr>
          <w:rFonts w:eastAsiaTheme="minorEastAsia" w:cs="Times New Roman"/>
          <w:sz w:val="20"/>
          <w:szCs w:val="20"/>
        </w:rPr>
        <w:noBreakHyphen/>
        <w:t>law and the repair orders issued under it. The City moved to strike the Company’s notice of application on the ground that the Federal Court lacks jurisdiction to hear the application. The Federal Court struck the Company’s notice of application for want of jurisdiction. The Federal Court of Appeal set aside that decision. This appeal deals only with the preliminary issue of whether the Federal Court has jurisdiction to decide whether the Company must comply with the City’s by</w:t>
      </w:r>
      <w:r w:rsidRPr="009D287C">
        <w:rPr>
          <w:rFonts w:eastAsiaTheme="minorEastAsia" w:cs="Times New Roman"/>
          <w:sz w:val="20"/>
          <w:szCs w:val="20"/>
        </w:rPr>
        <w:noBreakHyphen/>
        <w:t xml:space="preserve">law and repair orders. </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iCs/>
          <w:sz w:val="20"/>
          <w:szCs w:val="20"/>
          <w:lang w:eastAsia="en-CA"/>
        </w:rPr>
        <w:t>Held</w:t>
      </w:r>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and Brown JJ. dissenting): The appeal should be allowed, the order of the Federal Court of Appeal set aside and the order of the Federal Court striking the Company’s notice of application reinstated.</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heme="minorEastAsia" w:cs="Times New Roman"/>
          <w:sz w:val="20"/>
          <w:szCs w:val="20"/>
        </w:rPr>
      </w:pPr>
      <w:r w:rsidRPr="009D287C">
        <w:rPr>
          <w:rFonts w:eastAsiaTheme="minorEastAsia" w:cs="Times New Roman"/>
          <w:sz w:val="20"/>
          <w:szCs w:val="20"/>
        </w:rPr>
        <w:tab/>
      </w:r>
      <w:r w:rsidRPr="009D287C">
        <w:rPr>
          <w:rFonts w:eastAsiaTheme="minorEastAsia" w:cs="Times New Roman"/>
          <w:i/>
          <w:sz w:val="20"/>
          <w:szCs w:val="20"/>
        </w:rPr>
        <w:t>Per</w:t>
      </w:r>
      <w:r w:rsidRPr="009D287C">
        <w:rPr>
          <w:rFonts w:eastAsiaTheme="minorEastAsia" w:cs="Times New Roman"/>
          <w:sz w:val="20"/>
          <w:szCs w:val="20"/>
        </w:rPr>
        <w:t xml:space="preserve"> </w:t>
      </w:r>
      <w:proofErr w:type="spellStart"/>
      <w:r w:rsidRPr="009D287C">
        <w:rPr>
          <w:rFonts w:eastAsiaTheme="minorEastAsia" w:cs="Times New Roman"/>
          <w:sz w:val="20"/>
          <w:szCs w:val="20"/>
        </w:rPr>
        <w:t>McLachlin</w:t>
      </w:r>
      <w:proofErr w:type="spellEnd"/>
      <w:r w:rsidRPr="009D287C">
        <w:rPr>
          <w:rFonts w:eastAsiaTheme="minorEastAsia" w:cs="Times New Roman"/>
          <w:sz w:val="20"/>
          <w:szCs w:val="20"/>
        </w:rPr>
        <w:t xml:space="preserve"> C.J. and Cromwell, </w:t>
      </w:r>
      <w:proofErr w:type="spellStart"/>
      <w:r w:rsidRPr="009D287C">
        <w:rPr>
          <w:rFonts w:eastAsiaTheme="minorEastAsia" w:cs="Times New Roman"/>
          <w:b/>
          <w:sz w:val="20"/>
          <w:szCs w:val="20"/>
        </w:rPr>
        <w:t>Karakatsanis</w:t>
      </w:r>
      <w:proofErr w:type="spellEnd"/>
      <w:r w:rsidRPr="009D287C">
        <w:rPr>
          <w:rFonts w:eastAsiaTheme="minorEastAsia" w:cs="Times New Roman"/>
          <w:sz w:val="20"/>
          <w:szCs w:val="20"/>
        </w:rPr>
        <w:t xml:space="preserve">, Wagner and </w:t>
      </w:r>
      <w:proofErr w:type="spellStart"/>
      <w:r w:rsidRPr="009D287C">
        <w:rPr>
          <w:rFonts w:eastAsiaTheme="minorEastAsia" w:cs="Times New Roman"/>
          <w:sz w:val="20"/>
          <w:szCs w:val="20"/>
        </w:rPr>
        <w:t>Gascon</w:t>
      </w:r>
      <w:proofErr w:type="spellEnd"/>
      <w:r w:rsidRPr="009D287C">
        <w:rPr>
          <w:rFonts w:eastAsiaTheme="minorEastAsia" w:cs="Times New Roman"/>
          <w:sz w:val="20"/>
          <w:szCs w:val="20"/>
        </w:rPr>
        <w:t> JJ.: The Federal Court does not have the jurisdiction to decide whether the City’s by</w:t>
      </w:r>
      <w:r w:rsidRPr="009D287C">
        <w:rPr>
          <w:rFonts w:eastAsiaTheme="minorEastAsia" w:cs="Times New Roman"/>
          <w:sz w:val="20"/>
          <w:szCs w:val="20"/>
        </w:rPr>
        <w:noBreakHyphen/>
        <w:t xml:space="preserve">law applies to the Company’s residential properties. The issue should be decided by the Ontario Superior Court of Justice. </w:t>
      </w:r>
    </w:p>
    <w:p w:rsidR="004A28F2" w:rsidRPr="009D287C" w:rsidRDefault="004A28F2" w:rsidP="004A28F2">
      <w:pPr>
        <w:tabs>
          <w:tab w:val="left" w:pos="1168"/>
        </w:tabs>
        <w:jc w:val="both"/>
        <w:rPr>
          <w:rFonts w:eastAsiaTheme="minorEastAsia" w:cs="Times New Roman"/>
          <w:sz w:val="20"/>
          <w:szCs w:val="20"/>
        </w:rPr>
      </w:pPr>
    </w:p>
    <w:p w:rsidR="004A28F2" w:rsidRPr="009D287C" w:rsidRDefault="004A28F2" w:rsidP="004A28F2">
      <w:pPr>
        <w:tabs>
          <w:tab w:val="left" w:pos="1168"/>
        </w:tabs>
        <w:jc w:val="both"/>
        <w:rPr>
          <w:rFonts w:eastAsiaTheme="minorEastAsia" w:cs="Times New Roman"/>
          <w:sz w:val="20"/>
          <w:szCs w:val="20"/>
        </w:rPr>
      </w:pPr>
      <w:r w:rsidRPr="009D287C">
        <w:rPr>
          <w:rFonts w:eastAsiaTheme="minorEastAsia" w:cs="Times New Roman"/>
          <w:sz w:val="20"/>
          <w:szCs w:val="20"/>
        </w:rPr>
        <w:tab/>
        <w:t xml:space="preserve">To decide whether the Federal Court has jurisdiction over a claim, it is necessary to determine the essential nature or character of that claim. Determining the claim’s essential nature allows the court to assess whether it falls within the scope of s. 23(c) of the </w:t>
      </w:r>
      <w:r w:rsidRPr="009D287C">
        <w:rPr>
          <w:rFonts w:eastAsiaTheme="minorEastAsia" w:cs="Times New Roman"/>
          <w:i/>
          <w:sz w:val="20"/>
          <w:szCs w:val="20"/>
        </w:rPr>
        <w:t>Federal Courts Act</w:t>
      </w:r>
      <w:r w:rsidRPr="009D287C">
        <w:rPr>
          <w:rFonts w:eastAsiaTheme="minorEastAsia" w:cs="Times New Roman"/>
          <w:sz w:val="20"/>
          <w:szCs w:val="20"/>
        </w:rPr>
        <w:t>, which grants jurisdiction to the Federal Court only when a claim for relief has been made, or a remedy has been sought, “under an Act of Parliament or otherwise”. In this case, it is clear that what the Company ultimately seeks is immunity from the requirements of the by</w:t>
      </w:r>
      <w:r w:rsidRPr="009D287C">
        <w:rPr>
          <w:rFonts w:eastAsiaTheme="minorEastAsia" w:cs="Times New Roman"/>
          <w:sz w:val="20"/>
          <w:szCs w:val="20"/>
        </w:rPr>
        <w:noBreakHyphen/>
        <w:t>law. The issue is therefore whether the Federal Court has the jurisdiction to decide a claim that a municipal by</w:t>
      </w:r>
      <w:r w:rsidRPr="009D287C">
        <w:rPr>
          <w:rFonts w:eastAsiaTheme="minorEastAsia" w:cs="Times New Roman"/>
          <w:sz w:val="20"/>
          <w:szCs w:val="20"/>
        </w:rPr>
        <w:noBreakHyphen/>
        <w:t>law is constitutionally inapplicable or inoperative in relation to a federal undertaking.</w:t>
      </w:r>
    </w:p>
    <w:p w:rsidR="004A28F2" w:rsidRPr="009D287C" w:rsidRDefault="004A28F2" w:rsidP="004A28F2">
      <w:pPr>
        <w:tabs>
          <w:tab w:val="left" w:pos="1168"/>
        </w:tabs>
        <w:jc w:val="both"/>
        <w:rPr>
          <w:rFonts w:eastAsiaTheme="minorEastAsia" w:cs="Times New Roman"/>
          <w:sz w:val="20"/>
          <w:szCs w:val="20"/>
        </w:rPr>
      </w:pPr>
    </w:p>
    <w:p w:rsidR="004A28F2" w:rsidRPr="009D287C" w:rsidRDefault="004A28F2" w:rsidP="004A28F2">
      <w:pPr>
        <w:tabs>
          <w:tab w:val="left" w:pos="1168"/>
        </w:tabs>
        <w:jc w:val="both"/>
        <w:rPr>
          <w:rFonts w:eastAsiaTheme="minorEastAsia" w:cs="Times New Roman"/>
          <w:sz w:val="20"/>
          <w:szCs w:val="20"/>
        </w:rPr>
      </w:pPr>
      <w:r w:rsidRPr="009D287C">
        <w:rPr>
          <w:rFonts w:eastAsiaTheme="minorEastAsia" w:cs="Times New Roman"/>
          <w:sz w:val="20"/>
          <w:szCs w:val="20"/>
        </w:rPr>
        <w:lastRenderedPageBreak/>
        <w:tab/>
        <w:t xml:space="preserve">The Federal Court has only the jurisdiction it has been conferred by statute: it is a statutory court, without inherent jurisdiction. Accordingly, the language of the </w:t>
      </w:r>
      <w:r w:rsidRPr="009D287C">
        <w:rPr>
          <w:rFonts w:eastAsiaTheme="minorEastAsia" w:cs="Times New Roman"/>
          <w:i/>
          <w:sz w:val="20"/>
          <w:szCs w:val="20"/>
        </w:rPr>
        <w:t>Federal Courts Act</w:t>
      </w:r>
      <w:r w:rsidRPr="009D287C">
        <w:rPr>
          <w:rFonts w:eastAsiaTheme="minorEastAsia" w:cs="Times New Roman"/>
          <w:sz w:val="20"/>
          <w:szCs w:val="20"/>
        </w:rPr>
        <w:t xml:space="preserve"> is completely determinative of the scope of the Court’s jurisdiction. Parliament established the Federal Court pursuant to its competence, under s. 101 of the </w:t>
      </w:r>
      <w:r w:rsidRPr="009D287C">
        <w:rPr>
          <w:rFonts w:eastAsiaTheme="minorEastAsia" w:cs="Times New Roman"/>
          <w:i/>
          <w:sz w:val="20"/>
          <w:szCs w:val="20"/>
        </w:rPr>
        <w:t>Constitution Act, 1867</w:t>
      </w:r>
      <w:r w:rsidRPr="009D287C">
        <w:rPr>
          <w:rFonts w:eastAsiaTheme="minorEastAsia" w:cs="Times New Roman"/>
          <w:sz w:val="20"/>
          <w:szCs w:val="20"/>
        </w:rPr>
        <w:t>, to establish “additional Courts for the better Administration of the Laws of Canada”. The role of the Federal Court is therefore constitutionally limited to administering federal law. The three</w:t>
      </w:r>
      <w:r w:rsidRPr="009D287C">
        <w:rPr>
          <w:rFonts w:eastAsiaTheme="minorEastAsia" w:cs="Times New Roman"/>
          <w:sz w:val="20"/>
          <w:szCs w:val="20"/>
        </w:rPr>
        <w:noBreakHyphen/>
        <w:t xml:space="preserve">part test for jurisdiction, set out by this Court in </w:t>
      </w:r>
      <w:r w:rsidRPr="009D287C">
        <w:rPr>
          <w:rFonts w:eastAsiaTheme="minorEastAsia" w:cs="Times New Roman"/>
          <w:i/>
          <w:sz w:val="20"/>
          <w:szCs w:val="20"/>
        </w:rPr>
        <w:t>ITO</w:t>
      </w:r>
      <w:r w:rsidRPr="009D287C">
        <w:rPr>
          <w:rFonts w:eastAsiaTheme="minorEastAsia" w:cs="Times New Roman"/>
          <w:i/>
          <w:sz w:val="20"/>
          <w:szCs w:val="20"/>
        </w:rPr>
        <w:noBreakHyphen/>
        <w:t xml:space="preserve">Int’l Terminal Operators v. </w:t>
      </w:r>
      <w:proofErr w:type="spellStart"/>
      <w:r w:rsidRPr="009D287C">
        <w:rPr>
          <w:rFonts w:eastAsiaTheme="minorEastAsia" w:cs="Times New Roman"/>
          <w:i/>
          <w:sz w:val="20"/>
          <w:szCs w:val="20"/>
        </w:rPr>
        <w:t>Miida</w:t>
      </w:r>
      <w:proofErr w:type="spellEnd"/>
      <w:r w:rsidRPr="009D287C">
        <w:rPr>
          <w:rFonts w:eastAsiaTheme="minorEastAsia" w:cs="Times New Roman"/>
          <w:i/>
          <w:sz w:val="20"/>
          <w:szCs w:val="20"/>
        </w:rPr>
        <w:t xml:space="preserve"> Electronics Inc.</w:t>
      </w:r>
      <w:r w:rsidRPr="009D287C">
        <w:rPr>
          <w:rFonts w:eastAsiaTheme="minorEastAsia" w:cs="Times New Roman"/>
          <w:sz w:val="20"/>
          <w:szCs w:val="20"/>
        </w:rPr>
        <w:t>, [1986] 1 S.C.R. 752, is designed to ensure the Federal Court does not overstep this limited role. The first part of the test requires that a federal statute grant jurisdiction to the Federal Court. Section 23(c) grants jurisdiction to the Federal Court when “a claim for relief is made or a remedy is sought under an Act of Parliament or otherwise”, that is, when the claimant is seeking relief under federal law. The claimant’s cause of action, or the right to seek relief, must be created or recognized by a federal statute, a federal regulation or a rule of the common law dealing with a subject</w:t>
      </w:r>
      <w:r w:rsidRPr="009D287C">
        <w:rPr>
          <w:rFonts w:eastAsiaTheme="minorEastAsia" w:cs="Times New Roman"/>
          <w:sz w:val="20"/>
          <w:szCs w:val="20"/>
        </w:rPr>
        <w:noBreakHyphen/>
        <w:t xml:space="preserve">matter of federal legislative competence. </w:t>
      </w:r>
      <w:r w:rsidRPr="009D287C">
        <w:rPr>
          <w:rFonts w:eastAsiaTheme="minorEastAsia" w:cs="Times New Roman"/>
          <w:sz w:val="20"/>
          <w:szCs w:val="20"/>
          <w:lang w:val="en-US"/>
        </w:rPr>
        <w:t xml:space="preserve">The explicit language of s. 23 of the </w:t>
      </w:r>
      <w:r w:rsidRPr="009D287C">
        <w:rPr>
          <w:rFonts w:eastAsiaTheme="minorEastAsia" w:cs="Times New Roman"/>
          <w:i/>
          <w:sz w:val="20"/>
          <w:szCs w:val="20"/>
          <w:lang w:val="en-US"/>
        </w:rPr>
        <w:t>Federal Courts Act</w:t>
      </w:r>
      <w:r w:rsidRPr="009D287C">
        <w:rPr>
          <w:rFonts w:eastAsiaTheme="minorEastAsia" w:cs="Times New Roman"/>
          <w:sz w:val="20"/>
          <w:szCs w:val="20"/>
          <w:lang w:val="en-US"/>
        </w:rPr>
        <w:t xml:space="preserve"> requires that the relief be sought under — and not merely in relation to — federal law. Requiring the right to seek relief to arise directly from federal law brings clarity to the scope of the Federal Court’s concurrent jurisdiction. </w:t>
      </w:r>
      <w:r w:rsidRPr="009D287C">
        <w:rPr>
          <w:rFonts w:eastAsiaTheme="minorEastAsia" w:cs="Times New Roman"/>
          <w:sz w:val="20"/>
          <w:szCs w:val="20"/>
        </w:rPr>
        <w:t>Giving effect to the explicit wording of s. 23</w:t>
      </w:r>
      <w:r w:rsidRPr="009D287C">
        <w:rPr>
          <w:rFonts w:eastAsiaTheme="minorEastAsia" w:cs="Times New Roman"/>
          <w:sz w:val="20"/>
          <w:szCs w:val="20"/>
          <w:lang w:val="en-US"/>
        </w:rPr>
        <w:t xml:space="preserve"> </w:t>
      </w:r>
      <w:r w:rsidRPr="009D287C">
        <w:rPr>
          <w:rFonts w:eastAsiaTheme="minorEastAsia" w:cs="Times New Roman"/>
          <w:sz w:val="20"/>
          <w:szCs w:val="20"/>
        </w:rPr>
        <w:t>minimizes jurisdictional disputes by ensuring that litigants know the scope of the Federal Court’s jurisdiction in advance. This will avoid unnecessary litigation, including disputes about whether the court should decline to exercise jurisdiction even if it has jurisdiction to hear the matter.</w:t>
      </w:r>
    </w:p>
    <w:p w:rsidR="004A28F2" w:rsidRPr="009D287C" w:rsidRDefault="004A28F2" w:rsidP="004A28F2">
      <w:pPr>
        <w:tabs>
          <w:tab w:val="left" w:pos="1168"/>
        </w:tabs>
        <w:jc w:val="both"/>
        <w:rPr>
          <w:rFonts w:eastAsiaTheme="minorEastAsia" w:cs="Times New Roman"/>
          <w:sz w:val="20"/>
          <w:szCs w:val="20"/>
        </w:rPr>
      </w:pPr>
    </w:p>
    <w:p w:rsidR="004A28F2" w:rsidRPr="009D287C" w:rsidRDefault="004A28F2" w:rsidP="004A28F2">
      <w:pPr>
        <w:tabs>
          <w:tab w:val="left" w:pos="1168"/>
        </w:tabs>
        <w:jc w:val="both"/>
        <w:rPr>
          <w:rFonts w:eastAsiaTheme="minorEastAsia" w:cs="Times New Roman"/>
          <w:sz w:val="20"/>
          <w:szCs w:val="20"/>
        </w:rPr>
      </w:pPr>
      <w:r w:rsidRPr="009D287C">
        <w:rPr>
          <w:rFonts w:eastAsiaTheme="minorEastAsia" w:cs="Times New Roman"/>
          <w:sz w:val="20"/>
          <w:szCs w:val="20"/>
        </w:rPr>
        <w:tab/>
        <w:t xml:space="preserve">In this case, the Company is not seeking relief “under an Act of Parliament or otherwise”, as required by s. 23(c). The Company is seeking relief under s. 23(c) itself, or alternatively under the </w:t>
      </w:r>
      <w:r w:rsidRPr="009D287C">
        <w:rPr>
          <w:rFonts w:eastAsiaTheme="minorEastAsia" w:cs="Times New Roman"/>
          <w:i/>
          <w:sz w:val="20"/>
          <w:szCs w:val="20"/>
        </w:rPr>
        <w:t>CTC Act</w:t>
      </w:r>
      <w:r w:rsidRPr="009D287C">
        <w:rPr>
          <w:rFonts w:eastAsiaTheme="minorEastAsia" w:cs="Times New Roman"/>
          <w:sz w:val="20"/>
          <w:szCs w:val="20"/>
        </w:rPr>
        <w:t xml:space="preserve">. However, s. 23 is not itself a federal law under which the Company can seek relief. It confers on the Federal Court jurisdiction over certain claims, but does not confer on parties the right to make those claims in the first place. For that right, parties must look to other federal law. Further, although the </w:t>
      </w:r>
      <w:r w:rsidRPr="009D287C">
        <w:rPr>
          <w:rFonts w:eastAsiaTheme="minorEastAsia" w:cs="Times New Roman"/>
          <w:i/>
          <w:sz w:val="20"/>
          <w:szCs w:val="20"/>
        </w:rPr>
        <w:t>CTC Act</w:t>
      </w:r>
      <w:r w:rsidRPr="009D287C">
        <w:rPr>
          <w:rFonts w:eastAsiaTheme="minorEastAsia" w:cs="Times New Roman"/>
          <w:sz w:val="20"/>
          <w:szCs w:val="20"/>
        </w:rPr>
        <w:t xml:space="preserve"> confers certain rights and powers (and imposes certain responsibilities) on the Company, it also does not give the Company any kind of right of action or right to seek the relief sought. The Company is in fact seeking relief under constitutional law, because constitutional law confers on parties the right to seek a declaration that a law is inapplicable or inoperative. A party seeking relief under constitutional law is not seeking relief “under an Act of Parliament or otherwise” within the meaning of s. 23; </w:t>
      </w:r>
      <w:r w:rsidRPr="009D287C">
        <w:rPr>
          <w:rFonts w:eastAsia="Times New Roman" w:cs="Times New Roman"/>
          <w:sz w:val="20"/>
          <w:szCs w:val="20"/>
          <w:lang w:eastAsia="en-CA"/>
        </w:rPr>
        <w:t>constitutional law cannot be said to be federal law for the purposes of s. 23. Therefore, s. 23(c) does not grant jurisdiction over the Company’s application to the Federal Court and t</w:t>
      </w:r>
      <w:r w:rsidRPr="009D287C">
        <w:rPr>
          <w:rFonts w:eastAsiaTheme="minorEastAsia" w:cs="Times New Roman"/>
          <w:sz w:val="20"/>
          <w:szCs w:val="20"/>
        </w:rPr>
        <w:t xml:space="preserve">he first part of the </w:t>
      </w:r>
      <w:r w:rsidRPr="009D287C">
        <w:rPr>
          <w:rFonts w:eastAsiaTheme="minorEastAsia" w:cs="Times New Roman"/>
          <w:i/>
          <w:sz w:val="20"/>
          <w:szCs w:val="20"/>
        </w:rPr>
        <w:t xml:space="preserve">ITO </w:t>
      </w:r>
      <w:r w:rsidRPr="009D287C">
        <w:rPr>
          <w:rFonts w:eastAsiaTheme="minorEastAsia" w:cs="Times New Roman"/>
          <w:sz w:val="20"/>
          <w:szCs w:val="20"/>
        </w:rPr>
        <w:t xml:space="preserve">test for jurisdiction is not met. There is therefore no need to consider whether the second and third part of the </w:t>
      </w:r>
      <w:r w:rsidRPr="009D287C">
        <w:rPr>
          <w:rFonts w:eastAsiaTheme="minorEastAsia" w:cs="Times New Roman"/>
          <w:i/>
          <w:sz w:val="20"/>
          <w:szCs w:val="20"/>
        </w:rPr>
        <w:t>ITO</w:t>
      </w:r>
      <w:r w:rsidRPr="009D287C">
        <w:rPr>
          <w:rFonts w:eastAsiaTheme="minorEastAsia" w:cs="Times New Roman"/>
          <w:sz w:val="20"/>
          <w:szCs w:val="20"/>
        </w:rPr>
        <w:t xml:space="preserve"> test are met. Because the test is not met, it is plain and obvious that the Federal Court lacks jurisdiction to hear the application. The motion to strike the Company’s notice of application in the Federal Court must succeed.</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 xml:space="preserve">Per </w:t>
      </w:r>
      <w:proofErr w:type="spellStart"/>
      <w:r w:rsidRPr="009D287C">
        <w:rPr>
          <w:rFonts w:eastAsia="Times New Roman" w:cs="Times New Roman"/>
          <w:b/>
          <w:sz w:val="20"/>
          <w:szCs w:val="20"/>
          <w:lang w:eastAsia="en-CA"/>
        </w:rPr>
        <w:t>Moldaver</w:t>
      </w:r>
      <w:proofErr w:type="spellEnd"/>
      <w:r w:rsidRPr="009D287C">
        <w:rPr>
          <w:rFonts w:eastAsia="Times New Roman" w:cs="Times New Roman"/>
          <w:b/>
          <w:sz w:val="20"/>
          <w:szCs w:val="20"/>
          <w:lang w:eastAsia="en-CA"/>
        </w:rPr>
        <w:t xml:space="preserve">,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and </w:t>
      </w:r>
      <w:r w:rsidRPr="009D287C">
        <w:rPr>
          <w:rFonts w:eastAsia="Times New Roman" w:cs="Times New Roman"/>
          <w:b/>
          <w:sz w:val="20"/>
          <w:szCs w:val="20"/>
          <w:lang w:eastAsia="en-CA"/>
        </w:rPr>
        <w:t>Brown</w:t>
      </w:r>
      <w:r w:rsidRPr="009D287C">
        <w:rPr>
          <w:rFonts w:eastAsia="Times New Roman" w:cs="Times New Roman"/>
          <w:sz w:val="20"/>
          <w:szCs w:val="20"/>
          <w:lang w:eastAsia="en-CA"/>
        </w:rPr>
        <w:t> JJ. (</w:t>
      </w:r>
      <w:proofErr w:type="gramStart"/>
      <w:r w:rsidRPr="009D287C">
        <w:rPr>
          <w:rFonts w:eastAsia="Times New Roman" w:cs="Times New Roman"/>
          <w:sz w:val="20"/>
          <w:szCs w:val="20"/>
          <w:lang w:eastAsia="en-CA"/>
        </w:rPr>
        <w:t>dissenting</w:t>
      </w:r>
      <w:proofErr w:type="gramEnd"/>
      <w:r w:rsidRPr="009D287C">
        <w:rPr>
          <w:rFonts w:eastAsia="Times New Roman" w:cs="Times New Roman"/>
          <w:sz w:val="20"/>
          <w:szCs w:val="20"/>
          <w:lang w:eastAsia="en-CA"/>
        </w:rPr>
        <w:t>): The Federal Court has jurisdiction to hear the Company’s application and the appeal should accordingly be dismissed.</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The Federal Court’s jurisdiction should be construed broadly. The Federal Court was designed to achieve two objectives: ensuring that members of the public would have resort to a national court exercising a national jurisdiction when enforcing a claim involving matters which frequently involve national elements, and making it possible for litigants who live in different parts of the country to have a common and convenient forum in which to enforce their legal rights. These purposes are better served by a broad construction of its jurisdiction.</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There is no need to characterize the essential nature of the case as a preliminary step in the analysis of jurisdiction. The test established in </w:t>
      </w:r>
      <w:r w:rsidRPr="009D287C">
        <w:rPr>
          <w:rFonts w:eastAsia="Times New Roman" w:cs="Times New Roman"/>
          <w:i/>
          <w:sz w:val="20"/>
          <w:szCs w:val="20"/>
          <w:lang w:eastAsia="en-CA"/>
        </w:rPr>
        <w:t>ITO</w:t>
      </w:r>
      <w:r w:rsidRPr="009D287C">
        <w:rPr>
          <w:rFonts w:eastAsia="Times New Roman" w:cs="Times New Roman"/>
          <w:i/>
          <w:sz w:val="20"/>
          <w:szCs w:val="20"/>
          <w:lang w:eastAsia="en-CA"/>
        </w:rPr>
        <w:noBreakHyphen/>
        <w:t xml:space="preserve">International Terminal Operators v. </w:t>
      </w:r>
      <w:proofErr w:type="spellStart"/>
      <w:r w:rsidRPr="009D287C">
        <w:rPr>
          <w:rFonts w:eastAsia="Times New Roman" w:cs="Times New Roman"/>
          <w:i/>
          <w:sz w:val="20"/>
          <w:szCs w:val="20"/>
          <w:lang w:eastAsia="en-CA"/>
        </w:rPr>
        <w:t>Miida</w:t>
      </w:r>
      <w:proofErr w:type="spellEnd"/>
      <w:r w:rsidRPr="009D287C">
        <w:rPr>
          <w:rFonts w:eastAsia="Times New Roman" w:cs="Times New Roman"/>
          <w:i/>
          <w:sz w:val="20"/>
          <w:szCs w:val="20"/>
          <w:lang w:eastAsia="en-CA"/>
        </w:rPr>
        <w:t xml:space="preserve"> Electronics</w:t>
      </w:r>
      <w:r w:rsidRPr="009D287C">
        <w:rPr>
          <w:rFonts w:eastAsia="Times New Roman" w:cs="Times New Roman"/>
          <w:sz w:val="20"/>
          <w:szCs w:val="20"/>
          <w:lang w:eastAsia="en-CA"/>
        </w:rPr>
        <w:t xml:space="preserve">, [1986] 1 S.C.R. 752, provides a comprehensive framework of analysis for determining whether the Federal Court has jurisdiction. What matters is only whether there is a statutory grant of jurisdiction, whether federal law is essential to the disposition of the case, and whether the law is validly federal. The essential nature of the case is not relevant to whether the Federal Court </w:t>
      </w:r>
      <w:r w:rsidRPr="009D287C">
        <w:rPr>
          <w:rFonts w:eastAsia="Times New Roman" w:cs="Times New Roman"/>
          <w:i/>
          <w:sz w:val="20"/>
          <w:szCs w:val="20"/>
          <w:lang w:eastAsia="en-CA"/>
        </w:rPr>
        <w:t>has</w:t>
      </w:r>
      <w:r w:rsidRPr="009D287C">
        <w:rPr>
          <w:rFonts w:eastAsia="Times New Roman" w:cs="Times New Roman"/>
          <w:sz w:val="20"/>
          <w:szCs w:val="20"/>
          <w:lang w:eastAsia="en-CA"/>
        </w:rPr>
        <w:t xml:space="preserve"> jurisdiction, but to whether it </w:t>
      </w:r>
      <w:r w:rsidRPr="009D287C">
        <w:rPr>
          <w:rFonts w:eastAsia="Times New Roman" w:cs="Times New Roman"/>
          <w:i/>
          <w:sz w:val="20"/>
          <w:szCs w:val="20"/>
          <w:lang w:eastAsia="en-CA"/>
        </w:rPr>
        <w:t>should exercise</w:t>
      </w:r>
      <w:r w:rsidRPr="009D287C">
        <w:rPr>
          <w:rFonts w:eastAsia="Times New Roman" w:cs="Times New Roman"/>
          <w:sz w:val="20"/>
          <w:szCs w:val="20"/>
          <w:lang w:eastAsia="en-CA"/>
        </w:rPr>
        <w:t xml:space="preserve"> it. There may be cases in which — despite the </w:t>
      </w:r>
      <w:r w:rsidRPr="009D287C">
        <w:rPr>
          <w:rFonts w:eastAsia="Times New Roman" w:cs="Times New Roman"/>
          <w:i/>
          <w:sz w:val="20"/>
          <w:szCs w:val="20"/>
          <w:lang w:eastAsia="en-CA"/>
        </w:rPr>
        <w:t>ITO</w:t>
      </w:r>
      <w:r w:rsidRPr="009D287C">
        <w:rPr>
          <w:rFonts w:eastAsia="Times New Roman" w:cs="Times New Roman"/>
          <w:sz w:val="20"/>
          <w:szCs w:val="20"/>
          <w:lang w:eastAsia="en-CA"/>
        </w:rPr>
        <w:t xml:space="preserve"> test being met — the Federal Court should consider declining jurisdiction.</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The three branches of the </w:t>
      </w:r>
      <w:r w:rsidRPr="009D287C">
        <w:rPr>
          <w:rFonts w:eastAsia="Times New Roman" w:cs="Times New Roman"/>
          <w:i/>
          <w:sz w:val="20"/>
          <w:szCs w:val="20"/>
          <w:lang w:eastAsia="en-CA"/>
        </w:rPr>
        <w:t>ITO</w:t>
      </w:r>
      <w:r w:rsidRPr="009D287C">
        <w:rPr>
          <w:rFonts w:eastAsia="Times New Roman" w:cs="Times New Roman"/>
          <w:sz w:val="20"/>
          <w:szCs w:val="20"/>
          <w:lang w:eastAsia="en-CA"/>
        </w:rPr>
        <w:t xml:space="preserve"> test are met in this case. First, s. 23(c) of the </w:t>
      </w:r>
      <w:r w:rsidRPr="009D287C">
        <w:rPr>
          <w:rFonts w:eastAsia="Times New Roman" w:cs="Times New Roman"/>
          <w:i/>
          <w:sz w:val="20"/>
          <w:szCs w:val="20"/>
          <w:lang w:eastAsia="en-CA"/>
        </w:rPr>
        <w:t>Federal Courts Act</w:t>
      </w:r>
      <w:r w:rsidRPr="009D287C">
        <w:rPr>
          <w:rFonts w:eastAsia="Times New Roman" w:cs="Times New Roman"/>
          <w:sz w:val="20"/>
          <w:szCs w:val="20"/>
          <w:lang w:eastAsia="en-CA"/>
        </w:rPr>
        <w:t xml:space="preserve"> provides the necessary statutory grant of jurisdiction. The three crucial elements for s. 23(c) to amount to the required statutory grant of jurisdiction under the first branch of the </w:t>
      </w:r>
      <w:r w:rsidRPr="009D287C">
        <w:rPr>
          <w:rFonts w:eastAsia="Times New Roman" w:cs="Times New Roman"/>
          <w:i/>
          <w:sz w:val="20"/>
          <w:szCs w:val="20"/>
          <w:lang w:eastAsia="en-CA"/>
        </w:rPr>
        <w:t xml:space="preserve">ITO </w:t>
      </w:r>
      <w:r w:rsidRPr="009D287C">
        <w:rPr>
          <w:rFonts w:eastAsia="Times New Roman" w:cs="Times New Roman"/>
          <w:sz w:val="20"/>
          <w:szCs w:val="20"/>
          <w:lang w:eastAsia="en-CA"/>
        </w:rPr>
        <w:t>test are present here: the Company has claimed relief, its claim is in relation to a work or undertaking extending beyond the limits of a province, and the claim was made “under an Act of Parliament or otherwise in relation to” this international work or undertaking.</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Requiring a federal statute to expressly create a cause of action before jurisdiction may be founded “under an Act of Parliament” within the meaning of s. 23 is unduly narrow and inconsistent with Parliament’s intent in creating the Federal Court. Section 23 should be construed broadly to ensure that, if the claim for relief is related to a federal work or undertaking and the rights being enforced arise from an Act of Parliament, the claimants may approach the Federal Court. In this case, the rights the Company seeks to enforce are sourced in two separate Acts of Parliament, both of which are essential to the ultimate relief sought by the Company: 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xml:space="preserve"> and the </w:t>
      </w:r>
      <w:r w:rsidRPr="009D287C">
        <w:rPr>
          <w:rFonts w:eastAsia="Times New Roman" w:cs="Times New Roman"/>
          <w:i/>
          <w:sz w:val="20"/>
          <w:szCs w:val="20"/>
          <w:lang w:eastAsia="en-CA"/>
        </w:rPr>
        <w:t>International Bridges and Tunnels Act</w:t>
      </w:r>
      <w:r w:rsidRPr="009D287C">
        <w:rPr>
          <w:rFonts w:eastAsia="Times New Roman" w:cs="Times New Roman"/>
          <w:sz w:val="20"/>
          <w:szCs w:val="20"/>
          <w:lang w:eastAsia="en-CA"/>
        </w:rPr>
        <w:t>. As such, since the claim for relief is related to a federal work or undertaking and the rights that the claimant seeks to enforce arise from Acts of Parliament, s. 23(c) confers a statutory grant of jurisdiction on the Federal Court.</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xml:space="preserve"> also satisfies the second branch of the </w:t>
      </w:r>
      <w:r w:rsidRPr="009D287C">
        <w:rPr>
          <w:rFonts w:eastAsia="Times New Roman" w:cs="Times New Roman"/>
          <w:i/>
          <w:sz w:val="20"/>
          <w:szCs w:val="20"/>
          <w:lang w:eastAsia="en-CA"/>
        </w:rPr>
        <w:t>ITO</w:t>
      </w:r>
      <w:r w:rsidRPr="009D287C">
        <w:rPr>
          <w:rFonts w:eastAsia="Times New Roman" w:cs="Times New Roman"/>
          <w:sz w:val="20"/>
          <w:szCs w:val="20"/>
          <w:lang w:eastAsia="en-CA"/>
        </w:rPr>
        <w:t xml:space="preserve"> test: it is essential to the disposition of this case and it nourishes the statutory grant of the Federal Court’s jurisdiction, because it is central to the constitutional claim. The declarations sought by the Company in the Federal Court make it clear that the dispute is generally concerned with 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xml:space="preserve"> and federal jurisdiction over federal works and undertakings, pursuant to the </w:t>
      </w:r>
      <w:r w:rsidRPr="009D287C">
        <w:rPr>
          <w:rFonts w:eastAsia="Times New Roman" w:cs="Times New Roman"/>
          <w:i/>
          <w:sz w:val="20"/>
          <w:szCs w:val="20"/>
          <w:lang w:eastAsia="en-CA"/>
        </w:rPr>
        <w:t>Constitution Act, 1867</w:t>
      </w:r>
      <w:r w:rsidRPr="009D287C">
        <w:rPr>
          <w:rFonts w:eastAsia="Times New Roman" w:cs="Times New Roman"/>
          <w:sz w:val="20"/>
          <w:szCs w:val="20"/>
          <w:lang w:eastAsia="en-CA"/>
        </w:rPr>
        <w:t xml:space="preserve">. Two interrelated questions are at the heart of this dispute, both of which are intimately tied to 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whether the properties purchased by the Company form part of the “federal work or undertaking” of the Ambassador Bridge, and, if so, whether those properties are immune from the municipal by</w:t>
      </w:r>
      <w:r w:rsidRPr="009D287C">
        <w:rPr>
          <w:rFonts w:eastAsia="Times New Roman" w:cs="Times New Roman"/>
          <w:sz w:val="20"/>
          <w:szCs w:val="20"/>
          <w:lang w:eastAsia="en-CA"/>
        </w:rPr>
        <w:noBreakHyphen/>
        <w:t xml:space="preserve">law based on the doctrine of interjurisdictional immunity. Resolving these constitutional questions primarily entails interpreting 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xml:space="preserve">. 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xml:space="preserve"> thus plays an essential role in the outcome of this case. As for the third branch of the </w:t>
      </w:r>
      <w:r w:rsidRPr="009D287C">
        <w:rPr>
          <w:rFonts w:eastAsia="Times New Roman" w:cs="Times New Roman"/>
          <w:i/>
          <w:sz w:val="20"/>
          <w:szCs w:val="20"/>
          <w:lang w:eastAsia="en-CA"/>
        </w:rPr>
        <w:t xml:space="preserve">ITO </w:t>
      </w:r>
      <w:r w:rsidRPr="009D287C">
        <w:rPr>
          <w:rFonts w:eastAsia="Times New Roman" w:cs="Times New Roman"/>
          <w:sz w:val="20"/>
          <w:szCs w:val="20"/>
          <w:lang w:eastAsia="en-CA"/>
        </w:rPr>
        <w:t xml:space="preserve">test, it is also satisfied since there is no dispute in this case that the </w:t>
      </w:r>
      <w:r w:rsidRPr="009D287C">
        <w:rPr>
          <w:rFonts w:eastAsia="Times New Roman" w:cs="Times New Roman"/>
          <w:i/>
          <w:sz w:val="20"/>
          <w:szCs w:val="20"/>
          <w:lang w:eastAsia="en-CA"/>
        </w:rPr>
        <w:t>CTC Act</w:t>
      </w:r>
      <w:r w:rsidRPr="009D287C">
        <w:rPr>
          <w:rFonts w:eastAsia="Times New Roman" w:cs="Times New Roman"/>
          <w:sz w:val="20"/>
          <w:szCs w:val="20"/>
          <w:lang w:eastAsia="en-CA"/>
        </w:rPr>
        <w:t xml:space="preserve"> is valid federal law.</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As all three branches of the </w:t>
      </w:r>
      <w:r w:rsidRPr="009D287C">
        <w:rPr>
          <w:rFonts w:eastAsia="Times New Roman" w:cs="Times New Roman"/>
          <w:i/>
          <w:sz w:val="20"/>
          <w:szCs w:val="20"/>
          <w:lang w:eastAsia="en-CA"/>
        </w:rPr>
        <w:t xml:space="preserve">ITO </w:t>
      </w:r>
      <w:r w:rsidRPr="009D287C">
        <w:rPr>
          <w:rFonts w:eastAsia="Times New Roman" w:cs="Times New Roman"/>
          <w:sz w:val="20"/>
          <w:szCs w:val="20"/>
          <w:lang w:eastAsia="en-CA"/>
        </w:rPr>
        <w:t>test are met in this case, the Federal Court has jurisdiction to hear the Company’s application. It remains for the Federal Court to decide whether it should exercise its jurisdiction to hear the Company’s application, or decline to do so in favour of the Superior Court of Justice. In deciding whether to exercise its jurisdiction, the Federal Court should consider whether the Company has an adequate and effective recourse in a forum in which litigation is already taking place, expeditiousness, and the economical use of judicial resources. In the present circumstances, there may be good reason for the Federal Court to decline to hear the Company’s application.</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Per</w:t>
      </w:r>
      <w:r w:rsidRPr="009D287C">
        <w:rPr>
          <w:rFonts w:eastAsia="Times New Roman" w:cs="Times New Roman"/>
          <w:sz w:val="20"/>
          <w:szCs w:val="20"/>
          <w:lang w:eastAsia="en-CA"/>
        </w:rPr>
        <w:t xml:space="preserve"> </w:t>
      </w:r>
      <w:r w:rsidRPr="009D287C">
        <w:rPr>
          <w:rFonts w:eastAsia="Times New Roman" w:cs="Times New Roman"/>
          <w:b/>
          <w:sz w:val="20"/>
          <w:szCs w:val="20"/>
          <w:lang w:eastAsia="en-CA"/>
        </w:rPr>
        <w:t>Abella</w:t>
      </w:r>
      <w:r w:rsidRPr="009D287C">
        <w:rPr>
          <w:rFonts w:eastAsia="Times New Roman" w:cs="Times New Roman"/>
          <w:sz w:val="20"/>
          <w:szCs w:val="20"/>
          <w:lang w:eastAsia="en-CA"/>
        </w:rPr>
        <w:t xml:space="preserve"> J. (dissenting): The appeal should be dismissed in part and a stay of the Federal Court proceedings should be entered. This Court’s test in </w:t>
      </w:r>
      <w:r w:rsidRPr="009D287C">
        <w:rPr>
          <w:rFonts w:eastAsia="Times New Roman" w:cs="Times New Roman"/>
          <w:i/>
          <w:sz w:val="20"/>
          <w:szCs w:val="20"/>
          <w:lang w:eastAsia="en-CA"/>
        </w:rPr>
        <w:t>ITO</w:t>
      </w:r>
      <w:r w:rsidRPr="009D287C">
        <w:rPr>
          <w:rFonts w:eastAsia="Times New Roman" w:cs="Times New Roman"/>
          <w:i/>
          <w:sz w:val="20"/>
          <w:szCs w:val="20"/>
          <w:lang w:eastAsia="en-CA"/>
        </w:rPr>
        <w:noBreakHyphen/>
        <w:t xml:space="preserve">International Terminal Operators Ltd. v. </w:t>
      </w:r>
      <w:proofErr w:type="spellStart"/>
      <w:r w:rsidRPr="009D287C">
        <w:rPr>
          <w:rFonts w:eastAsia="Times New Roman" w:cs="Times New Roman"/>
          <w:i/>
          <w:sz w:val="20"/>
          <w:szCs w:val="20"/>
          <w:lang w:eastAsia="en-CA"/>
        </w:rPr>
        <w:t>Miida</w:t>
      </w:r>
      <w:proofErr w:type="spellEnd"/>
      <w:r w:rsidRPr="009D287C">
        <w:rPr>
          <w:rFonts w:eastAsia="Times New Roman" w:cs="Times New Roman"/>
          <w:i/>
          <w:sz w:val="20"/>
          <w:szCs w:val="20"/>
          <w:lang w:eastAsia="en-CA"/>
        </w:rPr>
        <w:t xml:space="preserve"> Electronics Inc.</w:t>
      </w:r>
      <w:r w:rsidRPr="009D287C">
        <w:rPr>
          <w:rFonts w:eastAsia="Times New Roman" w:cs="Times New Roman"/>
          <w:sz w:val="20"/>
          <w:szCs w:val="20"/>
          <w:lang w:eastAsia="en-CA"/>
        </w:rPr>
        <w:t>, [1986] 1 S.C.R. 752, has been met. However, notwithstanding that the Federal Court has concurrent jurisdiction with the Ontario Superior Court of Justice, it should not exercise it in this case. Both the Canadian Transit Company and the City appealed orders of the Property Standards Committee to the Ontario Superior Court. Rather than wait for the outcome of the appeals before the Superior Court, the Company sought to activate the Federal Court’s intervention.</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It cannot be seriously contested that the issues raised by the Company in its Federal Court application can be resolved in the context of the parties’ ongoing litigation before the Superior Court. The result of the Company diverting the course of the proceedings into a jurisdictional side</w:t>
      </w:r>
      <w:r w:rsidRPr="009D287C">
        <w:rPr>
          <w:rFonts w:eastAsia="Times New Roman" w:cs="Times New Roman"/>
          <w:sz w:val="20"/>
          <w:szCs w:val="20"/>
          <w:lang w:eastAsia="en-CA"/>
        </w:rPr>
        <w:noBreakHyphen/>
        <w:t>show is obvious — additional expense and delay in aid of nothing except avoiding a determination of the merits for as long as possible. To date, that jurisdictional diversion has cost the public a delay of three years. There is no basis for further delaying the Superior Court proceedings. In the words of the Federal Court’s rules, it is neither “just” nor “expeditious” for it to weigh in on these proceedings, needlessly complicating and extending them. Remitting the matter to the Federal Court to reach the irresistible conclusion that a stay is warranted adds needlessly to the expense and delay.</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APPEAL from a judgment of the Federal Court of Appeal (Dawson, </w:t>
      </w:r>
      <w:proofErr w:type="spellStart"/>
      <w:r w:rsidRPr="009D287C">
        <w:rPr>
          <w:rFonts w:eastAsia="Times New Roman" w:cs="Times New Roman"/>
          <w:sz w:val="20"/>
          <w:szCs w:val="20"/>
          <w:lang w:eastAsia="en-CA"/>
        </w:rPr>
        <w:t>Stratas</w:t>
      </w:r>
      <w:proofErr w:type="spellEnd"/>
      <w:r w:rsidRPr="009D287C">
        <w:rPr>
          <w:rFonts w:eastAsia="Times New Roman" w:cs="Times New Roman"/>
          <w:sz w:val="20"/>
          <w:szCs w:val="20"/>
          <w:lang w:eastAsia="en-CA"/>
        </w:rPr>
        <w:t xml:space="preserve"> and Scott JJ.A.), 2015 FCA 88, [2016] 1 F.C.R. 265, 384 D.L.R. (4th) 547, 472 N.R. 361, [2015] F.C.J. No. 383 (QL), 2015 </w:t>
      </w:r>
      <w:proofErr w:type="spellStart"/>
      <w:r w:rsidRPr="009D287C">
        <w:rPr>
          <w:rFonts w:eastAsia="Times New Roman" w:cs="Times New Roman"/>
          <w:sz w:val="20"/>
          <w:szCs w:val="20"/>
          <w:lang w:eastAsia="en-CA"/>
        </w:rPr>
        <w:t>CarswellNat</w:t>
      </w:r>
      <w:proofErr w:type="spellEnd"/>
      <w:r w:rsidRPr="009D287C">
        <w:rPr>
          <w:rFonts w:eastAsia="Times New Roman" w:cs="Times New Roman"/>
          <w:sz w:val="20"/>
          <w:szCs w:val="20"/>
          <w:lang w:eastAsia="en-CA"/>
        </w:rPr>
        <w:t xml:space="preserve"> 816 (WL Can.), setting aside a decision of Shore J., 2014 FC 461, 455 F.T.R. 154, [2014] F.C.J. No. 495 (QL), 2014 </w:t>
      </w:r>
      <w:proofErr w:type="spellStart"/>
      <w:r w:rsidRPr="009D287C">
        <w:rPr>
          <w:rFonts w:eastAsia="Times New Roman" w:cs="Times New Roman"/>
          <w:sz w:val="20"/>
          <w:szCs w:val="20"/>
          <w:lang w:eastAsia="en-CA"/>
        </w:rPr>
        <w:t>CarswellNat</w:t>
      </w:r>
      <w:proofErr w:type="spellEnd"/>
      <w:r w:rsidRPr="009D287C">
        <w:rPr>
          <w:rFonts w:eastAsia="Times New Roman" w:cs="Times New Roman"/>
          <w:sz w:val="20"/>
          <w:szCs w:val="20"/>
          <w:lang w:eastAsia="en-CA"/>
        </w:rPr>
        <w:t xml:space="preserve"> 1598 (WL Can.). Appeal allowed,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and Brown JJ. </w:t>
      </w:r>
      <w:proofErr w:type="gramStart"/>
      <w:r w:rsidRPr="009D287C">
        <w:rPr>
          <w:rFonts w:eastAsia="Times New Roman" w:cs="Times New Roman"/>
          <w:sz w:val="20"/>
          <w:szCs w:val="20"/>
          <w:lang w:eastAsia="en-CA"/>
        </w:rPr>
        <w:t>dissenting</w:t>
      </w:r>
      <w:proofErr w:type="gramEnd"/>
      <w:r w:rsidRPr="009D287C">
        <w:rPr>
          <w:rFonts w:eastAsia="Times New Roman" w:cs="Times New Roman"/>
          <w:sz w:val="20"/>
          <w:szCs w:val="20"/>
          <w:lang w:eastAsia="en-CA"/>
        </w:rPr>
        <w:t>.</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Christopher J. Williams</w:t>
      </w:r>
      <w:r w:rsidRPr="009D287C">
        <w:rPr>
          <w:rFonts w:eastAsia="Times New Roman" w:cs="Times New Roman"/>
          <w:sz w:val="20"/>
          <w:szCs w:val="20"/>
          <w:lang w:eastAsia="en-CA"/>
        </w:rPr>
        <w:t xml:space="preserve">, </w:t>
      </w:r>
      <w:r w:rsidRPr="009D287C">
        <w:rPr>
          <w:rFonts w:eastAsia="Times New Roman" w:cs="Times New Roman"/>
          <w:i/>
          <w:sz w:val="20"/>
          <w:szCs w:val="20"/>
          <w:lang w:eastAsia="en-CA"/>
        </w:rPr>
        <w:t>Courtney V. Raphael</w:t>
      </w:r>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Jody E. Johnson</w:t>
      </w:r>
      <w:r w:rsidRPr="009D287C">
        <w:rPr>
          <w:rFonts w:eastAsia="Times New Roman" w:cs="Times New Roman"/>
          <w:sz w:val="20"/>
          <w:szCs w:val="20"/>
          <w:lang w:eastAsia="en-CA"/>
        </w:rPr>
        <w:t>, for the appellant.</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 xml:space="preserve">John B. </w:t>
      </w:r>
      <w:proofErr w:type="spellStart"/>
      <w:r w:rsidRPr="009D287C">
        <w:rPr>
          <w:rFonts w:eastAsia="Times New Roman" w:cs="Times New Roman"/>
          <w:i/>
          <w:sz w:val="20"/>
          <w:szCs w:val="20"/>
          <w:lang w:eastAsia="en-CA"/>
        </w:rPr>
        <w:t>Laskin</w:t>
      </w:r>
      <w:proofErr w:type="spellEnd"/>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 xml:space="preserve">James </w:t>
      </w:r>
      <w:proofErr w:type="spellStart"/>
      <w:r w:rsidRPr="009D287C">
        <w:rPr>
          <w:rFonts w:eastAsia="Times New Roman" w:cs="Times New Roman"/>
          <w:i/>
          <w:sz w:val="20"/>
          <w:szCs w:val="20"/>
          <w:lang w:eastAsia="en-CA"/>
        </w:rPr>
        <w:t>Gotowiec</w:t>
      </w:r>
      <w:proofErr w:type="spellEnd"/>
      <w:r w:rsidRPr="009D287C">
        <w:rPr>
          <w:rFonts w:eastAsia="Times New Roman" w:cs="Times New Roman"/>
          <w:sz w:val="20"/>
          <w:szCs w:val="20"/>
          <w:lang w:eastAsia="en-CA"/>
        </w:rPr>
        <w:t>, for the respondent.</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 xml:space="preserve">Sean </w:t>
      </w:r>
      <w:proofErr w:type="spellStart"/>
      <w:r w:rsidRPr="009D287C">
        <w:rPr>
          <w:rFonts w:eastAsia="Times New Roman" w:cs="Times New Roman"/>
          <w:i/>
          <w:sz w:val="20"/>
          <w:szCs w:val="20"/>
          <w:lang w:eastAsia="en-CA"/>
        </w:rPr>
        <w:t>Gaudet</w:t>
      </w:r>
      <w:proofErr w:type="spellEnd"/>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Marc Ribeiro</w:t>
      </w:r>
      <w:r w:rsidRPr="009D287C">
        <w:rPr>
          <w:rFonts w:eastAsia="Times New Roman" w:cs="Times New Roman"/>
          <w:sz w:val="20"/>
          <w:szCs w:val="20"/>
          <w:lang w:eastAsia="en-CA"/>
        </w:rPr>
        <w:t>, for the intervener the Attorney General of Canada.</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lastRenderedPageBreak/>
        <w:tab/>
      </w:r>
      <w:proofErr w:type="spellStart"/>
      <w:r w:rsidRPr="009D287C">
        <w:rPr>
          <w:rFonts w:eastAsia="Times New Roman" w:cs="Times New Roman"/>
          <w:i/>
          <w:sz w:val="20"/>
          <w:szCs w:val="20"/>
          <w:lang w:eastAsia="en-CA"/>
        </w:rPr>
        <w:t>Stéphane</w:t>
      </w:r>
      <w:proofErr w:type="spellEnd"/>
      <w:r w:rsidRPr="009D287C">
        <w:rPr>
          <w:rFonts w:eastAsia="Times New Roman" w:cs="Times New Roman"/>
          <w:i/>
          <w:sz w:val="20"/>
          <w:szCs w:val="20"/>
          <w:lang w:eastAsia="en-CA"/>
        </w:rPr>
        <w:t xml:space="preserve"> </w:t>
      </w:r>
      <w:proofErr w:type="spellStart"/>
      <w:r w:rsidRPr="009D287C">
        <w:rPr>
          <w:rFonts w:eastAsia="Times New Roman" w:cs="Times New Roman"/>
          <w:i/>
          <w:sz w:val="20"/>
          <w:szCs w:val="20"/>
          <w:lang w:eastAsia="en-CA"/>
        </w:rPr>
        <w:t>Émard</w:t>
      </w:r>
      <w:proofErr w:type="spellEnd"/>
      <w:r w:rsidRPr="009D287C">
        <w:rPr>
          <w:rFonts w:eastAsia="Times New Roman" w:cs="Times New Roman"/>
          <w:i/>
          <w:sz w:val="20"/>
          <w:szCs w:val="20"/>
          <w:lang w:eastAsia="en-CA"/>
        </w:rPr>
        <w:noBreakHyphen/>
        <w:t>Chabot</w:t>
      </w:r>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Marie</w:t>
      </w:r>
      <w:r w:rsidRPr="009D287C">
        <w:rPr>
          <w:rFonts w:eastAsia="Times New Roman" w:cs="Times New Roman"/>
          <w:i/>
          <w:sz w:val="20"/>
          <w:szCs w:val="20"/>
          <w:lang w:eastAsia="en-CA"/>
        </w:rPr>
        <w:noBreakHyphen/>
        <w:t>France Major</w:t>
      </w:r>
      <w:r w:rsidRPr="009D287C">
        <w:rPr>
          <w:rFonts w:eastAsia="Times New Roman" w:cs="Times New Roman"/>
          <w:sz w:val="20"/>
          <w:szCs w:val="20"/>
          <w:lang w:eastAsia="en-CA"/>
        </w:rPr>
        <w:t>, for the intervener the Federation of Canadian Municipalities.</w:t>
      </w:r>
    </w:p>
    <w:p w:rsidR="004A28F2" w:rsidRPr="009D287C" w:rsidRDefault="004A28F2" w:rsidP="004A28F2">
      <w:pPr>
        <w:tabs>
          <w:tab w:val="left" w:pos="1168"/>
        </w:tabs>
        <w:jc w:val="both"/>
        <w:rPr>
          <w:rFonts w:eastAsia="Times New Roman" w:cs="Times New Roman"/>
          <w:sz w:val="20"/>
          <w:szCs w:val="20"/>
          <w:lang w:eastAsia="en-CA"/>
        </w:rPr>
      </w:pPr>
    </w:p>
    <w:p w:rsidR="004A28F2" w:rsidRPr="009D287C" w:rsidRDefault="004A28F2" w:rsidP="004A28F2">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Solicitors for the appellant: </w:t>
      </w:r>
      <w:proofErr w:type="spellStart"/>
      <w:r w:rsidRPr="009D287C">
        <w:rPr>
          <w:rFonts w:eastAsia="Times New Roman" w:cs="Times New Roman"/>
          <w:i/>
          <w:sz w:val="20"/>
          <w:szCs w:val="20"/>
          <w:lang w:eastAsia="en-CA"/>
        </w:rPr>
        <w:t>Aird</w:t>
      </w:r>
      <w:proofErr w:type="spellEnd"/>
      <w:r w:rsidRPr="009D287C">
        <w:rPr>
          <w:rFonts w:eastAsia="Times New Roman" w:cs="Times New Roman"/>
          <w:i/>
          <w:sz w:val="20"/>
          <w:szCs w:val="20"/>
          <w:lang w:eastAsia="en-CA"/>
        </w:rPr>
        <w:t xml:space="preserve"> &amp; </w:t>
      </w:r>
      <w:proofErr w:type="spellStart"/>
      <w:r w:rsidRPr="009D287C">
        <w:rPr>
          <w:rFonts w:eastAsia="Times New Roman" w:cs="Times New Roman"/>
          <w:i/>
          <w:sz w:val="20"/>
          <w:szCs w:val="20"/>
          <w:lang w:eastAsia="en-CA"/>
        </w:rPr>
        <w:t>Berlis</w:t>
      </w:r>
      <w:proofErr w:type="spellEnd"/>
      <w:r w:rsidRPr="009D287C">
        <w:rPr>
          <w:rFonts w:eastAsia="Times New Roman" w:cs="Times New Roman"/>
          <w:i/>
          <w:sz w:val="20"/>
          <w:szCs w:val="20"/>
          <w:lang w:eastAsia="en-CA"/>
        </w:rPr>
        <w:t>, Toronto.</w:t>
      </w:r>
    </w:p>
    <w:p w:rsidR="004A28F2" w:rsidRPr="009D287C" w:rsidRDefault="004A28F2" w:rsidP="004A28F2">
      <w:pPr>
        <w:tabs>
          <w:tab w:val="left" w:pos="1168"/>
        </w:tabs>
        <w:jc w:val="both"/>
        <w:rPr>
          <w:rFonts w:eastAsia="Times New Roman" w:cs="Times New Roman"/>
          <w:i/>
          <w:sz w:val="20"/>
          <w:szCs w:val="20"/>
          <w:lang w:eastAsia="en-CA"/>
        </w:rPr>
      </w:pPr>
    </w:p>
    <w:p w:rsidR="004A28F2" w:rsidRPr="009D287C" w:rsidRDefault="004A28F2" w:rsidP="004A28F2">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Solicitors for the respondent: </w:t>
      </w:r>
      <w:proofErr w:type="spellStart"/>
      <w:r w:rsidRPr="009D287C">
        <w:rPr>
          <w:rFonts w:eastAsia="Times New Roman" w:cs="Times New Roman"/>
          <w:i/>
          <w:sz w:val="20"/>
          <w:szCs w:val="20"/>
          <w:lang w:eastAsia="en-CA"/>
        </w:rPr>
        <w:t>Torys</w:t>
      </w:r>
      <w:proofErr w:type="spellEnd"/>
      <w:r w:rsidRPr="009D287C">
        <w:rPr>
          <w:rFonts w:eastAsia="Times New Roman" w:cs="Times New Roman"/>
          <w:i/>
          <w:sz w:val="20"/>
          <w:szCs w:val="20"/>
          <w:lang w:eastAsia="en-CA"/>
        </w:rPr>
        <w:t>, Toronto.</w:t>
      </w:r>
    </w:p>
    <w:p w:rsidR="004A28F2" w:rsidRPr="009D287C" w:rsidRDefault="004A28F2" w:rsidP="004A28F2">
      <w:pPr>
        <w:tabs>
          <w:tab w:val="left" w:pos="1168"/>
        </w:tabs>
        <w:jc w:val="both"/>
        <w:rPr>
          <w:rFonts w:eastAsia="Times New Roman" w:cs="Times New Roman"/>
          <w:i/>
          <w:sz w:val="20"/>
          <w:szCs w:val="20"/>
          <w:lang w:eastAsia="en-CA"/>
        </w:rPr>
      </w:pPr>
    </w:p>
    <w:p w:rsidR="004A28F2" w:rsidRPr="009D287C" w:rsidRDefault="004A28F2" w:rsidP="004A28F2">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 for the intervener the Attorney General of Canada: Attorney General of Canada, Toronto.</w:t>
      </w:r>
    </w:p>
    <w:p w:rsidR="004A28F2" w:rsidRPr="009D287C" w:rsidRDefault="004A28F2" w:rsidP="004A28F2">
      <w:pPr>
        <w:tabs>
          <w:tab w:val="left" w:pos="1168"/>
        </w:tabs>
        <w:jc w:val="both"/>
        <w:rPr>
          <w:rFonts w:eastAsia="Times New Roman" w:cs="Times New Roman"/>
          <w:i/>
          <w:sz w:val="20"/>
          <w:szCs w:val="20"/>
          <w:lang w:eastAsia="en-CA"/>
        </w:rPr>
      </w:pPr>
    </w:p>
    <w:p w:rsidR="004A28F2" w:rsidRPr="009D287C" w:rsidRDefault="004A28F2" w:rsidP="004A28F2">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Solicitors for the intervener the Federation of Canadian Municipalities: Federation of Canadian Municipalities, Ottawa; Supreme Advocacy, Ottawa.</w:t>
      </w:r>
    </w:p>
    <w:p w:rsidR="0052229C" w:rsidRPr="009D287C" w:rsidRDefault="0052229C" w:rsidP="0052229C">
      <w:pPr>
        <w:rPr>
          <w:rFonts w:cs="Times New Roman"/>
          <w:sz w:val="20"/>
          <w:szCs w:val="20"/>
          <w:lang w:val="fr-CA"/>
        </w:rPr>
      </w:pPr>
      <w:r w:rsidRPr="009D287C">
        <w:rPr>
          <w:rFonts w:cs="Times New Roman"/>
          <w:sz w:val="20"/>
          <w:szCs w:val="20"/>
          <w:lang w:val="fr-CA"/>
        </w:rPr>
        <w:t>________________________</w:t>
      </w:r>
    </w:p>
    <w:p w:rsidR="0052229C" w:rsidRPr="009D287C" w:rsidRDefault="0052229C" w:rsidP="0052229C">
      <w:pPr>
        <w:rPr>
          <w:rFonts w:cs="Times New Roman"/>
          <w:sz w:val="20"/>
          <w:szCs w:val="20"/>
          <w:lang w:val="fr-CA"/>
        </w:rPr>
      </w:pPr>
    </w:p>
    <w:p w:rsidR="00E05532" w:rsidRPr="009D287C" w:rsidRDefault="00E05532" w:rsidP="00E05532">
      <w:pPr>
        <w:jc w:val="both"/>
        <w:rPr>
          <w:sz w:val="20"/>
          <w:szCs w:val="20"/>
          <w:lang w:val="fr-CA"/>
        </w:rPr>
      </w:pPr>
      <w:r w:rsidRPr="009D287C">
        <w:rPr>
          <w:sz w:val="20"/>
          <w:szCs w:val="20"/>
          <w:lang w:val="fr-CA"/>
        </w:rPr>
        <w:t xml:space="preserve">Présents : La juge en chef McLachlin et les juges Abella, Cromwell, </w:t>
      </w:r>
      <w:proofErr w:type="spellStart"/>
      <w:r w:rsidRPr="009D287C">
        <w:rPr>
          <w:sz w:val="20"/>
          <w:szCs w:val="20"/>
          <w:lang w:val="fr-CA"/>
        </w:rPr>
        <w:t>Moldaver</w:t>
      </w:r>
      <w:proofErr w:type="spellEnd"/>
      <w:r w:rsidRPr="009D287C">
        <w:rPr>
          <w:sz w:val="20"/>
          <w:szCs w:val="20"/>
          <w:lang w:val="fr-CA"/>
        </w:rPr>
        <w:t xml:space="preserve">, </w:t>
      </w:r>
      <w:proofErr w:type="spellStart"/>
      <w:r w:rsidRPr="009D287C">
        <w:rPr>
          <w:sz w:val="20"/>
          <w:szCs w:val="20"/>
          <w:lang w:val="fr-CA"/>
        </w:rPr>
        <w:t>Karakatsanis</w:t>
      </w:r>
      <w:proofErr w:type="spellEnd"/>
      <w:r w:rsidRPr="009D287C">
        <w:rPr>
          <w:sz w:val="20"/>
          <w:szCs w:val="20"/>
          <w:lang w:val="fr-CA"/>
        </w:rPr>
        <w:t>, Wagner, Gascon, Côté et Brown.</w:t>
      </w:r>
    </w:p>
    <w:p w:rsidR="00E05532" w:rsidRPr="009D287C" w:rsidRDefault="00E05532" w:rsidP="00E05532">
      <w:pPr>
        <w:jc w:val="both"/>
        <w:rPr>
          <w:sz w:val="20"/>
          <w:szCs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r>
      <w:r w:rsidRPr="009D287C">
        <w:rPr>
          <w:i/>
          <w:sz w:val="20"/>
          <w:lang w:val="fr-CA"/>
        </w:rPr>
        <w:t>Tribunaux — Compétence — Cour fédérale — Réparation demandée sous le régime du droit constitutionnel — Société constituée par une loi fédérale possédant et exploitant la moitié canadienne d’un pont reliant le Canada aux États</w:t>
      </w:r>
      <w:r w:rsidRPr="009D287C">
        <w:rPr>
          <w:i/>
          <w:sz w:val="20"/>
          <w:lang w:val="fr-CA"/>
        </w:rPr>
        <w:noBreakHyphen/>
        <w:t>Unis — Achat par la Société de propriétés résidentielles situées près du pont en vue de faciliter l’entretien et l’agrandissement du pont — Ordres de réparation des propriétés donnés par la ville aux termes d’un règlement municipal — Société demandant à la Cour fédérale de déclarer que sa loi constitutive lui confère des droits qui l’emportent sur le règlement municipal — La Cour fédérale a</w:t>
      </w:r>
      <w:r w:rsidRPr="009D287C">
        <w:rPr>
          <w:i/>
          <w:sz w:val="20"/>
          <w:lang w:val="fr-CA"/>
        </w:rPr>
        <w:noBreakHyphen/>
        <w:t>t</w:t>
      </w:r>
      <w:r w:rsidRPr="009D287C">
        <w:rPr>
          <w:i/>
          <w:sz w:val="20"/>
          <w:lang w:val="fr-CA"/>
        </w:rPr>
        <w:noBreakHyphen/>
        <w:t>elle compétence pour décider si la Société doit se conformer au règlement et aux ordres de réparation? — Loi sur les Cours fédérales, L.R.C. 1985, c. F</w:t>
      </w:r>
      <w:r w:rsidRPr="009D287C">
        <w:rPr>
          <w:i/>
          <w:sz w:val="20"/>
          <w:lang w:val="fr-CA"/>
        </w:rPr>
        <w:noBreakHyphen/>
        <w:t xml:space="preserve">7, art. 23 — Loi constituant en corporation « The Canadian Transit </w:t>
      </w:r>
      <w:proofErr w:type="spellStart"/>
      <w:r w:rsidRPr="009D287C">
        <w:rPr>
          <w:i/>
          <w:sz w:val="20"/>
          <w:lang w:val="fr-CA"/>
        </w:rPr>
        <w:t>Company</w:t>
      </w:r>
      <w:proofErr w:type="spellEnd"/>
      <w:r w:rsidRPr="009D287C">
        <w:rPr>
          <w:i/>
          <w:sz w:val="20"/>
          <w:lang w:val="fr-CA"/>
        </w:rPr>
        <w:t> », S.C. 1921, c. 57</w:t>
      </w:r>
      <w:r w:rsidRPr="009D287C">
        <w:rPr>
          <w:sz w:val="20"/>
          <w:lang w:val="fr-CA"/>
        </w:rPr>
        <w:t>.</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La société The Canadian Transit </w:t>
      </w:r>
      <w:proofErr w:type="spellStart"/>
      <w:r w:rsidRPr="009D287C">
        <w:rPr>
          <w:sz w:val="20"/>
          <w:lang w:val="fr-CA"/>
        </w:rPr>
        <w:t>Company</w:t>
      </w:r>
      <w:proofErr w:type="spellEnd"/>
      <w:r w:rsidRPr="009D287C">
        <w:rPr>
          <w:sz w:val="20"/>
          <w:lang w:val="fr-CA"/>
        </w:rPr>
        <w:t xml:space="preserve"> (« Société ») possède et exploite la moitié canadienne du pont </w:t>
      </w:r>
      <w:proofErr w:type="spellStart"/>
      <w:r w:rsidRPr="009D287C">
        <w:rPr>
          <w:sz w:val="20"/>
          <w:lang w:val="fr-CA"/>
        </w:rPr>
        <w:t>Ambassador</w:t>
      </w:r>
      <w:proofErr w:type="spellEnd"/>
      <w:r w:rsidRPr="009D287C">
        <w:rPr>
          <w:sz w:val="20"/>
          <w:lang w:val="fr-CA"/>
        </w:rPr>
        <w:t xml:space="preserve"> qui relie les villes de Windsor, en Ontario, et de Detroit, au Michigan. En 1921, la </w:t>
      </w:r>
      <w:r w:rsidRPr="009D287C">
        <w:rPr>
          <w:i/>
          <w:sz w:val="20"/>
          <w:lang w:val="fr-CA"/>
        </w:rPr>
        <w:t xml:space="preserve">Loi constituant en corporation « The Canadian Transit </w:t>
      </w:r>
      <w:proofErr w:type="spellStart"/>
      <w:r w:rsidRPr="009D287C">
        <w:rPr>
          <w:i/>
          <w:sz w:val="20"/>
          <w:lang w:val="fr-CA"/>
        </w:rPr>
        <w:t>Company</w:t>
      </w:r>
      <w:proofErr w:type="spellEnd"/>
      <w:r w:rsidRPr="009D287C">
        <w:rPr>
          <w:i/>
          <w:sz w:val="20"/>
          <w:lang w:val="fr-CA"/>
        </w:rPr>
        <w:t> »</w:t>
      </w:r>
      <w:r w:rsidRPr="009D287C">
        <w:rPr>
          <w:sz w:val="20"/>
          <w:lang w:val="fr-CA"/>
        </w:rPr>
        <w:t xml:space="preserve"> (la « </w:t>
      </w:r>
      <w:r w:rsidRPr="009D287C">
        <w:rPr>
          <w:i/>
          <w:sz w:val="20"/>
          <w:lang w:val="fr-CA"/>
        </w:rPr>
        <w:t>Loi sur la CTC</w:t>
      </w:r>
      <w:r w:rsidRPr="009D287C">
        <w:rPr>
          <w:sz w:val="20"/>
          <w:lang w:val="fr-CA"/>
        </w:rPr>
        <w:t xml:space="preserve"> ») a constitué la Société en personne morale. La </w:t>
      </w:r>
      <w:r w:rsidRPr="009D287C">
        <w:rPr>
          <w:i/>
          <w:sz w:val="20"/>
          <w:lang w:val="fr-CA"/>
        </w:rPr>
        <w:t>Loi sur la CTC</w:t>
      </w:r>
      <w:r w:rsidRPr="009D287C">
        <w:rPr>
          <w:sz w:val="20"/>
          <w:lang w:val="fr-CA"/>
        </w:rPr>
        <w:t xml:space="preserve"> habilitait la Société à construire, entretenir et mettre en service un pont de circulation générale sur la rivière Détroit, à acheter, louer ou autrement acquérir et posséder des terrains pour le pont et à construire, ériger et entretenir des édifices et autres structures nécessaires pour la mise en service convenable du trafic jusqu’au pont, venant du pont, et sur le pont. Aux termes de la </w:t>
      </w:r>
      <w:r w:rsidRPr="009D287C">
        <w:rPr>
          <w:i/>
          <w:sz w:val="20"/>
          <w:lang w:val="fr-CA"/>
        </w:rPr>
        <w:t>Loi sur la CTC</w:t>
      </w:r>
      <w:r w:rsidRPr="009D287C">
        <w:rPr>
          <w:sz w:val="20"/>
          <w:lang w:val="fr-CA"/>
        </w:rPr>
        <w:t xml:space="preserve">, les travaux et l’entreprise de la Société ont également été déclarés être d’utilité publique au Canada, ce qui établissait la compétence fédérale conférée par la </w:t>
      </w:r>
      <w:r w:rsidRPr="009D287C">
        <w:rPr>
          <w:i/>
          <w:sz w:val="20"/>
          <w:lang w:val="fr-CA"/>
        </w:rPr>
        <w:t>Loi constitutionnelle de 1867</w:t>
      </w:r>
      <w:r w:rsidRPr="009D287C">
        <w:rPr>
          <w:sz w:val="20"/>
          <w:lang w:val="fr-CA"/>
        </w:rPr>
        <w:t>.</w:t>
      </w:r>
    </w:p>
    <w:p w:rsidR="00E05532" w:rsidRPr="009D287C" w:rsidRDefault="00E05532" w:rsidP="00E05532">
      <w:pPr>
        <w:pStyle w:val="SCCNormalDoubleSpacing"/>
        <w:spacing w:line="240" w:lineRule="auto"/>
        <w:rPr>
          <w:sz w:val="20"/>
          <w:lang w:val="fr-CA"/>
        </w:rPr>
      </w:pPr>
      <w:r w:rsidRPr="009D287C">
        <w:rPr>
          <w:sz w:val="20"/>
          <w:lang w:val="fr-CA"/>
        </w:rPr>
        <w:tab/>
        <w:t xml:space="preserve">La Société a fait l’acquisition de plus de 100 propriétés résidentielles à Windsor, dans l’intention de démolir les maisons par la suite et d’utiliser les terrains afin de faciliter l’entretien ainsi que l’agrandissement du pont et de ses installations. La plupart des maisons sont maintenant vacantes et elles sont plus ou moins délabrées. La ville de Windsor a donné en vertu d’un règlement municipal des ordres de réparation visant ces propriétés. La Société n’a pas obtempéré aux ordres de réparation. Les parties s’affrontent devant la Cour supérieure de justice de l’Ontario dans une instance liée à ces ordres de réparation. De plus, la Société a demandé à la Cour fédérale des déclarations suivant lesquelles elle possède, en vertu de la </w:t>
      </w:r>
      <w:r w:rsidRPr="009D287C">
        <w:rPr>
          <w:i/>
          <w:sz w:val="20"/>
          <w:lang w:val="fr-CA"/>
        </w:rPr>
        <w:t>Loi sur la CTC</w:t>
      </w:r>
      <w:r w:rsidRPr="009D287C">
        <w:rPr>
          <w:sz w:val="20"/>
          <w:lang w:val="fr-CA"/>
        </w:rPr>
        <w:t>, certains droits qui l’emportent sur le règlement ainsi que sur les ordres de réparation donnés sous son régime. La ville a demandé la radiation de l’avis de demande de la Société, au motif que la Cour fédérale n’a pas compétence pour connaître de la demande. La Cour fédérale a radié l’avis de demande de la Société pour défaut de compétence. La Cour d’appel fédérale a annulé cette décision. Le présent pourvoi ne porte que sur la question préliminaire de savoir si la Cour fédérale a compétence pour décider si la Société doit se conformer au règlement et aux ordres de réparation de la ville.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r>
      <w:r w:rsidRPr="009D287C">
        <w:rPr>
          <w:i/>
          <w:sz w:val="20"/>
          <w:lang w:val="fr-CA"/>
        </w:rPr>
        <w:t xml:space="preserve">Arrêt </w:t>
      </w:r>
      <w:r w:rsidRPr="009D287C">
        <w:rPr>
          <w:sz w:val="20"/>
          <w:lang w:val="fr-CA"/>
        </w:rPr>
        <w:t xml:space="preserve">(les juges Abella, </w:t>
      </w:r>
      <w:proofErr w:type="spellStart"/>
      <w:r w:rsidRPr="009D287C">
        <w:rPr>
          <w:sz w:val="20"/>
          <w:lang w:val="fr-CA"/>
        </w:rPr>
        <w:t>Moldaver</w:t>
      </w:r>
      <w:proofErr w:type="spellEnd"/>
      <w:r w:rsidRPr="009D287C">
        <w:rPr>
          <w:sz w:val="20"/>
          <w:lang w:val="fr-CA"/>
        </w:rPr>
        <w:t>, Côté et Brown sont dissidents) : Le pourvoi est accueilli, l’ordonnance de la Cour d’appel fédérale est annulée et l’ordonnance de la Cour fédérale radiant l’avis de demande de la Société est rétablie.</w:t>
      </w:r>
    </w:p>
    <w:p w:rsidR="00E05532" w:rsidRPr="009D287C" w:rsidRDefault="00E05532" w:rsidP="00E05532">
      <w:pPr>
        <w:pStyle w:val="SCCNormalDoubleSpacing"/>
        <w:spacing w:line="240" w:lineRule="auto"/>
        <w:rPr>
          <w:sz w:val="20"/>
          <w:lang w:val="fr-CA"/>
        </w:rPr>
      </w:pPr>
      <w:r w:rsidRPr="009D287C">
        <w:rPr>
          <w:sz w:val="20"/>
          <w:lang w:val="fr-CA"/>
        </w:rPr>
        <w:tab/>
      </w:r>
      <w:r w:rsidRPr="009D287C">
        <w:rPr>
          <w:i/>
          <w:sz w:val="20"/>
          <w:lang w:val="fr-CA"/>
        </w:rPr>
        <w:t>La</w:t>
      </w:r>
      <w:r w:rsidRPr="009D287C">
        <w:rPr>
          <w:sz w:val="20"/>
          <w:lang w:val="fr-CA"/>
        </w:rPr>
        <w:t xml:space="preserve"> juge en chef McLachlin et les juges Cromwell, </w:t>
      </w:r>
      <w:r w:rsidRPr="009D287C">
        <w:rPr>
          <w:b/>
          <w:sz w:val="20"/>
          <w:lang w:val="fr-CA"/>
        </w:rPr>
        <w:t>Karakatsanis</w:t>
      </w:r>
      <w:r w:rsidRPr="009D287C">
        <w:rPr>
          <w:sz w:val="20"/>
          <w:lang w:val="fr-CA"/>
        </w:rPr>
        <w:t>, Wagner et Gascon : La Cour fédérale n’est pas compétente pour décider si le règlement de la ville s’applique aux propriétés résidentielles de la Société. Le litige doit être tranché par la Cour supérieure de justice de l’Ontario.</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Afin de décider si la Cour fédérale a compétence sur une demande, il est nécessaire de déterminer la nature ou le caractère essentiel de cette demande. Le fait de déterminer la nature essentielle de la demande permet au tribunal de décider si celle</w:t>
      </w:r>
      <w:r w:rsidRPr="009D287C">
        <w:rPr>
          <w:sz w:val="20"/>
          <w:lang w:val="fr-CA"/>
        </w:rPr>
        <w:noBreakHyphen/>
        <w:t xml:space="preserve">ci relève de l’al. 23c) de la </w:t>
      </w:r>
      <w:r w:rsidRPr="009D287C">
        <w:rPr>
          <w:i/>
          <w:sz w:val="20"/>
          <w:lang w:val="fr-CA"/>
        </w:rPr>
        <w:t>Loi sur les Cours fédérales</w:t>
      </w:r>
      <w:r w:rsidRPr="009D287C">
        <w:rPr>
          <w:sz w:val="20"/>
          <w:lang w:val="fr-CA"/>
        </w:rPr>
        <w:t xml:space="preserve">, qui confère compétence à la Cour fédérale </w:t>
      </w:r>
      <w:r w:rsidRPr="009D287C">
        <w:rPr>
          <w:sz w:val="20"/>
          <w:lang w:val="fr-CA"/>
        </w:rPr>
        <w:lastRenderedPageBreak/>
        <w:t>uniquement à l’égard d’une demande de réparation ou d’un autre recours exercé « sous le régime d’une loi fédérale ou d’une autre règle de droit ». En l’espèce, il est évident que ce que la Société cherche, en définitive, c’est de se soustraire aux exigences du règlement. La question consiste donc à décider si la Cour fédérale a compétence pour statuer sur une demande alléguant qu’un règlement municipal est constitutionnellement inapplicable ou inopérant à l’égard d’un ouvrage fédéral.</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La Cour fédérale possède uniquement la compétence qui lui est conférée par la loi : il s’agit d’une cour d’origine législative qui n’est pas dotée d’une compétence inhérente. En conséquence, c’est le texte de la </w:t>
      </w:r>
      <w:r w:rsidRPr="009D287C">
        <w:rPr>
          <w:i/>
          <w:sz w:val="20"/>
          <w:lang w:val="fr-CA"/>
        </w:rPr>
        <w:t>Loi sur les Cours fédérales</w:t>
      </w:r>
      <w:r w:rsidRPr="009D287C">
        <w:rPr>
          <w:sz w:val="20"/>
          <w:lang w:val="fr-CA"/>
        </w:rPr>
        <w:t xml:space="preserve"> qui détermine complètement l’étendue de la compétence de la Cour. Le Parlement a établi la Cour fédérale en application de la compétence que lui reconnaît l’art. 101 de la </w:t>
      </w:r>
      <w:r w:rsidRPr="009D287C">
        <w:rPr>
          <w:i/>
          <w:sz w:val="20"/>
          <w:lang w:val="fr-CA"/>
        </w:rPr>
        <w:t>Loi constitutionnelle de 1867</w:t>
      </w:r>
      <w:r w:rsidRPr="009D287C">
        <w:rPr>
          <w:sz w:val="20"/>
          <w:lang w:val="fr-CA"/>
        </w:rPr>
        <w:t xml:space="preserve"> d’établir « des tribunaux additionnels pour la meilleure administration des lois du Canada ». Le rôle de la Cour fédérale se limite donc constitutionnellement à administrer les lois du Canada. Le critère à trois volets déterminatif de la compétence élaboré par la Cour dans l’arrêt </w:t>
      </w:r>
      <w:r w:rsidRPr="009D287C">
        <w:rPr>
          <w:i/>
          <w:sz w:val="20"/>
          <w:lang w:val="fr-CA"/>
        </w:rPr>
        <w:t>ITO</w:t>
      </w:r>
      <w:r w:rsidRPr="009D287C">
        <w:rPr>
          <w:i/>
          <w:sz w:val="20"/>
          <w:lang w:val="fr-CA"/>
        </w:rPr>
        <w:noBreakHyphen/>
        <w:t xml:space="preserve">International Terminal </w:t>
      </w:r>
      <w:proofErr w:type="spellStart"/>
      <w:r w:rsidRPr="009D287C">
        <w:rPr>
          <w:i/>
          <w:sz w:val="20"/>
          <w:lang w:val="fr-CA"/>
        </w:rPr>
        <w:t>Operators</w:t>
      </w:r>
      <w:proofErr w:type="spellEnd"/>
      <w:r w:rsidRPr="009D287C">
        <w:rPr>
          <w:i/>
          <w:sz w:val="20"/>
          <w:lang w:val="fr-CA"/>
        </w:rPr>
        <w:t xml:space="preserve"> Ltd. c. </w:t>
      </w:r>
      <w:proofErr w:type="spellStart"/>
      <w:r w:rsidRPr="009D287C">
        <w:rPr>
          <w:i/>
          <w:sz w:val="20"/>
          <w:lang w:val="fr-CA"/>
        </w:rPr>
        <w:t>Miida</w:t>
      </w:r>
      <w:proofErr w:type="spellEnd"/>
      <w:r w:rsidRPr="009D287C">
        <w:rPr>
          <w:i/>
          <w:sz w:val="20"/>
          <w:lang w:val="fr-CA"/>
        </w:rPr>
        <w:t xml:space="preserve"> Electronics Inc.</w:t>
      </w:r>
      <w:r w:rsidRPr="009D287C">
        <w:rPr>
          <w:sz w:val="20"/>
          <w:lang w:val="fr-CA"/>
        </w:rPr>
        <w:t xml:space="preserve">, [1986] 1 R.C.S. 752, vise à faire en sorte que la Cour fédérale n’outrepasse pas ce rôle limité. Le premier volet du critère exige qu’une loi fédérale attribue la compétence à la Cour fédérale. L’alinéa 23c) attribue la compétence à la Cour fédérale dans les cas « de demande de réparation ou d’autres recours exercé sous le régime d’une loi fédérale ou d’une autre règle de droit », soit lorsque le demandeur sollicite une réparation sous le régime du droit fédéral. La cause d’action du demandeur, ou le droit de solliciter une réparation, doit être créé ou reconnu par une loi fédérale, un règlement fédéral ou une règle de </w:t>
      </w:r>
      <w:proofErr w:type="spellStart"/>
      <w:r w:rsidRPr="009D287C">
        <w:rPr>
          <w:sz w:val="20"/>
          <w:lang w:val="fr-CA"/>
        </w:rPr>
        <w:t>common</w:t>
      </w:r>
      <w:proofErr w:type="spellEnd"/>
      <w:r w:rsidRPr="009D287C">
        <w:rPr>
          <w:sz w:val="20"/>
          <w:lang w:val="fr-CA"/>
        </w:rPr>
        <w:t xml:space="preserve"> </w:t>
      </w:r>
      <w:proofErr w:type="spellStart"/>
      <w:r w:rsidRPr="009D287C">
        <w:rPr>
          <w:sz w:val="20"/>
          <w:lang w:val="fr-CA"/>
        </w:rPr>
        <w:t>law</w:t>
      </w:r>
      <w:proofErr w:type="spellEnd"/>
      <w:r w:rsidRPr="009D287C">
        <w:rPr>
          <w:sz w:val="20"/>
          <w:lang w:val="fr-CA"/>
        </w:rPr>
        <w:t xml:space="preserve"> traitant d’un sujet relevant du pouvoir de légiférer du fédéral. Le texte explicite de l’art. 23 de la </w:t>
      </w:r>
      <w:r w:rsidRPr="009D287C">
        <w:rPr>
          <w:i/>
          <w:sz w:val="20"/>
          <w:lang w:val="fr-CA"/>
        </w:rPr>
        <w:t>Loi sur les Cours fédérales</w:t>
      </w:r>
      <w:r w:rsidRPr="009D287C">
        <w:rPr>
          <w:sz w:val="20"/>
          <w:lang w:val="fr-CA"/>
        </w:rPr>
        <w:t xml:space="preserve"> exige que la réparation soit demandée sous le régime du droit fédéral, et non simplement relativement au droit fédéral. Exiger que le droit de demander une réparation découle directement du droit fédéral a pour effet de préciser l’étendue de la compétence concurrente de la Cour fédérale. L’application du texte explicite de l’art. 23 minimise les litiges sur des questions de compétence en faisant en sorte que les parties connaissent à l’avance l’étendue de la compétence de la Cour fédérale. On évitera ainsi les litiges inutiles, y compris les différends quant à savoir si le tribunal devrait refuser d’exercer sa compétence à l’égard d’une affaire, même s’il a compétence pour en connaître.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En l’espèce, la Société ne sollicite pas une réparation « sous le régime d’une loi fédérale ou d’une autre règle de droit » comme l’exige l’al. 23c). Elle demande une réparation sous le régime de l’al. 23c) lui</w:t>
      </w:r>
      <w:r w:rsidRPr="009D287C">
        <w:rPr>
          <w:sz w:val="20"/>
          <w:lang w:val="fr-CA"/>
        </w:rPr>
        <w:noBreakHyphen/>
        <w:t xml:space="preserve">même ou, subsidiairement, sous le régime de la </w:t>
      </w:r>
      <w:r w:rsidRPr="009D287C">
        <w:rPr>
          <w:i/>
          <w:sz w:val="20"/>
          <w:lang w:val="fr-CA"/>
        </w:rPr>
        <w:t>Loi sur la CTC</w:t>
      </w:r>
      <w:r w:rsidRPr="009D287C">
        <w:rPr>
          <w:sz w:val="20"/>
          <w:lang w:val="fr-CA"/>
        </w:rPr>
        <w:t xml:space="preserve">. Toutefois, l’art. 23 ne constitue pas, en soi, une règle de droit fédérale sous le régime de laquelle la Société peut demander réparation. Il confère à la Cour fédérale compétence à l’égard de certaines demandes, mais il n’a pas pour effet de conférer aux parties le droit de présenter ces demandes en premier lieu. Les parties doivent chercher ce droit dans d’autres règles de droit fédérales. En outre, bien que la </w:t>
      </w:r>
      <w:r w:rsidRPr="009D287C">
        <w:rPr>
          <w:i/>
          <w:sz w:val="20"/>
          <w:lang w:val="fr-CA"/>
        </w:rPr>
        <w:t>Loi sur la CTC</w:t>
      </w:r>
      <w:r w:rsidRPr="009D287C">
        <w:rPr>
          <w:sz w:val="20"/>
          <w:lang w:val="fr-CA"/>
        </w:rPr>
        <w:t xml:space="preserve"> accorde certains droits et pouvoirs à la Société (et lui impose certaines responsabilités), elle ne lui confère aucun droit d’action ou droit de solliciter la réparation demandée. En fait, la Société demande réparation sous le régime du droit constitutionnel, parce que c’est celui</w:t>
      </w:r>
      <w:r w:rsidRPr="009D287C">
        <w:rPr>
          <w:sz w:val="20"/>
          <w:lang w:val="fr-CA"/>
        </w:rPr>
        <w:noBreakHyphen/>
        <w:t xml:space="preserve">ci qui accorde aux parties le droit de demander une déclaration portant qu’une règle de droit est inapplicable ou inopérante. Une partie sollicitant une réparation sous le régime du droit constitutionnel ne le fait pas « sous le régime d’une loi fédérale ou d’une autre règle de droit », au sens de l’art. 23; on ne peut affirmer que le droit constitutionnel est de droit fédéral pour l’application de l’art. 23. Par conséquent, l’al. 23c) ne confère pas compétence à la Cour fédérale sur la demande de la Société, et il n’a pas été satisfait au premier volet du critère </w:t>
      </w:r>
      <w:r w:rsidRPr="009D287C">
        <w:rPr>
          <w:i/>
          <w:sz w:val="20"/>
          <w:lang w:val="fr-CA"/>
        </w:rPr>
        <w:t>ITO</w:t>
      </w:r>
      <w:r w:rsidRPr="009D287C">
        <w:rPr>
          <w:sz w:val="20"/>
          <w:lang w:val="fr-CA"/>
        </w:rPr>
        <w:t xml:space="preserve">. Point n’est donc besoin d’examiner s’il a été satisfait aux deuxième et troisième volets du critère </w:t>
      </w:r>
      <w:r w:rsidRPr="009D287C">
        <w:rPr>
          <w:i/>
          <w:sz w:val="20"/>
          <w:lang w:val="fr-CA"/>
        </w:rPr>
        <w:t>ITO</w:t>
      </w:r>
      <w:r w:rsidRPr="009D287C">
        <w:rPr>
          <w:sz w:val="20"/>
          <w:lang w:val="fr-CA"/>
        </w:rPr>
        <w:t xml:space="preserve">. Étant donné que le critère </w:t>
      </w:r>
      <w:r w:rsidRPr="009D287C">
        <w:rPr>
          <w:i/>
          <w:sz w:val="20"/>
          <w:lang w:val="fr-CA"/>
        </w:rPr>
        <w:t>ITO</w:t>
      </w:r>
      <w:r w:rsidRPr="009D287C">
        <w:rPr>
          <w:sz w:val="20"/>
          <w:lang w:val="fr-CA"/>
        </w:rPr>
        <w:t xml:space="preserve"> n’a pas été respecté, la Cour fédérale n’a manifestement pas compétence pour entendre la demande. La requête en radiation de l’avis de demande de la Société en Cour fédérale doit être accueillie. </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r>
      <w:r w:rsidRPr="009D287C">
        <w:rPr>
          <w:i/>
          <w:sz w:val="20"/>
          <w:lang w:val="fr-CA"/>
        </w:rPr>
        <w:t>Les</w:t>
      </w:r>
      <w:r w:rsidRPr="009D287C">
        <w:rPr>
          <w:sz w:val="20"/>
          <w:lang w:val="fr-CA"/>
        </w:rPr>
        <w:t xml:space="preserve"> juges </w:t>
      </w:r>
      <w:proofErr w:type="spellStart"/>
      <w:r w:rsidRPr="009D287C">
        <w:rPr>
          <w:b/>
          <w:sz w:val="20"/>
          <w:lang w:val="fr-CA"/>
        </w:rPr>
        <w:t>Moldaver</w:t>
      </w:r>
      <w:proofErr w:type="spellEnd"/>
      <w:r w:rsidRPr="009D287C">
        <w:rPr>
          <w:sz w:val="20"/>
          <w:lang w:val="fr-CA"/>
        </w:rPr>
        <w:t xml:space="preserve">, Côté et </w:t>
      </w:r>
      <w:r w:rsidRPr="009D287C">
        <w:rPr>
          <w:b/>
          <w:sz w:val="20"/>
          <w:lang w:val="fr-CA"/>
        </w:rPr>
        <w:t>Brown</w:t>
      </w:r>
      <w:r w:rsidRPr="009D287C">
        <w:rPr>
          <w:sz w:val="20"/>
          <w:lang w:val="fr-CA"/>
        </w:rPr>
        <w:t xml:space="preserve"> (dissidents) : La Cour fédérale a compétence pour entendre la demande de la Société et en conséquence, le pourvoi devrait être rejeté.</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La compétence de la Cour fédérale devrait être interprétée largement. La Cour fédérale a été créée pour atteindre deux objectifs : faire en sorte que les particuliers puissent recourir à une cour nationale exerçant une compétence nationale, pour faire valoir une réclamation concernant des questions qui comportent souvent des éléments nationaux, et permettre aux plaideurs, qui demeurent dans des régions éloignées l’une de l’autre, de trouver là un forum commun et commode pour faire valoir leurs droits légitimes. Une interprétation large de la compétence de la Cour fédérale favorise davantage la réalisation de ces objectifs.</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b/>
          <w:sz w:val="20"/>
          <w:lang w:val="fr-CA"/>
        </w:rPr>
        <w:tab/>
      </w:r>
      <w:r w:rsidRPr="009D287C">
        <w:rPr>
          <w:sz w:val="20"/>
          <w:lang w:val="fr-CA"/>
        </w:rPr>
        <w:t xml:space="preserve">Il n’est pas nécessaire de qualifier l’essence de l’affaire à l’étape préliminaire de l’analyse de la compétence. Le critère établi dans </w:t>
      </w:r>
      <w:r w:rsidRPr="009D287C">
        <w:rPr>
          <w:i/>
          <w:sz w:val="20"/>
          <w:lang w:val="fr-CA"/>
        </w:rPr>
        <w:t>ITO</w:t>
      </w:r>
      <w:r w:rsidRPr="009D287C">
        <w:rPr>
          <w:i/>
          <w:sz w:val="20"/>
          <w:lang w:val="fr-CA"/>
        </w:rPr>
        <w:noBreakHyphen/>
        <w:t xml:space="preserve">International Terminal </w:t>
      </w:r>
      <w:proofErr w:type="spellStart"/>
      <w:r w:rsidRPr="009D287C">
        <w:rPr>
          <w:i/>
          <w:sz w:val="20"/>
          <w:lang w:val="fr-CA"/>
        </w:rPr>
        <w:t>Operators</w:t>
      </w:r>
      <w:proofErr w:type="spellEnd"/>
      <w:r w:rsidRPr="009D287C">
        <w:rPr>
          <w:i/>
          <w:sz w:val="20"/>
          <w:lang w:val="fr-CA"/>
        </w:rPr>
        <w:t xml:space="preserve"> c. </w:t>
      </w:r>
      <w:proofErr w:type="spellStart"/>
      <w:r w:rsidRPr="009D287C">
        <w:rPr>
          <w:i/>
          <w:sz w:val="20"/>
          <w:lang w:val="fr-CA"/>
        </w:rPr>
        <w:t>Miida</w:t>
      </w:r>
      <w:proofErr w:type="spellEnd"/>
      <w:r w:rsidRPr="009D287C">
        <w:rPr>
          <w:i/>
          <w:sz w:val="20"/>
          <w:lang w:val="fr-CA"/>
        </w:rPr>
        <w:t xml:space="preserve"> Electronics</w:t>
      </w:r>
      <w:r w:rsidRPr="009D287C">
        <w:rPr>
          <w:sz w:val="20"/>
          <w:lang w:val="fr-CA"/>
        </w:rPr>
        <w:t xml:space="preserve">, [1986] 1 R.C.S. 752, fournit un cadre </w:t>
      </w:r>
      <w:r w:rsidRPr="009D287C">
        <w:rPr>
          <w:sz w:val="20"/>
          <w:lang w:val="fr-CA"/>
        </w:rPr>
        <w:lastRenderedPageBreak/>
        <w:t xml:space="preserve">d’analyse complet afin de déterminer si la Cour fédérale a compétence. Ce qui importe, c’est seulement de savoir s’il existe une attribution législative de compétence, si le droit fédéral est essentiel à la solution du litige et si la loi en cause est une loi fédérale valide. L’essence de l’affaire n’est pas pertinente lorsqu’il s’agit de savoir si la Cour fédérale </w:t>
      </w:r>
      <w:r w:rsidRPr="009D287C">
        <w:rPr>
          <w:i/>
          <w:sz w:val="20"/>
          <w:lang w:val="fr-CA"/>
        </w:rPr>
        <w:t>a</w:t>
      </w:r>
      <w:r w:rsidRPr="009D287C">
        <w:rPr>
          <w:sz w:val="20"/>
          <w:lang w:val="fr-CA"/>
        </w:rPr>
        <w:t xml:space="preserve"> compétence, mais elle l’est lorsqu’il s’agit de savoir si elle </w:t>
      </w:r>
      <w:r w:rsidRPr="009D287C">
        <w:rPr>
          <w:i/>
          <w:sz w:val="20"/>
          <w:lang w:val="fr-CA"/>
        </w:rPr>
        <w:t>devrait l’exercer</w:t>
      </w:r>
      <w:r w:rsidRPr="009D287C">
        <w:rPr>
          <w:sz w:val="20"/>
          <w:lang w:val="fr-CA"/>
        </w:rPr>
        <w:t xml:space="preserve">. Il peut se présenter des affaires dans lesquelles — même si le critère </w:t>
      </w:r>
      <w:r w:rsidRPr="009D287C">
        <w:rPr>
          <w:i/>
          <w:sz w:val="20"/>
          <w:lang w:val="fr-CA"/>
        </w:rPr>
        <w:t>ITO</w:t>
      </w:r>
      <w:r w:rsidRPr="009D287C">
        <w:rPr>
          <w:sz w:val="20"/>
          <w:lang w:val="fr-CA"/>
        </w:rPr>
        <w:t xml:space="preserve"> est respecté — la Cour fédérale devrait envisager la possibilité de refuser d’exercer sa compétence.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Il a été satisfait aux trois volets du critère </w:t>
      </w:r>
      <w:r w:rsidRPr="009D287C">
        <w:rPr>
          <w:i/>
          <w:sz w:val="20"/>
          <w:lang w:val="fr-CA"/>
        </w:rPr>
        <w:t>ITO</w:t>
      </w:r>
      <w:r w:rsidRPr="009D287C">
        <w:rPr>
          <w:sz w:val="20"/>
          <w:lang w:val="fr-CA"/>
        </w:rPr>
        <w:t xml:space="preserve"> en l’espèce. Premièrement, l’al. 23c) de la </w:t>
      </w:r>
      <w:r w:rsidRPr="009D287C">
        <w:rPr>
          <w:i/>
          <w:sz w:val="20"/>
          <w:lang w:val="fr-CA"/>
        </w:rPr>
        <w:t>Loi sur les Cours fédérales</w:t>
      </w:r>
      <w:r w:rsidRPr="009D287C">
        <w:rPr>
          <w:sz w:val="20"/>
          <w:lang w:val="fr-CA"/>
        </w:rPr>
        <w:t xml:space="preserve"> prévoit l’attribution législative de compétence nécessaire. Les trois éléments cruciaux pour que l’al. 23c) exprime l’attribution législative de compétence requise au titre du premier volet du critère </w:t>
      </w:r>
      <w:r w:rsidRPr="009D287C">
        <w:rPr>
          <w:i/>
          <w:sz w:val="20"/>
          <w:lang w:val="fr-CA"/>
        </w:rPr>
        <w:t>ITO</w:t>
      </w:r>
      <w:r w:rsidRPr="009D287C">
        <w:rPr>
          <w:sz w:val="20"/>
          <w:lang w:val="fr-CA"/>
        </w:rPr>
        <w:t xml:space="preserve"> sont présents en l’espèce : la Société a demandé une réparation, sa demande est relative à un ouvrage s’étendant au</w:t>
      </w:r>
      <w:r w:rsidRPr="009D287C">
        <w:rPr>
          <w:sz w:val="20"/>
          <w:lang w:val="fr-CA"/>
        </w:rPr>
        <w:noBreakHyphen/>
        <w:t xml:space="preserve">delà des limites d’une province, et la demande a été présentée « sous le régime d’une loi fédérale ou d’une autre règle de droit en matière » de cet ouvrage international. </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Le fait d’exiger qu’une loi fédérale crée expressément une cause d’action avant de conclure à l’existence de la compétence « sous le régime d’une loi fédérale » au sens de l’art. 23 constitue une interprétation indûment étroite et incompatible avec l’intention du législateur lorsqu’il a institué la Cour fédérale. L’article 23 devrait recevoir une interprétation large de sorte que les demandeurs puissent s’adresser à la Cour fédérale si la demande de réparation a trait à un ouvrage fédéral et les droits que l’on veut faire respecter découlent d’une loi fédérale. En l’espèce, les droits que la Société vise à faire respecter proviennent de deux lois fédérales distinctes, les deux étant essentielles à l’égard de la réparation ultime qu’elle recherche : la </w:t>
      </w:r>
      <w:r w:rsidRPr="009D287C">
        <w:rPr>
          <w:i/>
          <w:sz w:val="20"/>
          <w:lang w:val="fr-CA"/>
        </w:rPr>
        <w:t>Loi sur la CTC</w:t>
      </w:r>
      <w:r w:rsidRPr="009D287C">
        <w:rPr>
          <w:sz w:val="20"/>
          <w:lang w:val="fr-CA"/>
        </w:rPr>
        <w:t xml:space="preserve"> et la </w:t>
      </w:r>
      <w:r w:rsidRPr="009D287C">
        <w:rPr>
          <w:i/>
          <w:sz w:val="20"/>
          <w:lang w:val="fr-CA"/>
        </w:rPr>
        <w:t>Loi sur les ponts et tunnels internationaux</w:t>
      </w:r>
      <w:r w:rsidRPr="009D287C">
        <w:rPr>
          <w:sz w:val="20"/>
          <w:lang w:val="fr-CA"/>
        </w:rPr>
        <w:t>. Ainsi, puisque la demande de réparation est liée à un ouvrage fédéral et les droits que le demandeur cherche à faire respecter découlent de lois fédérales, l’al. 23c) confère compétence à la Cour fédérale.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La </w:t>
      </w:r>
      <w:r w:rsidRPr="009D287C">
        <w:rPr>
          <w:i/>
          <w:sz w:val="20"/>
          <w:lang w:val="fr-CA"/>
        </w:rPr>
        <w:t xml:space="preserve">Loi sur la CTC </w:t>
      </w:r>
      <w:r w:rsidRPr="009D287C">
        <w:rPr>
          <w:sz w:val="20"/>
          <w:lang w:val="fr-CA"/>
        </w:rPr>
        <w:t xml:space="preserve">satisfait elle aussi au deuxième volet du critère </w:t>
      </w:r>
      <w:r w:rsidRPr="009D287C">
        <w:rPr>
          <w:i/>
          <w:sz w:val="20"/>
          <w:lang w:val="fr-CA"/>
        </w:rPr>
        <w:t>ITO</w:t>
      </w:r>
      <w:r w:rsidRPr="009D287C">
        <w:rPr>
          <w:sz w:val="20"/>
          <w:lang w:val="fr-CA"/>
        </w:rPr>
        <w:t xml:space="preserve"> : elle est essentielle à la solution du présent litige et elle constitue le fondement de l’attribution législative de compétence à la Cour fédérale parce qu’elle est au </w:t>
      </w:r>
      <w:proofErr w:type="spellStart"/>
      <w:r w:rsidRPr="009D287C">
        <w:rPr>
          <w:sz w:val="20"/>
          <w:lang w:val="fr-CA"/>
        </w:rPr>
        <w:t>coeur</w:t>
      </w:r>
      <w:proofErr w:type="spellEnd"/>
      <w:r w:rsidRPr="009D287C">
        <w:rPr>
          <w:sz w:val="20"/>
          <w:lang w:val="fr-CA"/>
        </w:rPr>
        <w:t xml:space="preserve"> de la demande fondée sur la Constitution. Les déclarations que sollicite la Société en Cour fédérale établissent clairement que le litige fait généralement intervenir la </w:t>
      </w:r>
      <w:r w:rsidRPr="009D287C">
        <w:rPr>
          <w:i/>
          <w:sz w:val="20"/>
          <w:lang w:val="fr-CA"/>
        </w:rPr>
        <w:t>Loi sur la CTC</w:t>
      </w:r>
      <w:r w:rsidRPr="009D287C">
        <w:rPr>
          <w:sz w:val="20"/>
          <w:lang w:val="fr-CA"/>
        </w:rPr>
        <w:t xml:space="preserve"> ainsi que la compétence fédérale sur les ouvrages fédéraux, conformément à la </w:t>
      </w:r>
      <w:r w:rsidRPr="009D287C">
        <w:rPr>
          <w:i/>
          <w:sz w:val="20"/>
          <w:lang w:val="fr-CA"/>
        </w:rPr>
        <w:t>Loi constitutionnelle de 1867</w:t>
      </w:r>
      <w:r w:rsidRPr="009D287C">
        <w:rPr>
          <w:sz w:val="20"/>
          <w:lang w:val="fr-CA"/>
        </w:rPr>
        <w:t xml:space="preserve">. Deux questions </w:t>
      </w:r>
      <w:proofErr w:type="spellStart"/>
      <w:r w:rsidRPr="009D287C">
        <w:rPr>
          <w:sz w:val="20"/>
          <w:lang w:val="fr-CA"/>
        </w:rPr>
        <w:t>interreliées</w:t>
      </w:r>
      <w:proofErr w:type="spellEnd"/>
      <w:r w:rsidRPr="009D287C">
        <w:rPr>
          <w:sz w:val="20"/>
          <w:lang w:val="fr-CA"/>
        </w:rPr>
        <w:t xml:space="preserve"> sont au cœur du présent litige, et les deux se rapportent intimement à la </w:t>
      </w:r>
      <w:r w:rsidRPr="009D287C">
        <w:rPr>
          <w:i/>
          <w:sz w:val="20"/>
          <w:lang w:val="fr-CA"/>
        </w:rPr>
        <w:t>Loi sur la CTC</w:t>
      </w:r>
      <w:r w:rsidRPr="009D287C">
        <w:rPr>
          <w:sz w:val="20"/>
          <w:lang w:val="fr-CA"/>
        </w:rPr>
        <w:t xml:space="preserve"> : celle de savoir si les propriétés achetées par la Société font partie de l’« ouvrage fédéral » que constitue le pont </w:t>
      </w:r>
      <w:proofErr w:type="spellStart"/>
      <w:r w:rsidRPr="009D287C">
        <w:rPr>
          <w:sz w:val="20"/>
          <w:lang w:val="fr-CA"/>
        </w:rPr>
        <w:t>Ambassador</w:t>
      </w:r>
      <w:proofErr w:type="spellEnd"/>
      <w:r w:rsidRPr="009D287C">
        <w:rPr>
          <w:sz w:val="20"/>
          <w:lang w:val="fr-CA"/>
        </w:rPr>
        <w:t xml:space="preserve">, et, dans l’affirmative, celle de savoir si ces propriétés sont soustraites à l’application du règlement municipal sur le fondement de la doctrine de l’exclusivité des compétences. Pour résoudre ces questions constitutionnelles, il faut principalement interpréter la </w:t>
      </w:r>
      <w:r w:rsidRPr="009D287C">
        <w:rPr>
          <w:i/>
          <w:sz w:val="20"/>
          <w:lang w:val="fr-CA"/>
        </w:rPr>
        <w:t>Loi sur la CTC</w:t>
      </w:r>
      <w:r w:rsidRPr="009D287C">
        <w:rPr>
          <w:sz w:val="20"/>
          <w:lang w:val="fr-CA"/>
        </w:rPr>
        <w:t xml:space="preserve">. Ainsi, cette loi joue un rôle essentiel dans l’issue de cette affaire. Il est également satisfait au troisième volet du critère </w:t>
      </w:r>
      <w:r w:rsidRPr="009D287C">
        <w:rPr>
          <w:i/>
          <w:sz w:val="20"/>
          <w:lang w:val="fr-CA"/>
        </w:rPr>
        <w:t>ITO</w:t>
      </w:r>
      <w:r w:rsidRPr="009D287C">
        <w:rPr>
          <w:sz w:val="20"/>
          <w:lang w:val="fr-CA"/>
        </w:rPr>
        <w:t xml:space="preserve"> puisqu’il ne fait aucun doute en l’espèce que la </w:t>
      </w:r>
      <w:r w:rsidRPr="009D287C">
        <w:rPr>
          <w:i/>
          <w:sz w:val="20"/>
          <w:lang w:val="fr-CA"/>
        </w:rPr>
        <w:t>Loi sur la CTC</w:t>
      </w:r>
      <w:r w:rsidRPr="009D287C">
        <w:rPr>
          <w:sz w:val="20"/>
          <w:lang w:val="fr-CA"/>
        </w:rPr>
        <w:t xml:space="preserve"> est une loi fédérale valide.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Puisqu’il a été satisfait aux trois volets du critère </w:t>
      </w:r>
      <w:r w:rsidRPr="009D287C">
        <w:rPr>
          <w:i/>
          <w:sz w:val="20"/>
          <w:lang w:val="fr-CA"/>
        </w:rPr>
        <w:t>ITO</w:t>
      </w:r>
      <w:r w:rsidRPr="009D287C">
        <w:rPr>
          <w:sz w:val="20"/>
          <w:lang w:val="fr-CA"/>
        </w:rPr>
        <w:t xml:space="preserve"> en l’espèce, la Cour fédérale a compétence à l’égard de la demande de la Société. Il reste à la Cour fédérale à décider si elle doit exercer sa compétence pour entendre la demande de la Société, ou refuser de le faire en faveur de la Cour supérieure de justice. En décidant d’exercer ou non sa compétence, la Cour fédérale devrait examiner si la Société a un recours adéquat et efficace devant un tribunal déjà saisi du litige, la célérité, et l’utilisation économique des ressources judiciaires. Dans les circonstances en l’espèce, la Cour fédérale peut avoir un bon motif de refuser d’entendre la demande de la Société.</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r>
      <w:r w:rsidRPr="009D287C">
        <w:rPr>
          <w:i/>
          <w:sz w:val="20"/>
          <w:lang w:val="fr-CA"/>
        </w:rPr>
        <w:t>La</w:t>
      </w:r>
      <w:r w:rsidRPr="009D287C">
        <w:rPr>
          <w:sz w:val="20"/>
          <w:lang w:val="fr-CA"/>
        </w:rPr>
        <w:t xml:space="preserve"> juge </w:t>
      </w:r>
      <w:r w:rsidRPr="009D287C">
        <w:rPr>
          <w:b/>
          <w:sz w:val="20"/>
          <w:lang w:val="fr-CA"/>
        </w:rPr>
        <w:t>Abella</w:t>
      </w:r>
      <w:r w:rsidRPr="009D287C">
        <w:rPr>
          <w:sz w:val="20"/>
          <w:lang w:val="fr-CA"/>
        </w:rPr>
        <w:t xml:space="preserve"> (dissidente) : Le pourvoi devrait être rejeté en partie et la suspension des procédures en Cour fédérale devrait être ordonnée. Le critère établi par notre Cour dans </w:t>
      </w:r>
      <w:r w:rsidRPr="009D287C">
        <w:rPr>
          <w:i/>
          <w:sz w:val="20"/>
          <w:lang w:val="fr-CA"/>
        </w:rPr>
        <w:t>ITO</w:t>
      </w:r>
      <w:r w:rsidRPr="009D287C">
        <w:rPr>
          <w:i/>
          <w:sz w:val="20"/>
          <w:lang w:val="fr-CA"/>
        </w:rPr>
        <w:noBreakHyphen/>
        <w:t xml:space="preserve">International Terminal </w:t>
      </w:r>
      <w:proofErr w:type="spellStart"/>
      <w:r w:rsidRPr="009D287C">
        <w:rPr>
          <w:i/>
          <w:sz w:val="20"/>
          <w:lang w:val="fr-CA"/>
        </w:rPr>
        <w:t>Operators</w:t>
      </w:r>
      <w:proofErr w:type="spellEnd"/>
      <w:r w:rsidRPr="009D287C">
        <w:rPr>
          <w:i/>
          <w:sz w:val="20"/>
          <w:lang w:val="fr-CA"/>
        </w:rPr>
        <w:t xml:space="preserve"> Ltd. c. </w:t>
      </w:r>
      <w:proofErr w:type="spellStart"/>
      <w:r w:rsidRPr="009D287C">
        <w:rPr>
          <w:i/>
          <w:sz w:val="20"/>
          <w:lang w:val="fr-CA"/>
        </w:rPr>
        <w:t>Miida</w:t>
      </w:r>
      <w:proofErr w:type="spellEnd"/>
      <w:r w:rsidRPr="009D287C">
        <w:rPr>
          <w:i/>
          <w:sz w:val="20"/>
          <w:lang w:val="fr-CA"/>
        </w:rPr>
        <w:t xml:space="preserve"> Electronics Inc.</w:t>
      </w:r>
      <w:r w:rsidRPr="009D287C">
        <w:rPr>
          <w:sz w:val="20"/>
          <w:lang w:val="fr-CA"/>
        </w:rPr>
        <w:t xml:space="preserve">, [1986] 1 R.C.S. 752, a été respecté. Toutefois, même si la Cour fédérale possède une compétence concurrente à celle de la Cour supérieure de justice de l’Ontario, elle ne devrait pas l’exercer en l’espèce. La société The Canadian Transit </w:t>
      </w:r>
      <w:proofErr w:type="spellStart"/>
      <w:r w:rsidRPr="009D287C">
        <w:rPr>
          <w:sz w:val="20"/>
          <w:lang w:val="fr-CA"/>
        </w:rPr>
        <w:t>Company</w:t>
      </w:r>
      <w:proofErr w:type="spellEnd"/>
      <w:r w:rsidRPr="009D287C">
        <w:rPr>
          <w:sz w:val="20"/>
          <w:lang w:val="fr-CA"/>
        </w:rPr>
        <w:t xml:space="preserve"> (« Société ») et la ville ont toutes deux interjeté appel des ordonnances du </w:t>
      </w:r>
      <w:proofErr w:type="spellStart"/>
      <w:r w:rsidRPr="009D287C">
        <w:rPr>
          <w:sz w:val="20"/>
          <w:lang w:val="fr-CA"/>
        </w:rPr>
        <w:t>Property</w:t>
      </w:r>
      <w:proofErr w:type="spellEnd"/>
      <w:r w:rsidRPr="009D287C">
        <w:rPr>
          <w:sz w:val="20"/>
          <w:lang w:val="fr-CA"/>
        </w:rPr>
        <w:t xml:space="preserve"> Standards </w:t>
      </w:r>
      <w:proofErr w:type="spellStart"/>
      <w:r w:rsidRPr="009D287C">
        <w:rPr>
          <w:sz w:val="20"/>
          <w:lang w:val="fr-CA"/>
        </w:rPr>
        <w:t>Committee</w:t>
      </w:r>
      <w:proofErr w:type="spellEnd"/>
      <w:r w:rsidRPr="009D287C">
        <w:rPr>
          <w:sz w:val="20"/>
          <w:lang w:val="fr-CA"/>
        </w:rPr>
        <w:t xml:space="preserve"> devant la Cour supérieure de l’Ontario. Au lieu d’attendre l’issue des appels interjetés devant la Cour supérieure, la Société a voulu activer l’intervention de la Cour fédérale.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On ne peut sérieusement contester le fait que les questions soulevées par la Société dans la demande introduite en Cour fédérale peuvent être résolues dans le cadre du litige opposant les parties devant la Cour supérieure. Le résultat de la diversion, par la Société, du cours de l’instance par cette distraction de nature juridictionnelle est évident — des coûts et délais additionnels qui n’aident en rien si ce n’est à repousser le plus longtemps possible une décision sur le fond. </w:t>
      </w:r>
      <w:r w:rsidRPr="009D287C">
        <w:rPr>
          <w:sz w:val="20"/>
          <w:lang w:val="fr-CA"/>
        </w:rPr>
        <w:lastRenderedPageBreak/>
        <w:t>Jusqu’à maintenant, cette manœuvre de diversion juridictionnelle a coûté trois ans de délais au public. Rien ne justifie de retarder davantage l’instance devant la Cour supérieure. Aux termes des règles de la Cour fédérale, il n’est ni « juste » ni « expéditif » que la Cour fédérale se prononce sur ces procédures en les compliquant et les prolongeant inutilement. Renvoyer l’affaire à la Cour fédérale pour qu’elle arrive à la conclusion irrésistible qu’une suspension de l’instance s’impose ne fait qu’ajouter des dépenses et prolonger les délais inutilement.</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sz w:val="20"/>
          <w:lang w:val="fr-CA"/>
        </w:rPr>
        <w:tab/>
        <w:t xml:space="preserve">POURVOI contre un arrêt de la Cour d’appel fédérale (les juges Dawson, </w:t>
      </w:r>
      <w:proofErr w:type="spellStart"/>
      <w:r w:rsidRPr="009D287C">
        <w:rPr>
          <w:sz w:val="20"/>
          <w:lang w:val="fr-CA"/>
        </w:rPr>
        <w:t>Stratas</w:t>
      </w:r>
      <w:proofErr w:type="spellEnd"/>
      <w:r w:rsidRPr="009D287C">
        <w:rPr>
          <w:sz w:val="20"/>
          <w:lang w:val="fr-CA"/>
        </w:rPr>
        <w:t xml:space="preserve"> et Scott), 2015 CAF 88, [2016] 1 R.C.F. 265, 384 D.L.R. (4th) 547, 472 N.R. 361, [2015] A.C.F. n</w:t>
      </w:r>
      <w:r w:rsidRPr="009D287C">
        <w:rPr>
          <w:sz w:val="20"/>
          <w:vertAlign w:val="superscript"/>
          <w:lang w:val="fr-CA"/>
        </w:rPr>
        <w:t>o</w:t>
      </w:r>
      <w:r w:rsidRPr="009D287C">
        <w:rPr>
          <w:sz w:val="20"/>
          <w:lang w:val="fr-CA"/>
        </w:rPr>
        <w:t xml:space="preserve"> 383 (QL), 2015 </w:t>
      </w:r>
      <w:proofErr w:type="spellStart"/>
      <w:r w:rsidRPr="009D287C">
        <w:rPr>
          <w:sz w:val="20"/>
          <w:lang w:val="fr-CA"/>
        </w:rPr>
        <w:t>CarswellNat</w:t>
      </w:r>
      <w:proofErr w:type="spellEnd"/>
      <w:r w:rsidRPr="009D287C">
        <w:rPr>
          <w:sz w:val="20"/>
          <w:lang w:val="fr-CA"/>
        </w:rPr>
        <w:t xml:space="preserve"> 4835 (WL Can.), qui a infirmé une décision du juge Shore, 2014 CF 461, 455 F.T.R. 154, [2014] A.C.F. n</w:t>
      </w:r>
      <w:r w:rsidRPr="009D287C">
        <w:rPr>
          <w:sz w:val="20"/>
          <w:vertAlign w:val="superscript"/>
          <w:lang w:val="fr-CA"/>
        </w:rPr>
        <w:t>o</w:t>
      </w:r>
      <w:r w:rsidRPr="009D287C">
        <w:rPr>
          <w:sz w:val="20"/>
          <w:lang w:val="fr-CA"/>
        </w:rPr>
        <w:t xml:space="preserve"> 495 (QL), 2014 </w:t>
      </w:r>
      <w:proofErr w:type="spellStart"/>
      <w:r w:rsidRPr="009D287C">
        <w:rPr>
          <w:sz w:val="20"/>
          <w:lang w:val="fr-CA"/>
        </w:rPr>
        <w:t>CarswellNat</w:t>
      </w:r>
      <w:proofErr w:type="spellEnd"/>
      <w:r w:rsidRPr="009D287C">
        <w:rPr>
          <w:sz w:val="20"/>
          <w:lang w:val="fr-CA"/>
        </w:rPr>
        <w:t xml:space="preserve"> 2223 (WL Can.). Pourvoi accueilli, les juges Abella, </w:t>
      </w:r>
      <w:proofErr w:type="spellStart"/>
      <w:r w:rsidRPr="009D287C">
        <w:rPr>
          <w:sz w:val="20"/>
          <w:lang w:val="fr-CA"/>
        </w:rPr>
        <w:t>Moldaver</w:t>
      </w:r>
      <w:proofErr w:type="spellEnd"/>
      <w:r w:rsidRPr="009D287C">
        <w:rPr>
          <w:sz w:val="20"/>
          <w:lang w:val="fr-CA"/>
        </w:rPr>
        <w:t>, Côté et Brown sont dissidents.</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i/>
          <w:sz w:val="20"/>
          <w:lang w:val="fr-CA"/>
        </w:rPr>
        <w:tab/>
        <w:t>Christopher J. Williams</w:t>
      </w:r>
      <w:r w:rsidRPr="009D287C">
        <w:rPr>
          <w:sz w:val="20"/>
          <w:lang w:val="fr-CA"/>
        </w:rPr>
        <w:t xml:space="preserve">, </w:t>
      </w:r>
      <w:r w:rsidRPr="009D287C">
        <w:rPr>
          <w:i/>
          <w:sz w:val="20"/>
          <w:lang w:val="fr-CA"/>
        </w:rPr>
        <w:t>Courtney V. Raphael</w:t>
      </w:r>
      <w:r w:rsidRPr="009D287C">
        <w:rPr>
          <w:sz w:val="20"/>
          <w:lang w:val="fr-CA"/>
        </w:rPr>
        <w:t xml:space="preserve"> et </w:t>
      </w:r>
      <w:r w:rsidRPr="009D287C">
        <w:rPr>
          <w:i/>
          <w:sz w:val="20"/>
          <w:lang w:val="fr-CA"/>
        </w:rPr>
        <w:t>Jody E. Johnson</w:t>
      </w:r>
      <w:r w:rsidRPr="009D287C">
        <w:rPr>
          <w:sz w:val="20"/>
          <w:lang w:val="fr-CA"/>
        </w:rPr>
        <w:t>, pour l’appelante.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i/>
          <w:sz w:val="20"/>
          <w:lang w:val="fr-CA"/>
        </w:rPr>
        <w:tab/>
        <w:t xml:space="preserve">John B. </w:t>
      </w:r>
      <w:proofErr w:type="spellStart"/>
      <w:r w:rsidRPr="009D287C">
        <w:rPr>
          <w:i/>
          <w:sz w:val="20"/>
          <w:lang w:val="fr-CA"/>
        </w:rPr>
        <w:t>Laskin</w:t>
      </w:r>
      <w:proofErr w:type="spellEnd"/>
      <w:r w:rsidRPr="009D287C">
        <w:rPr>
          <w:sz w:val="20"/>
          <w:lang w:val="fr-CA"/>
        </w:rPr>
        <w:t xml:space="preserve"> et </w:t>
      </w:r>
      <w:r w:rsidRPr="009D287C">
        <w:rPr>
          <w:i/>
          <w:sz w:val="20"/>
          <w:lang w:val="fr-CA"/>
        </w:rPr>
        <w:t xml:space="preserve">James </w:t>
      </w:r>
      <w:proofErr w:type="spellStart"/>
      <w:r w:rsidRPr="009D287C">
        <w:rPr>
          <w:i/>
          <w:sz w:val="20"/>
          <w:lang w:val="fr-CA"/>
        </w:rPr>
        <w:t>Gotowiec</w:t>
      </w:r>
      <w:proofErr w:type="spellEnd"/>
      <w:r w:rsidRPr="009D287C">
        <w:rPr>
          <w:sz w:val="20"/>
          <w:lang w:val="fr-CA"/>
        </w:rPr>
        <w:t>, pour l’intimée.</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i/>
          <w:sz w:val="20"/>
          <w:lang w:val="fr-CA"/>
        </w:rPr>
        <w:tab/>
        <w:t>Sean Gaudet</w:t>
      </w:r>
      <w:r w:rsidRPr="009D287C">
        <w:rPr>
          <w:sz w:val="20"/>
          <w:lang w:val="fr-CA"/>
        </w:rPr>
        <w:t xml:space="preserve"> et </w:t>
      </w:r>
      <w:r w:rsidRPr="009D287C">
        <w:rPr>
          <w:i/>
          <w:sz w:val="20"/>
          <w:lang w:val="fr-CA"/>
        </w:rPr>
        <w:t>Marc Ribeiro</w:t>
      </w:r>
      <w:r w:rsidRPr="009D287C">
        <w:rPr>
          <w:sz w:val="20"/>
          <w:lang w:val="fr-CA"/>
        </w:rPr>
        <w:t>, pour l’intervenant le procureur général du Canada.</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NormalDoubleSpacing"/>
        <w:spacing w:line="240" w:lineRule="auto"/>
        <w:rPr>
          <w:sz w:val="20"/>
          <w:lang w:val="fr-CA"/>
        </w:rPr>
      </w:pPr>
      <w:r w:rsidRPr="009D287C">
        <w:rPr>
          <w:i/>
          <w:sz w:val="20"/>
          <w:lang w:val="fr-CA"/>
        </w:rPr>
        <w:tab/>
        <w:t xml:space="preserve">Stéphane </w:t>
      </w:r>
      <w:proofErr w:type="spellStart"/>
      <w:r w:rsidRPr="009D287C">
        <w:rPr>
          <w:i/>
          <w:sz w:val="20"/>
          <w:lang w:val="fr-CA"/>
        </w:rPr>
        <w:t>Émard</w:t>
      </w:r>
      <w:proofErr w:type="spellEnd"/>
      <w:r w:rsidRPr="009D287C">
        <w:rPr>
          <w:i/>
          <w:sz w:val="20"/>
          <w:lang w:val="fr-CA"/>
        </w:rPr>
        <w:noBreakHyphen/>
        <w:t>Chabot</w:t>
      </w:r>
      <w:r w:rsidRPr="009D287C">
        <w:rPr>
          <w:sz w:val="20"/>
          <w:lang w:val="fr-CA"/>
        </w:rPr>
        <w:t xml:space="preserve"> et </w:t>
      </w:r>
      <w:r w:rsidRPr="009D287C">
        <w:rPr>
          <w:i/>
          <w:sz w:val="20"/>
          <w:lang w:val="fr-CA"/>
        </w:rPr>
        <w:t>Marie</w:t>
      </w:r>
      <w:r w:rsidRPr="009D287C">
        <w:rPr>
          <w:i/>
          <w:sz w:val="20"/>
          <w:lang w:val="fr-CA"/>
        </w:rPr>
        <w:noBreakHyphen/>
        <w:t>France Major</w:t>
      </w:r>
      <w:r w:rsidRPr="009D287C">
        <w:rPr>
          <w:sz w:val="20"/>
          <w:lang w:val="fr-CA"/>
        </w:rPr>
        <w:t>, pour l’intervenante la Fédération canadienne des municipalités.</w:t>
      </w:r>
    </w:p>
    <w:p w:rsidR="00E05532" w:rsidRPr="009D287C" w:rsidRDefault="00E05532" w:rsidP="00E05532">
      <w:pPr>
        <w:pStyle w:val="SCCNormalDoubleSpacing"/>
        <w:spacing w:line="240" w:lineRule="auto"/>
        <w:rPr>
          <w:sz w:val="20"/>
          <w:lang w:val="fr-CA"/>
        </w:rPr>
      </w:pPr>
    </w:p>
    <w:p w:rsidR="00E05532" w:rsidRPr="009D287C" w:rsidRDefault="00E05532" w:rsidP="00E05532">
      <w:pPr>
        <w:pStyle w:val="SCCLawFirm"/>
        <w:spacing w:line="240" w:lineRule="auto"/>
        <w:rPr>
          <w:sz w:val="20"/>
          <w:lang w:val="fr-CA"/>
        </w:rPr>
      </w:pPr>
      <w:r w:rsidRPr="009D287C">
        <w:rPr>
          <w:sz w:val="20"/>
          <w:lang w:val="fr-CA"/>
        </w:rPr>
        <w:tab/>
        <w:t>Procureurs de l’appelante : </w:t>
      </w:r>
      <w:proofErr w:type="spellStart"/>
      <w:r w:rsidRPr="009D287C">
        <w:rPr>
          <w:sz w:val="20"/>
          <w:lang w:val="fr-CA"/>
        </w:rPr>
        <w:t>Aird</w:t>
      </w:r>
      <w:proofErr w:type="spellEnd"/>
      <w:r w:rsidRPr="009D287C">
        <w:rPr>
          <w:sz w:val="20"/>
          <w:lang w:val="fr-CA"/>
        </w:rPr>
        <w:t xml:space="preserve"> &amp; </w:t>
      </w:r>
      <w:proofErr w:type="spellStart"/>
      <w:r w:rsidRPr="009D287C">
        <w:rPr>
          <w:sz w:val="20"/>
          <w:lang w:val="fr-CA"/>
        </w:rPr>
        <w:t>Berlis</w:t>
      </w:r>
      <w:proofErr w:type="spellEnd"/>
      <w:r w:rsidRPr="009D287C">
        <w:rPr>
          <w:sz w:val="20"/>
          <w:lang w:val="fr-CA"/>
        </w:rPr>
        <w:t>, Toronto.</w:t>
      </w:r>
    </w:p>
    <w:p w:rsidR="00E05532" w:rsidRPr="009D287C" w:rsidRDefault="00E05532" w:rsidP="00E05532">
      <w:pPr>
        <w:pStyle w:val="SCCNormalDoubleSpacing"/>
        <w:spacing w:line="240" w:lineRule="auto"/>
        <w:rPr>
          <w:lang w:val="fr-CA"/>
        </w:rPr>
      </w:pPr>
    </w:p>
    <w:p w:rsidR="00E05532" w:rsidRPr="009D287C" w:rsidRDefault="00E05532" w:rsidP="00E05532">
      <w:pPr>
        <w:pStyle w:val="SCCLawFirm"/>
        <w:spacing w:line="240" w:lineRule="auto"/>
        <w:rPr>
          <w:sz w:val="20"/>
          <w:lang w:val="fr-CA"/>
        </w:rPr>
      </w:pPr>
      <w:r w:rsidRPr="009D287C">
        <w:rPr>
          <w:sz w:val="20"/>
          <w:lang w:val="fr-CA"/>
        </w:rPr>
        <w:tab/>
        <w:t>Procureurs de l’intimée : Torys, Toronto.</w:t>
      </w:r>
    </w:p>
    <w:p w:rsidR="00E05532" w:rsidRPr="009D287C" w:rsidRDefault="00E05532" w:rsidP="00E05532">
      <w:pPr>
        <w:pStyle w:val="SCCNormalDoubleSpacing"/>
        <w:spacing w:line="240" w:lineRule="auto"/>
        <w:rPr>
          <w:lang w:val="fr-CA"/>
        </w:rPr>
      </w:pPr>
    </w:p>
    <w:p w:rsidR="00E05532" w:rsidRPr="009D287C" w:rsidRDefault="00E05532" w:rsidP="00E05532">
      <w:pPr>
        <w:pStyle w:val="SCCLawFirm"/>
        <w:spacing w:line="240" w:lineRule="auto"/>
        <w:rPr>
          <w:sz w:val="20"/>
          <w:lang w:val="fr-CA"/>
        </w:rPr>
      </w:pPr>
      <w:r w:rsidRPr="009D287C">
        <w:rPr>
          <w:sz w:val="20"/>
          <w:lang w:val="fr-CA"/>
        </w:rPr>
        <w:tab/>
        <w:t>Procureur de l’intervenant le procureur général du Canada : Procureur général du Canada, Toronto.</w:t>
      </w:r>
    </w:p>
    <w:p w:rsidR="00E05532" w:rsidRPr="009D287C" w:rsidRDefault="00E05532" w:rsidP="00E05532">
      <w:pPr>
        <w:pStyle w:val="SCCNormalDoubleSpacing"/>
        <w:spacing w:line="240" w:lineRule="auto"/>
        <w:rPr>
          <w:lang w:val="fr-CA"/>
        </w:rPr>
      </w:pPr>
    </w:p>
    <w:p w:rsidR="00E05532" w:rsidRPr="009D287C" w:rsidRDefault="00E05532" w:rsidP="00E05532">
      <w:pPr>
        <w:pStyle w:val="SCCLawFirm"/>
        <w:spacing w:line="240" w:lineRule="auto"/>
        <w:rPr>
          <w:sz w:val="20"/>
          <w:lang w:val="fr-CA"/>
        </w:rPr>
      </w:pPr>
      <w:r w:rsidRPr="009D287C">
        <w:rPr>
          <w:sz w:val="20"/>
          <w:lang w:val="fr-CA"/>
        </w:rPr>
        <w:tab/>
        <w:t xml:space="preserve">Procureurs de l’intervenante la Fédération canadienne des municipalités : Fédération canadienne des municipalités, Ottawa; </w:t>
      </w:r>
      <w:proofErr w:type="spellStart"/>
      <w:r w:rsidRPr="009D287C">
        <w:rPr>
          <w:sz w:val="20"/>
          <w:lang w:val="fr-CA"/>
        </w:rPr>
        <w:t>Supreme</w:t>
      </w:r>
      <w:proofErr w:type="spellEnd"/>
      <w:r w:rsidRPr="009D287C">
        <w:rPr>
          <w:sz w:val="20"/>
          <w:lang w:val="fr-CA"/>
        </w:rPr>
        <w:t xml:space="preserve"> </w:t>
      </w:r>
      <w:proofErr w:type="spellStart"/>
      <w:r w:rsidRPr="009D287C">
        <w:rPr>
          <w:sz w:val="20"/>
          <w:lang w:val="fr-CA"/>
        </w:rPr>
        <w:t>Advocacy</w:t>
      </w:r>
      <w:proofErr w:type="spellEnd"/>
      <w:r w:rsidRPr="009D287C">
        <w:rPr>
          <w:sz w:val="20"/>
          <w:lang w:val="fr-CA"/>
        </w:rPr>
        <w:t>, Ottawa.</w:t>
      </w:r>
    </w:p>
    <w:p w:rsidR="0002318B" w:rsidRPr="009D287C" w:rsidRDefault="00346C6C" w:rsidP="005C6840">
      <w:pPr>
        <w:rPr>
          <w:rFonts w:cs="Times New Roman"/>
          <w:sz w:val="20"/>
          <w:szCs w:val="20"/>
          <w:lang w:val="fr-CA"/>
        </w:rPr>
      </w:pPr>
      <w:r>
        <w:rPr>
          <w:rFonts w:cs="Times New Roman"/>
          <w:sz w:val="20"/>
          <w:szCs w:val="20"/>
          <w:lang w:val="fr-CA"/>
        </w:rPr>
        <w:pict>
          <v:rect id="_x0000_i1064" style="width:144.3pt;height:1pt" o:hrpct="300" o:hralign="center" o:hrstd="t" o:hrnoshade="t" o:hr="t" fillcolor="black [3213]" stroked="f"/>
        </w:pict>
      </w:r>
    </w:p>
    <w:p w:rsidR="0002318B" w:rsidRPr="009D287C" w:rsidRDefault="0002318B" w:rsidP="005C6840">
      <w:pPr>
        <w:rPr>
          <w:rFonts w:cs="Times New Roman"/>
          <w:sz w:val="20"/>
          <w:szCs w:val="20"/>
          <w:lang w:val="fr-CA"/>
        </w:rPr>
      </w:pPr>
    </w:p>
    <w:p w:rsidR="0002318B" w:rsidRPr="009D287C" w:rsidRDefault="0002318B" w:rsidP="005C6840">
      <w:pPr>
        <w:rPr>
          <w:rFonts w:cs="Times New Roman"/>
          <w:sz w:val="20"/>
          <w:szCs w:val="20"/>
          <w:lang w:val="fr-CA"/>
        </w:rPr>
      </w:pPr>
    </w:p>
    <w:p w:rsidR="005C6840" w:rsidRPr="009D287C" w:rsidRDefault="005C6840" w:rsidP="005C6840">
      <w:pPr>
        <w:rPr>
          <w:lang w:val="fr-CA"/>
        </w:rPr>
      </w:pPr>
      <w:r w:rsidRPr="009D287C">
        <w:rPr>
          <w:lang w:val="fr-CA"/>
        </w:rPr>
        <w:br w:type="page"/>
      </w:r>
    </w:p>
    <w:p w:rsidR="0052229C" w:rsidRPr="009D287C" w:rsidRDefault="007A0568" w:rsidP="0052229C">
      <w:pPr>
        <w:ind w:left="720" w:hanging="720"/>
        <w:rPr>
          <w:rFonts w:eastAsia="Calibri"/>
          <w:b/>
          <w:sz w:val="20"/>
          <w:szCs w:val="20"/>
          <w:lang w:val="fr-CA"/>
        </w:rPr>
      </w:pPr>
      <w:r w:rsidRPr="009D287C">
        <w:rPr>
          <w:i/>
          <w:sz w:val="20"/>
          <w:szCs w:val="20"/>
          <w:lang w:val="fr-CA"/>
        </w:rPr>
        <w:lastRenderedPageBreak/>
        <w:t xml:space="preserve">Le Groupe Jean </w:t>
      </w:r>
      <w:proofErr w:type="spellStart"/>
      <w:r w:rsidRPr="009D287C">
        <w:rPr>
          <w:i/>
          <w:sz w:val="20"/>
          <w:szCs w:val="20"/>
          <w:lang w:val="fr-CA"/>
        </w:rPr>
        <w:t>Coutu</w:t>
      </w:r>
      <w:proofErr w:type="spellEnd"/>
      <w:r w:rsidR="0052229C" w:rsidRPr="009D287C">
        <w:rPr>
          <w:i/>
          <w:sz w:val="20"/>
          <w:szCs w:val="20"/>
          <w:lang w:val="fr-CA"/>
        </w:rPr>
        <w:t xml:space="preserve"> </w:t>
      </w:r>
      <w:r w:rsidRPr="009D287C">
        <w:rPr>
          <w:i/>
          <w:sz w:val="20"/>
          <w:szCs w:val="20"/>
          <w:lang w:val="fr-CA"/>
        </w:rPr>
        <w:t xml:space="preserve">(PJC) </w:t>
      </w:r>
      <w:proofErr w:type="spellStart"/>
      <w:r w:rsidRPr="009D287C">
        <w:rPr>
          <w:i/>
          <w:sz w:val="20"/>
          <w:szCs w:val="20"/>
          <w:lang w:val="fr-CA"/>
        </w:rPr>
        <w:t>inc.</w:t>
      </w:r>
      <w:proofErr w:type="spellEnd"/>
      <w:r w:rsidRPr="009D287C">
        <w:rPr>
          <w:i/>
          <w:sz w:val="20"/>
          <w:szCs w:val="20"/>
          <w:lang w:val="fr-CA"/>
        </w:rPr>
        <w:t xml:space="preserve"> c</w:t>
      </w:r>
      <w:r w:rsidR="0052229C" w:rsidRPr="009D287C">
        <w:rPr>
          <w:i/>
          <w:sz w:val="20"/>
          <w:szCs w:val="20"/>
          <w:lang w:val="fr-CA"/>
        </w:rPr>
        <w:t xml:space="preserve">. </w:t>
      </w:r>
      <w:r w:rsidRPr="009D287C">
        <w:rPr>
          <w:i/>
          <w:sz w:val="20"/>
          <w:szCs w:val="20"/>
          <w:lang w:val="fr-CA"/>
        </w:rPr>
        <w:t>Procureur général du Canada</w:t>
      </w:r>
      <w:r w:rsidR="0052229C" w:rsidRPr="009D287C">
        <w:rPr>
          <w:sz w:val="20"/>
          <w:szCs w:val="20"/>
          <w:lang w:val="fr-CA"/>
        </w:rPr>
        <w:t xml:space="preserve"> (</w:t>
      </w:r>
      <w:proofErr w:type="spellStart"/>
      <w:r w:rsidRPr="009D287C">
        <w:rPr>
          <w:sz w:val="20"/>
          <w:szCs w:val="20"/>
          <w:lang w:val="fr-CA"/>
        </w:rPr>
        <w:t>Qc</w:t>
      </w:r>
      <w:proofErr w:type="spellEnd"/>
      <w:r w:rsidR="0052229C" w:rsidRPr="009D287C">
        <w:rPr>
          <w:sz w:val="20"/>
          <w:szCs w:val="20"/>
          <w:lang w:val="fr-CA"/>
        </w:rPr>
        <w:t>) (</w:t>
      </w:r>
      <w:hyperlink r:id="rId66" w:history="1">
        <w:r w:rsidR="0052229C" w:rsidRPr="009D287C">
          <w:rPr>
            <w:rStyle w:val="Hyperlink"/>
            <w:sz w:val="20"/>
            <w:szCs w:val="20"/>
            <w:lang w:val="fr-CA"/>
          </w:rPr>
          <w:t>3</w:t>
        </w:r>
        <w:r w:rsidRPr="009D287C">
          <w:rPr>
            <w:rStyle w:val="Hyperlink"/>
            <w:sz w:val="20"/>
            <w:szCs w:val="20"/>
            <w:lang w:val="fr-CA"/>
          </w:rPr>
          <w:t>6505</w:t>
        </w:r>
      </w:hyperlink>
      <w:r w:rsidR="0052229C" w:rsidRPr="009D287C">
        <w:rPr>
          <w:sz w:val="20"/>
          <w:szCs w:val="20"/>
          <w:lang w:val="fr-CA"/>
        </w:rPr>
        <w:t>)</w:t>
      </w:r>
    </w:p>
    <w:p w:rsidR="0052229C" w:rsidRPr="009D287C" w:rsidRDefault="0052229C" w:rsidP="0052229C">
      <w:pPr>
        <w:jc w:val="both"/>
        <w:rPr>
          <w:b/>
          <w:sz w:val="20"/>
          <w:szCs w:val="20"/>
          <w:lang w:val="fr-CA"/>
        </w:rPr>
      </w:pPr>
      <w:proofErr w:type="spellStart"/>
      <w:r w:rsidRPr="009D287C">
        <w:rPr>
          <w:b/>
          <w:sz w:val="20"/>
          <w:szCs w:val="20"/>
          <w:lang w:val="fr-CA"/>
        </w:rPr>
        <w:t>Indexed</w:t>
      </w:r>
      <w:proofErr w:type="spellEnd"/>
      <w:r w:rsidRPr="009D287C">
        <w:rPr>
          <w:b/>
          <w:sz w:val="20"/>
          <w:szCs w:val="20"/>
          <w:lang w:val="fr-CA"/>
        </w:rPr>
        <w:t xml:space="preserve"> as</w:t>
      </w:r>
      <w:proofErr w:type="gramStart"/>
      <w:r w:rsidRPr="009D287C">
        <w:rPr>
          <w:b/>
          <w:sz w:val="20"/>
          <w:szCs w:val="20"/>
          <w:lang w:val="fr-CA"/>
        </w:rPr>
        <w:t xml:space="preserve">:  </w:t>
      </w:r>
      <w:r w:rsidR="007A0568" w:rsidRPr="009D287C">
        <w:rPr>
          <w:b/>
          <w:sz w:val="20"/>
          <w:szCs w:val="20"/>
          <w:lang w:val="fr-CA"/>
        </w:rPr>
        <w:t>Jean</w:t>
      </w:r>
      <w:proofErr w:type="gramEnd"/>
      <w:r w:rsidR="007A0568" w:rsidRPr="009D287C">
        <w:rPr>
          <w:b/>
          <w:sz w:val="20"/>
          <w:szCs w:val="20"/>
          <w:lang w:val="fr-CA"/>
        </w:rPr>
        <w:t xml:space="preserve"> </w:t>
      </w:r>
      <w:proofErr w:type="spellStart"/>
      <w:r w:rsidR="007A0568" w:rsidRPr="009D287C">
        <w:rPr>
          <w:b/>
          <w:sz w:val="20"/>
          <w:szCs w:val="20"/>
          <w:lang w:val="fr-CA"/>
        </w:rPr>
        <w:t>Coutu</w:t>
      </w:r>
      <w:proofErr w:type="spellEnd"/>
      <w:r w:rsidR="007A0568" w:rsidRPr="009D287C">
        <w:rPr>
          <w:b/>
          <w:sz w:val="20"/>
          <w:szCs w:val="20"/>
          <w:lang w:val="fr-CA"/>
        </w:rPr>
        <w:t xml:space="preserve"> Group (PJC) Inc. </w:t>
      </w:r>
      <w:r w:rsidR="007A0568" w:rsidRPr="009D287C">
        <w:rPr>
          <w:b/>
          <w:i/>
          <w:sz w:val="20"/>
          <w:szCs w:val="20"/>
          <w:lang w:val="fr-CA"/>
        </w:rPr>
        <w:t>v.</w:t>
      </w:r>
      <w:r w:rsidR="007A0568" w:rsidRPr="009D287C">
        <w:rPr>
          <w:b/>
          <w:sz w:val="20"/>
          <w:szCs w:val="20"/>
          <w:lang w:val="fr-CA"/>
        </w:rPr>
        <w:t xml:space="preserve"> Canada (Attorney General)</w:t>
      </w:r>
      <w:r w:rsidRPr="009D287C">
        <w:rPr>
          <w:rStyle w:val="SCCAppellantForIndexChar"/>
          <w:rFonts w:eastAsiaTheme="minorHAnsi"/>
          <w:sz w:val="20"/>
        </w:rPr>
        <w:t xml:space="preserve">/ </w:t>
      </w:r>
      <w:r w:rsidRPr="009D287C">
        <w:rPr>
          <w:b/>
          <w:sz w:val="20"/>
          <w:szCs w:val="20"/>
          <w:lang w:val="fr-CA"/>
        </w:rPr>
        <w:t>Répertorié : </w:t>
      </w:r>
      <w:r w:rsidR="007A0568" w:rsidRPr="009D287C">
        <w:rPr>
          <w:rFonts w:eastAsia="Times New Roman" w:cs="Times New Roman"/>
          <w:b/>
          <w:sz w:val="20"/>
          <w:szCs w:val="20"/>
          <w:lang w:val="fr-CA" w:eastAsia="en-CA"/>
        </w:rPr>
        <w:t xml:space="preserve">Groupe Jean </w:t>
      </w:r>
      <w:proofErr w:type="spellStart"/>
      <w:r w:rsidR="007A0568" w:rsidRPr="009D287C">
        <w:rPr>
          <w:rFonts w:eastAsia="Times New Roman" w:cs="Times New Roman"/>
          <w:b/>
          <w:sz w:val="20"/>
          <w:szCs w:val="20"/>
          <w:lang w:val="fr-CA" w:eastAsia="en-CA"/>
        </w:rPr>
        <w:t>Coutu</w:t>
      </w:r>
      <w:proofErr w:type="spellEnd"/>
      <w:r w:rsidR="007A0568" w:rsidRPr="009D287C">
        <w:rPr>
          <w:rFonts w:eastAsia="Times New Roman" w:cs="Times New Roman"/>
          <w:b/>
          <w:sz w:val="20"/>
          <w:szCs w:val="20"/>
          <w:lang w:val="fr-CA" w:eastAsia="en-CA"/>
        </w:rPr>
        <w:t xml:space="preserve"> (PJC) </w:t>
      </w:r>
      <w:proofErr w:type="spellStart"/>
      <w:r w:rsidR="007A0568" w:rsidRPr="009D287C">
        <w:rPr>
          <w:rFonts w:eastAsia="Times New Roman" w:cs="Times New Roman"/>
          <w:b/>
          <w:sz w:val="20"/>
          <w:szCs w:val="20"/>
          <w:lang w:val="fr-CA" w:eastAsia="en-CA"/>
        </w:rPr>
        <w:t>inc.</w:t>
      </w:r>
      <w:proofErr w:type="spellEnd"/>
      <w:r w:rsidR="007A0568" w:rsidRPr="009D287C">
        <w:rPr>
          <w:rFonts w:eastAsia="Times New Roman" w:cs="Times New Roman"/>
          <w:b/>
          <w:sz w:val="20"/>
          <w:szCs w:val="20"/>
          <w:lang w:val="fr-CA" w:eastAsia="en-CA"/>
        </w:rPr>
        <w:t xml:space="preserve"> </w:t>
      </w:r>
      <w:r w:rsidR="007A0568" w:rsidRPr="009D287C">
        <w:rPr>
          <w:rFonts w:eastAsia="Times New Roman" w:cs="Times New Roman"/>
          <w:b/>
          <w:i/>
          <w:sz w:val="20"/>
          <w:szCs w:val="20"/>
          <w:lang w:val="fr-CA" w:eastAsia="en-CA"/>
        </w:rPr>
        <w:t>c.</w:t>
      </w:r>
      <w:r w:rsidR="007A0568" w:rsidRPr="009D287C">
        <w:rPr>
          <w:rFonts w:eastAsia="Times New Roman" w:cs="Times New Roman"/>
          <w:b/>
          <w:sz w:val="20"/>
          <w:szCs w:val="20"/>
          <w:lang w:val="fr-CA" w:eastAsia="en-CA"/>
        </w:rPr>
        <w:t xml:space="preserve"> Canada (Procureur général)</w:t>
      </w:r>
    </w:p>
    <w:p w:rsidR="0052229C" w:rsidRPr="009D287C" w:rsidRDefault="0052229C" w:rsidP="0052229C">
      <w:pPr>
        <w:pStyle w:val="SCCSystemYear"/>
        <w:jc w:val="both"/>
        <w:rPr>
          <w:sz w:val="20"/>
        </w:rPr>
      </w:pPr>
      <w:proofErr w:type="spellStart"/>
      <w:r w:rsidRPr="009D287C">
        <w:rPr>
          <w:sz w:val="20"/>
        </w:rPr>
        <w:t>Neutral</w:t>
      </w:r>
      <w:proofErr w:type="spellEnd"/>
      <w:r w:rsidRPr="009D287C">
        <w:rPr>
          <w:sz w:val="20"/>
        </w:rPr>
        <w:t xml:space="preserve"> citation</w:t>
      </w:r>
      <w:proofErr w:type="gramStart"/>
      <w:r w:rsidRPr="009D287C">
        <w:rPr>
          <w:sz w:val="20"/>
        </w:rPr>
        <w:t xml:space="preserve">:  </w:t>
      </w:r>
      <w:r w:rsidR="0030050B" w:rsidRPr="009D287C">
        <w:rPr>
          <w:sz w:val="20"/>
        </w:rPr>
        <w:t>2016</w:t>
      </w:r>
      <w:proofErr w:type="gramEnd"/>
      <w:r w:rsidRPr="009D287C">
        <w:rPr>
          <w:sz w:val="20"/>
        </w:rPr>
        <w:t xml:space="preserve"> SCC </w:t>
      </w:r>
      <w:r w:rsidR="00874580" w:rsidRPr="009D287C">
        <w:rPr>
          <w:sz w:val="20"/>
        </w:rPr>
        <w:t>55</w:t>
      </w:r>
      <w:r w:rsidRPr="009D287C">
        <w:rPr>
          <w:sz w:val="20"/>
        </w:rPr>
        <w:t xml:space="preserve"> / Référence neutre : </w:t>
      </w:r>
      <w:r w:rsidR="0030050B" w:rsidRPr="009D287C">
        <w:rPr>
          <w:sz w:val="20"/>
        </w:rPr>
        <w:t>2016</w:t>
      </w:r>
      <w:r w:rsidRPr="009D287C">
        <w:rPr>
          <w:sz w:val="20"/>
        </w:rPr>
        <w:t xml:space="preserve"> CSC </w:t>
      </w:r>
      <w:r w:rsidR="00874580" w:rsidRPr="009D287C">
        <w:rPr>
          <w:sz w:val="20"/>
        </w:rPr>
        <w:t>55</w:t>
      </w:r>
    </w:p>
    <w:p w:rsidR="0052229C" w:rsidRPr="009D287C" w:rsidRDefault="0052229C" w:rsidP="0052229C">
      <w:pPr>
        <w:rPr>
          <w:sz w:val="20"/>
          <w:szCs w:val="20"/>
          <w:lang w:val="fr-CA"/>
        </w:rPr>
      </w:pPr>
      <w:proofErr w:type="spellStart"/>
      <w:r w:rsidRPr="009D287C">
        <w:rPr>
          <w:sz w:val="20"/>
          <w:szCs w:val="20"/>
          <w:lang w:val="fr-CA"/>
        </w:rPr>
        <w:t>Hearing</w:t>
      </w:r>
      <w:proofErr w:type="spellEnd"/>
      <w:proofErr w:type="gramStart"/>
      <w:r w:rsidRPr="009D287C">
        <w:rPr>
          <w:sz w:val="20"/>
          <w:szCs w:val="20"/>
          <w:lang w:val="fr-CA"/>
        </w:rPr>
        <w:t>:  May</w:t>
      </w:r>
      <w:proofErr w:type="gramEnd"/>
      <w:r w:rsidRPr="009D287C">
        <w:rPr>
          <w:sz w:val="20"/>
          <w:szCs w:val="20"/>
          <w:lang w:val="fr-CA"/>
        </w:rPr>
        <w:t xml:space="preserve"> </w:t>
      </w:r>
      <w:r w:rsidR="007A0568" w:rsidRPr="009D287C">
        <w:rPr>
          <w:sz w:val="20"/>
          <w:szCs w:val="20"/>
          <w:lang w:val="fr-CA"/>
        </w:rPr>
        <w:t>18</w:t>
      </w:r>
      <w:r w:rsidRPr="009D287C">
        <w:rPr>
          <w:sz w:val="20"/>
          <w:szCs w:val="20"/>
          <w:lang w:val="fr-CA"/>
        </w:rPr>
        <w:t>, 201</w:t>
      </w:r>
      <w:r w:rsidR="00874580" w:rsidRPr="009D287C">
        <w:rPr>
          <w:sz w:val="20"/>
          <w:szCs w:val="20"/>
          <w:lang w:val="fr-CA"/>
        </w:rPr>
        <w:t>6</w:t>
      </w:r>
      <w:r w:rsidRPr="009D287C">
        <w:rPr>
          <w:sz w:val="20"/>
          <w:szCs w:val="20"/>
          <w:lang w:val="fr-CA"/>
        </w:rPr>
        <w:t xml:space="preserve"> / </w:t>
      </w:r>
      <w:proofErr w:type="spellStart"/>
      <w:r w:rsidRPr="009D287C">
        <w:rPr>
          <w:sz w:val="20"/>
          <w:szCs w:val="20"/>
          <w:lang w:val="fr-CA"/>
        </w:rPr>
        <w:t>Judgment</w:t>
      </w:r>
      <w:proofErr w:type="spellEnd"/>
      <w:r w:rsidRPr="009D287C">
        <w:rPr>
          <w:sz w:val="20"/>
          <w:szCs w:val="20"/>
          <w:lang w:val="fr-CA"/>
        </w:rPr>
        <w:t xml:space="preserve">:  </w:t>
      </w:r>
      <w:proofErr w:type="spellStart"/>
      <w:r w:rsidR="00874580" w:rsidRPr="009D287C">
        <w:rPr>
          <w:sz w:val="20"/>
          <w:szCs w:val="20"/>
          <w:lang w:val="fr-CA"/>
        </w:rPr>
        <w:t>December</w:t>
      </w:r>
      <w:proofErr w:type="spellEnd"/>
      <w:r w:rsidRPr="009D287C">
        <w:rPr>
          <w:sz w:val="20"/>
          <w:szCs w:val="20"/>
          <w:lang w:val="fr-CA"/>
        </w:rPr>
        <w:t xml:space="preserve"> </w:t>
      </w:r>
      <w:r w:rsidR="00874580" w:rsidRPr="009D287C">
        <w:rPr>
          <w:sz w:val="20"/>
          <w:szCs w:val="20"/>
          <w:lang w:val="fr-CA"/>
        </w:rPr>
        <w:t>9</w:t>
      </w:r>
      <w:r w:rsidRPr="009D287C">
        <w:rPr>
          <w:sz w:val="20"/>
          <w:szCs w:val="20"/>
          <w:lang w:val="fr-CA"/>
        </w:rPr>
        <w:t xml:space="preserve">, </w:t>
      </w:r>
      <w:r w:rsidR="0030050B" w:rsidRPr="009D287C">
        <w:rPr>
          <w:sz w:val="20"/>
          <w:szCs w:val="20"/>
          <w:lang w:val="fr-CA"/>
        </w:rPr>
        <w:t>2016</w:t>
      </w:r>
    </w:p>
    <w:p w:rsidR="0052229C" w:rsidRPr="009D287C" w:rsidRDefault="0052229C" w:rsidP="0052229C">
      <w:pPr>
        <w:rPr>
          <w:sz w:val="20"/>
          <w:szCs w:val="20"/>
          <w:lang w:val="fr-CA"/>
        </w:rPr>
      </w:pPr>
      <w:r w:rsidRPr="009D287C">
        <w:rPr>
          <w:sz w:val="20"/>
          <w:szCs w:val="20"/>
          <w:lang w:val="fr-CA"/>
        </w:rPr>
        <w:t xml:space="preserve">Audition : Le </w:t>
      </w:r>
      <w:r w:rsidR="007A0568" w:rsidRPr="009D287C">
        <w:rPr>
          <w:sz w:val="20"/>
          <w:szCs w:val="20"/>
          <w:lang w:val="fr-CA"/>
        </w:rPr>
        <w:t>18</w:t>
      </w:r>
      <w:r w:rsidRPr="009D287C">
        <w:rPr>
          <w:sz w:val="20"/>
          <w:szCs w:val="20"/>
          <w:lang w:val="fr-CA"/>
        </w:rPr>
        <w:t xml:space="preserve"> mai 201</w:t>
      </w:r>
      <w:r w:rsidR="00874580" w:rsidRPr="009D287C">
        <w:rPr>
          <w:sz w:val="20"/>
          <w:szCs w:val="20"/>
          <w:lang w:val="fr-CA"/>
        </w:rPr>
        <w:t>6</w:t>
      </w:r>
      <w:r w:rsidRPr="009D287C">
        <w:rPr>
          <w:sz w:val="20"/>
          <w:szCs w:val="20"/>
          <w:lang w:val="fr-CA"/>
        </w:rPr>
        <w:t xml:space="preserve"> / Jugement : Le </w:t>
      </w:r>
      <w:r w:rsidR="00874580" w:rsidRPr="009D287C">
        <w:rPr>
          <w:sz w:val="20"/>
          <w:szCs w:val="20"/>
          <w:lang w:val="fr-CA"/>
        </w:rPr>
        <w:t>9</w:t>
      </w:r>
      <w:r w:rsidRPr="009D287C">
        <w:rPr>
          <w:sz w:val="20"/>
          <w:szCs w:val="20"/>
          <w:lang w:val="fr-CA"/>
        </w:rPr>
        <w:t xml:space="preserve"> </w:t>
      </w:r>
      <w:r w:rsidR="00874580" w:rsidRPr="009D287C">
        <w:rPr>
          <w:sz w:val="20"/>
          <w:szCs w:val="20"/>
          <w:lang w:val="fr-CA"/>
        </w:rPr>
        <w:t>décembre</w:t>
      </w:r>
      <w:r w:rsidRPr="009D287C">
        <w:rPr>
          <w:sz w:val="20"/>
          <w:szCs w:val="20"/>
          <w:lang w:val="fr-CA"/>
        </w:rPr>
        <w:t xml:space="preserve"> </w:t>
      </w:r>
      <w:r w:rsidR="0030050B" w:rsidRPr="009D287C">
        <w:rPr>
          <w:sz w:val="20"/>
          <w:szCs w:val="20"/>
          <w:lang w:val="fr-CA"/>
        </w:rPr>
        <w:t>2016</w:t>
      </w:r>
    </w:p>
    <w:p w:rsidR="005C6840" w:rsidRPr="009D287C" w:rsidRDefault="00346C6C" w:rsidP="005C6840">
      <w:pPr>
        <w:rPr>
          <w:sz w:val="20"/>
          <w:szCs w:val="20"/>
          <w:lang w:val="fr-CA"/>
        </w:rPr>
      </w:pPr>
      <w:r>
        <w:rPr>
          <w:i/>
          <w:sz w:val="20"/>
          <w:szCs w:val="20"/>
        </w:rPr>
        <w:pict>
          <v:rect id="_x0000_i1065" style="width:480.95pt;height:1pt" o:hralign="center" o:hrstd="t" o:hrnoshade="t" o:hr="t" fillcolor="black [3213]" stroked="f"/>
        </w:pict>
      </w:r>
    </w:p>
    <w:p w:rsidR="005C6840" w:rsidRPr="009D287C" w:rsidRDefault="005C6840" w:rsidP="00B406BC">
      <w:pPr>
        <w:rPr>
          <w:sz w:val="20"/>
          <w:szCs w:val="20"/>
          <w:lang w:val="fr-CA"/>
        </w:rPr>
      </w:pPr>
    </w:p>
    <w:p w:rsidR="00B406BC" w:rsidRPr="009D287C" w:rsidRDefault="00B406BC" w:rsidP="00B406BC">
      <w:pPr>
        <w:jc w:val="both"/>
        <w:rPr>
          <w:rFonts w:eastAsia="Times New Roman" w:cs="Times New Roman"/>
          <w:sz w:val="20"/>
          <w:szCs w:val="20"/>
          <w:lang w:val="fr-CA" w:eastAsia="en-CA"/>
        </w:rPr>
      </w:pPr>
      <w:r w:rsidRPr="009D287C">
        <w:rPr>
          <w:rFonts w:eastAsia="Times New Roman" w:cs="Times New Roman"/>
          <w:sz w:val="20"/>
          <w:szCs w:val="20"/>
          <w:lang w:val="fr-CA" w:eastAsia="en-CA"/>
        </w:rPr>
        <w:t xml:space="preserve">Présents : La juge en chef McLachlin et les juges Abella, Cromwell, </w:t>
      </w:r>
      <w:proofErr w:type="spellStart"/>
      <w:r w:rsidRPr="009D287C">
        <w:rPr>
          <w:rFonts w:eastAsia="Times New Roman" w:cs="Times New Roman"/>
          <w:sz w:val="20"/>
          <w:szCs w:val="20"/>
          <w:lang w:val="fr-CA" w:eastAsia="en-CA"/>
        </w:rPr>
        <w:t>Moldaver</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Karakatsanis</w:t>
      </w:r>
      <w:proofErr w:type="spellEnd"/>
      <w:r w:rsidRPr="009D287C">
        <w:rPr>
          <w:rFonts w:eastAsia="Times New Roman" w:cs="Times New Roman"/>
          <w:sz w:val="20"/>
          <w:szCs w:val="20"/>
          <w:lang w:val="fr-CA" w:eastAsia="en-CA"/>
        </w:rPr>
        <w:t>, Wagner, Gascon, Côté et Brown.</w:t>
      </w:r>
    </w:p>
    <w:p w:rsidR="0052229C" w:rsidRPr="009D287C" w:rsidRDefault="0052229C" w:rsidP="00B406BC">
      <w:pPr>
        <w:pStyle w:val="SCCNormalDoubleSpacing"/>
        <w:spacing w:line="240" w:lineRule="auto"/>
        <w:rPr>
          <w:sz w:val="20"/>
          <w:lang w:val="fr-CA"/>
        </w:rPr>
      </w:pPr>
    </w:p>
    <w:p w:rsidR="00B406BC" w:rsidRPr="009D287C" w:rsidRDefault="00B406BC" w:rsidP="00B406BC">
      <w:pPr>
        <w:tabs>
          <w:tab w:val="left" w:pos="1168"/>
        </w:tabs>
        <w:jc w:val="both"/>
        <w:rPr>
          <w:rFonts w:eastAsia="Times New Roman" w:cs="Times New Roman"/>
          <w:i/>
          <w:iCs/>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iCs/>
          <w:sz w:val="20"/>
          <w:szCs w:val="20"/>
          <w:lang w:val="fr-CA" w:eastAsia="en-CA"/>
        </w:rPr>
        <w:t>Contrats</w:t>
      </w:r>
      <w:r w:rsidRPr="009D287C">
        <w:rPr>
          <w:rFonts w:eastAsia="Times New Roman" w:cs="Times New Roman"/>
          <w:i/>
          <w:sz w:val="20"/>
          <w:szCs w:val="20"/>
          <w:lang w:val="fr-CA" w:eastAsia="en-CA"/>
        </w:rPr>
        <w:t xml:space="preserve"> — </w:t>
      </w:r>
      <w:r w:rsidRPr="009D287C">
        <w:rPr>
          <w:rFonts w:eastAsia="Times New Roman" w:cs="Times New Roman"/>
          <w:i/>
          <w:iCs/>
          <w:sz w:val="20"/>
          <w:szCs w:val="20"/>
          <w:lang w:val="fr-CA" w:eastAsia="en-CA"/>
        </w:rPr>
        <w:t>Interprétation</w:t>
      </w:r>
      <w:r w:rsidRPr="009D287C">
        <w:rPr>
          <w:rFonts w:eastAsia="Times New Roman" w:cs="Times New Roman"/>
          <w:i/>
          <w:sz w:val="20"/>
          <w:szCs w:val="20"/>
          <w:lang w:val="fr-CA" w:eastAsia="en-CA"/>
        </w:rPr>
        <w:t xml:space="preserve"> — Intention commune des </w:t>
      </w:r>
      <w:r w:rsidRPr="009D287C">
        <w:rPr>
          <w:rFonts w:eastAsia="Times New Roman" w:cs="Times New Roman"/>
          <w:i/>
          <w:iCs/>
          <w:sz w:val="20"/>
          <w:szCs w:val="20"/>
          <w:lang w:val="fr-CA" w:eastAsia="en-CA"/>
        </w:rPr>
        <w:t>parties</w:t>
      </w:r>
      <w:r w:rsidRPr="009D287C">
        <w:rPr>
          <w:rFonts w:eastAsia="Times New Roman" w:cs="Times New Roman"/>
          <w:i/>
          <w:sz w:val="20"/>
          <w:szCs w:val="20"/>
          <w:lang w:val="fr-CA" w:eastAsia="en-CA"/>
        </w:rPr>
        <w:t xml:space="preserve"> — Instruments écrits relatifs à un montage transactionnel ne reflétant pas l’intention commune des parties de neutralité sur le plan fiscal — Transactions aux conséquences fiscales indésirables — En droit civil québécois, l’intention générale que la mise en œuvre d’un montage transactionnel soit neutre sur le plan fiscal est</w:t>
      </w:r>
      <w:r w:rsidRPr="009D287C">
        <w:rPr>
          <w:rFonts w:eastAsia="Times New Roman" w:cs="Times New Roman"/>
          <w:i/>
          <w:sz w:val="20"/>
          <w:szCs w:val="20"/>
          <w:lang w:val="fr-CA" w:eastAsia="en-CA"/>
        </w:rPr>
        <w:noBreakHyphen/>
        <w:t xml:space="preserve">elle suffisante pour autoriser la rectification des instruments écrits ? — </w:t>
      </w:r>
      <w:r w:rsidRPr="009D287C">
        <w:rPr>
          <w:rFonts w:eastAsia="Times New Roman" w:cs="Times New Roman"/>
          <w:i/>
          <w:iCs/>
          <w:sz w:val="20"/>
          <w:szCs w:val="20"/>
          <w:lang w:val="fr-CA" w:eastAsia="en-CA"/>
        </w:rPr>
        <w:t>Code civil du Québec, art. 1425.</w:t>
      </w:r>
    </w:p>
    <w:p w:rsidR="00B406BC" w:rsidRPr="009D287C" w:rsidRDefault="00B406BC" w:rsidP="00B406BC">
      <w:pPr>
        <w:tabs>
          <w:tab w:val="left" w:pos="1168"/>
        </w:tabs>
        <w:jc w:val="both"/>
        <w:rPr>
          <w:rFonts w:eastAsia="Times New Roman" w:cs="Times New Roman"/>
          <w:i/>
          <w:sz w:val="20"/>
          <w:szCs w:val="20"/>
          <w:lang w:val="fr-CA" w:eastAsia="en-CA"/>
        </w:rPr>
      </w:pPr>
    </w:p>
    <w:p w:rsidR="00B406BC" w:rsidRPr="009D287C" w:rsidRDefault="00B406BC" w:rsidP="00B406BC">
      <w:pPr>
        <w:tabs>
          <w:tab w:val="left" w:pos="1168"/>
        </w:tabs>
        <w:jc w:val="both"/>
        <w:rPr>
          <w:rFonts w:eastAsia="Times New Roman" w:cs="Times New Roman"/>
          <w:i/>
          <w:sz w:val="20"/>
          <w:szCs w:val="20"/>
          <w:lang w:val="fr-CA" w:eastAsia="en-CA"/>
        </w:rPr>
      </w:pPr>
      <w:r w:rsidRPr="009D287C">
        <w:rPr>
          <w:rFonts w:eastAsia="Times New Roman" w:cs="Times New Roman"/>
          <w:i/>
          <w:sz w:val="20"/>
          <w:szCs w:val="20"/>
          <w:lang w:val="fr-CA" w:eastAsia="en-CA"/>
        </w:rPr>
        <w:tab/>
        <w:t>Droit commercial — Sociétés par actions — Fiscalité — La rectification d’un instrument écrit équivaut</w:t>
      </w:r>
      <w:r w:rsidRPr="009D287C">
        <w:rPr>
          <w:rFonts w:eastAsia="Times New Roman" w:cs="Times New Roman"/>
          <w:i/>
          <w:sz w:val="20"/>
          <w:szCs w:val="20"/>
          <w:lang w:val="fr-CA" w:eastAsia="en-CA"/>
        </w:rPr>
        <w:noBreakHyphen/>
        <w:t xml:space="preserve">elle à une planification fiscale rétroactive ? </w:t>
      </w:r>
    </w:p>
    <w:p w:rsidR="00B406BC" w:rsidRPr="009D287C" w:rsidRDefault="00B406BC" w:rsidP="00B406BC">
      <w:pPr>
        <w:tabs>
          <w:tab w:val="left" w:pos="1168"/>
        </w:tabs>
        <w:jc w:val="both"/>
        <w:rPr>
          <w:rFonts w:eastAsia="Times New Roman" w:cs="Times New Roman"/>
          <w:i/>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Le Groupe Jean </w:t>
      </w:r>
      <w:proofErr w:type="spellStart"/>
      <w:r w:rsidRPr="009D287C">
        <w:rPr>
          <w:rFonts w:eastAsia="Times New Roman" w:cs="Times New Roman"/>
          <w:sz w:val="20"/>
          <w:szCs w:val="20"/>
          <w:lang w:val="fr-CA" w:eastAsia="en-CA"/>
        </w:rPr>
        <w:t>Coutu</w:t>
      </w:r>
      <w:proofErr w:type="spellEnd"/>
      <w:r w:rsidRPr="009D287C">
        <w:rPr>
          <w:rFonts w:eastAsia="Times New Roman" w:cs="Times New Roman"/>
          <w:sz w:val="20"/>
          <w:szCs w:val="20"/>
          <w:lang w:val="fr-CA" w:eastAsia="en-CA"/>
        </w:rPr>
        <w:t xml:space="preserve"> (PJC) Inc. (« PJC Canada ») est une société commerciale québécoise. En 2004, sa filiale, PJC USA, a investi dans une chaîne de pharmacies américaines. Les variations de la valeur de cet investissement en raison des fluctuations du taux de change des devises américaines et canadiennes suscitaient des perceptions négatives chez les investisseurs de PJC Canada. Cherchant un moyen de neutraliser ces perceptions, et ce, sans conséquences fiscales défavorables, PJC Canada a alors consulté des conseillers professionnels. Même si la série de transactions choisie a permis de neutraliser l’effet des fluctuations du taux de change, elle n’a pas pu empêcher les conséquences fiscales. En 2010, l’Agence du revenu du Canada (« ARC ») a établi que PJC Canada devait la somme de 2,2 millions de dollars CAN au titre de l’impôt sur le revenu pour les années 2005, 2006 et 2007. L’ARC a conclu que, puisque PJC USA était une filiale contrôlée à l’étranger de PJC Canada, l’intérêt qu’elle a perçu au cours de ces années sur la somme de 70 millions de dollars US qui lui avait été prêtée constituait du revenu étranger accumulé, tiré de biens (« RÉATB »), au sens de la </w:t>
      </w:r>
      <w:r w:rsidRPr="009D287C">
        <w:rPr>
          <w:rFonts w:eastAsia="Times New Roman" w:cs="Times New Roman"/>
          <w:i/>
          <w:sz w:val="20"/>
          <w:szCs w:val="20"/>
          <w:lang w:val="fr-CA" w:eastAsia="en-CA"/>
        </w:rPr>
        <w:t>Loi de l’impôt sur le revenu</w:t>
      </w:r>
      <w:r w:rsidRPr="009D287C">
        <w:rPr>
          <w:rFonts w:eastAsia="Times New Roman" w:cs="Times New Roman"/>
          <w:sz w:val="20"/>
          <w:szCs w:val="20"/>
          <w:lang w:val="fr-CA" w:eastAsia="en-CA"/>
        </w:rPr>
        <w:t>, et imposable à titre de revenu de PJC Canada.</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Après la vérification de l’ARC, PJC Canada a déposé une requête en rectification des documents relatifs à l’entente et en jugement déclaratoire en application de l’art. 1425 du </w:t>
      </w:r>
      <w:r w:rsidRPr="009D287C">
        <w:rPr>
          <w:rFonts w:eastAsia="Times New Roman" w:cs="Times New Roman"/>
          <w:i/>
          <w:sz w:val="20"/>
          <w:szCs w:val="20"/>
          <w:lang w:val="fr-CA" w:eastAsia="en-CA"/>
        </w:rPr>
        <w:t>Code civil du Québec</w:t>
      </w:r>
      <w:r w:rsidRPr="009D287C">
        <w:rPr>
          <w:rFonts w:eastAsia="Times New Roman" w:cs="Times New Roman"/>
          <w:sz w:val="20"/>
          <w:szCs w:val="20"/>
          <w:lang w:val="fr-CA" w:eastAsia="en-CA"/>
        </w:rPr>
        <w:t xml:space="preserve"> («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i/>
          <w:sz w:val="20"/>
          <w:szCs w:val="20"/>
          <w:lang w:val="fr-CA" w:eastAsia="en-CA"/>
        </w:rPr>
        <w:t>.</w:t>
      </w:r>
      <w:r w:rsidRPr="009D287C">
        <w:rPr>
          <w:rFonts w:eastAsia="Times New Roman" w:cs="Times New Roman"/>
          <w:sz w:val="20"/>
          <w:szCs w:val="20"/>
          <w:lang w:val="fr-CA" w:eastAsia="en-CA"/>
        </w:rPr>
        <w:t xml:space="preserve"> »). Le juge saisi de la demande a accueilli la requête. Compte tenu des conséquences défavorables sur le plan fiscal, il a conclu à une divergence entre l’intention commune des parties et les documents rédigés en vue de donner effet à cette intention. En conséquence, PJC Canada a été autorisée à modifier les documents par l’ajout des nouvelles transactions, de sorte que l’intérêt payable par PJC Canada à PJC USA soit compensé par l’intérêt payable par PJC USA à PJC Canada et que le RÉATB soit réduit à néant. La Cour d’appel a accueilli l’appel et conclu que l’intention générale de PJC Canada selon laquelle l’entente devait être neutre sur le plan fiscal n’était pas suffisamment déterminée pour justifier de la modifier. </w:t>
      </w: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Arrêt (les juges Abella et Côté sont dissidentes) : Le pourvoi est rejeté.</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Calibri"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La</w:t>
      </w:r>
      <w:r w:rsidRPr="009D287C">
        <w:rPr>
          <w:rFonts w:eastAsia="Times New Roman" w:cs="Times New Roman"/>
          <w:sz w:val="20"/>
          <w:szCs w:val="20"/>
          <w:lang w:val="fr-CA" w:eastAsia="en-CA"/>
        </w:rPr>
        <w:t xml:space="preserve"> juge en chef McLachlin et les juges Cromwell, </w:t>
      </w:r>
      <w:proofErr w:type="spellStart"/>
      <w:r w:rsidRPr="009D287C">
        <w:rPr>
          <w:rFonts w:eastAsia="Times New Roman" w:cs="Times New Roman"/>
          <w:sz w:val="20"/>
          <w:szCs w:val="20"/>
          <w:lang w:val="fr-CA" w:eastAsia="en-CA"/>
        </w:rPr>
        <w:t>Moldaver</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Karakatsanis</w:t>
      </w:r>
      <w:proofErr w:type="spellEnd"/>
      <w:r w:rsidRPr="009D287C">
        <w:rPr>
          <w:rFonts w:eastAsia="Times New Roman" w:cs="Times New Roman"/>
          <w:sz w:val="20"/>
          <w:szCs w:val="20"/>
          <w:lang w:val="fr-CA" w:eastAsia="en-CA"/>
        </w:rPr>
        <w:t xml:space="preserve">, </w:t>
      </w:r>
      <w:r w:rsidRPr="009D287C">
        <w:rPr>
          <w:rFonts w:eastAsia="Times New Roman" w:cs="Times New Roman"/>
          <w:b/>
          <w:sz w:val="20"/>
          <w:szCs w:val="20"/>
          <w:lang w:val="fr-CA" w:eastAsia="en-CA"/>
        </w:rPr>
        <w:t>Wagner</w:t>
      </w:r>
      <w:r w:rsidRPr="009D287C">
        <w:rPr>
          <w:rFonts w:eastAsia="Times New Roman" w:cs="Times New Roman"/>
          <w:sz w:val="20"/>
          <w:szCs w:val="20"/>
          <w:lang w:val="fr-CA" w:eastAsia="en-CA"/>
        </w:rPr>
        <w:t xml:space="preserve">, Gascon et Brown : Une intention générale de neutralité fiscale ne peut, en l’absence d’une opération juridique précise et d’une prestation, ou de prestations, déterminée ou déterminable au sens où il faut l’entendre pour l’application de l’art. 1373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i/>
          <w:sz w:val="20"/>
          <w:szCs w:val="20"/>
          <w:lang w:val="fr-CA" w:eastAsia="en-CA"/>
        </w:rPr>
        <w:t>.</w:t>
      </w:r>
      <w:r w:rsidRPr="009D287C">
        <w:rPr>
          <w:rFonts w:eastAsia="Times New Roman" w:cs="Times New Roman"/>
          <w:sz w:val="20"/>
          <w:szCs w:val="20"/>
          <w:lang w:val="fr-CA" w:eastAsia="en-CA"/>
        </w:rPr>
        <w:t xml:space="preserve">, donner lieu à une intention commune emportant formation de l’entente originale </w:t>
      </w:r>
      <w:r w:rsidRPr="009D287C">
        <w:rPr>
          <w:rFonts w:eastAsia="Calibri" w:cs="Times New Roman"/>
          <w:sz w:val="20"/>
          <w:szCs w:val="20"/>
          <w:lang w:val="fr-CA" w:eastAsia="en-CA"/>
        </w:rPr>
        <w:t xml:space="preserve">et justifier la modification des documents écrits constatant cette entente en application de l’art. 1425 </w:t>
      </w:r>
      <w:proofErr w:type="spellStart"/>
      <w:r w:rsidRPr="009D287C">
        <w:rPr>
          <w:rFonts w:eastAsia="Calibri" w:cs="Times New Roman"/>
          <w:i/>
          <w:sz w:val="20"/>
          <w:szCs w:val="20"/>
          <w:lang w:val="fr-CA" w:eastAsia="en-CA"/>
        </w:rPr>
        <w:t>C.c.Q</w:t>
      </w:r>
      <w:proofErr w:type="spellEnd"/>
      <w:r w:rsidRPr="009D287C">
        <w:rPr>
          <w:rFonts w:eastAsia="Calibri" w:cs="Times New Roman"/>
          <w:i/>
          <w:sz w:val="20"/>
          <w:szCs w:val="20"/>
          <w:lang w:val="fr-CA" w:eastAsia="en-CA"/>
        </w:rPr>
        <w:t>.</w:t>
      </w:r>
      <w:r w:rsidRPr="009D287C">
        <w:rPr>
          <w:rFonts w:eastAsia="Calibri" w:cs="Times New Roman"/>
          <w:sz w:val="20"/>
          <w:szCs w:val="20"/>
          <w:lang w:val="fr-CA" w:eastAsia="en-CA"/>
        </w:rPr>
        <w:t xml:space="preserve"> L’interprétation des contrats est axée sur ce que les parties ont vraiment convenu de faire, et non sur les raisons qu’elles avaient de conclure le contrat ou sur les conséquences qu’elles voulaient que ce contrat produise. Ainsi, lorsqu’un contrat, dont l’effet voulu est, en tout ou en partie, d’éviter, de reporter ou de minimiser l’impôt payable, produit des conséquences fiscales indésirables, l’expression de l’entente ne pourra être modifiée qu’à deux conditions. Premièrement, si les parties à l’entente cherchaient expressément au départ à éviter ces conséquences fiscales au moyen d’obligations suffisamment précises dont les objets, soit les prestations à exécuter, sont déterminés ou déterminables; et, deuxièmement, si les obligations, dans la mesure où elles avaient été correctement exprimées, et les prestations correspondantes, dans la mesure où elles avaient été correctement exécutées, avaient eu l’effet recherché.</w:t>
      </w:r>
    </w:p>
    <w:p w:rsidR="00B406BC" w:rsidRPr="009D287C" w:rsidRDefault="00B406BC" w:rsidP="00B406BC">
      <w:pPr>
        <w:tabs>
          <w:tab w:val="left" w:pos="1168"/>
        </w:tabs>
        <w:jc w:val="both"/>
        <w:rPr>
          <w:rFonts w:eastAsia="Calibri" w:cs="Times New Roman"/>
          <w:sz w:val="20"/>
          <w:szCs w:val="20"/>
          <w:lang w:val="fr-CA" w:eastAsia="en-CA"/>
        </w:rPr>
      </w:pPr>
    </w:p>
    <w:p w:rsidR="00B406BC" w:rsidRPr="009D287C" w:rsidRDefault="00B406BC" w:rsidP="00B406BC">
      <w:pPr>
        <w:tabs>
          <w:tab w:val="left" w:pos="1168"/>
        </w:tabs>
        <w:jc w:val="both"/>
        <w:rPr>
          <w:rFonts w:eastAsia="Calibri" w:cs="Times New Roman"/>
          <w:sz w:val="20"/>
          <w:szCs w:val="20"/>
          <w:lang w:val="fr-CA" w:eastAsia="en-CA"/>
        </w:rPr>
      </w:pPr>
      <w:r w:rsidRPr="009D287C">
        <w:rPr>
          <w:rFonts w:eastAsia="Calibri" w:cs="Times New Roman"/>
          <w:sz w:val="20"/>
          <w:szCs w:val="20"/>
          <w:lang w:val="fr-CA" w:eastAsia="en-CA"/>
        </w:rPr>
        <w:tab/>
        <w:t>En l’espèce, PJC Canada et PJC USA se sont entendues sur une série de prestations précises qu’elles voulaient exécuter, et il n’y a eu aucune erreur dans la façon d’exprimer ou d’exécuter cette entente. Cette dernière a simplement eu pour PJC Canada des effets imprévus et indésirables sur le plan fiscal. L’erreur résidait dans les transactions dont les parties ont convenu, non dans la fa</w:t>
      </w:r>
      <w:r w:rsidRPr="009D287C">
        <w:rPr>
          <w:rFonts w:eastAsia="Times New Roman" w:cs="Times New Roman"/>
          <w:sz w:val="20"/>
          <w:szCs w:val="20"/>
          <w:lang w:val="fr-CA" w:eastAsia="en-CA"/>
        </w:rPr>
        <w:t>çon dont elles ont été exprimées</w:t>
      </w:r>
      <w:r w:rsidRPr="009D287C">
        <w:rPr>
          <w:rFonts w:eastAsia="Calibri" w:cs="Times New Roman"/>
          <w:sz w:val="20"/>
          <w:szCs w:val="20"/>
          <w:lang w:val="fr-CA" w:eastAsia="en-CA"/>
        </w:rPr>
        <w:t>. Si PJC Canada et PJC USA s’étaient arrêtées à la question du RÉATB et avaient convenu d’un montage transactionnel qui, s’il avait été constaté et exécuté correctement, avait permis de réaliser l’objectif de neutraliser l’effet des fluctuations monétaires tout en évitant de produire du RÉATB, il serait approprié d’autoriser la modification des documents écrits afférents à ces transactions s’ils présentaient une transcription erronée de cette volonté commune. Permettre la modification des documents écrits reviendrait non seulement à consacrer une planification fiscale rétroactive, mais à créer un précédent non souhaitable.</w:t>
      </w:r>
      <w:r w:rsidRPr="009D287C">
        <w:rPr>
          <w:rFonts w:eastAsia="Times New Roman" w:cs="Times New Roman"/>
          <w:sz w:val="20"/>
          <w:szCs w:val="20"/>
          <w:lang w:val="fr-CA" w:eastAsia="en-CA"/>
        </w:rPr>
        <w:t xml:space="preserve"> Les contribuables pourraient </w:t>
      </w:r>
      <w:r w:rsidRPr="009D287C">
        <w:rPr>
          <w:rFonts w:eastAsia="Calibri" w:cs="Times New Roman"/>
          <w:sz w:val="20"/>
          <w:szCs w:val="20"/>
          <w:lang w:val="fr-CA" w:eastAsia="en-CA"/>
        </w:rPr>
        <w:t>se protéger des conséquences fiscales imprévues et, eux et leurs conseillers fiscaux, des inattentions ou erreurs qu’ils pourraient commettre dans la planification des transactions.</w:t>
      </w:r>
    </w:p>
    <w:p w:rsidR="00B406BC" w:rsidRPr="009D287C" w:rsidRDefault="00B406BC" w:rsidP="00B406BC">
      <w:pPr>
        <w:tabs>
          <w:tab w:val="left" w:pos="1168"/>
        </w:tabs>
        <w:jc w:val="both"/>
        <w:rPr>
          <w:rFonts w:eastAsia="Calibri"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Bien que la réparation en droit civil québécois et celle en </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xml:space="preserve"> tirent leur origine de sources juridiques différentes, elles partagent des principes semblables et mènent à des résultats semblables. Ceux</w:t>
      </w:r>
      <w:r w:rsidRPr="009D287C">
        <w:rPr>
          <w:rFonts w:eastAsia="Times New Roman" w:cs="Times New Roman"/>
          <w:sz w:val="20"/>
          <w:szCs w:val="20"/>
          <w:lang w:val="fr-CA" w:eastAsia="en-CA"/>
        </w:rPr>
        <w:noBreakHyphen/>
        <w:t>ci sont particulièrement les bienvenus dans le contexte fiscal, puisque les mêmes lois fiscales fédérales s’appliquent dans l’ensemble du pays. Les deux recours ont le même objectif : vérifier si l’entente véritable intervenue entre les parties contractantes est exprimée avec justesse dans les instruments écrits qui, soit reflètent les conditions de l’entente, soit constituent l’exécution des obligations elles</w:t>
      </w:r>
      <w:r w:rsidRPr="009D287C">
        <w:rPr>
          <w:rFonts w:eastAsia="Times New Roman" w:cs="Times New Roman"/>
          <w:sz w:val="20"/>
          <w:szCs w:val="20"/>
          <w:lang w:val="fr-CA" w:eastAsia="en-CA"/>
        </w:rPr>
        <w:noBreakHyphen/>
        <w:t>mêmes. Les deux sont d’application stricte : la modification ne peut porter que sur l’expression ou la transcription du contrat; le contrat lui</w:t>
      </w:r>
      <w:r w:rsidRPr="009D287C">
        <w:rPr>
          <w:rFonts w:eastAsia="Times New Roman" w:cs="Times New Roman"/>
          <w:sz w:val="20"/>
          <w:szCs w:val="20"/>
          <w:lang w:val="fr-CA" w:eastAsia="en-CA"/>
        </w:rPr>
        <w:noBreakHyphen/>
        <w:t>même ne peut être reformulé. En outre, que ce soit dans un système juridique ou dans l’autre, c’est la véritable entente qui prime, et non pas ses conséquences ou ses effets voulus. Même s’ils ne produiront pas toujours le même résultat, parce que les principes du droit des contrats propres à chacun des deux systèmes juridiques sont différents, ils le feraient en l’espèce. Même suivant les principes de l’</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les modifications demandées par PJC Canada ne seraient pas permises : les parties contractantes n’ont conclu aucune entente préalable dont les conditions étaient déterminées et déterminables et qui incluait les deux nouvelles transactions que PJC Canada souhaite maintenant ajouter à l’entente originale.</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Les</w:t>
      </w:r>
      <w:r w:rsidRPr="009D287C">
        <w:rPr>
          <w:rFonts w:eastAsia="Times New Roman" w:cs="Times New Roman"/>
          <w:sz w:val="20"/>
          <w:szCs w:val="20"/>
          <w:lang w:val="fr-CA" w:eastAsia="en-CA"/>
        </w:rPr>
        <w:t xml:space="preserve"> juges Abella et </w:t>
      </w:r>
      <w:r w:rsidRPr="009D287C">
        <w:rPr>
          <w:rFonts w:eastAsia="Times New Roman" w:cs="Times New Roman"/>
          <w:b/>
          <w:sz w:val="20"/>
          <w:szCs w:val="20"/>
          <w:lang w:val="fr-CA" w:eastAsia="en-CA"/>
        </w:rPr>
        <w:t>Côté</w:t>
      </w:r>
      <w:r w:rsidRPr="009D287C">
        <w:rPr>
          <w:rFonts w:eastAsia="Times New Roman" w:cs="Times New Roman"/>
          <w:sz w:val="20"/>
          <w:szCs w:val="20"/>
          <w:lang w:val="fr-CA" w:eastAsia="en-CA"/>
        </w:rPr>
        <w:t xml:space="preserve"> : Il y a lieu d’adopter, à l’égard de la rectification, l’approche libérale et généreuse appliquée dans l’arrêt </w:t>
      </w:r>
      <w:r w:rsidRPr="009D287C">
        <w:rPr>
          <w:rFonts w:eastAsia="Times New Roman" w:cs="Times New Roman"/>
          <w:i/>
          <w:sz w:val="20"/>
          <w:szCs w:val="20"/>
          <w:lang w:val="fr-CA" w:eastAsia="en-CA"/>
        </w:rPr>
        <w:t>Québec (Agence du revenu) c</w:t>
      </w:r>
      <w:r w:rsidRPr="009D287C">
        <w:rPr>
          <w:rFonts w:eastAsia="Times New Roman" w:cs="Times New Roman"/>
          <w:i/>
          <w:iCs/>
          <w:sz w:val="20"/>
          <w:szCs w:val="20"/>
          <w:lang w:val="fr-CA" w:eastAsia="en-CA"/>
        </w:rPr>
        <w:t>.</w:t>
      </w:r>
      <w:r w:rsidRPr="009D287C">
        <w:rPr>
          <w:rFonts w:eastAsia="Times New Roman" w:cs="Times New Roman"/>
          <w:i/>
          <w:sz w:val="20"/>
          <w:szCs w:val="20"/>
          <w:lang w:val="fr-CA" w:eastAsia="en-CA"/>
        </w:rPr>
        <w:t xml:space="preserve"> Services Environnementaux AES </w:t>
      </w:r>
      <w:proofErr w:type="spellStart"/>
      <w:r w:rsidRPr="009D287C">
        <w:rPr>
          <w:rFonts w:eastAsia="Times New Roman" w:cs="Times New Roman"/>
          <w:i/>
          <w:sz w:val="20"/>
          <w:szCs w:val="20"/>
          <w:lang w:val="fr-CA" w:eastAsia="en-CA"/>
        </w:rPr>
        <w:t>inc.</w:t>
      </w:r>
      <w:proofErr w:type="spellEnd"/>
      <w:r w:rsidRPr="009D287C">
        <w:rPr>
          <w:rFonts w:eastAsia="Times New Roman" w:cs="Times New Roman"/>
          <w:sz w:val="20"/>
          <w:szCs w:val="20"/>
          <w:lang w:val="fr-CA" w:eastAsia="en-CA"/>
        </w:rPr>
        <w:t xml:space="preserve">, 2013 CSC 65, </w:t>
      </w:r>
      <w:r w:rsidRPr="009D287C">
        <w:rPr>
          <w:rFonts w:eastAsia="Times New Roman" w:cs="Times New Roman"/>
          <w:bCs/>
          <w:sz w:val="20"/>
          <w:szCs w:val="20"/>
          <w:lang w:val="fr-CA" w:eastAsia="en-CA"/>
        </w:rPr>
        <w:t>[2013] 3 R.C.S. 838 (« </w:t>
      </w:r>
      <w:r w:rsidRPr="009D287C">
        <w:rPr>
          <w:rFonts w:eastAsia="Times New Roman" w:cs="Times New Roman"/>
          <w:bCs/>
          <w:i/>
          <w:sz w:val="20"/>
          <w:szCs w:val="20"/>
          <w:lang w:val="fr-CA" w:eastAsia="en-CA"/>
        </w:rPr>
        <w:t>AES </w:t>
      </w:r>
      <w:r w:rsidRPr="009D287C">
        <w:rPr>
          <w:rFonts w:eastAsia="Times New Roman" w:cs="Times New Roman"/>
          <w:bCs/>
          <w:sz w:val="20"/>
          <w:szCs w:val="20"/>
          <w:lang w:val="fr-CA" w:eastAsia="en-CA"/>
        </w:rPr>
        <w:t>»)</w:t>
      </w:r>
      <w:r w:rsidRPr="009D287C">
        <w:rPr>
          <w:rFonts w:eastAsia="Times New Roman" w:cs="Times New Roman"/>
          <w:sz w:val="20"/>
          <w:szCs w:val="20"/>
          <w:lang w:val="fr-CA" w:eastAsia="en-CA"/>
        </w:rPr>
        <w:t xml:space="preserve">. Écarter cette approche limite l’exercice par les contribuables d’un recours important dans les cas d’erreur de bonne foi commise par eux ou par leurs conseillers fiscaux. Cela est en outre incompatible avec les réalités du commerce moderne. Toutefois, une simple intention d’éviter l’imposition n’est jamais suffisante pour légitimer une demande en rectification fondée sur l’art. 1425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sz w:val="20"/>
          <w:szCs w:val="20"/>
          <w:lang w:val="fr-CA" w:eastAsia="en-CA"/>
        </w:rPr>
        <w:t xml:space="preserve">.  Même si la convergence entre le droit civil québécois et la </w:t>
      </w:r>
      <w:proofErr w:type="spellStart"/>
      <w:r w:rsidRPr="009D287C">
        <w:rPr>
          <w:rFonts w:eastAsia="Times New Roman" w:cs="Times New Roman"/>
          <w:sz w:val="20"/>
          <w:szCs w:val="20"/>
          <w:lang w:val="fr-CA" w:eastAsia="en-CA"/>
        </w:rPr>
        <w:t>common</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law</w:t>
      </w:r>
      <w:proofErr w:type="spellEnd"/>
      <w:r w:rsidRPr="009D287C">
        <w:rPr>
          <w:rFonts w:eastAsia="Times New Roman" w:cs="Times New Roman"/>
          <w:sz w:val="20"/>
          <w:szCs w:val="20"/>
          <w:lang w:val="fr-CA" w:eastAsia="en-CA"/>
        </w:rPr>
        <w:t xml:space="preserve"> des autres provinces est souhaitable d’un point de vue de politique fiscale, renoncer à l’interprétation de l’art. 1425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i/>
          <w:sz w:val="20"/>
          <w:szCs w:val="20"/>
          <w:lang w:val="fr-CA" w:eastAsia="en-CA"/>
        </w:rPr>
        <w:t>.</w:t>
      </w:r>
      <w:r w:rsidRPr="009D287C">
        <w:rPr>
          <w:rFonts w:eastAsia="Times New Roman" w:cs="Times New Roman"/>
          <w:sz w:val="20"/>
          <w:szCs w:val="20"/>
          <w:lang w:val="fr-CA" w:eastAsia="en-CA"/>
        </w:rPr>
        <w:t xml:space="preserve"> préconisée dans l’arrêt </w:t>
      </w:r>
      <w:r w:rsidRPr="009D287C">
        <w:rPr>
          <w:rFonts w:eastAsia="Times New Roman" w:cs="Times New Roman"/>
          <w:i/>
          <w:sz w:val="20"/>
          <w:szCs w:val="20"/>
          <w:lang w:val="fr-CA" w:eastAsia="en-CA"/>
        </w:rPr>
        <w:t>AES</w:t>
      </w:r>
      <w:r w:rsidRPr="009D287C">
        <w:rPr>
          <w:rFonts w:eastAsia="Times New Roman" w:cs="Times New Roman"/>
          <w:sz w:val="20"/>
          <w:szCs w:val="20"/>
          <w:lang w:val="fr-CA" w:eastAsia="en-CA"/>
        </w:rPr>
        <w:t xml:space="preserve"> dans un effort d’harmonisation avec le recours en rectification en </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xml:space="preserve"> tel que l’envisagent les juges majoritaires dans </w:t>
      </w:r>
      <w:r w:rsidRPr="009D287C">
        <w:rPr>
          <w:rFonts w:eastAsia="Times New Roman" w:cs="Times New Roman"/>
          <w:i/>
          <w:sz w:val="20"/>
          <w:szCs w:val="20"/>
          <w:lang w:val="fr-CA" w:eastAsia="en-CA"/>
        </w:rPr>
        <w:t>Canada (Procureur général) c. Hôtels Fairmont Inc.</w:t>
      </w:r>
      <w:r w:rsidRPr="009D287C">
        <w:rPr>
          <w:rFonts w:eastAsia="Times New Roman" w:cs="Times New Roman"/>
          <w:sz w:val="20"/>
          <w:szCs w:val="20"/>
          <w:lang w:val="fr-CA" w:eastAsia="en-CA"/>
        </w:rPr>
        <w:t>, 2016 CSC 56,</w:t>
      </w:r>
      <w:r w:rsidRPr="009D287C">
        <w:rPr>
          <w:rFonts w:eastAsia="Times New Roman" w:cs="Times New Roman"/>
          <w:i/>
          <w:sz w:val="20"/>
          <w:szCs w:val="20"/>
          <w:lang w:val="fr-CA" w:eastAsia="en-CA"/>
        </w:rPr>
        <w:t xml:space="preserve"> </w:t>
      </w:r>
      <w:r w:rsidRPr="009D287C">
        <w:rPr>
          <w:rFonts w:eastAsia="Times New Roman" w:cs="Times New Roman"/>
          <w:sz w:val="20"/>
          <w:szCs w:val="20"/>
          <w:lang w:val="fr-CA" w:eastAsia="en-CA"/>
        </w:rPr>
        <w:t>est incompatible avec le droit des contrats au Québec.</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iCs/>
          <w:sz w:val="20"/>
          <w:szCs w:val="20"/>
          <w:lang w:val="fr-CA" w:eastAsia="en-CA" w:bidi="en-US"/>
        </w:rPr>
      </w:pPr>
      <w:r w:rsidRPr="009D287C">
        <w:rPr>
          <w:rFonts w:eastAsia="Times New Roman" w:cs="Times New Roman"/>
          <w:sz w:val="20"/>
          <w:szCs w:val="20"/>
          <w:lang w:val="fr-CA" w:eastAsia="en-CA"/>
        </w:rPr>
        <w:tab/>
        <w:t xml:space="preserve">La requête en rectification de PJC Canada est à la fois nécessaire et légitime. Il existe un écart évident entre, d’une part, l’intention commune et continue des parties et, d’autre part, les opérations exécutées dans le but de donner effet à cette intention. La preuve démontre que la neutralité fiscale était une condition </w:t>
      </w:r>
      <w:r w:rsidRPr="009D287C">
        <w:rPr>
          <w:rFonts w:eastAsia="Times New Roman" w:cs="Times New Roman"/>
          <w:i/>
          <w:sz w:val="20"/>
          <w:szCs w:val="20"/>
          <w:lang w:val="fr-CA" w:eastAsia="en-CA"/>
        </w:rPr>
        <w:t>sine qua non</w:t>
      </w:r>
      <w:r w:rsidRPr="009D287C">
        <w:rPr>
          <w:rFonts w:eastAsia="Times New Roman" w:cs="Times New Roman"/>
          <w:sz w:val="20"/>
          <w:szCs w:val="20"/>
          <w:lang w:val="fr-CA" w:eastAsia="en-CA"/>
        </w:rPr>
        <w:t xml:space="preserve"> de la structure transactionnelle envisagée par les parties. L’objet de l’entente consistait en des prêts réciproques neutres sur le plan fiscal, créant un passif net en dollars US. Ne pas considérer que les prêts </w:t>
      </w:r>
      <w:proofErr w:type="gramStart"/>
      <w:r w:rsidRPr="009D287C">
        <w:rPr>
          <w:rFonts w:eastAsia="Times New Roman" w:cs="Times New Roman"/>
          <w:sz w:val="20"/>
          <w:szCs w:val="20"/>
          <w:lang w:val="fr-CA" w:eastAsia="en-CA"/>
        </w:rPr>
        <w:t>devaient</w:t>
      </w:r>
      <w:proofErr w:type="gramEnd"/>
      <w:r w:rsidRPr="009D287C">
        <w:rPr>
          <w:rFonts w:eastAsia="Times New Roman" w:cs="Times New Roman"/>
          <w:sz w:val="20"/>
          <w:szCs w:val="20"/>
          <w:lang w:val="fr-CA" w:eastAsia="en-CA"/>
        </w:rPr>
        <w:t xml:space="preserve"> être neutres sur le plan fiscal pour que l’entente soit logique sur le plan commercial va à l’encontre de l’économie générale de cette dernière. </w:t>
      </w:r>
      <w:r w:rsidRPr="009D287C">
        <w:rPr>
          <w:rFonts w:eastAsia="Times New Roman" w:cs="Times New Roman"/>
          <w:iCs/>
          <w:sz w:val="20"/>
          <w:szCs w:val="20"/>
          <w:lang w:val="fr-CA" w:eastAsia="en-CA" w:bidi="en-US"/>
        </w:rPr>
        <w:t>La neutralité fiscale était au cœur même de l’entente en cause.</w:t>
      </w:r>
    </w:p>
    <w:p w:rsidR="00B406BC" w:rsidRPr="009D287C" w:rsidRDefault="00B406BC" w:rsidP="00B406BC">
      <w:pPr>
        <w:tabs>
          <w:tab w:val="left" w:pos="1168"/>
        </w:tabs>
        <w:jc w:val="both"/>
        <w:rPr>
          <w:rFonts w:eastAsia="Times New Roman" w:cs="Times New Roman"/>
          <w:iCs/>
          <w:sz w:val="20"/>
          <w:szCs w:val="20"/>
          <w:lang w:val="fr-CA" w:eastAsia="en-CA" w:bidi="en-US"/>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iCs/>
          <w:sz w:val="20"/>
          <w:szCs w:val="20"/>
          <w:lang w:val="fr-CA" w:eastAsia="en-CA" w:bidi="en-US"/>
        </w:rPr>
        <w:tab/>
      </w:r>
      <w:r w:rsidRPr="009D287C">
        <w:rPr>
          <w:rFonts w:eastAsia="Times New Roman" w:cs="Times New Roman"/>
          <w:sz w:val="20"/>
          <w:szCs w:val="20"/>
          <w:lang w:val="fr-CA" w:eastAsia="en-CA"/>
        </w:rPr>
        <w:t xml:space="preserve">L’objet du contrat, au sens de l’art. 1412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i/>
          <w:sz w:val="20"/>
          <w:szCs w:val="20"/>
          <w:lang w:val="fr-CA" w:eastAsia="en-CA"/>
        </w:rPr>
        <w:t>.</w:t>
      </w:r>
      <w:r w:rsidRPr="009D287C">
        <w:rPr>
          <w:rFonts w:eastAsia="Times New Roman" w:cs="Times New Roman"/>
          <w:sz w:val="20"/>
          <w:szCs w:val="20"/>
          <w:lang w:val="fr-CA" w:eastAsia="en-CA"/>
        </w:rPr>
        <w:t>, transcende les prestations particulières de l’accord.</w:t>
      </w:r>
      <w:r w:rsidRPr="009D287C">
        <w:rPr>
          <w:rFonts w:eastAsia="Times New Roman" w:cs="Times New Roman"/>
          <w:iCs/>
          <w:sz w:val="20"/>
          <w:szCs w:val="20"/>
          <w:lang w:val="fr-CA" w:eastAsia="en-CA" w:bidi="en-US"/>
        </w:rPr>
        <w:t xml:space="preserve"> Ainsi, </w:t>
      </w:r>
      <w:r w:rsidRPr="009D287C">
        <w:rPr>
          <w:rFonts w:eastAsia="Times New Roman" w:cs="Times New Roman"/>
          <w:sz w:val="20"/>
          <w:szCs w:val="20"/>
          <w:lang w:val="fr-CA" w:eastAsia="en-CA"/>
        </w:rPr>
        <w:t xml:space="preserve">la rectification ne peut pas être possible seulement si la prestation, telle qu’elle est exprimée dans le document écrit, constate ce que les parties avaient expressément envisagé au départ. Dans </w:t>
      </w:r>
      <w:r w:rsidRPr="009D287C">
        <w:rPr>
          <w:rFonts w:eastAsia="Times New Roman" w:cs="Times New Roman"/>
          <w:i/>
          <w:sz w:val="20"/>
          <w:szCs w:val="20"/>
          <w:lang w:val="fr-CA" w:eastAsia="en-CA"/>
        </w:rPr>
        <w:t>AES</w:t>
      </w:r>
      <w:r w:rsidRPr="009D287C">
        <w:rPr>
          <w:rFonts w:eastAsia="Times New Roman" w:cs="Times New Roman"/>
          <w:sz w:val="20"/>
          <w:szCs w:val="20"/>
          <w:lang w:val="fr-CA" w:eastAsia="en-CA"/>
        </w:rPr>
        <w:t xml:space="preserve">, la Cour a reconnu que même l’expression orale de la volonté des parties peut ne pas refléter leur intention commune  et que la rectification ne permet pas seulement de corriger les erreurs d’écriture. En outre, que l’erreur commise par les conseillers fiscaux en l’espèce en soit une d’omission — dans la mesure où ils ont négligé de tenir compte du RÉATB — plutôt que de commission — en calculant erronément le PRB des actions, par exemple — n’est pas une raison de principe qui justifie de distinguer la présente cause de l’affaire </w:t>
      </w:r>
      <w:r w:rsidRPr="009D287C">
        <w:rPr>
          <w:rFonts w:eastAsia="Times New Roman" w:cs="Times New Roman"/>
          <w:i/>
          <w:sz w:val="20"/>
          <w:szCs w:val="20"/>
          <w:lang w:val="fr-CA" w:eastAsia="en-CA"/>
        </w:rPr>
        <w:t>AES</w:t>
      </w:r>
      <w:r w:rsidRPr="009D287C">
        <w:rPr>
          <w:rFonts w:eastAsia="Times New Roman" w:cs="Times New Roman"/>
          <w:sz w:val="20"/>
          <w:szCs w:val="20"/>
          <w:lang w:val="fr-CA" w:eastAsia="en-CA"/>
        </w:rPr>
        <w:t xml:space="preserve">. Cette distinction est en contradiction avec la proposition selon laquelle, si l’expression d’une intention commune est entachée d’une erreur, notamment d’une erreur imputable comme ici au conseiller professionnel du </w:t>
      </w:r>
      <w:r w:rsidRPr="009D287C">
        <w:rPr>
          <w:rFonts w:eastAsia="Times New Roman" w:cs="Times New Roman"/>
          <w:sz w:val="20"/>
          <w:szCs w:val="20"/>
          <w:lang w:val="fr-CA" w:eastAsia="en-CA"/>
        </w:rPr>
        <w:lastRenderedPageBreak/>
        <w:t xml:space="preserve">contribuable, une fois cette erreur établie, le tribunal doit la constater et faire en sorte qu’on y remédie. Cette distinction est également en contradiction avec la reconnaissance, dans </w:t>
      </w:r>
      <w:r w:rsidRPr="009D287C">
        <w:rPr>
          <w:rFonts w:eastAsia="Times New Roman" w:cs="Times New Roman"/>
          <w:i/>
          <w:sz w:val="20"/>
          <w:szCs w:val="20"/>
          <w:lang w:val="fr-CA" w:eastAsia="en-CA"/>
        </w:rPr>
        <w:t>AES</w:t>
      </w:r>
      <w:r w:rsidRPr="009D287C">
        <w:rPr>
          <w:rFonts w:eastAsia="Times New Roman" w:cs="Times New Roman"/>
          <w:sz w:val="20"/>
          <w:szCs w:val="20"/>
          <w:lang w:val="fr-CA" w:eastAsia="en-CA"/>
        </w:rPr>
        <w:t>, du pouvoir qu’ont les tribunaux de combler des vides dans le texte en interprétant l’intention commune des parties.</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Les transactions ou prestations additionnelles envisagées par les parties étaient suffisamment déterminables au sens où il faut l’entendre pour l’application de l’art. 1373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i/>
          <w:sz w:val="20"/>
          <w:szCs w:val="20"/>
          <w:lang w:val="fr-CA" w:eastAsia="en-CA"/>
        </w:rPr>
        <w:t>.</w:t>
      </w:r>
      <w:r w:rsidRPr="009D287C">
        <w:rPr>
          <w:rFonts w:eastAsia="Times New Roman" w:cs="Times New Roman"/>
          <w:sz w:val="20"/>
          <w:szCs w:val="20"/>
          <w:lang w:val="fr-CA" w:eastAsia="en-CA"/>
        </w:rPr>
        <w:t xml:space="preserve"> tel qu’il est interprété par la Cour dans l’arrêt </w:t>
      </w:r>
      <w:r w:rsidRPr="009D287C">
        <w:rPr>
          <w:rFonts w:eastAsia="Times New Roman" w:cs="Times New Roman"/>
          <w:i/>
          <w:sz w:val="20"/>
          <w:szCs w:val="20"/>
          <w:lang w:val="fr-CA" w:eastAsia="en-CA"/>
        </w:rPr>
        <w:t>AES.</w:t>
      </w:r>
      <w:r w:rsidRPr="009D287C">
        <w:rPr>
          <w:rFonts w:eastAsia="Times New Roman" w:cs="Times New Roman"/>
          <w:sz w:val="20"/>
          <w:szCs w:val="20"/>
          <w:lang w:val="fr-CA" w:eastAsia="en-CA"/>
        </w:rPr>
        <w:t xml:space="preserve"> D’ailleurs, il appert des modalités du contrat de prêt intervenu entre PJC Canada et PJC USA le 7 février 2005 que le capital ne pouvait être remboursé qu’advenant le consentement mutuel des parties. L’insertion d’étapes intermédiaires impliquant le remboursement d’un prêt à demande ne constitue guère plus qu’une reconnaissance judiciaire de l’acquittement partiel d’une obligation, obligation que même les modalités de l’entente originale des parties permettent de déterminer. Les prestations supposaient le financement réciproque de la dette ainsi que le remboursement partiel de cette dette advenant — et uniquement advenant — le consentement mutuel des parties. Les prestations étaient donc déterminées et l’obligation de remboursement correspondante était déterminable.</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bidi="en-US"/>
        </w:rPr>
      </w:pPr>
      <w:r w:rsidRPr="009D287C">
        <w:rPr>
          <w:rFonts w:eastAsia="Times New Roman" w:cs="Times New Roman"/>
          <w:sz w:val="20"/>
          <w:szCs w:val="20"/>
          <w:lang w:val="fr-CA" w:eastAsia="en-CA"/>
        </w:rPr>
        <w:tab/>
        <w:t xml:space="preserve">PJC Canada ne demande pas de réécrire l’histoire fiscale des transactions, mais plutôt d’en combler les vides en y ajoutant deux étapes intermédiaires qui préservent la neutralité fiscale. Les modifications souhaitées ne changent pas la nature de la structure originale de l’opération envisagée au départ.  L’entente ne constituait pas une planification fiscale. Rien ne laisse supposer que PJC Canada a fait preuve de mauvaise foi ou commis un abus de droit. </w:t>
      </w:r>
      <w:r w:rsidRPr="009D287C">
        <w:rPr>
          <w:rFonts w:eastAsia="Times New Roman" w:cs="Times New Roman"/>
          <w:sz w:val="20"/>
          <w:szCs w:val="20"/>
          <w:lang w:val="fr-CA" w:eastAsia="en-CA" w:bidi="en-US"/>
        </w:rPr>
        <w:t>L’erreur d’omission des conseillers fiscaux est survenue en toute bonne foi, après que PJC Canada eut fait preuve de diligence raisonnable.</w:t>
      </w:r>
    </w:p>
    <w:p w:rsidR="00B406BC" w:rsidRPr="009D287C" w:rsidRDefault="00B406BC" w:rsidP="00B406BC">
      <w:pPr>
        <w:tabs>
          <w:tab w:val="left" w:pos="1168"/>
        </w:tabs>
        <w:jc w:val="both"/>
        <w:rPr>
          <w:rFonts w:eastAsia="Times New Roman" w:cs="Times New Roman"/>
          <w:sz w:val="20"/>
          <w:szCs w:val="20"/>
          <w:lang w:val="fr-CA" w:eastAsia="en-CA" w:bidi="en-US"/>
        </w:rPr>
      </w:pPr>
    </w:p>
    <w:p w:rsidR="00B406BC" w:rsidRPr="009D287C" w:rsidRDefault="00B406BC" w:rsidP="00B406BC">
      <w:pPr>
        <w:tabs>
          <w:tab w:val="left" w:pos="1170"/>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Rien dans la demande de PJC Canada ne portait atteinte aux droits de tiers et il n’y a eu aucune violation des règles de preuve. En l’absence d’argument fondé sur des droits de tiers, faire droit à la requête de PJC Canada favorise, plutôt qu’elle ne l’affaiblit, la stabilité commerciale parce que les attentes contractuelles des parties s’en trouvent réalisées. Puisque PJC Canada et PJC USA s’entendent quant à leur intention commune, il n’y a pas, en l’espèce, de risque de réécrire illégitimement l’entente initiale a posteriori. En outre, il est préférable de procéder à la rectification de l’entente, conformément à l’obligation de limiter les dommages incombant à la partie innocente suivant l’art. 1479 </w:t>
      </w:r>
      <w:proofErr w:type="spellStart"/>
      <w:r w:rsidRPr="009D287C">
        <w:rPr>
          <w:rFonts w:eastAsia="Times New Roman" w:cs="Times New Roman"/>
          <w:i/>
          <w:sz w:val="20"/>
          <w:szCs w:val="20"/>
          <w:lang w:val="fr-CA" w:eastAsia="en-CA"/>
        </w:rPr>
        <w:t>C.c.Q</w:t>
      </w:r>
      <w:proofErr w:type="spellEnd"/>
      <w:r w:rsidRPr="009D287C">
        <w:rPr>
          <w:rFonts w:eastAsia="Times New Roman" w:cs="Times New Roman"/>
          <w:i/>
          <w:sz w:val="20"/>
          <w:szCs w:val="20"/>
          <w:lang w:val="fr-CA" w:eastAsia="en-CA"/>
        </w:rPr>
        <w:t>.</w:t>
      </w:r>
      <w:r w:rsidRPr="009D287C">
        <w:rPr>
          <w:rFonts w:eastAsia="Times New Roman" w:cs="Times New Roman"/>
          <w:sz w:val="20"/>
          <w:szCs w:val="20"/>
          <w:lang w:val="fr-CA" w:eastAsia="en-CA"/>
        </w:rPr>
        <w:t xml:space="preserve"> plutôt que d’inciter cette partie à poursuivre ses conseillers.</w:t>
      </w:r>
    </w:p>
    <w:p w:rsidR="00B406BC" w:rsidRPr="009D287C" w:rsidRDefault="00B406BC" w:rsidP="00B406BC">
      <w:pPr>
        <w:tabs>
          <w:tab w:val="left" w:pos="1170"/>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POURVOI contre un arrêt de la Cour d’appel du Québec (les juges Chamberland, Giroux et </w:t>
      </w:r>
      <w:proofErr w:type="spellStart"/>
      <w:r w:rsidRPr="009D287C">
        <w:rPr>
          <w:rFonts w:eastAsia="Times New Roman" w:cs="Times New Roman"/>
          <w:sz w:val="20"/>
          <w:szCs w:val="20"/>
          <w:lang w:val="fr-CA" w:eastAsia="en-CA"/>
        </w:rPr>
        <w:t>Schrager</w:t>
      </w:r>
      <w:proofErr w:type="spellEnd"/>
      <w:r w:rsidRPr="009D287C">
        <w:rPr>
          <w:rFonts w:eastAsia="Times New Roman" w:cs="Times New Roman"/>
          <w:sz w:val="20"/>
          <w:szCs w:val="20"/>
          <w:lang w:val="fr-CA" w:eastAsia="en-CA"/>
        </w:rPr>
        <w:t>), 2015 QCCA 838, [2015] 4 C.T.C. 82, [2015] AZ</w:t>
      </w:r>
      <w:r w:rsidRPr="009D287C">
        <w:rPr>
          <w:rFonts w:eastAsia="Times New Roman" w:cs="Times New Roman"/>
          <w:sz w:val="20"/>
          <w:szCs w:val="20"/>
          <w:lang w:val="fr-CA" w:eastAsia="en-CA"/>
        </w:rPr>
        <w:noBreakHyphen/>
        <w:t xml:space="preserve">51175618, [2015] Q.J. No. 4127 (QL), 2015 </w:t>
      </w:r>
      <w:proofErr w:type="spellStart"/>
      <w:r w:rsidRPr="009D287C">
        <w:rPr>
          <w:rFonts w:eastAsia="Times New Roman" w:cs="Times New Roman"/>
          <w:sz w:val="20"/>
          <w:szCs w:val="20"/>
          <w:lang w:val="fr-CA" w:eastAsia="en-CA"/>
        </w:rPr>
        <w:t>CarswellQue</w:t>
      </w:r>
      <w:proofErr w:type="spellEnd"/>
      <w:r w:rsidRPr="009D287C">
        <w:rPr>
          <w:rFonts w:eastAsia="Times New Roman" w:cs="Times New Roman"/>
          <w:sz w:val="20"/>
          <w:szCs w:val="20"/>
          <w:lang w:val="fr-CA" w:eastAsia="en-CA"/>
        </w:rPr>
        <w:t xml:space="preserve"> 3542 (WL Can.), qui a infirmé une décision du juge Chabot, 2012 QCCS 6917, [2012] AZ</w:t>
      </w:r>
      <w:r w:rsidRPr="009D287C">
        <w:rPr>
          <w:rFonts w:eastAsia="Times New Roman" w:cs="Times New Roman"/>
          <w:sz w:val="20"/>
          <w:szCs w:val="20"/>
          <w:lang w:val="fr-CA" w:eastAsia="en-CA"/>
        </w:rPr>
        <w:noBreakHyphen/>
        <w:t>50931255, [2012] J.Q. n</w:t>
      </w:r>
      <w:r w:rsidRPr="009D287C">
        <w:rPr>
          <w:rFonts w:eastAsia="Times New Roman" w:cs="Times New Roman"/>
          <w:sz w:val="20"/>
          <w:szCs w:val="20"/>
          <w:vertAlign w:val="superscript"/>
          <w:lang w:val="fr-CA" w:eastAsia="en-CA"/>
        </w:rPr>
        <w:t>o</w:t>
      </w:r>
      <w:r w:rsidRPr="009D287C">
        <w:rPr>
          <w:rFonts w:eastAsia="Times New Roman" w:cs="Times New Roman"/>
          <w:sz w:val="20"/>
          <w:szCs w:val="20"/>
          <w:lang w:val="fr-CA" w:eastAsia="en-CA"/>
        </w:rPr>
        <w:t xml:space="preserve"> 19046 (QL), 2012 </w:t>
      </w:r>
      <w:proofErr w:type="spellStart"/>
      <w:r w:rsidRPr="009D287C">
        <w:rPr>
          <w:rFonts w:eastAsia="Times New Roman" w:cs="Times New Roman"/>
          <w:sz w:val="20"/>
          <w:szCs w:val="20"/>
          <w:lang w:val="fr-CA" w:eastAsia="en-CA"/>
        </w:rPr>
        <w:t>CarswellQue</w:t>
      </w:r>
      <w:proofErr w:type="spellEnd"/>
      <w:r w:rsidRPr="009D287C">
        <w:rPr>
          <w:rFonts w:eastAsia="Times New Roman" w:cs="Times New Roman"/>
          <w:sz w:val="20"/>
          <w:szCs w:val="20"/>
          <w:lang w:val="fr-CA" w:eastAsia="en-CA"/>
        </w:rPr>
        <w:t xml:space="preserve"> 14611 (WL Can.). Pourvoi rejeté, les juges Abella et Côté sont dissidentes.</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i/>
          <w:sz w:val="20"/>
          <w:szCs w:val="20"/>
          <w:lang w:val="fr-CA" w:eastAsia="en-CA"/>
        </w:rPr>
        <w:tab/>
      </w:r>
      <w:proofErr w:type="spellStart"/>
      <w:r w:rsidRPr="009D287C">
        <w:rPr>
          <w:rFonts w:eastAsia="Times New Roman" w:cs="Times New Roman"/>
          <w:i/>
          <w:sz w:val="20"/>
          <w:szCs w:val="20"/>
          <w:lang w:val="fr-CA" w:eastAsia="en-CA"/>
        </w:rPr>
        <w:t>Dominic</w:t>
      </w:r>
      <w:proofErr w:type="spellEnd"/>
      <w:r w:rsidRPr="009D287C">
        <w:rPr>
          <w:rFonts w:eastAsia="Times New Roman" w:cs="Times New Roman"/>
          <w:i/>
          <w:sz w:val="20"/>
          <w:szCs w:val="20"/>
          <w:lang w:val="fr-CA" w:eastAsia="en-CA"/>
        </w:rPr>
        <w:t xml:space="preserve"> Belley</w:t>
      </w:r>
      <w:r w:rsidRPr="009D287C">
        <w:rPr>
          <w:rFonts w:eastAsia="Times New Roman" w:cs="Times New Roman"/>
          <w:sz w:val="20"/>
          <w:szCs w:val="20"/>
          <w:lang w:val="fr-CA" w:eastAsia="en-CA"/>
        </w:rPr>
        <w:t xml:space="preserve"> et </w:t>
      </w:r>
      <w:r w:rsidRPr="009D287C">
        <w:rPr>
          <w:rFonts w:eastAsia="Times New Roman" w:cs="Times New Roman"/>
          <w:i/>
          <w:sz w:val="20"/>
          <w:szCs w:val="20"/>
          <w:lang w:val="fr-CA" w:eastAsia="en-CA"/>
        </w:rPr>
        <w:t xml:space="preserve">Jonathan </w:t>
      </w:r>
      <w:proofErr w:type="spellStart"/>
      <w:r w:rsidRPr="009D287C">
        <w:rPr>
          <w:rFonts w:eastAsia="Times New Roman" w:cs="Times New Roman"/>
          <w:i/>
          <w:sz w:val="20"/>
          <w:szCs w:val="20"/>
          <w:lang w:val="fr-CA" w:eastAsia="en-CA"/>
        </w:rPr>
        <w:t>Lafrance</w:t>
      </w:r>
      <w:proofErr w:type="spellEnd"/>
      <w:r w:rsidRPr="009D287C">
        <w:rPr>
          <w:rFonts w:eastAsia="Times New Roman" w:cs="Times New Roman"/>
          <w:sz w:val="20"/>
          <w:szCs w:val="20"/>
          <w:lang w:val="fr-CA" w:eastAsia="en-CA"/>
        </w:rPr>
        <w:t>, pour l’appelante.</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i/>
          <w:sz w:val="20"/>
          <w:szCs w:val="20"/>
          <w:lang w:val="fr-CA" w:eastAsia="en-CA"/>
        </w:rPr>
        <w:tab/>
        <w:t>Daniel Bourgeois</w:t>
      </w:r>
      <w:r w:rsidRPr="009D287C">
        <w:rPr>
          <w:rFonts w:eastAsia="Times New Roman" w:cs="Times New Roman"/>
          <w:sz w:val="20"/>
          <w:szCs w:val="20"/>
          <w:lang w:val="fr-CA" w:eastAsia="en-CA"/>
        </w:rPr>
        <w:t xml:space="preserve"> et </w:t>
      </w:r>
      <w:proofErr w:type="spellStart"/>
      <w:r w:rsidRPr="009D287C">
        <w:rPr>
          <w:rFonts w:eastAsia="Times New Roman" w:cs="Times New Roman"/>
          <w:i/>
          <w:sz w:val="20"/>
          <w:szCs w:val="20"/>
          <w:lang w:val="fr-CA" w:eastAsia="en-CA"/>
        </w:rPr>
        <w:t>Eric</w:t>
      </w:r>
      <w:proofErr w:type="spellEnd"/>
      <w:r w:rsidRPr="009D287C">
        <w:rPr>
          <w:rFonts w:eastAsia="Times New Roman" w:cs="Times New Roman"/>
          <w:i/>
          <w:sz w:val="20"/>
          <w:szCs w:val="20"/>
          <w:lang w:val="fr-CA" w:eastAsia="en-CA"/>
        </w:rPr>
        <w:t xml:space="preserve"> Noble</w:t>
      </w:r>
      <w:r w:rsidRPr="009D287C">
        <w:rPr>
          <w:rFonts w:eastAsia="Times New Roman" w:cs="Times New Roman"/>
          <w:sz w:val="20"/>
          <w:szCs w:val="20"/>
          <w:lang w:val="fr-CA" w:eastAsia="en-CA"/>
        </w:rPr>
        <w:t>, pour l’intimé.</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sz w:val="20"/>
          <w:szCs w:val="20"/>
          <w:lang w:val="fr-CA" w:eastAsia="en-CA"/>
        </w:rPr>
      </w:pPr>
      <w:r w:rsidRPr="009D287C">
        <w:rPr>
          <w:rFonts w:eastAsia="Times New Roman" w:cs="Times New Roman"/>
          <w:i/>
          <w:sz w:val="20"/>
          <w:szCs w:val="20"/>
          <w:lang w:val="fr-CA" w:eastAsia="en-CA"/>
        </w:rPr>
        <w:tab/>
        <w:t xml:space="preserve">Pierre </w:t>
      </w:r>
      <w:proofErr w:type="spellStart"/>
      <w:r w:rsidRPr="009D287C">
        <w:rPr>
          <w:rFonts w:eastAsia="Times New Roman" w:cs="Times New Roman"/>
          <w:i/>
          <w:sz w:val="20"/>
          <w:szCs w:val="20"/>
          <w:lang w:val="fr-CA" w:eastAsia="en-CA"/>
        </w:rPr>
        <w:t>Zemaitis</w:t>
      </w:r>
      <w:proofErr w:type="spellEnd"/>
      <w:r w:rsidRPr="009D287C">
        <w:rPr>
          <w:rFonts w:eastAsia="Times New Roman" w:cs="Times New Roman"/>
          <w:sz w:val="20"/>
          <w:szCs w:val="20"/>
          <w:lang w:val="fr-CA" w:eastAsia="en-CA"/>
        </w:rPr>
        <w:t xml:space="preserve"> et </w:t>
      </w:r>
      <w:r w:rsidRPr="009D287C">
        <w:rPr>
          <w:rFonts w:eastAsia="Times New Roman" w:cs="Times New Roman"/>
          <w:i/>
          <w:sz w:val="20"/>
          <w:szCs w:val="20"/>
          <w:lang w:val="fr-CA" w:eastAsia="en-CA"/>
        </w:rPr>
        <w:t>Christian Boutin</w:t>
      </w:r>
      <w:r w:rsidRPr="009D287C">
        <w:rPr>
          <w:rFonts w:eastAsia="Times New Roman" w:cs="Times New Roman"/>
          <w:sz w:val="20"/>
          <w:szCs w:val="20"/>
          <w:lang w:val="fr-CA" w:eastAsia="en-CA"/>
        </w:rPr>
        <w:t>, pour l’intervenante.</w:t>
      </w:r>
    </w:p>
    <w:p w:rsidR="00B406BC" w:rsidRPr="009D287C" w:rsidRDefault="00B406BC" w:rsidP="00B406BC">
      <w:pPr>
        <w:tabs>
          <w:tab w:val="left" w:pos="1168"/>
        </w:tabs>
        <w:jc w:val="both"/>
        <w:rPr>
          <w:rFonts w:eastAsia="Times New Roman" w:cs="Times New Roman"/>
          <w:sz w:val="20"/>
          <w:szCs w:val="20"/>
          <w:lang w:val="fr-CA" w:eastAsia="en-CA"/>
        </w:rPr>
      </w:pPr>
    </w:p>
    <w:p w:rsidR="00B406BC" w:rsidRPr="009D287C" w:rsidRDefault="00B406BC" w:rsidP="00B406BC">
      <w:pPr>
        <w:tabs>
          <w:tab w:val="left" w:pos="1168"/>
        </w:tabs>
        <w:jc w:val="both"/>
        <w:rPr>
          <w:rFonts w:eastAsia="Times New Roman" w:cs="Times New Roman"/>
          <w:i/>
          <w:sz w:val="20"/>
          <w:szCs w:val="20"/>
          <w:lang w:val="fr-CA" w:eastAsia="en-CA"/>
        </w:rPr>
      </w:pPr>
      <w:r w:rsidRPr="009D287C">
        <w:rPr>
          <w:rFonts w:eastAsia="Times New Roman" w:cs="Times New Roman"/>
          <w:i/>
          <w:sz w:val="20"/>
          <w:szCs w:val="20"/>
          <w:lang w:val="fr-CA" w:eastAsia="en-CA"/>
        </w:rPr>
        <w:tab/>
        <w:t xml:space="preserve">Procureurs de l’appelante : Norton Rose </w:t>
      </w:r>
      <w:proofErr w:type="spellStart"/>
      <w:r w:rsidRPr="009D287C">
        <w:rPr>
          <w:rFonts w:eastAsia="Times New Roman" w:cs="Times New Roman"/>
          <w:i/>
          <w:sz w:val="20"/>
          <w:szCs w:val="20"/>
          <w:lang w:val="fr-CA" w:eastAsia="en-CA"/>
        </w:rPr>
        <w:t>Fulbright</w:t>
      </w:r>
      <w:proofErr w:type="spellEnd"/>
      <w:r w:rsidRPr="009D287C">
        <w:rPr>
          <w:rFonts w:eastAsia="Times New Roman" w:cs="Times New Roman"/>
          <w:i/>
          <w:sz w:val="20"/>
          <w:szCs w:val="20"/>
          <w:lang w:val="fr-CA" w:eastAsia="en-CA"/>
        </w:rPr>
        <w:t xml:space="preserve"> Canada, Montréal.</w:t>
      </w:r>
    </w:p>
    <w:p w:rsidR="00B406BC" w:rsidRPr="009D287C" w:rsidRDefault="00B406BC" w:rsidP="00B406BC">
      <w:pPr>
        <w:tabs>
          <w:tab w:val="left" w:pos="1168"/>
        </w:tabs>
        <w:jc w:val="both"/>
        <w:rPr>
          <w:rFonts w:eastAsia="Times New Roman" w:cs="Times New Roman"/>
          <w:i/>
          <w:sz w:val="20"/>
          <w:szCs w:val="20"/>
          <w:lang w:val="fr-CA" w:eastAsia="en-CA"/>
        </w:rPr>
      </w:pPr>
    </w:p>
    <w:p w:rsidR="00B406BC" w:rsidRPr="009D287C" w:rsidRDefault="00B406BC" w:rsidP="00B406BC">
      <w:pPr>
        <w:tabs>
          <w:tab w:val="left" w:pos="1168"/>
        </w:tabs>
        <w:jc w:val="both"/>
        <w:rPr>
          <w:rFonts w:eastAsia="Times New Roman" w:cs="Times New Roman"/>
          <w:i/>
          <w:sz w:val="20"/>
          <w:szCs w:val="20"/>
          <w:lang w:val="fr-CA" w:eastAsia="en-CA"/>
        </w:rPr>
      </w:pPr>
      <w:r w:rsidRPr="009D287C">
        <w:rPr>
          <w:rFonts w:eastAsia="Times New Roman" w:cs="Times New Roman"/>
          <w:i/>
          <w:sz w:val="20"/>
          <w:szCs w:val="20"/>
          <w:lang w:val="fr-CA" w:eastAsia="en-CA"/>
        </w:rPr>
        <w:tab/>
        <w:t>Procureur de l’intimé : Procureur général du Canada, Ottawa.</w:t>
      </w:r>
    </w:p>
    <w:p w:rsidR="00B406BC" w:rsidRPr="009D287C" w:rsidRDefault="00B406BC" w:rsidP="00B406BC">
      <w:pPr>
        <w:tabs>
          <w:tab w:val="left" w:pos="1168"/>
        </w:tabs>
        <w:jc w:val="both"/>
        <w:rPr>
          <w:rFonts w:eastAsia="Times New Roman" w:cs="Times New Roman"/>
          <w:i/>
          <w:sz w:val="20"/>
          <w:szCs w:val="20"/>
          <w:lang w:val="fr-CA" w:eastAsia="en-CA"/>
        </w:rPr>
      </w:pPr>
    </w:p>
    <w:p w:rsidR="00B406BC" w:rsidRPr="009D287C" w:rsidRDefault="00B406BC" w:rsidP="00B406BC">
      <w:pPr>
        <w:tabs>
          <w:tab w:val="left" w:pos="1168"/>
        </w:tabs>
        <w:jc w:val="both"/>
        <w:rPr>
          <w:rFonts w:eastAsia="Times New Roman" w:cs="Times New Roman"/>
          <w:i/>
          <w:sz w:val="20"/>
          <w:szCs w:val="20"/>
          <w:lang w:val="fr-CA" w:eastAsia="en-CA"/>
        </w:rPr>
      </w:pPr>
      <w:r w:rsidRPr="009D287C">
        <w:rPr>
          <w:rFonts w:eastAsia="Times New Roman" w:cs="Times New Roman"/>
          <w:i/>
          <w:sz w:val="20"/>
          <w:szCs w:val="20"/>
          <w:lang w:val="fr-CA" w:eastAsia="en-CA"/>
        </w:rPr>
        <w:tab/>
        <w:t>Procureurs de l’intervenante : </w:t>
      </w:r>
      <w:proofErr w:type="spellStart"/>
      <w:r w:rsidRPr="009D287C">
        <w:rPr>
          <w:rFonts w:eastAsia="Times New Roman" w:cs="Times New Roman"/>
          <w:i/>
          <w:sz w:val="20"/>
          <w:szCs w:val="20"/>
          <w:lang w:val="fr-CA" w:eastAsia="en-CA"/>
        </w:rPr>
        <w:t>Larivière</w:t>
      </w:r>
      <w:proofErr w:type="spellEnd"/>
      <w:r w:rsidRPr="009D287C">
        <w:rPr>
          <w:rFonts w:eastAsia="Times New Roman" w:cs="Times New Roman"/>
          <w:i/>
          <w:sz w:val="20"/>
          <w:szCs w:val="20"/>
          <w:lang w:val="fr-CA" w:eastAsia="en-CA"/>
        </w:rPr>
        <w:t xml:space="preserve"> Meunier, Montréal.</w:t>
      </w:r>
    </w:p>
    <w:p w:rsidR="00AF3DE7" w:rsidRPr="009D287C" w:rsidRDefault="00AF3DE7" w:rsidP="00AF3DE7">
      <w:pPr>
        <w:rPr>
          <w:rFonts w:cs="Times New Roman"/>
          <w:sz w:val="20"/>
          <w:szCs w:val="20"/>
          <w:lang w:val="en-US"/>
        </w:rPr>
      </w:pPr>
      <w:r w:rsidRPr="009D287C">
        <w:rPr>
          <w:rFonts w:cs="Times New Roman"/>
          <w:sz w:val="20"/>
          <w:szCs w:val="20"/>
          <w:lang w:val="en-US"/>
        </w:rPr>
        <w:t>________________________</w:t>
      </w:r>
    </w:p>
    <w:p w:rsidR="00AF3DE7" w:rsidRPr="009D287C" w:rsidRDefault="00AF3DE7" w:rsidP="00291573">
      <w:pPr>
        <w:rPr>
          <w:rFonts w:cs="Times New Roman"/>
          <w:sz w:val="20"/>
          <w:szCs w:val="20"/>
          <w:lang w:val="en-US"/>
        </w:rPr>
      </w:pPr>
    </w:p>
    <w:p w:rsidR="00291573" w:rsidRPr="009D287C" w:rsidRDefault="00291573" w:rsidP="00291573">
      <w:pPr>
        <w:jc w:val="both"/>
        <w:rPr>
          <w:rFonts w:eastAsia="Times New Roman" w:cs="Times New Roman"/>
          <w:sz w:val="20"/>
          <w:szCs w:val="20"/>
          <w:lang w:eastAsia="en-CA"/>
        </w:rPr>
      </w:pPr>
      <w:r w:rsidRPr="009D287C">
        <w:rPr>
          <w:rFonts w:eastAsia="Times New Roman" w:cs="Times New Roman"/>
          <w:sz w:val="20"/>
          <w:szCs w:val="20"/>
          <w:lang w:eastAsia="en-CA"/>
        </w:rPr>
        <w:t xml:space="preserve">Present: </w:t>
      </w:r>
      <w:proofErr w:type="spellStart"/>
      <w:r w:rsidRPr="009D287C">
        <w:rPr>
          <w:rFonts w:eastAsia="Times New Roman" w:cs="Times New Roman"/>
          <w:sz w:val="20"/>
          <w:szCs w:val="20"/>
          <w:lang w:eastAsia="en-CA"/>
        </w:rPr>
        <w:t>McLachlin</w:t>
      </w:r>
      <w:proofErr w:type="spellEnd"/>
      <w:r w:rsidRPr="009D287C">
        <w:rPr>
          <w:rFonts w:eastAsia="Times New Roman" w:cs="Times New Roman"/>
          <w:sz w:val="20"/>
          <w:szCs w:val="20"/>
          <w:lang w:eastAsia="en-CA"/>
        </w:rPr>
        <w:t xml:space="preserve"> C.J. and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Cromwell,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Karakatsanis</w:t>
      </w:r>
      <w:proofErr w:type="spellEnd"/>
      <w:r w:rsidRPr="009D287C">
        <w:rPr>
          <w:rFonts w:eastAsia="Times New Roman" w:cs="Times New Roman"/>
          <w:sz w:val="20"/>
          <w:szCs w:val="20"/>
          <w:lang w:eastAsia="en-CA"/>
        </w:rPr>
        <w:t xml:space="preserve">, Wagner, </w:t>
      </w:r>
      <w:proofErr w:type="spellStart"/>
      <w:r w:rsidRPr="009D287C">
        <w:rPr>
          <w:rFonts w:eastAsia="Times New Roman" w:cs="Times New Roman"/>
          <w:sz w:val="20"/>
          <w:szCs w:val="20"/>
          <w:lang w:eastAsia="en-CA"/>
        </w:rPr>
        <w:t>Gascon</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and Brown JJ.</w:t>
      </w:r>
    </w:p>
    <w:p w:rsidR="00291573" w:rsidRPr="009D287C" w:rsidRDefault="00291573" w:rsidP="00291573">
      <w:pPr>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i/>
          <w:iCs/>
          <w:sz w:val="20"/>
          <w:szCs w:val="20"/>
          <w:lang w:val="en" w:eastAsia="en-CA"/>
        </w:rPr>
      </w:pPr>
      <w:r w:rsidRPr="009D287C">
        <w:rPr>
          <w:rFonts w:eastAsia="Times New Roman" w:cs="Times New Roman"/>
          <w:sz w:val="20"/>
          <w:szCs w:val="20"/>
          <w:lang w:eastAsia="en-CA"/>
        </w:rPr>
        <w:tab/>
      </w:r>
      <w:r w:rsidRPr="009D287C">
        <w:rPr>
          <w:rFonts w:eastAsia="Times New Roman" w:cs="Times New Roman"/>
          <w:i/>
          <w:iCs/>
          <w:sz w:val="20"/>
          <w:szCs w:val="20"/>
          <w:lang w:val="en" w:eastAsia="en-CA"/>
        </w:rPr>
        <w:t>Contracts</w:t>
      </w:r>
      <w:r w:rsidRPr="009D287C">
        <w:rPr>
          <w:rFonts w:eastAsia="Times New Roman" w:cs="Times New Roman"/>
          <w:i/>
          <w:sz w:val="20"/>
          <w:szCs w:val="20"/>
          <w:lang w:eastAsia="en-CA"/>
        </w:rPr>
        <w:t xml:space="preserve"> — </w:t>
      </w:r>
      <w:r w:rsidRPr="009D287C">
        <w:rPr>
          <w:rFonts w:eastAsia="Times New Roman" w:cs="Times New Roman"/>
          <w:i/>
          <w:iCs/>
          <w:sz w:val="20"/>
          <w:szCs w:val="20"/>
          <w:lang w:val="en" w:eastAsia="en-CA"/>
        </w:rPr>
        <w:t>Interpretation</w:t>
      </w:r>
      <w:r w:rsidRPr="009D287C">
        <w:rPr>
          <w:rFonts w:eastAsia="Times New Roman" w:cs="Times New Roman"/>
          <w:i/>
          <w:sz w:val="20"/>
          <w:szCs w:val="20"/>
          <w:lang w:eastAsia="en-CA"/>
        </w:rPr>
        <w:t xml:space="preserve"> — Common </w:t>
      </w:r>
      <w:proofErr w:type="spellStart"/>
      <w:r w:rsidRPr="009D287C">
        <w:rPr>
          <w:rFonts w:eastAsia="Times New Roman" w:cs="Times New Roman"/>
          <w:i/>
          <w:sz w:val="20"/>
          <w:szCs w:val="20"/>
          <w:lang w:eastAsia="en-CA"/>
        </w:rPr>
        <w:t>i</w:t>
      </w:r>
      <w:r w:rsidRPr="009D287C">
        <w:rPr>
          <w:rFonts w:eastAsia="Times New Roman" w:cs="Times New Roman"/>
          <w:i/>
          <w:iCs/>
          <w:sz w:val="20"/>
          <w:szCs w:val="20"/>
          <w:lang w:val="en" w:eastAsia="en-CA"/>
        </w:rPr>
        <w:t>ntention</w:t>
      </w:r>
      <w:proofErr w:type="spellEnd"/>
      <w:r w:rsidRPr="009D287C">
        <w:rPr>
          <w:rFonts w:eastAsia="Times New Roman" w:cs="Times New Roman"/>
          <w:i/>
          <w:iCs/>
          <w:sz w:val="20"/>
          <w:szCs w:val="20"/>
          <w:lang w:val="en" w:eastAsia="en-CA"/>
        </w:rPr>
        <w:t xml:space="preserve"> of parties</w:t>
      </w:r>
      <w:r w:rsidRPr="009D287C">
        <w:rPr>
          <w:rFonts w:eastAsia="Times New Roman" w:cs="Times New Roman"/>
          <w:i/>
          <w:sz w:val="20"/>
          <w:szCs w:val="20"/>
          <w:lang w:eastAsia="en-CA"/>
        </w:rPr>
        <w:t xml:space="preserve"> — Written instruments relating to transactional scheme not reflecting common intention of parties for tax-neutrality — </w:t>
      </w:r>
      <w:r w:rsidRPr="009D287C">
        <w:rPr>
          <w:rFonts w:eastAsia="Times New Roman" w:cs="Times New Roman"/>
          <w:i/>
          <w:iCs/>
          <w:sz w:val="20"/>
          <w:szCs w:val="20"/>
          <w:lang w:val="en" w:eastAsia="en-CA"/>
        </w:rPr>
        <w:t>Transactions having unintended tax consequences</w:t>
      </w:r>
      <w:r w:rsidRPr="009D287C">
        <w:rPr>
          <w:rFonts w:eastAsia="Times New Roman" w:cs="Times New Roman"/>
          <w:i/>
          <w:sz w:val="20"/>
          <w:szCs w:val="20"/>
          <w:lang w:eastAsia="en-CA"/>
        </w:rPr>
        <w:t xml:space="preserve"> — Whether, under Quebec civil law, general intention that execution of transactional scheme be tax-neutral sufficient to </w:t>
      </w:r>
      <w:proofErr w:type="spellStart"/>
      <w:r w:rsidRPr="009D287C">
        <w:rPr>
          <w:rFonts w:eastAsia="Times New Roman" w:cs="Times New Roman"/>
          <w:i/>
          <w:sz w:val="20"/>
          <w:szCs w:val="20"/>
          <w:lang w:eastAsia="en-CA"/>
        </w:rPr>
        <w:t>autorize</w:t>
      </w:r>
      <w:proofErr w:type="spellEnd"/>
      <w:r w:rsidRPr="009D287C">
        <w:rPr>
          <w:rFonts w:eastAsia="Times New Roman" w:cs="Times New Roman"/>
          <w:i/>
          <w:sz w:val="20"/>
          <w:szCs w:val="20"/>
          <w:lang w:eastAsia="en-CA"/>
        </w:rPr>
        <w:t xml:space="preserve"> rectification of written instruments — </w:t>
      </w:r>
      <w:r w:rsidRPr="009D287C">
        <w:rPr>
          <w:rFonts w:eastAsia="Times New Roman" w:cs="Times New Roman"/>
          <w:i/>
          <w:iCs/>
          <w:sz w:val="20"/>
          <w:szCs w:val="20"/>
          <w:lang w:val="en" w:eastAsia="en-CA"/>
        </w:rPr>
        <w:t>Civil Code of Québec, art. 1425.</w:t>
      </w:r>
    </w:p>
    <w:p w:rsidR="00291573" w:rsidRPr="009D287C" w:rsidRDefault="00291573" w:rsidP="00291573">
      <w:pPr>
        <w:tabs>
          <w:tab w:val="left" w:pos="1168"/>
        </w:tabs>
        <w:jc w:val="both"/>
        <w:rPr>
          <w:rFonts w:eastAsia="Times New Roman" w:cs="Times New Roman"/>
          <w:i/>
          <w:sz w:val="20"/>
          <w:szCs w:val="20"/>
          <w:lang w:eastAsia="en-CA"/>
        </w:rPr>
      </w:pPr>
    </w:p>
    <w:p w:rsidR="00291573" w:rsidRPr="009D287C" w:rsidRDefault="00291573" w:rsidP="0029157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lastRenderedPageBreak/>
        <w:tab/>
      </w:r>
      <w:r w:rsidRPr="009D287C">
        <w:rPr>
          <w:rFonts w:eastAsia="Times New Roman" w:cs="Times New Roman"/>
          <w:i/>
          <w:iCs/>
          <w:sz w:val="20"/>
          <w:szCs w:val="20"/>
          <w:lang w:val="en" w:eastAsia="en-CA"/>
        </w:rPr>
        <w:t>Commercial law</w:t>
      </w:r>
      <w:r w:rsidRPr="009D287C">
        <w:rPr>
          <w:rFonts w:eastAsia="Times New Roman" w:cs="Times New Roman"/>
          <w:i/>
          <w:sz w:val="20"/>
          <w:szCs w:val="20"/>
          <w:lang w:eastAsia="en-CA"/>
        </w:rPr>
        <w:t xml:space="preserve"> — Corporations — Taxation — </w:t>
      </w:r>
      <w:proofErr w:type="gramStart"/>
      <w:r w:rsidRPr="009D287C">
        <w:rPr>
          <w:rFonts w:eastAsia="Times New Roman" w:cs="Times New Roman"/>
          <w:i/>
          <w:sz w:val="20"/>
          <w:szCs w:val="20"/>
          <w:lang w:eastAsia="en-CA"/>
        </w:rPr>
        <w:t>Whether</w:t>
      </w:r>
      <w:proofErr w:type="gramEnd"/>
      <w:r w:rsidRPr="009D287C">
        <w:rPr>
          <w:rFonts w:eastAsia="Times New Roman" w:cs="Times New Roman"/>
          <w:i/>
          <w:sz w:val="20"/>
          <w:szCs w:val="20"/>
          <w:lang w:eastAsia="en-CA"/>
        </w:rPr>
        <w:t xml:space="preserve"> rectification of written instrument amount to retroactive tax planning. </w:t>
      </w:r>
    </w:p>
    <w:p w:rsidR="00291573" w:rsidRPr="009D287C" w:rsidRDefault="00291573" w:rsidP="00291573">
      <w:pPr>
        <w:tabs>
          <w:tab w:val="left" w:pos="1168"/>
        </w:tabs>
        <w:jc w:val="both"/>
        <w:rPr>
          <w:rFonts w:eastAsia="Times New Roman" w:cs="Times New Roman"/>
          <w:i/>
          <w:sz w:val="20"/>
          <w:szCs w:val="20"/>
          <w:lang w:eastAsia="en-CA"/>
        </w:rPr>
      </w:pPr>
    </w:p>
    <w:p w:rsidR="00291573" w:rsidRPr="009D287C" w:rsidRDefault="00291573" w:rsidP="00291573">
      <w:pPr>
        <w:tabs>
          <w:tab w:val="left" w:pos="1168"/>
        </w:tabs>
        <w:jc w:val="both"/>
        <w:rPr>
          <w:rFonts w:eastAsia="Times New Roman" w:cs="Times New Roman"/>
          <w:sz w:val="20"/>
          <w:szCs w:val="20"/>
          <w:lang w:val="en-US" w:eastAsia="en-CA"/>
        </w:rPr>
      </w:pPr>
      <w:r w:rsidRPr="009D287C">
        <w:rPr>
          <w:rFonts w:eastAsia="Times New Roman" w:cs="Times New Roman"/>
          <w:sz w:val="20"/>
          <w:szCs w:val="20"/>
          <w:lang w:eastAsia="en-CA"/>
        </w:rPr>
        <w:tab/>
        <w:t xml:space="preserve">The </w:t>
      </w:r>
      <w:r w:rsidRPr="009D287C">
        <w:rPr>
          <w:rFonts w:eastAsia="Times New Roman" w:cs="Times New Roman"/>
          <w:sz w:val="20"/>
          <w:szCs w:val="20"/>
          <w:lang w:val="en-US" w:eastAsia="en-CA"/>
        </w:rPr>
        <w:t xml:space="preserve">Jean Coutu Group (PJC) Inc. (“PJC Canada”), is </w:t>
      </w:r>
      <w:r w:rsidRPr="009D287C">
        <w:rPr>
          <w:rFonts w:eastAsia="Times New Roman" w:cs="Times New Roman"/>
          <w:sz w:val="20"/>
          <w:szCs w:val="20"/>
          <w:lang w:eastAsia="en-CA"/>
        </w:rPr>
        <w:t xml:space="preserve">a Quebec corporation. In 2004, </w:t>
      </w:r>
      <w:r w:rsidRPr="009D287C">
        <w:rPr>
          <w:rFonts w:eastAsia="Times New Roman" w:cs="Times New Roman"/>
          <w:sz w:val="20"/>
          <w:szCs w:val="20"/>
          <w:lang w:val="en-US" w:eastAsia="en-CA"/>
        </w:rPr>
        <w:t xml:space="preserve">its subsidiary, PJC USA invested in a chain of pharmacies in the United States. To avoid the negative perceptions of PJC Canada’s investors of the variation in this investment’s value due to fluctuations in U.S. to Canadian dollar exchange rates, PJC Canada consulted professional advisors to find ways to neutralize them without adverse tax consequences. Although the chosen set of transactions </w:t>
      </w:r>
      <w:r w:rsidRPr="009D287C">
        <w:rPr>
          <w:rFonts w:eastAsia="Times New Roman" w:cs="Times New Roman"/>
          <w:sz w:val="20"/>
          <w:szCs w:val="20"/>
          <w:lang w:eastAsia="en-CA"/>
        </w:rPr>
        <w:t xml:space="preserve">succeeded in </w:t>
      </w:r>
      <w:r w:rsidRPr="009D287C">
        <w:rPr>
          <w:rFonts w:eastAsia="Times New Roman" w:cs="Times New Roman"/>
          <w:sz w:val="20"/>
          <w:szCs w:val="20"/>
          <w:lang w:val="en-US" w:eastAsia="en-CA"/>
        </w:rPr>
        <w:t xml:space="preserve">neutralizing the effect of the exchange rate fluctuations, they did not succeed in avoiding tax consequences. In 2010, the Canada Revenue Agency (“CRA”) assessed PJC Canada for CAN$2.2 million of unpaid income tax for the years 2005, 2006 and 2007. The CRA concluded that because PJC USA was a controlled foreign affiliate of PJC Canada the interest it had earned during those years on the US$70 million loan constituted foreign accrual property income (“FAPI”) under the </w:t>
      </w:r>
      <w:r w:rsidRPr="009D287C">
        <w:rPr>
          <w:rFonts w:eastAsia="Times New Roman" w:cs="Times New Roman"/>
          <w:i/>
          <w:iCs/>
          <w:sz w:val="20"/>
          <w:szCs w:val="20"/>
          <w:lang w:val="en-US" w:eastAsia="en-CA"/>
        </w:rPr>
        <w:t>Income Tax Act</w:t>
      </w:r>
      <w:r w:rsidRPr="009D287C">
        <w:rPr>
          <w:rFonts w:eastAsia="Times New Roman" w:cs="Times New Roman"/>
          <w:sz w:val="20"/>
          <w:szCs w:val="20"/>
          <w:lang w:val="en-US" w:eastAsia="en-CA"/>
        </w:rPr>
        <w:t xml:space="preserve"> and was taxable as income of PJC Canada.</w:t>
      </w:r>
    </w:p>
    <w:p w:rsidR="00291573" w:rsidRPr="009D287C" w:rsidRDefault="00291573" w:rsidP="00291573">
      <w:pPr>
        <w:tabs>
          <w:tab w:val="left" w:pos="1168"/>
        </w:tabs>
        <w:jc w:val="both"/>
        <w:rPr>
          <w:rFonts w:eastAsia="Times New Roman" w:cs="Times New Roman"/>
          <w:sz w:val="20"/>
          <w:szCs w:val="20"/>
          <w:lang w:val="en-US"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sz w:val="20"/>
          <w:szCs w:val="20"/>
          <w:lang w:val="en-US" w:eastAsia="en-CA"/>
        </w:rPr>
        <w:tab/>
        <w:t xml:space="preserve">After the CRA audit, PJC Canada brought a motion for rectification of the documents related to the agreement and for declaratory relief under art. 1425 of the </w:t>
      </w:r>
      <w:r w:rsidRPr="009D287C">
        <w:rPr>
          <w:rFonts w:eastAsia="Times New Roman" w:cs="Times New Roman"/>
          <w:i/>
          <w:sz w:val="20"/>
          <w:szCs w:val="20"/>
          <w:lang w:eastAsia="en-CA"/>
        </w:rPr>
        <w:t>Civil Code of Québec</w:t>
      </w:r>
      <w:r w:rsidRPr="009D287C">
        <w:rPr>
          <w:rFonts w:eastAsia="Times New Roman" w:cs="Times New Roman"/>
          <w:sz w:val="20"/>
          <w:szCs w:val="20"/>
          <w:lang w:eastAsia="en-CA"/>
        </w:rPr>
        <w:t xml:space="preserve"> (“</w:t>
      </w:r>
      <w:r w:rsidRPr="009D287C">
        <w:rPr>
          <w:rFonts w:eastAsia="Times New Roman" w:cs="Times New Roman"/>
          <w:i/>
          <w:sz w:val="20"/>
          <w:szCs w:val="20"/>
          <w:lang w:eastAsia="en-CA"/>
        </w:rPr>
        <w:t>C.C.Q</w:t>
      </w:r>
      <w:r w:rsidRPr="009D287C">
        <w:rPr>
          <w:rFonts w:eastAsia="Times New Roman" w:cs="Times New Roman"/>
          <w:sz w:val="20"/>
          <w:szCs w:val="20"/>
          <w:lang w:eastAsia="en-CA"/>
        </w:rPr>
        <w:t>.”)</w:t>
      </w:r>
      <w:r w:rsidRPr="009D287C">
        <w:rPr>
          <w:rFonts w:eastAsia="Times New Roman" w:cs="Times New Roman"/>
          <w:sz w:val="20"/>
          <w:szCs w:val="20"/>
          <w:lang w:val="en-US" w:eastAsia="en-CA"/>
        </w:rPr>
        <w:t xml:space="preserve">. </w:t>
      </w:r>
      <w:r w:rsidRPr="009D287C">
        <w:rPr>
          <w:rFonts w:eastAsia="Times New Roman" w:cs="Times New Roman"/>
          <w:sz w:val="20"/>
          <w:szCs w:val="20"/>
          <w:lang w:eastAsia="en-CA"/>
        </w:rPr>
        <w:t>The application judge granted the motion.</w:t>
      </w:r>
      <w:r w:rsidRPr="009D287C">
        <w:rPr>
          <w:rFonts w:eastAsia="Times New Roman" w:cs="Times New Roman"/>
          <w:sz w:val="20"/>
          <w:szCs w:val="20"/>
          <w:lang w:val="en-US" w:eastAsia="en-CA"/>
        </w:rPr>
        <w:t xml:space="preserve"> </w:t>
      </w:r>
      <w:r w:rsidRPr="009D287C">
        <w:rPr>
          <w:rFonts w:eastAsia="Times New Roman" w:cs="Times New Roman"/>
          <w:sz w:val="20"/>
          <w:szCs w:val="20"/>
          <w:lang w:eastAsia="en-CA"/>
        </w:rPr>
        <w:t>Because of the adverse tax consequences, he held that there was a disparity between the common intention of the parties and the documents drawn up to give effect to that intention. Therefore, PJC Canada</w:t>
      </w:r>
      <w:r w:rsidRPr="009D287C">
        <w:rPr>
          <w:rFonts w:eastAsia="Times New Roman" w:cs="Times New Roman"/>
          <w:sz w:val="20"/>
          <w:szCs w:val="20"/>
          <w:lang w:val="en-US" w:eastAsia="en-CA"/>
        </w:rPr>
        <w:t xml:space="preserve"> was allowed to amend the documents by inserting new transactions, such that the interest payable by PJC Canada to PJC USA would be offset by interest payable by PJC USA to PJC Canada, reducing FAPI to zero. The Court of Appeal allowed the appeal, holding that the general intention of PJC Canada that the agreement be tax-neutral was insufficiently determinate to serve as the basis of a modified agreement.</w:t>
      </w:r>
      <w:r w:rsidRPr="009D287C">
        <w:rPr>
          <w:rFonts w:eastAsia="Times New Roman" w:cs="Times New Roman"/>
          <w:sz w:val="20"/>
          <w:szCs w:val="20"/>
          <w:lang w:eastAsia="en-CA"/>
        </w:rPr>
        <w:t xml:space="preserve"> </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Held (</w:t>
      </w:r>
      <w:proofErr w:type="spellStart"/>
      <w:r w:rsidRPr="009D287C">
        <w:rPr>
          <w:rFonts w:eastAsia="Times New Roman" w:cs="Times New Roman"/>
          <w:i/>
          <w:sz w:val="20"/>
          <w:szCs w:val="20"/>
          <w:lang w:eastAsia="en-CA"/>
        </w:rPr>
        <w:t>Abella</w:t>
      </w:r>
      <w:proofErr w:type="spellEnd"/>
      <w:r w:rsidRPr="009D287C">
        <w:rPr>
          <w:rFonts w:eastAsia="Times New Roman" w:cs="Times New Roman"/>
          <w:i/>
          <w:sz w:val="20"/>
          <w:szCs w:val="20"/>
          <w:lang w:eastAsia="en-CA"/>
        </w:rPr>
        <w:t xml:space="preserve"> and </w:t>
      </w:r>
      <w:proofErr w:type="spellStart"/>
      <w:r w:rsidRPr="009D287C">
        <w:rPr>
          <w:rFonts w:eastAsia="Times New Roman" w:cs="Times New Roman"/>
          <w:i/>
          <w:sz w:val="20"/>
          <w:szCs w:val="20"/>
          <w:lang w:eastAsia="en-CA"/>
        </w:rPr>
        <w:t>Côté</w:t>
      </w:r>
      <w:proofErr w:type="spellEnd"/>
      <w:r w:rsidRPr="009D287C">
        <w:rPr>
          <w:rFonts w:eastAsia="Times New Roman" w:cs="Times New Roman"/>
          <w:i/>
          <w:sz w:val="20"/>
          <w:szCs w:val="20"/>
          <w:lang w:eastAsia="en-CA"/>
        </w:rPr>
        <w:t> JJ. dissenting):</w:t>
      </w:r>
      <w:r w:rsidRPr="009D287C">
        <w:rPr>
          <w:rFonts w:eastAsia="Times New Roman" w:cs="Times New Roman"/>
          <w:sz w:val="20"/>
          <w:szCs w:val="20"/>
          <w:lang w:eastAsia="en-CA"/>
        </w:rPr>
        <w:t xml:space="preserve"> The appeal should be dismissed.</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Calibri" w:cs="Times New Roman"/>
          <w:sz w:val="20"/>
          <w:szCs w:val="20"/>
          <w:lang w:val="en-US"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Per</w:t>
      </w:r>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McLachlin</w:t>
      </w:r>
      <w:proofErr w:type="spellEnd"/>
      <w:r w:rsidRPr="009D287C">
        <w:rPr>
          <w:rFonts w:eastAsia="Times New Roman" w:cs="Times New Roman"/>
          <w:sz w:val="20"/>
          <w:szCs w:val="20"/>
          <w:lang w:eastAsia="en-CA"/>
        </w:rPr>
        <w:t xml:space="preserve"> C.J. and Cromwell,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Karakatsanis</w:t>
      </w:r>
      <w:proofErr w:type="spellEnd"/>
      <w:r w:rsidRPr="009D287C">
        <w:rPr>
          <w:rFonts w:eastAsia="Times New Roman" w:cs="Times New Roman"/>
          <w:sz w:val="20"/>
          <w:szCs w:val="20"/>
          <w:lang w:eastAsia="en-CA"/>
        </w:rPr>
        <w:t xml:space="preserve">, </w:t>
      </w:r>
      <w:r w:rsidRPr="009D287C">
        <w:rPr>
          <w:rFonts w:eastAsia="Times New Roman" w:cs="Times New Roman"/>
          <w:b/>
          <w:sz w:val="20"/>
          <w:szCs w:val="20"/>
          <w:lang w:eastAsia="en-CA"/>
        </w:rPr>
        <w:t>Wagner</w:t>
      </w:r>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Gascon</w:t>
      </w:r>
      <w:proofErr w:type="spellEnd"/>
      <w:r w:rsidRPr="009D287C">
        <w:rPr>
          <w:rFonts w:eastAsia="Times New Roman" w:cs="Times New Roman"/>
          <w:sz w:val="20"/>
          <w:szCs w:val="20"/>
          <w:lang w:eastAsia="en-CA"/>
        </w:rPr>
        <w:t xml:space="preserve"> and Brown JJ.: A</w:t>
      </w:r>
      <w:r w:rsidRPr="009D287C">
        <w:rPr>
          <w:rFonts w:eastAsia="Calibri" w:cs="Times New Roman"/>
          <w:sz w:val="20"/>
          <w:szCs w:val="20"/>
          <w:lang w:val="en-US" w:eastAsia="en-CA"/>
        </w:rPr>
        <w:t xml:space="preserve"> general intention of tax neutrality, in the absence of a precise juridical operation and a determinate or determinable </w:t>
      </w:r>
      <w:proofErr w:type="spellStart"/>
      <w:r w:rsidRPr="009D287C">
        <w:rPr>
          <w:rFonts w:eastAsia="Calibri" w:cs="Times New Roman"/>
          <w:sz w:val="20"/>
          <w:szCs w:val="20"/>
          <w:lang w:val="en-US" w:eastAsia="en-CA"/>
        </w:rPr>
        <w:t>prestation</w:t>
      </w:r>
      <w:proofErr w:type="spellEnd"/>
      <w:r w:rsidRPr="009D287C">
        <w:rPr>
          <w:rFonts w:eastAsia="Calibri" w:cs="Times New Roman"/>
          <w:sz w:val="20"/>
          <w:szCs w:val="20"/>
          <w:lang w:val="en-US" w:eastAsia="en-CA"/>
        </w:rPr>
        <w:t xml:space="preserve"> or </w:t>
      </w:r>
      <w:proofErr w:type="spellStart"/>
      <w:r w:rsidRPr="009D287C">
        <w:rPr>
          <w:rFonts w:eastAsia="Calibri" w:cs="Times New Roman"/>
          <w:sz w:val="20"/>
          <w:szCs w:val="20"/>
          <w:lang w:val="en-US" w:eastAsia="en-CA"/>
        </w:rPr>
        <w:t>prestations</w:t>
      </w:r>
      <w:proofErr w:type="spellEnd"/>
      <w:r w:rsidRPr="009D287C">
        <w:rPr>
          <w:rFonts w:eastAsia="Calibri" w:cs="Times New Roman"/>
          <w:sz w:val="20"/>
          <w:szCs w:val="20"/>
          <w:lang w:val="en-US" w:eastAsia="en-CA"/>
        </w:rPr>
        <w:t xml:space="preserve"> within the meaning of art. 1373 </w:t>
      </w:r>
      <w:r w:rsidRPr="009D287C">
        <w:rPr>
          <w:rFonts w:eastAsia="Calibri" w:cs="Times New Roman"/>
          <w:i/>
          <w:sz w:val="20"/>
          <w:szCs w:val="20"/>
          <w:lang w:val="en-US" w:eastAsia="en-CA"/>
        </w:rPr>
        <w:t>C.C.Q.</w:t>
      </w:r>
      <w:r w:rsidRPr="009D287C">
        <w:rPr>
          <w:rFonts w:eastAsia="Calibri" w:cs="Times New Roman"/>
          <w:sz w:val="20"/>
          <w:szCs w:val="20"/>
          <w:lang w:val="en-US" w:eastAsia="en-CA"/>
        </w:rPr>
        <w:t xml:space="preserve">, cannot give rise to a common intention that would form part of the original agreement and serve as a basis for modifying the written documents expressing that agreement under </w:t>
      </w:r>
      <w:r w:rsidRPr="009D287C">
        <w:rPr>
          <w:rFonts w:eastAsia="Times New Roman" w:cs="Times New Roman"/>
          <w:sz w:val="20"/>
          <w:szCs w:val="20"/>
          <w:lang w:val="en" w:eastAsia="en-CA"/>
        </w:rPr>
        <w:t xml:space="preserve">art. 1425 </w:t>
      </w:r>
      <w:r w:rsidRPr="009D287C">
        <w:rPr>
          <w:rFonts w:eastAsia="Times New Roman" w:cs="Times New Roman"/>
          <w:i/>
          <w:sz w:val="20"/>
          <w:szCs w:val="20"/>
          <w:lang w:eastAsia="en-CA"/>
        </w:rPr>
        <w:t>C.C.Q</w:t>
      </w:r>
      <w:r w:rsidRPr="009D287C">
        <w:rPr>
          <w:rFonts w:eastAsia="Times New Roman" w:cs="Times New Roman"/>
          <w:sz w:val="20"/>
          <w:szCs w:val="20"/>
          <w:lang w:eastAsia="en-CA"/>
        </w:rPr>
        <w:t>.</w:t>
      </w:r>
      <w:r w:rsidRPr="009D287C">
        <w:rPr>
          <w:rFonts w:eastAsia="Times New Roman" w:cs="Times New Roman"/>
          <w:sz w:val="20"/>
          <w:szCs w:val="20"/>
          <w:lang w:val="en" w:eastAsia="en-CA"/>
        </w:rPr>
        <w:t xml:space="preserve"> </w:t>
      </w:r>
      <w:r w:rsidRPr="009D287C">
        <w:rPr>
          <w:rFonts w:eastAsia="Calibri" w:cs="Times New Roman"/>
          <w:sz w:val="20"/>
          <w:szCs w:val="20"/>
          <w:lang w:val="en-US" w:eastAsia="en-CA"/>
        </w:rPr>
        <w:t xml:space="preserve">Contractual interpretation focuses on what the parties actually agreed to do, not on what their motivations were in entering into an agreement or the consequences they intended it to have. Therefore, when unintended tax consequences result from a contract whose desired consequences, whether in whole or in part, are tax avoidance, deferral or minimization, amendments to the expression of the agreement can be available only under two conditions. First, if the unintended tax consequences were originally and specifically to be avoided, through sufficiently precise obligations which objects, the </w:t>
      </w:r>
      <w:proofErr w:type="spellStart"/>
      <w:r w:rsidRPr="009D287C">
        <w:rPr>
          <w:rFonts w:eastAsia="Calibri" w:cs="Times New Roman"/>
          <w:sz w:val="20"/>
          <w:szCs w:val="20"/>
          <w:lang w:val="en-US" w:eastAsia="en-CA"/>
        </w:rPr>
        <w:t>prestations</w:t>
      </w:r>
      <w:proofErr w:type="spellEnd"/>
      <w:r w:rsidRPr="009D287C">
        <w:rPr>
          <w:rFonts w:eastAsia="Calibri" w:cs="Times New Roman"/>
          <w:sz w:val="20"/>
          <w:szCs w:val="20"/>
          <w:lang w:val="en-US" w:eastAsia="en-CA"/>
        </w:rPr>
        <w:t xml:space="preserve"> to execute, are determinate or determinable; and second, when the obligations, if properly expressed and the corresponding </w:t>
      </w:r>
      <w:proofErr w:type="spellStart"/>
      <w:r w:rsidRPr="009D287C">
        <w:rPr>
          <w:rFonts w:eastAsia="Calibri" w:cs="Times New Roman"/>
          <w:sz w:val="20"/>
          <w:szCs w:val="20"/>
          <w:lang w:val="en-US" w:eastAsia="en-CA"/>
        </w:rPr>
        <w:t>prestations</w:t>
      </w:r>
      <w:proofErr w:type="spellEnd"/>
      <w:r w:rsidRPr="009D287C">
        <w:rPr>
          <w:rFonts w:eastAsia="Calibri" w:cs="Times New Roman"/>
          <w:sz w:val="20"/>
          <w:szCs w:val="20"/>
          <w:lang w:val="en-US" w:eastAsia="en-CA"/>
        </w:rPr>
        <w:t>, if properly executed, would have succeeded in doing so.</w:t>
      </w:r>
    </w:p>
    <w:p w:rsidR="00291573" w:rsidRPr="009D287C" w:rsidRDefault="00291573" w:rsidP="00291573">
      <w:pPr>
        <w:tabs>
          <w:tab w:val="left" w:pos="1168"/>
        </w:tabs>
        <w:jc w:val="both"/>
        <w:rPr>
          <w:rFonts w:eastAsia="Calibri" w:cs="Times New Roman"/>
          <w:sz w:val="20"/>
          <w:szCs w:val="20"/>
          <w:lang w:val="en-US" w:eastAsia="en-CA"/>
        </w:rPr>
      </w:pPr>
    </w:p>
    <w:p w:rsidR="00291573" w:rsidRPr="009D287C" w:rsidRDefault="00291573" w:rsidP="00291573">
      <w:pPr>
        <w:tabs>
          <w:tab w:val="left" w:pos="1168"/>
        </w:tabs>
        <w:jc w:val="both"/>
        <w:rPr>
          <w:rFonts w:eastAsia="Times New Roman" w:cs="Times New Roman"/>
          <w:sz w:val="20"/>
          <w:szCs w:val="20"/>
          <w:lang w:val="en-US" w:eastAsia="en-CA"/>
        </w:rPr>
      </w:pPr>
      <w:r w:rsidRPr="009D287C">
        <w:rPr>
          <w:rFonts w:eastAsia="Calibri" w:cs="Times New Roman"/>
          <w:sz w:val="20"/>
          <w:szCs w:val="20"/>
          <w:lang w:val="en-US" w:eastAsia="en-CA"/>
        </w:rPr>
        <w:tab/>
        <w:t xml:space="preserve">In this case, PJC Canada and PJC USA agreed on the precise set of </w:t>
      </w:r>
      <w:proofErr w:type="spellStart"/>
      <w:r w:rsidRPr="009D287C">
        <w:rPr>
          <w:rFonts w:eastAsia="Calibri" w:cs="Times New Roman"/>
          <w:sz w:val="20"/>
          <w:szCs w:val="20"/>
          <w:lang w:val="en-US" w:eastAsia="en-CA"/>
        </w:rPr>
        <w:t>prestations</w:t>
      </w:r>
      <w:proofErr w:type="spellEnd"/>
      <w:r w:rsidRPr="009D287C">
        <w:rPr>
          <w:rFonts w:eastAsia="Calibri" w:cs="Times New Roman"/>
          <w:sz w:val="20"/>
          <w:szCs w:val="20"/>
          <w:lang w:val="en-US" w:eastAsia="en-CA"/>
        </w:rPr>
        <w:t xml:space="preserve"> they wanted to execute, and there was no error in the way their agreement was expressed or executed. It simply resulted in unforeseen and undesirable tax consequences for PJC Canada. There was a mistake in the transactions agreed to, not in the way they were expressed. </w:t>
      </w:r>
      <w:r w:rsidRPr="009D287C">
        <w:rPr>
          <w:rFonts w:eastAsia="Calibri" w:cs="Times New Roman"/>
          <w:sz w:val="20"/>
          <w:szCs w:val="20"/>
          <w:lang w:eastAsia="en-CA"/>
        </w:rPr>
        <w:t>I</w:t>
      </w:r>
      <w:proofErr w:type="spellStart"/>
      <w:r w:rsidRPr="009D287C">
        <w:rPr>
          <w:rFonts w:eastAsia="Calibri" w:cs="Times New Roman"/>
          <w:sz w:val="20"/>
          <w:szCs w:val="20"/>
          <w:lang w:val="en-US" w:eastAsia="en-CA"/>
        </w:rPr>
        <w:t>f</w:t>
      </w:r>
      <w:proofErr w:type="spellEnd"/>
      <w:r w:rsidRPr="009D287C">
        <w:rPr>
          <w:rFonts w:eastAsia="Calibri" w:cs="Times New Roman"/>
          <w:sz w:val="20"/>
          <w:szCs w:val="20"/>
          <w:lang w:val="en-US" w:eastAsia="en-CA"/>
        </w:rPr>
        <w:t xml:space="preserve"> they had turned their minds to FAPI and had agreed to a transactional scheme that, if recorded and implemented properly, would have accomplished the goal of neutralizing currency fluctuations while also preventing the generation of FAPI, it would be appropriate to permit the written documents related to the transactions to be amended if that common intention was improperly transcribed in them. </w:t>
      </w:r>
      <w:r w:rsidRPr="009D287C">
        <w:rPr>
          <w:rFonts w:eastAsia="Times New Roman" w:cs="Times New Roman"/>
          <w:sz w:val="20"/>
          <w:szCs w:val="20"/>
          <w:lang w:val="en-US" w:eastAsia="en-CA"/>
        </w:rPr>
        <w:t xml:space="preserve">Allowing the amendment of the written document would not only amount to retroactive tax planning but </w:t>
      </w:r>
      <w:r w:rsidRPr="009D287C">
        <w:rPr>
          <w:rFonts w:eastAsia="Calibri" w:cs="Times New Roman"/>
          <w:sz w:val="20"/>
          <w:szCs w:val="20"/>
          <w:lang w:val="en-US" w:eastAsia="en-CA"/>
        </w:rPr>
        <w:t>would set an undesirable precedent. Taxpayers could immunize themselves from unforeseen tax consequences as well as from their inadvertence or mistakes, or for those of their tax advisors, in planning transactions.</w:t>
      </w:r>
    </w:p>
    <w:p w:rsidR="00291573" w:rsidRPr="009D287C" w:rsidRDefault="00291573" w:rsidP="00291573">
      <w:pPr>
        <w:tabs>
          <w:tab w:val="left" w:pos="1168"/>
        </w:tabs>
        <w:jc w:val="both"/>
        <w:rPr>
          <w:rFonts w:eastAsia="Calibri" w:cs="Times New Roman"/>
          <w:sz w:val="20"/>
          <w:szCs w:val="20"/>
          <w:lang w:val="en-US" w:eastAsia="en-CA"/>
        </w:rPr>
      </w:pPr>
    </w:p>
    <w:p w:rsidR="00291573" w:rsidRPr="009D287C" w:rsidRDefault="00291573" w:rsidP="00291573">
      <w:pPr>
        <w:tabs>
          <w:tab w:val="left" w:pos="1168"/>
        </w:tabs>
        <w:jc w:val="both"/>
        <w:rPr>
          <w:rFonts w:eastAsia="Times New Roman" w:cs="Times New Roman"/>
          <w:sz w:val="20"/>
          <w:szCs w:val="20"/>
          <w:lang w:val="en-US" w:eastAsia="en-CA"/>
        </w:rPr>
      </w:pPr>
      <w:r w:rsidRPr="009D287C">
        <w:rPr>
          <w:rFonts w:eastAsia="Times New Roman" w:cs="Times New Roman"/>
          <w:sz w:val="20"/>
          <w:szCs w:val="20"/>
          <w:lang w:val="en-US" w:eastAsia="en-CA"/>
        </w:rPr>
        <w:tab/>
        <w:t xml:space="preserve">Although rectification under Quebec civil law and in equity stems from different legal sources, </w:t>
      </w:r>
      <w:r w:rsidRPr="009D287C">
        <w:rPr>
          <w:rFonts w:eastAsia="Times New Roman" w:cs="Times New Roman"/>
          <w:sz w:val="20"/>
          <w:szCs w:val="20"/>
          <w:lang w:eastAsia="en-CA"/>
        </w:rPr>
        <w:t>they share similar principles and lead to similar results. Such similar results are particularly welcome in the tax context, where the same federal tax legislation applies throughout the country.</w:t>
      </w:r>
      <w:r w:rsidRPr="009D287C">
        <w:rPr>
          <w:rFonts w:eastAsia="Times New Roman" w:cs="Times New Roman"/>
          <w:sz w:val="20"/>
          <w:szCs w:val="20"/>
          <w:lang w:val="en-US" w:eastAsia="en-CA"/>
        </w:rPr>
        <w:t xml:space="preserve"> </w:t>
      </w:r>
      <w:r w:rsidRPr="009D287C">
        <w:rPr>
          <w:rFonts w:eastAsia="Times New Roman" w:cs="Times New Roman"/>
          <w:sz w:val="20"/>
          <w:szCs w:val="20"/>
          <w:lang w:eastAsia="en-CA"/>
        </w:rPr>
        <w:t xml:space="preserve">Both have the same purpose: to ascertain that the true agreement between the contracting parties is accurately expressed in the written instruments reflecting either the terms of the agreement or the execution of the obligations themselves. Both are strict: only the expression or transcription of the contract can be amended; the contract itself cannot be. Further, in both legal systems, the true agreement is paramount, not its intended consequences or effects. Although they will not always lead to the same result because of differences between the two legal systems in contract law, they would in this case. Even in equity, </w:t>
      </w:r>
      <w:r w:rsidRPr="009D287C">
        <w:rPr>
          <w:rFonts w:eastAsia="Times New Roman" w:cs="Times New Roman"/>
          <w:sz w:val="20"/>
          <w:szCs w:val="20"/>
          <w:lang w:val="en-US" w:eastAsia="en-CA"/>
        </w:rPr>
        <w:t xml:space="preserve">PJC Canada’s requested </w:t>
      </w:r>
      <w:r w:rsidRPr="009D287C">
        <w:rPr>
          <w:rFonts w:eastAsia="Times New Roman" w:cs="Times New Roman"/>
          <w:sz w:val="20"/>
          <w:szCs w:val="20"/>
          <w:lang w:val="en-US" w:eastAsia="en-CA"/>
        </w:rPr>
        <w:lastRenderedPageBreak/>
        <w:t xml:space="preserve">amendments would not be permissible: the contracting parties did not reach a prior agreement with definite and ascertainable terms that included the new transactions that PJC Canada now wish to insert in the original agreement. </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Per</w:t>
      </w:r>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and </w:t>
      </w:r>
      <w:proofErr w:type="spellStart"/>
      <w:r w:rsidRPr="009D287C">
        <w:rPr>
          <w:rFonts w:eastAsia="Times New Roman" w:cs="Times New Roman"/>
          <w:b/>
          <w:sz w:val="20"/>
          <w:szCs w:val="20"/>
          <w:lang w:eastAsia="en-CA"/>
        </w:rPr>
        <w:t>Côté</w:t>
      </w:r>
      <w:proofErr w:type="spellEnd"/>
      <w:r w:rsidRPr="009D287C">
        <w:rPr>
          <w:rFonts w:eastAsia="Times New Roman" w:cs="Times New Roman"/>
          <w:sz w:val="20"/>
          <w:szCs w:val="20"/>
          <w:lang w:eastAsia="en-CA"/>
        </w:rPr>
        <w:t> JJ.: The liberal and generous approach to rectification applied in</w:t>
      </w:r>
      <w:r w:rsidRPr="009D287C">
        <w:rPr>
          <w:rFonts w:eastAsia="Times New Roman" w:cs="Times New Roman"/>
          <w:i/>
          <w:sz w:val="20"/>
          <w:szCs w:val="20"/>
          <w:lang w:eastAsia="en-CA"/>
        </w:rPr>
        <w:t xml:space="preserve"> Quebec (</w:t>
      </w:r>
      <w:proofErr w:type="spellStart"/>
      <w:r w:rsidRPr="009D287C">
        <w:rPr>
          <w:rFonts w:eastAsia="Times New Roman" w:cs="Times New Roman"/>
          <w:i/>
          <w:sz w:val="20"/>
          <w:szCs w:val="20"/>
          <w:lang w:eastAsia="en-CA"/>
        </w:rPr>
        <w:t>Agence</w:t>
      </w:r>
      <w:proofErr w:type="spellEnd"/>
      <w:r w:rsidRPr="009D287C">
        <w:rPr>
          <w:rFonts w:eastAsia="Times New Roman" w:cs="Times New Roman"/>
          <w:i/>
          <w:sz w:val="20"/>
          <w:szCs w:val="20"/>
          <w:lang w:eastAsia="en-CA"/>
        </w:rPr>
        <w:t xml:space="preserve"> du </w:t>
      </w:r>
      <w:proofErr w:type="spellStart"/>
      <w:r w:rsidRPr="009D287C">
        <w:rPr>
          <w:rFonts w:eastAsia="Times New Roman" w:cs="Times New Roman"/>
          <w:i/>
          <w:sz w:val="20"/>
          <w:szCs w:val="20"/>
          <w:lang w:eastAsia="en-CA"/>
        </w:rPr>
        <w:t>revenu</w:t>
      </w:r>
      <w:proofErr w:type="spellEnd"/>
      <w:r w:rsidRPr="009D287C">
        <w:rPr>
          <w:rFonts w:eastAsia="Times New Roman" w:cs="Times New Roman"/>
          <w:i/>
          <w:sz w:val="20"/>
          <w:szCs w:val="20"/>
          <w:lang w:eastAsia="en-CA"/>
        </w:rPr>
        <w:t xml:space="preserve">) </w:t>
      </w:r>
      <w:r w:rsidRPr="009D287C">
        <w:rPr>
          <w:rFonts w:eastAsia="Times New Roman" w:cs="Times New Roman"/>
          <w:i/>
          <w:iCs/>
          <w:sz w:val="20"/>
          <w:szCs w:val="20"/>
          <w:lang w:eastAsia="en-CA"/>
        </w:rPr>
        <w:t>v.</w:t>
      </w:r>
      <w:r w:rsidRPr="009D287C">
        <w:rPr>
          <w:rFonts w:eastAsia="Times New Roman" w:cs="Times New Roman"/>
          <w:i/>
          <w:sz w:val="20"/>
          <w:szCs w:val="20"/>
          <w:lang w:eastAsia="en-CA"/>
        </w:rPr>
        <w:t xml:space="preserve"> Services </w:t>
      </w:r>
      <w:proofErr w:type="spellStart"/>
      <w:r w:rsidRPr="009D287C">
        <w:rPr>
          <w:rFonts w:eastAsia="Times New Roman" w:cs="Times New Roman"/>
          <w:i/>
          <w:sz w:val="20"/>
          <w:szCs w:val="20"/>
          <w:lang w:eastAsia="en-CA"/>
        </w:rPr>
        <w:t>Environnementaux</w:t>
      </w:r>
      <w:proofErr w:type="spellEnd"/>
      <w:r w:rsidRPr="009D287C">
        <w:rPr>
          <w:rFonts w:eastAsia="Times New Roman" w:cs="Times New Roman"/>
          <w:i/>
          <w:sz w:val="20"/>
          <w:szCs w:val="20"/>
          <w:lang w:eastAsia="en-CA"/>
        </w:rPr>
        <w:t xml:space="preserve"> AES </w:t>
      </w:r>
      <w:proofErr w:type="spellStart"/>
      <w:r w:rsidRPr="009D287C">
        <w:rPr>
          <w:rFonts w:eastAsia="Times New Roman" w:cs="Times New Roman"/>
          <w:i/>
          <w:sz w:val="20"/>
          <w:szCs w:val="20"/>
          <w:lang w:eastAsia="en-CA"/>
        </w:rPr>
        <w:t>inc.</w:t>
      </w:r>
      <w:proofErr w:type="spellEnd"/>
      <w:r w:rsidRPr="009D287C">
        <w:rPr>
          <w:rFonts w:eastAsia="Times New Roman" w:cs="Times New Roman"/>
          <w:sz w:val="20"/>
          <w:szCs w:val="20"/>
          <w:lang w:eastAsia="en-CA"/>
        </w:rPr>
        <w:t xml:space="preserve">, 2013 SCC 65, </w:t>
      </w:r>
      <w:r w:rsidRPr="009D287C">
        <w:rPr>
          <w:rFonts w:eastAsia="Times New Roman" w:cs="Times New Roman"/>
          <w:bCs/>
          <w:sz w:val="20"/>
          <w:szCs w:val="20"/>
          <w:lang w:eastAsia="en-CA"/>
        </w:rPr>
        <w:t>[2013] 3 S.C.R. 838</w:t>
      </w:r>
      <w:r w:rsidRPr="009D287C">
        <w:rPr>
          <w:rFonts w:eastAsiaTheme="majorEastAsia" w:cs="Times New Roman"/>
          <w:bCs/>
          <w:sz w:val="20"/>
          <w:szCs w:val="20"/>
          <w:lang w:eastAsia="en-CA"/>
        </w:rPr>
        <w:t xml:space="preserve"> (“</w:t>
      </w:r>
      <w:r w:rsidRPr="009D287C">
        <w:rPr>
          <w:rFonts w:eastAsiaTheme="majorEastAsia" w:cs="Times New Roman"/>
          <w:bCs/>
          <w:i/>
          <w:sz w:val="20"/>
          <w:szCs w:val="20"/>
          <w:lang w:eastAsia="en-CA"/>
        </w:rPr>
        <w:t>AES</w:t>
      </w:r>
      <w:r w:rsidRPr="009D287C">
        <w:rPr>
          <w:rFonts w:eastAsiaTheme="majorEastAsia" w:cs="Times New Roman"/>
          <w:bCs/>
          <w:sz w:val="20"/>
          <w:szCs w:val="20"/>
          <w:lang w:eastAsia="en-CA"/>
        </w:rPr>
        <w:t xml:space="preserve">”) </w:t>
      </w:r>
      <w:r w:rsidRPr="009D287C">
        <w:rPr>
          <w:rFonts w:eastAsia="Times New Roman" w:cs="Times New Roman"/>
          <w:sz w:val="20"/>
          <w:szCs w:val="20"/>
          <w:lang w:eastAsia="en-CA"/>
        </w:rPr>
        <w:t xml:space="preserve">should be followed. Departing from this approach limits the availability of an important recourse for taxpayers in the presence of an error made in good faith by them or their tax advisors and is incongruous with the realities of modern commerce. However, a mere intention to avoid taxation can never suffice to ground a request for rectification under art. 1425 </w:t>
      </w:r>
      <w:r w:rsidRPr="009D287C">
        <w:rPr>
          <w:rFonts w:eastAsia="Times New Roman" w:cs="Times New Roman"/>
          <w:i/>
          <w:sz w:val="20"/>
          <w:szCs w:val="20"/>
          <w:lang w:eastAsia="en-CA"/>
        </w:rPr>
        <w:t>C.C.Q.</w:t>
      </w:r>
      <w:r w:rsidRPr="009D287C">
        <w:rPr>
          <w:rFonts w:eastAsia="Times New Roman" w:cs="Times New Roman"/>
          <w:sz w:val="20"/>
          <w:szCs w:val="20"/>
          <w:lang w:eastAsia="en-CA"/>
        </w:rPr>
        <w:t xml:space="preserve"> Although convergence between Quebec civil law and the common law of the other provinces is desirable from a tax policy perspective, retreating from the interpretation of art. 1425 </w:t>
      </w:r>
      <w:r w:rsidRPr="009D287C">
        <w:rPr>
          <w:rFonts w:eastAsia="Times New Roman" w:cs="Times New Roman"/>
          <w:i/>
          <w:sz w:val="20"/>
          <w:szCs w:val="20"/>
          <w:lang w:eastAsia="en-CA"/>
        </w:rPr>
        <w:t>C.C.Q.</w:t>
      </w:r>
      <w:r w:rsidRPr="009D287C">
        <w:rPr>
          <w:rFonts w:eastAsia="Times New Roman" w:cs="Times New Roman"/>
          <w:sz w:val="20"/>
          <w:szCs w:val="20"/>
          <w:lang w:eastAsia="en-CA"/>
        </w:rPr>
        <w:t xml:space="preserve"> adopted in </w:t>
      </w:r>
      <w:r w:rsidRPr="009D287C">
        <w:rPr>
          <w:rFonts w:eastAsia="Times New Roman" w:cs="Times New Roman"/>
          <w:i/>
          <w:sz w:val="20"/>
          <w:szCs w:val="20"/>
          <w:lang w:eastAsia="en-CA"/>
        </w:rPr>
        <w:t>AES</w:t>
      </w:r>
      <w:r w:rsidRPr="009D287C">
        <w:rPr>
          <w:rFonts w:eastAsia="Times New Roman" w:cs="Times New Roman"/>
          <w:sz w:val="20"/>
          <w:szCs w:val="20"/>
          <w:lang w:eastAsia="en-CA"/>
        </w:rPr>
        <w:t xml:space="preserve"> in order to achieve harmony with rectification in equity as considered by the majority in </w:t>
      </w:r>
      <w:r w:rsidRPr="009D287C">
        <w:rPr>
          <w:rFonts w:eastAsia="Times New Roman" w:cs="Times New Roman"/>
          <w:i/>
          <w:sz w:val="20"/>
          <w:szCs w:val="20"/>
          <w:lang w:eastAsia="en-CA"/>
        </w:rPr>
        <w:t>Canada (Attorney General) v. Fairmont Hotels Inc.</w:t>
      </w:r>
      <w:r w:rsidRPr="009D287C">
        <w:rPr>
          <w:rFonts w:eastAsia="Times New Roman" w:cs="Times New Roman"/>
          <w:sz w:val="20"/>
          <w:szCs w:val="20"/>
          <w:lang w:eastAsia="en-CA"/>
        </w:rPr>
        <w:t xml:space="preserve">, 2016 SCC 56, is inconsistent with the law of contract in Quebec. </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iCs/>
          <w:sz w:val="20"/>
          <w:szCs w:val="20"/>
          <w:lang w:eastAsia="en-CA" w:bidi="en-US"/>
        </w:rPr>
      </w:pPr>
      <w:r w:rsidRPr="009D287C">
        <w:rPr>
          <w:rFonts w:eastAsia="Times New Roman" w:cs="Times New Roman"/>
          <w:sz w:val="20"/>
          <w:szCs w:val="20"/>
          <w:lang w:eastAsia="en-CA"/>
        </w:rPr>
        <w:tab/>
        <w:t xml:space="preserve">PJC Canada’s motion for rectification is both necessary and legitimate. There was clearly a gap between the common and continuing intention of the parties and the operations implemented to carry out that intention. The evidence shows that tax neutrality was a </w:t>
      </w:r>
      <w:r w:rsidRPr="009D287C">
        <w:rPr>
          <w:rFonts w:eastAsia="Times New Roman" w:cs="Times New Roman"/>
          <w:i/>
          <w:sz w:val="20"/>
          <w:szCs w:val="20"/>
          <w:lang w:eastAsia="en-CA"/>
        </w:rPr>
        <w:t>sine qua non</w:t>
      </w:r>
      <w:r w:rsidRPr="009D287C">
        <w:rPr>
          <w:rFonts w:eastAsia="Times New Roman" w:cs="Times New Roman"/>
          <w:sz w:val="20"/>
          <w:szCs w:val="20"/>
          <w:lang w:eastAsia="en-CA"/>
        </w:rPr>
        <w:t xml:space="preserve"> of the parties’ envisaged transactional scheme. The object of the agreement consisted in tax-neutral reciprocal loans creating net liabilities in U.S. dollars. Failing to consider that the loans had to be tax-neutral in order for the agreement to make commercial sense is inimical to the </w:t>
      </w:r>
      <w:r w:rsidRPr="009D287C">
        <w:rPr>
          <w:rFonts w:eastAsia="Times New Roman" w:cs="Times New Roman"/>
          <w:iCs/>
          <w:sz w:val="20"/>
          <w:szCs w:val="20"/>
          <w:lang w:eastAsia="en-CA" w:bidi="en-US"/>
        </w:rPr>
        <w:t xml:space="preserve">overall scheme of the agreement. Tax neutrality was at its very core. </w:t>
      </w:r>
    </w:p>
    <w:p w:rsidR="00291573" w:rsidRPr="009D287C" w:rsidRDefault="00291573" w:rsidP="00291573">
      <w:pPr>
        <w:tabs>
          <w:tab w:val="left" w:pos="1168"/>
        </w:tabs>
        <w:jc w:val="both"/>
        <w:rPr>
          <w:rFonts w:eastAsia="Times New Roman" w:cs="Times New Roman"/>
          <w:iCs/>
          <w:sz w:val="20"/>
          <w:szCs w:val="20"/>
          <w:lang w:eastAsia="en-CA" w:bidi="en-US"/>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iCs/>
          <w:sz w:val="20"/>
          <w:szCs w:val="20"/>
          <w:lang w:eastAsia="en-CA" w:bidi="en-US"/>
        </w:rPr>
        <w:tab/>
      </w:r>
      <w:r w:rsidRPr="009D287C">
        <w:rPr>
          <w:rFonts w:eastAsia="Times New Roman" w:cs="Times New Roman"/>
          <w:sz w:val="20"/>
          <w:szCs w:val="20"/>
          <w:lang w:eastAsia="en-CA"/>
        </w:rPr>
        <w:t>T</w:t>
      </w:r>
      <w:r w:rsidRPr="009D287C">
        <w:rPr>
          <w:rFonts w:eastAsia="Times New Roman" w:cs="Times New Roman"/>
          <w:sz w:val="20"/>
          <w:szCs w:val="20"/>
          <w:lang w:eastAsia="en-CA" w:bidi="en-US"/>
        </w:rPr>
        <w:t xml:space="preserve">he object of the contract as defined in art. 1412 </w:t>
      </w:r>
      <w:r w:rsidRPr="009D287C">
        <w:rPr>
          <w:rFonts w:eastAsia="Times New Roman" w:cs="Times New Roman"/>
          <w:i/>
          <w:sz w:val="20"/>
          <w:szCs w:val="20"/>
          <w:lang w:eastAsia="en-CA"/>
        </w:rPr>
        <w:t>C.C.Q.</w:t>
      </w:r>
      <w:r w:rsidRPr="009D287C">
        <w:rPr>
          <w:rFonts w:eastAsia="Times New Roman" w:cs="Times New Roman"/>
          <w:sz w:val="20"/>
          <w:szCs w:val="20"/>
          <w:lang w:eastAsia="en-CA" w:bidi="en-US"/>
        </w:rPr>
        <w:t xml:space="preserve"> transcends the particular </w:t>
      </w:r>
      <w:proofErr w:type="spellStart"/>
      <w:r w:rsidRPr="009D287C">
        <w:rPr>
          <w:rFonts w:eastAsia="Times New Roman" w:cs="Times New Roman"/>
          <w:sz w:val="20"/>
          <w:szCs w:val="20"/>
          <w:lang w:eastAsia="en-CA" w:bidi="en-US"/>
        </w:rPr>
        <w:t>prestations</w:t>
      </w:r>
      <w:proofErr w:type="spellEnd"/>
      <w:r w:rsidRPr="009D287C">
        <w:rPr>
          <w:rFonts w:eastAsia="Times New Roman" w:cs="Times New Roman"/>
          <w:sz w:val="20"/>
          <w:szCs w:val="20"/>
          <w:lang w:eastAsia="en-CA" w:bidi="en-US"/>
        </w:rPr>
        <w:t xml:space="preserve"> of the agreement. As such, </w:t>
      </w:r>
      <w:r w:rsidRPr="009D287C">
        <w:rPr>
          <w:rFonts w:eastAsia="Times New Roman" w:cs="Times New Roman"/>
          <w:sz w:val="20"/>
          <w:szCs w:val="20"/>
          <w:lang w:eastAsia="en-CA"/>
        </w:rPr>
        <w:t xml:space="preserve">rectification cannot be available only where the </w:t>
      </w:r>
      <w:proofErr w:type="spellStart"/>
      <w:r w:rsidRPr="009D287C">
        <w:rPr>
          <w:rFonts w:eastAsia="Times New Roman" w:cs="Times New Roman"/>
          <w:sz w:val="20"/>
          <w:szCs w:val="20"/>
          <w:lang w:eastAsia="en-CA"/>
        </w:rPr>
        <w:t>prestation</w:t>
      </w:r>
      <w:proofErr w:type="spellEnd"/>
      <w:r w:rsidRPr="009D287C">
        <w:rPr>
          <w:rFonts w:eastAsia="Times New Roman" w:cs="Times New Roman"/>
          <w:sz w:val="20"/>
          <w:szCs w:val="20"/>
          <w:lang w:eastAsia="en-CA"/>
        </w:rPr>
        <w:t>, as expressed in the written document, was specifically envisaged by the parties from the outset.</w:t>
      </w:r>
      <w:r w:rsidRPr="009D287C">
        <w:rPr>
          <w:rFonts w:eastAsia="Times New Roman" w:cs="Times New Roman"/>
          <w:sz w:val="20"/>
          <w:szCs w:val="20"/>
          <w:lang w:eastAsia="en-CA" w:bidi="en-US"/>
        </w:rPr>
        <w:t xml:space="preserve"> In </w:t>
      </w:r>
      <w:r w:rsidRPr="009D287C">
        <w:rPr>
          <w:rFonts w:eastAsia="Times New Roman" w:cs="Times New Roman"/>
          <w:i/>
          <w:sz w:val="20"/>
          <w:szCs w:val="20"/>
          <w:lang w:eastAsia="en-CA" w:bidi="en-US"/>
        </w:rPr>
        <w:t>AES</w:t>
      </w:r>
      <w:r w:rsidRPr="009D287C">
        <w:rPr>
          <w:rFonts w:eastAsia="Times New Roman" w:cs="Times New Roman"/>
          <w:sz w:val="20"/>
          <w:szCs w:val="20"/>
          <w:lang w:eastAsia="en-CA" w:bidi="en-US"/>
        </w:rPr>
        <w:t xml:space="preserve">, this Court recognized </w:t>
      </w:r>
      <w:r w:rsidRPr="009D287C">
        <w:rPr>
          <w:rFonts w:eastAsia="Times New Roman" w:cs="Times New Roman"/>
          <w:sz w:val="20"/>
          <w:szCs w:val="20"/>
          <w:lang w:eastAsia="en-CA"/>
        </w:rPr>
        <w:t xml:space="preserve">that even an oral declaration of the parties’ will can depart from their common intention and that rectification is not limited to the correction of clerical errors. Further, that the tax advisors’ error in this case was one of omission, insofar as they neglected to consider FAPI, as opposed to one of commission (like miscalculating the ACB of shares), is not a principled ground on which to distinguish this case from </w:t>
      </w:r>
      <w:r w:rsidRPr="009D287C">
        <w:rPr>
          <w:rFonts w:eastAsia="Times New Roman" w:cs="Times New Roman"/>
          <w:i/>
          <w:sz w:val="20"/>
          <w:szCs w:val="20"/>
          <w:lang w:eastAsia="en-CA"/>
        </w:rPr>
        <w:t>AES</w:t>
      </w:r>
      <w:r w:rsidRPr="009D287C">
        <w:rPr>
          <w:rFonts w:eastAsia="Times New Roman" w:cs="Times New Roman"/>
          <w:sz w:val="20"/>
          <w:szCs w:val="20"/>
          <w:lang w:eastAsia="en-CA"/>
        </w:rPr>
        <w:t xml:space="preserve">. This distinction is at odds with the proposition that, if an expression of common intention contains an error, particularly one that can, as here, be attributed to the taxpayer’s professional advisor, the court must, once the error is proved, ensure that it is remedied. It is also at odd with the recognition in </w:t>
      </w:r>
      <w:r w:rsidRPr="009D287C">
        <w:rPr>
          <w:rFonts w:eastAsia="Times New Roman" w:cs="Times New Roman"/>
          <w:i/>
          <w:sz w:val="20"/>
          <w:szCs w:val="20"/>
          <w:lang w:eastAsia="en-CA"/>
        </w:rPr>
        <w:t xml:space="preserve">AES </w:t>
      </w:r>
      <w:r w:rsidRPr="009D287C">
        <w:rPr>
          <w:rFonts w:eastAsia="Times New Roman" w:cs="Times New Roman"/>
          <w:sz w:val="20"/>
          <w:szCs w:val="20"/>
          <w:lang w:eastAsia="en-CA"/>
        </w:rPr>
        <w:t xml:space="preserve">of a court’s power to fill gaps in the text in interpreting the parties’ common intention. </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The additional transactions or </w:t>
      </w:r>
      <w:proofErr w:type="spellStart"/>
      <w:r w:rsidRPr="009D287C">
        <w:rPr>
          <w:rFonts w:eastAsia="Times New Roman" w:cs="Times New Roman"/>
          <w:sz w:val="20"/>
          <w:szCs w:val="20"/>
          <w:lang w:eastAsia="en-CA"/>
        </w:rPr>
        <w:t>prestations</w:t>
      </w:r>
      <w:proofErr w:type="spellEnd"/>
      <w:r w:rsidRPr="009D287C">
        <w:rPr>
          <w:rFonts w:eastAsia="Times New Roman" w:cs="Times New Roman"/>
          <w:sz w:val="20"/>
          <w:szCs w:val="20"/>
          <w:lang w:eastAsia="en-CA"/>
        </w:rPr>
        <w:t xml:space="preserve"> envisioned by the parties were sufficiently determinable within the meaning of art. 1373 </w:t>
      </w:r>
      <w:r w:rsidRPr="009D287C">
        <w:rPr>
          <w:rFonts w:eastAsia="Times New Roman" w:cs="Times New Roman"/>
          <w:i/>
          <w:sz w:val="20"/>
          <w:szCs w:val="20"/>
          <w:lang w:eastAsia="en-CA"/>
        </w:rPr>
        <w:t>C.C.Q.</w:t>
      </w:r>
      <w:r w:rsidRPr="009D287C">
        <w:rPr>
          <w:rFonts w:eastAsia="Times New Roman" w:cs="Times New Roman"/>
          <w:sz w:val="20"/>
          <w:szCs w:val="20"/>
          <w:lang w:eastAsia="en-CA"/>
        </w:rPr>
        <w:t xml:space="preserve">, as understood by this Court in </w:t>
      </w:r>
      <w:r w:rsidRPr="009D287C">
        <w:rPr>
          <w:rFonts w:eastAsia="Times New Roman" w:cs="Times New Roman"/>
          <w:i/>
          <w:sz w:val="20"/>
          <w:szCs w:val="20"/>
          <w:lang w:eastAsia="en-CA"/>
        </w:rPr>
        <w:t>AES.</w:t>
      </w:r>
      <w:r w:rsidRPr="009D287C">
        <w:rPr>
          <w:rFonts w:eastAsia="Times New Roman" w:cs="Times New Roman"/>
          <w:sz w:val="20"/>
          <w:szCs w:val="20"/>
          <w:lang w:eastAsia="en-CA"/>
        </w:rPr>
        <w:t xml:space="preserve"> Indeed, under the terms of the February 7, 2005 loan agreement between PJC Canada and PJC USA, the principal could be repaid only by mutual consent of the parties. The insertion of intermediate steps involving the repayment of a demand loan therefore amounts to little more than judicial recognition of a partial discharge of an obligation that was determinable even on the terms of the parties’ original instrument. The </w:t>
      </w:r>
      <w:proofErr w:type="spellStart"/>
      <w:r w:rsidRPr="009D287C">
        <w:rPr>
          <w:rFonts w:eastAsia="Times New Roman" w:cs="Times New Roman"/>
          <w:sz w:val="20"/>
          <w:szCs w:val="20"/>
          <w:lang w:eastAsia="en-CA"/>
        </w:rPr>
        <w:t>prestations</w:t>
      </w:r>
      <w:proofErr w:type="spellEnd"/>
      <w:r w:rsidRPr="009D287C">
        <w:rPr>
          <w:rFonts w:eastAsia="Times New Roman" w:cs="Times New Roman"/>
          <w:sz w:val="20"/>
          <w:szCs w:val="20"/>
          <w:lang w:eastAsia="en-CA"/>
        </w:rPr>
        <w:t xml:space="preserve"> here entailed the provision of reciprocal debt financing, on the one hand, and partial repayment of that debt, on — and only on — mutual agreement of the parties. The </w:t>
      </w:r>
      <w:proofErr w:type="spellStart"/>
      <w:r w:rsidRPr="009D287C">
        <w:rPr>
          <w:rFonts w:eastAsia="Times New Roman" w:cs="Times New Roman"/>
          <w:sz w:val="20"/>
          <w:szCs w:val="20"/>
          <w:lang w:eastAsia="en-CA"/>
        </w:rPr>
        <w:t>prestations</w:t>
      </w:r>
      <w:proofErr w:type="spellEnd"/>
      <w:r w:rsidRPr="009D287C">
        <w:rPr>
          <w:rFonts w:eastAsia="Times New Roman" w:cs="Times New Roman"/>
          <w:sz w:val="20"/>
          <w:szCs w:val="20"/>
          <w:lang w:eastAsia="en-CA"/>
        </w:rPr>
        <w:t xml:space="preserve"> were therefore determinate and the corresponding obligation to repay was determinable.</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val="en-US" w:eastAsia="en-CA" w:bidi="en-US"/>
        </w:rPr>
      </w:pPr>
      <w:r w:rsidRPr="009D287C">
        <w:rPr>
          <w:rFonts w:eastAsia="Times New Roman" w:cs="Times New Roman"/>
          <w:sz w:val="20"/>
          <w:szCs w:val="20"/>
          <w:lang w:eastAsia="en-CA"/>
        </w:rPr>
        <w:tab/>
        <w:t xml:space="preserve">PJC Canada’s request for rectification is not intended to rewrite the tax history of the transactions, but rather to fill in the gaps by adding two intermediate steps which maintain tax neutrality. The desired changes do not alter the nature of the original structure of the operation contemplated at the outset. The agreement was not a tax planning transaction. There is nothing here to suggest bad faith or an abuse of right on the part of PJC Canada. </w:t>
      </w:r>
      <w:r w:rsidRPr="009D287C">
        <w:rPr>
          <w:rFonts w:eastAsia="Times New Roman" w:cs="Times New Roman"/>
          <w:sz w:val="20"/>
          <w:szCs w:val="20"/>
          <w:lang w:val="en-US" w:eastAsia="en-CA" w:bidi="en-US"/>
        </w:rPr>
        <w:t>The tax advisors’ fault of omission was committed in good faith following the exercise of reasonable diligence by PJC Canada.</w:t>
      </w:r>
    </w:p>
    <w:p w:rsidR="00291573" w:rsidRPr="009D287C" w:rsidRDefault="00291573" w:rsidP="00291573">
      <w:pPr>
        <w:tabs>
          <w:tab w:val="left" w:pos="1170"/>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Nothing in PJC Canada’s request engaged the rights of third parties and there was no offense to the rules of evidence involved. In the absence of third party reliance, granting PJC Canada’s request promotes, rather than undermines, commercial certainty because it advances the contractual expectations of the parties. Since PJC Canada and PJC USA are in agreement as to their common intention, the concern for an illegitimate </w:t>
      </w:r>
      <w:r w:rsidRPr="009D287C">
        <w:rPr>
          <w:rFonts w:eastAsia="Times New Roman" w:cs="Times New Roman"/>
          <w:i/>
          <w:sz w:val="20"/>
          <w:szCs w:val="20"/>
          <w:lang w:eastAsia="en-CA"/>
        </w:rPr>
        <w:t xml:space="preserve">ex post </w:t>
      </w:r>
      <w:r w:rsidRPr="009D287C">
        <w:rPr>
          <w:rFonts w:eastAsia="Times New Roman" w:cs="Times New Roman"/>
          <w:sz w:val="20"/>
          <w:szCs w:val="20"/>
          <w:lang w:eastAsia="en-CA"/>
        </w:rPr>
        <w:t xml:space="preserve">rewriting of the initial bargain is absent here. Further, rectifying the agreement, in line with the innocent party’s duty to mitigate under art. 1479 </w:t>
      </w:r>
      <w:r w:rsidRPr="009D287C">
        <w:rPr>
          <w:rFonts w:eastAsia="Times New Roman" w:cs="Times New Roman"/>
          <w:i/>
          <w:sz w:val="20"/>
          <w:szCs w:val="20"/>
          <w:lang w:eastAsia="en-CA"/>
        </w:rPr>
        <w:t>C.C.Q.</w:t>
      </w:r>
      <w:r w:rsidRPr="009D287C">
        <w:rPr>
          <w:rFonts w:eastAsia="Times New Roman" w:cs="Times New Roman"/>
          <w:sz w:val="20"/>
          <w:szCs w:val="20"/>
          <w:lang w:eastAsia="en-CA"/>
        </w:rPr>
        <w:t xml:space="preserve">, is preferable to the promotion of claims against that party’s advisors. </w:t>
      </w:r>
    </w:p>
    <w:p w:rsidR="00291573" w:rsidRPr="009D287C" w:rsidRDefault="00291573" w:rsidP="00291573">
      <w:pPr>
        <w:tabs>
          <w:tab w:val="left" w:pos="1170"/>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APPEAL from a judgment of the Quebec Court of Appeal (</w:t>
      </w:r>
      <w:proofErr w:type="spellStart"/>
      <w:r w:rsidRPr="009D287C">
        <w:rPr>
          <w:rFonts w:eastAsia="Times New Roman" w:cs="Times New Roman"/>
          <w:sz w:val="20"/>
          <w:szCs w:val="20"/>
          <w:lang w:eastAsia="en-CA"/>
        </w:rPr>
        <w:t>Chamberland</w:t>
      </w:r>
      <w:proofErr w:type="spellEnd"/>
      <w:r w:rsidRPr="009D287C">
        <w:rPr>
          <w:rFonts w:eastAsia="Times New Roman" w:cs="Times New Roman"/>
          <w:sz w:val="20"/>
          <w:szCs w:val="20"/>
          <w:lang w:eastAsia="en-CA"/>
        </w:rPr>
        <w:t>, Giroux and Schrager JJ.A.), 2015 QCCA 838, [2015] 4 C.T.C. 82, [2015] AZ</w:t>
      </w:r>
      <w:r w:rsidRPr="009D287C">
        <w:rPr>
          <w:rFonts w:eastAsia="Times New Roman" w:cs="Times New Roman"/>
          <w:sz w:val="20"/>
          <w:szCs w:val="20"/>
          <w:lang w:eastAsia="en-CA"/>
        </w:rPr>
        <w:noBreakHyphen/>
        <w:t xml:space="preserve">51175618, [2015] Q.J. No. 4127 (QL), 2015 </w:t>
      </w:r>
      <w:proofErr w:type="spellStart"/>
      <w:r w:rsidRPr="009D287C">
        <w:rPr>
          <w:rFonts w:eastAsia="Times New Roman" w:cs="Times New Roman"/>
          <w:sz w:val="20"/>
          <w:szCs w:val="20"/>
          <w:lang w:eastAsia="en-CA"/>
        </w:rPr>
        <w:t>CarswellQue</w:t>
      </w:r>
      <w:proofErr w:type="spellEnd"/>
      <w:r w:rsidRPr="009D287C">
        <w:rPr>
          <w:rFonts w:eastAsia="Times New Roman" w:cs="Times New Roman"/>
          <w:sz w:val="20"/>
          <w:szCs w:val="20"/>
          <w:lang w:eastAsia="en-CA"/>
        </w:rPr>
        <w:t xml:space="preserve"> 3542 (WL </w:t>
      </w:r>
      <w:r w:rsidRPr="009D287C">
        <w:rPr>
          <w:rFonts w:eastAsia="Times New Roman" w:cs="Times New Roman"/>
          <w:sz w:val="20"/>
          <w:szCs w:val="20"/>
          <w:lang w:eastAsia="en-CA"/>
        </w:rPr>
        <w:lastRenderedPageBreak/>
        <w:t>Can.), setting aside a decision of Chabot J., 2012 QCCS 6917, [2012] AZ</w:t>
      </w:r>
      <w:r w:rsidRPr="009D287C">
        <w:rPr>
          <w:rFonts w:eastAsia="Times New Roman" w:cs="Times New Roman"/>
          <w:sz w:val="20"/>
          <w:szCs w:val="20"/>
          <w:lang w:eastAsia="en-CA"/>
        </w:rPr>
        <w:noBreakHyphen/>
        <w:t>50931255, [2012] J.Q. n</w:t>
      </w:r>
      <w:r w:rsidRPr="009D287C">
        <w:rPr>
          <w:rFonts w:eastAsia="Times New Roman" w:cs="Times New Roman"/>
          <w:sz w:val="20"/>
          <w:szCs w:val="20"/>
          <w:vertAlign w:val="superscript"/>
          <w:lang w:eastAsia="en-CA"/>
        </w:rPr>
        <w:t>o</w:t>
      </w:r>
      <w:r w:rsidRPr="009D287C">
        <w:rPr>
          <w:rFonts w:eastAsia="Times New Roman" w:cs="Times New Roman"/>
          <w:sz w:val="20"/>
          <w:szCs w:val="20"/>
          <w:lang w:eastAsia="en-CA"/>
        </w:rPr>
        <w:t xml:space="preserve"> 19046 (QL), 2012 </w:t>
      </w:r>
      <w:proofErr w:type="spellStart"/>
      <w:r w:rsidRPr="009D287C">
        <w:rPr>
          <w:rFonts w:eastAsia="Times New Roman" w:cs="Times New Roman"/>
          <w:sz w:val="20"/>
          <w:szCs w:val="20"/>
          <w:lang w:eastAsia="en-CA"/>
        </w:rPr>
        <w:t>CarswellQue</w:t>
      </w:r>
      <w:proofErr w:type="spellEnd"/>
      <w:r w:rsidRPr="009D287C">
        <w:rPr>
          <w:rFonts w:eastAsia="Times New Roman" w:cs="Times New Roman"/>
          <w:sz w:val="20"/>
          <w:szCs w:val="20"/>
          <w:lang w:eastAsia="en-CA"/>
        </w:rPr>
        <w:t xml:space="preserve"> 14611 (WL Can.). Appeal dismissed,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and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JJ. </w:t>
      </w:r>
      <w:proofErr w:type="gramStart"/>
      <w:r w:rsidRPr="009D287C">
        <w:rPr>
          <w:rFonts w:eastAsia="Times New Roman" w:cs="Times New Roman"/>
          <w:sz w:val="20"/>
          <w:szCs w:val="20"/>
          <w:lang w:eastAsia="en-CA"/>
        </w:rPr>
        <w:t>dissenting</w:t>
      </w:r>
      <w:proofErr w:type="gramEnd"/>
      <w:r w:rsidRPr="009D287C">
        <w:rPr>
          <w:rFonts w:eastAsia="Times New Roman" w:cs="Times New Roman"/>
          <w:sz w:val="20"/>
          <w:szCs w:val="20"/>
          <w:lang w:eastAsia="en-CA"/>
        </w:rPr>
        <w:t>.</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 xml:space="preserve">Dominic </w:t>
      </w:r>
      <w:proofErr w:type="spellStart"/>
      <w:r w:rsidRPr="009D287C">
        <w:rPr>
          <w:rFonts w:eastAsia="Times New Roman" w:cs="Times New Roman"/>
          <w:i/>
          <w:sz w:val="20"/>
          <w:szCs w:val="20"/>
          <w:lang w:eastAsia="en-CA"/>
        </w:rPr>
        <w:t>Belley</w:t>
      </w:r>
      <w:proofErr w:type="spellEnd"/>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 xml:space="preserve">Jonathan </w:t>
      </w:r>
      <w:proofErr w:type="spellStart"/>
      <w:r w:rsidRPr="009D287C">
        <w:rPr>
          <w:rFonts w:eastAsia="Times New Roman" w:cs="Times New Roman"/>
          <w:i/>
          <w:sz w:val="20"/>
          <w:szCs w:val="20"/>
          <w:lang w:eastAsia="en-CA"/>
        </w:rPr>
        <w:t>Lafrance</w:t>
      </w:r>
      <w:proofErr w:type="spellEnd"/>
      <w:r w:rsidRPr="009D287C">
        <w:rPr>
          <w:rFonts w:eastAsia="Times New Roman" w:cs="Times New Roman"/>
          <w:sz w:val="20"/>
          <w:szCs w:val="20"/>
          <w:lang w:eastAsia="en-CA"/>
        </w:rPr>
        <w:t>, for the appellant.</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Daniel Bourgeois</w:t>
      </w:r>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Eric Noble</w:t>
      </w:r>
      <w:r w:rsidRPr="009D287C">
        <w:rPr>
          <w:rFonts w:eastAsia="Times New Roman" w:cs="Times New Roman"/>
          <w:sz w:val="20"/>
          <w:szCs w:val="20"/>
          <w:lang w:eastAsia="en-CA"/>
        </w:rPr>
        <w:t>, for the respondent.</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sz w:val="20"/>
          <w:szCs w:val="20"/>
          <w:lang w:eastAsia="en-CA"/>
        </w:rPr>
      </w:pPr>
      <w:r w:rsidRPr="009D287C">
        <w:rPr>
          <w:rFonts w:eastAsia="Times New Roman" w:cs="Times New Roman"/>
          <w:i/>
          <w:sz w:val="20"/>
          <w:szCs w:val="20"/>
          <w:lang w:eastAsia="en-CA"/>
        </w:rPr>
        <w:tab/>
        <w:t xml:space="preserve">Pierre </w:t>
      </w:r>
      <w:proofErr w:type="spellStart"/>
      <w:r w:rsidRPr="009D287C">
        <w:rPr>
          <w:rFonts w:eastAsia="Times New Roman" w:cs="Times New Roman"/>
          <w:i/>
          <w:sz w:val="20"/>
          <w:szCs w:val="20"/>
          <w:lang w:eastAsia="en-CA"/>
        </w:rPr>
        <w:t>Zemaitis</w:t>
      </w:r>
      <w:proofErr w:type="spellEnd"/>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 xml:space="preserve">Christian </w:t>
      </w:r>
      <w:proofErr w:type="spellStart"/>
      <w:r w:rsidRPr="009D287C">
        <w:rPr>
          <w:rFonts w:eastAsia="Times New Roman" w:cs="Times New Roman"/>
          <w:i/>
          <w:sz w:val="20"/>
          <w:szCs w:val="20"/>
          <w:lang w:eastAsia="en-CA"/>
        </w:rPr>
        <w:t>Boutin</w:t>
      </w:r>
      <w:proofErr w:type="spellEnd"/>
      <w:r w:rsidRPr="009D287C">
        <w:rPr>
          <w:rFonts w:eastAsia="Times New Roman" w:cs="Times New Roman"/>
          <w:sz w:val="20"/>
          <w:szCs w:val="20"/>
          <w:lang w:eastAsia="en-CA"/>
        </w:rPr>
        <w:t>, for the intervener.</w:t>
      </w:r>
    </w:p>
    <w:p w:rsidR="00291573" w:rsidRPr="009D287C" w:rsidRDefault="00291573" w:rsidP="00291573">
      <w:pPr>
        <w:tabs>
          <w:tab w:val="left" w:pos="1168"/>
        </w:tabs>
        <w:jc w:val="both"/>
        <w:rPr>
          <w:rFonts w:eastAsia="Times New Roman" w:cs="Times New Roman"/>
          <w:sz w:val="20"/>
          <w:szCs w:val="20"/>
          <w:lang w:eastAsia="en-CA"/>
        </w:rPr>
      </w:pPr>
    </w:p>
    <w:p w:rsidR="00291573" w:rsidRPr="009D287C" w:rsidRDefault="00291573" w:rsidP="0029157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Solicitors for the appellant: Norton Rose Fulbright Canada, Montréal.</w:t>
      </w:r>
    </w:p>
    <w:p w:rsidR="00291573" w:rsidRPr="009D287C" w:rsidRDefault="00291573" w:rsidP="00291573">
      <w:pPr>
        <w:tabs>
          <w:tab w:val="left" w:pos="1168"/>
        </w:tabs>
        <w:jc w:val="both"/>
        <w:rPr>
          <w:rFonts w:eastAsia="Times New Roman" w:cs="Times New Roman"/>
          <w:i/>
          <w:sz w:val="20"/>
          <w:szCs w:val="20"/>
          <w:lang w:eastAsia="en-CA"/>
        </w:rPr>
      </w:pPr>
    </w:p>
    <w:p w:rsidR="00291573" w:rsidRPr="009D287C" w:rsidRDefault="00291573" w:rsidP="0029157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 for the respondent: Attorney General of Canada, Ottawa.</w:t>
      </w:r>
    </w:p>
    <w:p w:rsidR="00291573" w:rsidRPr="009D287C" w:rsidRDefault="00291573" w:rsidP="00291573">
      <w:pPr>
        <w:tabs>
          <w:tab w:val="left" w:pos="1168"/>
        </w:tabs>
        <w:jc w:val="both"/>
        <w:rPr>
          <w:rFonts w:eastAsia="Times New Roman" w:cs="Times New Roman"/>
          <w:i/>
          <w:sz w:val="20"/>
          <w:szCs w:val="20"/>
          <w:lang w:eastAsia="en-CA"/>
        </w:rPr>
      </w:pPr>
    </w:p>
    <w:p w:rsidR="00291573" w:rsidRPr="009D287C" w:rsidRDefault="00291573" w:rsidP="0029157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Solicitors for the intervener: </w:t>
      </w:r>
      <w:proofErr w:type="spellStart"/>
      <w:r w:rsidRPr="009D287C">
        <w:rPr>
          <w:rFonts w:eastAsia="Times New Roman" w:cs="Times New Roman"/>
          <w:i/>
          <w:sz w:val="20"/>
          <w:szCs w:val="20"/>
          <w:lang w:eastAsia="en-CA"/>
        </w:rPr>
        <w:t>Larivière</w:t>
      </w:r>
      <w:proofErr w:type="spellEnd"/>
      <w:r w:rsidRPr="009D287C">
        <w:rPr>
          <w:rFonts w:eastAsia="Times New Roman" w:cs="Times New Roman"/>
          <w:i/>
          <w:sz w:val="20"/>
          <w:szCs w:val="20"/>
          <w:lang w:eastAsia="en-CA"/>
        </w:rPr>
        <w:t xml:space="preserve"> </w:t>
      </w:r>
      <w:proofErr w:type="spellStart"/>
      <w:r w:rsidRPr="009D287C">
        <w:rPr>
          <w:rFonts w:eastAsia="Times New Roman" w:cs="Times New Roman"/>
          <w:i/>
          <w:sz w:val="20"/>
          <w:szCs w:val="20"/>
          <w:lang w:eastAsia="en-CA"/>
        </w:rPr>
        <w:t>Meunier</w:t>
      </w:r>
      <w:proofErr w:type="spellEnd"/>
      <w:r w:rsidRPr="009D287C">
        <w:rPr>
          <w:rFonts w:eastAsia="Times New Roman" w:cs="Times New Roman"/>
          <w:i/>
          <w:sz w:val="20"/>
          <w:szCs w:val="20"/>
          <w:lang w:eastAsia="en-CA"/>
        </w:rPr>
        <w:t>, Montréal.</w:t>
      </w:r>
    </w:p>
    <w:p w:rsidR="00AF3DE7" w:rsidRPr="009D287C" w:rsidRDefault="00AF3DE7" w:rsidP="00902E51">
      <w:pPr>
        <w:rPr>
          <w:rFonts w:cs="Times New Roman"/>
          <w:sz w:val="20"/>
          <w:szCs w:val="20"/>
          <w:lang w:val="en-US"/>
        </w:rPr>
      </w:pPr>
    </w:p>
    <w:p w:rsidR="00AF3DE7" w:rsidRPr="009D287C" w:rsidRDefault="00346C6C" w:rsidP="00902E51">
      <w:pPr>
        <w:rPr>
          <w:rFonts w:cs="Times New Roman"/>
          <w:sz w:val="20"/>
          <w:szCs w:val="20"/>
          <w:lang w:val="fr-CA"/>
        </w:rPr>
      </w:pPr>
      <w:r>
        <w:rPr>
          <w:rFonts w:cs="Times New Roman"/>
          <w:sz w:val="20"/>
          <w:szCs w:val="20"/>
          <w:lang w:val="fr-CA"/>
        </w:rPr>
        <w:pict>
          <v:rect id="_x0000_i1066" style="width:144.3pt;height:1pt" o:hrpct="300" o:hralign="center" o:hrstd="t" o:hrnoshade="t" o:hr="t" fillcolor="black [3213]" stroked="f"/>
        </w:pict>
      </w:r>
    </w:p>
    <w:p w:rsidR="00AF3DE7" w:rsidRPr="009D287C" w:rsidRDefault="00AF3DE7" w:rsidP="00902E51">
      <w:pPr>
        <w:rPr>
          <w:rFonts w:cs="Times New Roman"/>
          <w:sz w:val="20"/>
          <w:szCs w:val="20"/>
          <w:lang w:val="fr-CA"/>
        </w:rPr>
      </w:pPr>
    </w:p>
    <w:p w:rsidR="00874580" w:rsidRPr="009D287C" w:rsidRDefault="00874580">
      <w:pPr>
        <w:rPr>
          <w:rFonts w:cs="Times New Roman"/>
          <w:sz w:val="20"/>
          <w:szCs w:val="20"/>
          <w:lang w:val="fr-CA"/>
        </w:rPr>
      </w:pPr>
      <w:r w:rsidRPr="009D287C">
        <w:rPr>
          <w:rFonts w:cs="Times New Roman"/>
          <w:sz w:val="20"/>
          <w:szCs w:val="20"/>
          <w:lang w:val="fr-CA"/>
        </w:rPr>
        <w:br w:type="page"/>
      </w:r>
    </w:p>
    <w:p w:rsidR="00874580" w:rsidRPr="009D287C" w:rsidRDefault="005A132A" w:rsidP="00874580">
      <w:pPr>
        <w:ind w:left="720" w:hanging="720"/>
        <w:rPr>
          <w:rFonts w:eastAsia="Calibri"/>
          <w:b/>
          <w:sz w:val="20"/>
          <w:szCs w:val="20"/>
        </w:rPr>
      </w:pPr>
      <w:r w:rsidRPr="009D287C">
        <w:rPr>
          <w:i/>
          <w:sz w:val="20"/>
          <w:szCs w:val="20"/>
        </w:rPr>
        <w:lastRenderedPageBreak/>
        <w:t>Attorney General of Canada</w:t>
      </w:r>
      <w:r w:rsidR="00874580" w:rsidRPr="009D287C">
        <w:rPr>
          <w:i/>
          <w:sz w:val="20"/>
          <w:szCs w:val="20"/>
        </w:rPr>
        <w:t xml:space="preserve"> v. </w:t>
      </w:r>
      <w:r w:rsidRPr="009D287C">
        <w:rPr>
          <w:i/>
          <w:sz w:val="20"/>
          <w:szCs w:val="20"/>
        </w:rPr>
        <w:t>Fairmont Hotels Inc. et al.</w:t>
      </w:r>
      <w:r w:rsidR="00874580" w:rsidRPr="009D287C">
        <w:rPr>
          <w:sz w:val="20"/>
          <w:szCs w:val="20"/>
        </w:rPr>
        <w:t xml:space="preserve"> (</w:t>
      </w:r>
      <w:r w:rsidRPr="009D287C">
        <w:rPr>
          <w:sz w:val="20"/>
          <w:szCs w:val="20"/>
        </w:rPr>
        <w:t>Ont</w:t>
      </w:r>
      <w:r w:rsidR="00874580" w:rsidRPr="009D287C">
        <w:rPr>
          <w:sz w:val="20"/>
          <w:szCs w:val="20"/>
        </w:rPr>
        <w:t>.) (</w:t>
      </w:r>
      <w:hyperlink r:id="rId67" w:history="1">
        <w:r w:rsidR="00874580" w:rsidRPr="009D287C">
          <w:rPr>
            <w:rStyle w:val="Hyperlink"/>
            <w:sz w:val="20"/>
            <w:szCs w:val="20"/>
          </w:rPr>
          <w:t>3</w:t>
        </w:r>
        <w:r w:rsidRPr="009D287C">
          <w:rPr>
            <w:rStyle w:val="Hyperlink"/>
            <w:sz w:val="20"/>
            <w:szCs w:val="20"/>
          </w:rPr>
          <w:t>6606</w:t>
        </w:r>
      </w:hyperlink>
      <w:r w:rsidR="00874580" w:rsidRPr="009D287C">
        <w:rPr>
          <w:sz w:val="20"/>
          <w:szCs w:val="20"/>
        </w:rPr>
        <w:t>)</w:t>
      </w:r>
    </w:p>
    <w:p w:rsidR="00874580" w:rsidRPr="009D287C" w:rsidRDefault="00874580" w:rsidP="00874580">
      <w:pPr>
        <w:jc w:val="both"/>
        <w:rPr>
          <w:b/>
          <w:sz w:val="20"/>
          <w:szCs w:val="20"/>
        </w:rPr>
      </w:pPr>
      <w:r w:rsidRPr="009D287C">
        <w:rPr>
          <w:b/>
          <w:sz w:val="20"/>
          <w:szCs w:val="20"/>
        </w:rPr>
        <w:t xml:space="preserve">Indexed as:  </w:t>
      </w:r>
      <w:r w:rsidR="005A132A" w:rsidRPr="009D287C">
        <w:rPr>
          <w:rFonts w:eastAsia="Times New Roman" w:cs="Times New Roman"/>
          <w:b/>
          <w:sz w:val="20"/>
          <w:szCs w:val="20"/>
          <w:lang w:eastAsia="en-CA"/>
        </w:rPr>
        <w:t xml:space="preserve">Canada (Attorney General) </w:t>
      </w:r>
      <w:r w:rsidR="005A132A" w:rsidRPr="009D287C">
        <w:rPr>
          <w:rFonts w:eastAsia="Times New Roman" w:cs="Times New Roman"/>
          <w:b/>
          <w:i/>
          <w:sz w:val="20"/>
          <w:szCs w:val="20"/>
          <w:lang w:eastAsia="en-CA"/>
        </w:rPr>
        <w:t>v.</w:t>
      </w:r>
      <w:r w:rsidR="005A132A" w:rsidRPr="009D287C">
        <w:rPr>
          <w:rFonts w:eastAsia="Times New Roman" w:cs="Times New Roman"/>
          <w:b/>
          <w:sz w:val="20"/>
          <w:szCs w:val="20"/>
          <w:lang w:eastAsia="en-CA"/>
        </w:rPr>
        <w:t xml:space="preserve"> Fairmont Hotels Inc.</w:t>
      </w:r>
      <w:r w:rsidRPr="009D287C">
        <w:rPr>
          <w:rStyle w:val="SCCAppellantForIndexChar"/>
          <w:rFonts w:eastAsiaTheme="minorHAnsi"/>
          <w:sz w:val="20"/>
          <w:lang w:val="en-CA"/>
        </w:rPr>
        <w:t xml:space="preserve"> / </w:t>
      </w:r>
      <w:proofErr w:type="spellStart"/>
      <w:proofErr w:type="gramStart"/>
      <w:r w:rsidRPr="009D287C">
        <w:rPr>
          <w:b/>
          <w:sz w:val="20"/>
          <w:szCs w:val="20"/>
        </w:rPr>
        <w:t>Répertorié</w:t>
      </w:r>
      <w:proofErr w:type="spellEnd"/>
      <w:r w:rsidRPr="009D287C">
        <w:rPr>
          <w:b/>
          <w:sz w:val="20"/>
          <w:szCs w:val="20"/>
        </w:rPr>
        <w:t> :</w:t>
      </w:r>
      <w:proofErr w:type="gramEnd"/>
      <w:r w:rsidRPr="009D287C">
        <w:rPr>
          <w:b/>
          <w:sz w:val="20"/>
          <w:szCs w:val="20"/>
        </w:rPr>
        <w:t> </w:t>
      </w:r>
      <w:r w:rsidR="005A132A" w:rsidRPr="009D287C">
        <w:rPr>
          <w:rFonts w:eastAsia="Times New Roman" w:cs="Times New Roman"/>
          <w:b/>
          <w:sz w:val="20"/>
          <w:szCs w:val="20"/>
          <w:lang w:eastAsia="en-CA"/>
        </w:rPr>
        <w:t>Canada (</w:t>
      </w:r>
      <w:proofErr w:type="spellStart"/>
      <w:r w:rsidR="005A132A" w:rsidRPr="009D287C">
        <w:rPr>
          <w:rFonts w:eastAsia="Times New Roman" w:cs="Times New Roman"/>
          <w:b/>
          <w:sz w:val="20"/>
          <w:szCs w:val="20"/>
          <w:lang w:eastAsia="en-CA"/>
        </w:rPr>
        <w:t>Procureur</w:t>
      </w:r>
      <w:proofErr w:type="spellEnd"/>
      <w:r w:rsidR="005A132A" w:rsidRPr="009D287C">
        <w:rPr>
          <w:rFonts w:eastAsia="Times New Roman" w:cs="Times New Roman"/>
          <w:b/>
          <w:sz w:val="20"/>
          <w:szCs w:val="20"/>
          <w:lang w:eastAsia="en-CA"/>
        </w:rPr>
        <w:t xml:space="preserve"> </w:t>
      </w:r>
      <w:proofErr w:type="spellStart"/>
      <w:r w:rsidR="005A132A" w:rsidRPr="009D287C">
        <w:rPr>
          <w:rFonts w:eastAsia="Times New Roman" w:cs="Times New Roman"/>
          <w:b/>
          <w:sz w:val="20"/>
          <w:szCs w:val="20"/>
          <w:lang w:eastAsia="en-CA"/>
        </w:rPr>
        <w:t>général</w:t>
      </w:r>
      <w:proofErr w:type="spellEnd"/>
      <w:r w:rsidR="005A132A" w:rsidRPr="009D287C">
        <w:rPr>
          <w:rFonts w:eastAsia="Times New Roman" w:cs="Times New Roman"/>
          <w:b/>
          <w:sz w:val="20"/>
          <w:szCs w:val="20"/>
          <w:lang w:eastAsia="en-CA"/>
        </w:rPr>
        <w:t xml:space="preserve">) </w:t>
      </w:r>
      <w:r w:rsidR="005A132A" w:rsidRPr="009D287C">
        <w:rPr>
          <w:rFonts w:eastAsia="Times New Roman" w:cs="Times New Roman"/>
          <w:b/>
          <w:i/>
          <w:sz w:val="20"/>
          <w:szCs w:val="20"/>
          <w:lang w:eastAsia="en-CA"/>
        </w:rPr>
        <w:t>c.</w:t>
      </w:r>
      <w:r w:rsidR="005A132A" w:rsidRPr="009D287C">
        <w:rPr>
          <w:rFonts w:eastAsia="Times New Roman" w:cs="Times New Roman"/>
          <w:b/>
          <w:sz w:val="20"/>
          <w:szCs w:val="20"/>
          <w:lang w:eastAsia="en-CA"/>
        </w:rPr>
        <w:t xml:space="preserve"> </w:t>
      </w:r>
      <w:proofErr w:type="spellStart"/>
      <w:r w:rsidR="005A132A" w:rsidRPr="009D287C">
        <w:rPr>
          <w:rFonts w:eastAsia="Times New Roman" w:cs="Times New Roman"/>
          <w:b/>
          <w:sz w:val="20"/>
          <w:szCs w:val="20"/>
          <w:lang w:eastAsia="en-CA"/>
        </w:rPr>
        <w:t>Hôtels</w:t>
      </w:r>
      <w:proofErr w:type="spellEnd"/>
      <w:r w:rsidR="005A132A" w:rsidRPr="009D287C">
        <w:rPr>
          <w:rFonts w:eastAsia="Times New Roman" w:cs="Times New Roman"/>
          <w:b/>
          <w:sz w:val="20"/>
          <w:szCs w:val="20"/>
          <w:lang w:eastAsia="en-CA"/>
        </w:rPr>
        <w:t xml:space="preserve"> Fairmont Inc.</w:t>
      </w:r>
    </w:p>
    <w:p w:rsidR="00874580" w:rsidRPr="009D287C" w:rsidRDefault="00874580" w:rsidP="00874580">
      <w:pPr>
        <w:pStyle w:val="SCCSystemYear"/>
        <w:jc w:val="both"/>
        <w:rPr>
          <w:sz w:val="20"/>
          <w:lang w:val="en-CA"/>
        </w:rPr>
      </w:pPr>
      <w:r w:rsidRPr="009D287C">
        <w:rPr>
          <w:sz w:val="20"/>
          <w:lang w:val="en-CA"/>
        </w:rPr>
        <w:t xml:space="preserve">Neutral citation:  2016 SCC 56 / </w:t>
      </w:r>
      <w:proofErr w:type="spellStart"/>
      <w:r w:rsidRPr="009D287C">
        <w:rPr>
          <w:sz w:val="20"/>
          <w:lang w:val="en-CA"/>
        </w:rPr>
        <w:t>Référence</w:t>
      </w:r>
      <w:proofErr w:type="spellEnd"/>
      <w:r w:rsidRPr="009D287C">
        <w:rPr>
          <w:sz w:val="20"/>
          <w:lang w:val="en-CA"/>
        </w:rPr>
        <w:t xml:space="preserve"> </w:t>
      </w:r>
      <w:proofErr w:type="spellStart"/>
      <w:proofErr w:type="gramStart"/>
      <w:r w:rsidRPr="009D287C">
        <w:rPr>
          <w:sz w:val="20"/>
          <w:lang w:val="en-CA"/>
        </w:rPr>
        <w:t>neutre</w:t>
      </w:r>
      <w:proofErr w:type="spellEnd"/>
      <w:r w:rsidRPr="009D287C">
        <w:rPr>
          <w:sz w:val="20"/>
          <w:lang w:val="en-CA"/>
        </w:rPr>
        <w:t xml:space="preserve"> :</w:t>
      </w:r>
      <w:proofErr w:type="gramEnd"/>
      <w:r w:rsidRPr="009D287C">
        <w:rPr>
          <w:sz w:val="20"/>
          <w:lang w:val="en-CA"/>
        </w:rPr>
        <w:t xml:space="preserve"> 2016 CSC 56</w:t>
      </w:r>
    </w:p>
    <w:p w:rsidR="00874580" w:rsidRPr="009D287C" w:rsidRDefault="00874580" w:rsidP="00874580">
      <w:pPr>
        <w:rPr>
          <w:sz w:val="20"/>
          <w:szCs w:val="20"/>
          <w:lang w:val="fr-CA"/>
        </w:rPr>
      </w:pPr>
      <w:proofErr w:type="spellStart"/>
      <w:r w:rsidRPr="009D287C">
        <w:rPr>
          <w:sz w:val="20"/>
          <w:szCs w:val="20"/>
          <w:lang w:val="fr-CA"/>
        </w:rPr>
        <w:t>Hearing</w:t>
      </w:r>
      <w:proofErr w:type="spellEnd"/>
      <w:proofErr w:type="gramStart"/>
      <w:r w:rsidRPr="009D287C">
        <w:rPr>
          <w:sz w:val="20"/>
          <w:szCs w:val="20"/>
          <w:lang w:val="fr-CA"/>
        </w:rPr>
        <w:t>:  May</w:t>
      </w:r>
      <w:proofErr w:type="gramEnd"/>
      <w:r w:rsidRPr="009D287C">
        <w:rPr>
          <w:sz w:val="20"/>
          <w:szCs w:val="20"/>
          <w:lang w:val="fr-CA"/>
        </w:rPr>
        <w:t xml:space="preserve"> 23, 2016 / </w:t>
      </w:r>
      <w:proofErr w:type="spellStart"/>
      <w:r w:rsidRPr="009D287C">
        <w:rPr>
          <w:sz w:val="20"/>
          <w:szCs w:val="20"/>
          <w:lang w:val="fr-CA"/>
        </w:rPr>
        <w:t>Judgment</w:t>
      </w:r>
      <w:proofErr w:type="spellEnd"/>
      <w:r w:rsidRPr="009D287C">
        <w:rPr>
          <w:sz w:val="20"/>
          <w:szCs w:val="20"/>
          <w:lang w:val="fr-CA"/>
        </w:rPr>
        <w:t xml:space="preserve">:  </w:t>
      </w:r>
      <w:proofErr w:type="spellStart"/>
      <w:r w:rsidRPr="009D287C">
        <w:rPr>
          <w:sz w:val="20"/>
          <w:szCs w:val="20"/>
          <w:lang w:val="fr-CA"/>
        </w:rPr>
        <w:t>December</w:t>
      </w:r>
      <w:proofErr w:type="spellEnd"/>
      <w:r w:rsidRPr="009D287C">
        <w:rPr>
          <w:sz w:val="20"/>
          <w:szCs w:val="20"/>
          <w:lang w:val="fr-CA"/>
        </w:rPr>
        <w:t xml:space="preserve"> 9, 2016</w:t>
      </w:r>
    </w:p>
    <w:p w:rsidR="00874580" w:rsidRPr="009D287C" w:rsidRDefault="00874580" w:rsidP="00874580">
      <w:pPr>
        <w:rPr>
          <w:sz w:val="20"/>
          <w:szCs w:val="20"/>
          <w:lang w:val="fr-CA"/>
        </w:rPr>
      </w:pPr>
      <w:r w:rsidRPr="009D287C">
        <w:rPr>
          <w:sz w:val="20"/>
          <w:szCs w:val="20"/>
          <w:lang w:val="fr-CA"/>
        </w:rPr>
        <w:t>Audition : Le 23 mai 2016 / Jugement : Le 9 décembre 2016</w:t>
      </w:r>
    </w:p>
    <w:p w:rsidR="00874580" w:rsidRPr="009D287C" w:rsidRDefault="00346C6C" w:rsidP="00874580">
      <w:pPr>
        <w:rPr>
          <w:sz w:val="20"/>
          <w:szCs w:val="20"/>
          <w:lang w:val="fr-CA"/>
        </w:rPr>
      </w:pPr>
      <w:r>
        <w:rPr>
          <w:i/>
          <w:sz w:val="20"/>
          <w:szCs w:val="20"/>
        </w:rPr>
        <w:pict>
          <v:rect id="_x0000_i1067" style="width:480.95pt;height:1pt" o:hralign="center" o:hrstd="t" o:hrnoshade="t" o:hr="t" fillcolor="black [3213]" stroked="f"/>
        </w:pict>
      </w:r>
    </w:p>
    <w:p w:rsidR="00874580" w:rsidRPr="009D287C" w:rsidRDefault="00874580" w:rsidP="00061503">
      <w:pPr>
        <w:rPr>
          <w:sz w:val="20"/>
          <w:szCs w:val="20"/>
          <w:lang w:val="fr-CA"/>
        </w:rPr>
      </w:pPr>
    </w:p>
    <w:p w:rsidR="00061503" w:rsidRPr="009D287C" w:rsidRDefault="00061503" w:rsidP="00061503">
      <w:pPr>
        <w:jc w:val="both"/>
        <w:rPr>
          <w:rFonts w:eastAsia="Times New Roman" w:cs="Times New Roman"/>
          <w:sz w:val="20"/>
          <w:szCs w:val="20"/>
          <w:lang w:eastAsia="en-CA"/>
        </w:rPr>
      </w:pPr>
      <w:r w:rsidRPr="009D287C">
        <w:rPr>
          <w:rFonts w:eastAsia="Times New Roman" w:cs="Times New Roman"/>
          <w:sz w:val="20"/>
          <w:szCs w:val="20"/>
          <w:lang w:eastAsia="en-CA"/>
        </w:rPr>
        <w:t xml:space="preserve">Present: </w:t>
      </w:r>
      <w:proofErr w:type="spellStart"/>
      <w:r w:rsidRPr="009D287C">
        <w:rPr>
          <w:rFonts w:eastAsia="Times New Roman" w:cs="Times New Roman"/>
          <w:sz w:val="20"/>
          <w:szCs w:val="20"/>
          <w:lang w:eastAsia="en-CA"/>
        </w:rPr>
        <w:t>McLachlin</w:t>
      </w:r>
      <w:proofErr w:type="spellEnd"/>
      <w:r w:rsidRPr="009D287C">
        <w:rPr>
          <w:rFonts w:eastAsia="Times New Roman" w:cs="Times New Roman"/>
          <w:sz w:val="20"/>
          <w:szCs w:val="20"/>
          <w:lang w:eastAsia="en-CA"/>
        </w:rPr>
        <w:t xml:space="preserve"> C.J. and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Cromwell,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Karakatsanis</w:t>
      </w:r>
      <w:proofErr w:type="spellEnd"/>
      <w:r w:rsidRPr="009D287C">
        <w:rPr>
          <w:rFonts w:eastAsia="Times New Roman" w:cs="Times New Roman"/>
          <w:sz w:val="20"/>
          <w:szCs w:val="20"/>
          <w:lang w:eastAsia="en-CA"/>
        </w:rPr>
        <w:t xml:space="preserve">, Wagner, </w:t>
      </w:r>
      <w:proofErr w:type="spellStart"/>
      <w:r w:rsidRPr="009D287C">
        <w:rPr>
          <w:rFonts w:eastAsia="Times New Roman" w:cs="Times New Roman"/>
          <w:sz w:val="20"/>
          <w:szCs w:val="20"/>
          <w:lang w:eastAsia="en-CA"/>
        </w:rPr>
        <w:t>Gascon</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and Brown JJ.</w:t>
      </w:r>
    </w:p>
    <w:p w:rsidR="00061503" w:rsidRPr="009D287C" w:rsidRDefault="00061503" w:rsidP="00061503">
      <w:pPr>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Contracts — Equity — Remedies — Rectification of written instrument recording prior agreement — Agreement intended by parties to operate on tax</w:t>
      </w:r>
      <w:r w:rsidRPr="009D287C">
        <w:rPr>
          <w:rFonts w:eastAsia="Times New Roman" w:cs="Times New Roman"/>
          <w:i/>
          <w:sz w:val="20"/>
          <w:szCs w:val="20"/>
          <w:lang w:eastAsia="en-CA"/>
        </w:rPr>
        <w:noBreakHyphen/>
        <w:t>neutral basis — Corporate resolutions effecting share redemption — Share redemption having unintended tax consequences — Whether courts below erred in holding parties’ intention can support grant of rectification — Whether equitable remedy of rectification available.</w:t>
      </w:r>
    </w:p>
    <w:p w:rsidR="00061503" w:rsidRPr="009D287C" w:rsidRDefault="00061503" w:rsidP="00061503">
      <w:pPr>
        <w:tabs>
          <w:tab w:val="left" w:pos="1168"/>
        </w:tabs>
        <w:jc w:val="both"/>
        <w:rPr>
          <w:rFonts w:eastAsia="Times New Roman" w:cs="Times New Roman"/>
          <w:i/>
          <w:sz w:val="20"/>
          <w:szCs w:val="20"/>
          <w:lang w:eastAsia="en-CA"/>
        </w:rPr>
      </w:pPr>
    </w:p>
    <w:p w:rsidR="00061503" w:rsidRPr="009D287C" w:rsidRDefault="00061503" w:rsidP="0006150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 xml:space="preserve">Commercial law — Corporations — Taxation — </w:t>
      </w:r>
      <w:proofErr w:type="gramStart"/>
      <w:r w:rsidRPr="009D287C">
        <w:rPr>
          <w:rFonts w:eastAsia="Times New Roman" w:cs="Times New Roman"/>
          <w:i/>
          <w:sz w:val="20"/>
          <w:szCs w:val="20"/>
          <w:lang w:eastAsia="en-CA"/>
        </w:rPr>
        <w:t>Whether</w:t>
      </w:r>
      <w:proofErr w:type="gramEnd"/>
      <w:r w:rsidRPr="009D287C">
        <w:rPr>
          <w:rFonts w:eastAsia="Times New Roman" w:cs="Times New Roman"/>
          <w:i/>
          <w:sz w:val="20"/>
          <w:szCs w:val="20"/>
          <w:lang w:eastAsia="en-CA"/>
        </w:rPr>
        <w:t xml:space="preserve"> rectification of contract amounts to retroactive tax planning.</w:t>
      </w:r>
    </w:p>
    <w:p w:rsidR="00061503" w:rsidRPr="009D287C" w:rsidRDefault="00061503" w:rsidP="00061503">
      <w:pPr>
        <w:tabs>
          <w:tab w:val="left" w:pos="1168"/>
        </w:tabs>
        <w:jc w:val="both"/>
        <w:rPr>
          <w:rFonts w:eastAsia="Times New Roman" w:cs="Times New Roman"/>
          <w:i/>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Fairmont Hotels Inc. was involved in the financing of Legacy Hotels’ purchase of two other hotels, in U.S. currency. The financing arrangement was intended to operate on a tax</w:t>
      </w:r>
      <w:r w:rsidRPr="009D287C">
        <w:rPr>
          <w:rFonts w:eastAsia="Times New Roman" w:cs="Times New Roman"/>
          <w:sz w:val="20"/>
          <w:szCs w:val="20"/>
          <w:lang w:eastAsia="en-CA"/>
        </w:rPr>
        <w:noBreakHyphen/>
        <w:t xml:space="preserve">neutral basis. When Fairmont was later acquired, that intention was frustrated, however, since the acquisition would cause Fairmont and its subsidiaries to realize a deemed foreign exchange loss. The parties to Fairmont’s acquisition therefore agreed on a plan, which allowed Fairmont to hedge itself against any exposure to the foreign exchange tax liability, but not its subsidiaries. There was no plan for protecting them from such exposure because the plan was deferred. The following year, Legacy Hotels asked Fairmont to terminate their financing arrangement to allow for the sale of the two other hotels. Therefore, Fairmont redeemed its shares in its subsidiaries, by resolutions passed by their directors. This resulted however in an unanticipated tax liability. Fairmont sought to avoid that liability by rectification of the directors’ resolutions. Both the application judge and the Court of Appeal granted that rectification on the basis of the parties’ intended tax neutrality.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 xml:space="preserve">Held </w:t>
      </w:r>
      <w:r w:rsidRPr="009D287C">
        <w:rPr>
          <w:rFonts w:eastAsia="Times New Roman" w:cs="Times New Roman"/>
          <w:sz w:val="20"/>
          <w:szCs w:val="20"/>
          <w:lang w:eastAsia="en-CA"/>
        </w:rPr>
        <w:t>(</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and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JJ. dissenting): The appeal should be allowed.</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 xml:space="preserve">Per </w:t>
      </w:r>
      <w:proofErr w:type="spellStart"/>
      <w:r w:rsidRPr="009D287C">
        <w:rPr>
          <w:rFonts w:eastAsia="Times New Roman" w:cs="Times New Roman"/>
          <w:sz w:val="20"/>
          <w:szCs w:val="20"/>
          <w:lang w:eastAsia="en-CA"/>
        </w:rPr>
        <w:t>McLachlin</w:t>
      </w:r>
      <w:proofErr w:type="spellEnd"/>
      <w:r w:rsidRPr="009D287C">
        <w:rPr>
          <w:rFonts w:eastAsia="Times New Roman" w:cs="Times New Roman"/>
          <w:sz w:val="20"/>
          <w:szCs w:val="20"/>
          <w:lang w:eastAsia="en-CA"/>
        </w:rPr>
        <w:t xml:space="preserve"> C.J. and Cromwell, </w:t>
      </w:r>
      <w:proofErr w:type="spellStart"/>
      <w:r w:rsidRPr="009D287C">
        <w:rPr>
          <w:rFonts w:eastAsia="Times New Roman" w:cs="Times New Roman"/>
          <w:sz w:val="20"/>
          <w:szCs w:val="20"/>
          <w:lang w:eastAsia="en-CA"/>
        </w:rPr>
        <w:t>Moldaver</w:t>
      </w:r>
      <w:proofErr w:type="spellEnd"/>
      <w:r w:rsidRPr="009D287C">
        <w:rPr>
          <w:rFonts w:eastAsia="Times New Roman" w:cs="Times New Roman"/>
          <w:sz w:val="20"/>
          <w:szCs w:val="20"/>
          <w:lang w:eastAsia="en-CA"/>
        </w:rPr>
        <w:t xml:space="preserve">, </w:t>
      </w:r>
      <w:proofErr w:type="spellStart"/>
      <w:r w:rsidRPr="009D287C">
        <w:rPr>
          <w:rFonts w:eastAsia="Times New Roman" w:cs="Times New Roman"/>
          <w:sz w:val="20"/>
          <w:szCs w:val="20"/>
          <w:lang w:eastAsia="en-CA"/>
        </w:rPr>
        <w:t>Karakatsanis</w:t>
      </w:r>
      <w:proofErr w:type="spellEnd"/>
      <w:r w:rsidRPr="009D287C">
        <w:rPr>
          <w:rFonts w:eastAsia="Times New Roman" w:cs="Times New Roman"/>
          <w:sz w:val="20"/>
          <w:szCs w:val="20"/>
          <w:lang w:eastAsia="en-CA"/>
        </w:rPr>
        <w:t xml:space="preserve">, Wagner, </w:t>
      </w:r>
      <w:proofErr w:type="spellStart"/>
      <w:r w:rsidRPr="009D287C">
        <w:rPr>
          <w:rFonts w:eastAsia="Times New Roman" w:cs="Times New Roman"/>
          <w:sz w:val="20"/>
          <w:szCs w:val="20"/>
          <w:lang w:eastAsia="en-CA"/>
        </w:rPr>
        <w:t>Gascon</w:t>
      </w:r>
      <w:proofErr w:type="spellEnd"/>
      <w:r w:rsidRPr="009D287C">
        <w:rPr>
          <w:rFonts w:eastAsia="Times New Roman" w:cs="Times New Roman"/>
          <w:sz w:val="20"/>
          <w:szCs w:val="20"/>
          <w:lang w:eastAsia="en-CA"/>
        </w:rPr>
        <w:t xml:space="preserve"> and </w:t>
      </w:r>
      <w:r w:rsidRPr="009D287C">
        <w:rPr>
          <w:rFonts w:eastAsia="Times New Roman" w:cs="Times New Roman"/>
          <w:b/>
          <w:sz w:val="20"/>
          <w:szCs w:val="20"/>
          <w:lang w:eastAsia="en-CA"/>
        </w:rPr>
        <w:t>Brown</w:t>
      </w:r>
      <w:r w:rsidRPr="009D287C">
        <w:rPr>
          <w:rFonts w:eastAsia="Times New Roman" w:cs="Times New Roman"/>
          <w:sz w:val="20"/>
          <w:szCs w:val="20"/>
          <w:lang w:eastAsia="en-CA"/>
        </w:rPr>
        <w:t xml:space="preserve"> JJ.: Both courts below erred in holding that the parties’ intention of tax neutrality could support a grant of rectification. A common continuing intention does not suffice. </w:t>
      </w:r>
      <w:r w:rsidRPr="009D287C">
        <w:rPr>
          <w:rFonts w:eastAsia="Times New Roman" w:cs="Times New Roman"/>
          <w:sz w:val="20"/>
          <w:szCs w:val="20"/>
          <w:lang w:val="en-US" w:eastAsia="en-CA"/>
        </w:rPr>
        <w:t xml:space="preserve">Rectification is an equitable remedy designed to correct errors in the recording of terms in written legal instruments. </w:t>
      </w:r>
      <w:r w:rsidRPr="009D287C">
        <w:rPr>
          <w:rFonts w:eastAsia="Times New Roman" w:cs="Times New Roman"/>
          <w:sz w:val="20"/>
          <w:szCs w:val="20"/>
          <w:lang w:eastAsia="en-CA"/>
        </w:rPr>
        <w:t xml:space="preserve">It is limited to cases where a written instrument has incorrectly recorded the parties’ antecedent agreement. In other words, rectification is not available where the basis for seeking it is that one or both of the parties wish to amend not the instrument recording their agreement, but the agreement itself.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val="en-US" w:eastAsia="en-CA"/>
        </w:rPr>
      </w:pPr>
      <w:r w:rsidRPr="009D287C">
        <w:rPr>
          <w:rFonts w:eastAsia="Times New Roman" w:cs="Times New Roman"/>
          <w:sz w:val="20"/>
          <w:szCs w:val="20"/>
          <w:lang w:eastAsia="en-CA"/>
        </w:rPr>
        <w:tab/>
      </w:r>
      <w:r w:rsidRPr="009D287C">
        <w:rPr>
          <w:rFonts w:eastAsia="Times New Roman" w:cs="Times New Roman"/>
          <w:sz w:val="20"/>
          <w:szCs w:val="20"/>
          <w:lang w:val="en-US" w:eastAsia="en-CA"/>
        </w:rPr>
        <w:t xml:space="preserve">Where the error is said to result from a mistake common to both or all parties to the </w:t>
      </w:r>
      <w:r w:rsidRPr="009D287C">
        <w:rPr>
          <w:rFonts w:eastAsia="Times New Roman" w:cs="Times New Roman"/>
          <w:sz w:val="20"/>
          <w:szCs w:val="20"/>
          <w:lang w:eastAsia="en-CA"/>
        </w:rPr>
        <w:t>agreement</w:t>
      </w:r>
      <w:r w:rsidRPr="009D287C">
        <w:rPr>
          <w:rFonts w:eastAsia="Times New Roman" w:cs="Times New Roman"/>
          <w:sz w:val="20"/>
          <w:szCs w:val="20"/>
          <w:lang w:val="en-US" w:eastAsia="en-CA"/>
        </w:rPr>
        <w:t xml:space="preserve">, rectification of the instrument is available upon the court being satisfied that there was a prior agreement whose terms are definite and ascertainable; that the agreement was still in effect at the time the instrument was executed; that the instrument fails to accurately record the agreement; and that the instrument, if rectified, would carry out the parties’ prior agreement. </w:t>
      </w:r>
    </w:p>
    <w:p w:rsidR="00061503" w:rsidRPr="009D287C" w:rsidRDefault="00061503" w:rsidP="00061503">
      <w:pPr>
        <w:tabs>
          <w:tab w:val="left" w:pos="1168"/>
        </w:tabs>
        <w:jc w:val="both"/>
        <w:rPr>
          <w:rFonts w:eastAsia="Times New Roman" w:cs="Times New Roman"/>
          <w:sz w:val="20"/>
          <w:szCs w:val="20"/>
          <w:lang w:val="en-US" w:eastAsia="en-CA"/>
        </w:rPr>
      </w:pPr>
    </w:p>
    <w:p w:rsidR="00061503" w:rsidRPr="009D287C" w:rsidRDefault="00061503" w:rsidP="00061503">
      <w:pPr>
        <w:tabs>
          <w:tab w:val="left" w:pos="1168"/>
        </w:tabs>
        <w:jc w:val="both"/>
        <w:rPr>
          <w:rFonts w:eastAsia="Times New Roman" w:cs="Times New Roman"/>
          <w:sz w:val="20"/>
          <w:szCs w:val="20"/>
          <w:lang w:val="en-US" w:eastAsia="en-CA"/>
        </w:rPr>
      </w:pPr>
      <w:r w:rsidRPr="009D287C">
        <w:rPr>
          <w:rFonts w:eastAsia="Times New Roman" w:cs="Times New Roman"/>
          <w:sz w:val="20"/>
          <w:szCs w:val="20"/>
          <w:lang w:eastAsia="en-CA"/>
        </w:rPr>
        <w:tab/>
        <w:t xml:space="preserve">It falls to a party seeking rectification to show not only the putative error in the instrument, but also the way in which the instrument should be rectified in order to correctly record what the parties intended to do. </w:t>
      </w:r>
      <w:r w:rsidRPr="009D287C">
        <w:rPr>
          <w:rFonts w:eastAsia="Times New Roman" w:cs="Times New Roman"/>
          <w:sz w:val="20"/>
          <w:szCs w:val="20"/>
          <w:lang w:val="en-US" w:eastAsia="en-CA"/>
        </w:rPr>
        <w:t xml:space="preserve">The applicable standard of proof to be applied to evidence adduced in support of a grant of rectification is the balance of probabilities. </w:t>
      </w:r>
      <w:r w:rsidRPr="009D287C">
        <w:rPr>
          <w:rFonts w:eastAsia="Times New Roman" w:cs="Times New Roman"/>
          <w:sz w:val="20"/>
          <w:szCs w:val="20"/>
          <w:lang w:eastAsia="en-CA"/>
        </w:rPr>
        <w:t xml:space="preserve">A court will typically require evidence exhibiting a high degree of clarity, persuasiveness and cogency before </w:t>
      </w:r>
      <w:r w:rsidRPr="009D287C">
        <w:rPr>
          <w:rFonts w:eastAsia="Times New Roman" w:cs="Times New Roman"/>
          <w:sz w:val="20"/>
          <w:szCs w:val="20"/>
          <w:lang w:val="en-US" w:eastAsia="en-CA"/>
        </w:rPr>
        <w:t xml:space="preserve">substituting the terms of a written instrument with those said to form the parties’ true intended course of action. On rectification, both equity and the civil law are </w:t>
      </w:r>
      <w:r w:rsidRPr="009D287C">
        <w:rPr>
          <w:rFonts w:eastAsia="Times New Roman" w:cs="Times New Roman"/>
          <w:i/>
          <w:sz w:val="20"/>
          <w:szCs w:val="20"/>
          <w:lang w:val="en-US" w:eastAsia="en-CA"/>
        </w:rPr>
        <w:t>ad idem</w:t>
      </w:r>
      <w:r w:rsidRPr="009D287C">
        <w:rPr>
          <w:rFonts w:eastAsia="Times New Roman" w:cs="Times New Roman"/>
          <w:sz w:val="20"/>
          <w:szCs w:val="20"/>
          <w:lang w:val="en-US" w:eastAsia="en-CA"/>
        </w:rPr>
        <w:t>, despite each legal system arriving at it by different paths — the former being concerned with correcting the document, and the latter focusing on its interpretation. This convergence is undoubtedly desirable.</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These principles are to be applied in a tax context just as they are in a non</w:t>
      </w:r>
      <w:r w:rsidRPr="009D287C">
        <w:rPr>
          <w:rFonts w:eastAsia="Times New Roman" w:cs="Times New Roman"/>
          <w:sz w:val="20"/>
          <w:szCs w:val="20"/>
          <w:lang w:eastAsia="en-CA"/>
        </w:rPr>
        <w:noBreakHyphen/>
        <w:t xml:space="preserve">tax context. This is to avoid impermissible retroactive tax planning. In this case, the application of these principles leads unavoidably to the conclusion that Fairmont’s application for rectification should have been dismissed, since it could not demonstrate having reached a </w:t>
      </w:r>
      <w:r w:rsidRPr="009D287C">
        <w:rPr>
          <w:rFonts w:eastAsia="Times New Roman" w:cs="Times New Roman"/>
          <w:sz w:val="20"/>
          <w:szCs w:val="20"/>
          <w:lang w:eastAsia="en-CA"/>
        </w:rPr>
        <w:lastRenderedPageBreak/>
        <w:t xml:space="preserve">prior agreement with definite and ascertainable terms. It is clear that Fairmont intended to limit, if not avoid altogether, its tax liability in unwinding the financing arrangement. And, by redeeming the shares, this intention was frustrated. Without more, however, these facts do not support a grant of rectification. Rectification is not equity’s version of a mulligan. Courts rectify instruments that do not correctly record agreements. Courts do not rectify agreements where their faithful recording in an instrument has led to an undesirable or otherwise unexpected outcome.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Relatedly, Fairmont has not demonstrated how its intention, held in common and on a continuing basis with its subsidiaries, was to be achieved in definite and ascertainable terms while unwinding the financing arrangement. Fairmont refers to a plan to protect its subsidiaries from foreign exchange tax liability, but that plan was not only imprecise. It really was not a plan at all, being at best an inchoate wish to protect the subsidiaries, by unspecified means.</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Per</w:t>
      </w:r>
      <w:r w:rsidRPr="009D287C">
        <w:rPr>
          <w:rFonts w:eastAsia="Times New Roman" w:cs="Times New Roman"/>
          <w:sz w:val="20"/>
          <w:szCs w:val="20"/>
          <w:lang w:eastAsia="en-CA"/>
        </w:rPr>
        <w:t xml:space="preserve"> </w:t>
      </w:r>
      <w:proofErr w:type="spellStart"/>
      <w:r w:rsidRPr="009D287C">
        <w:rPr>
          <w:rFonts w:eastAsia="Times New Roman" w:cs="Times New Roman"/>
          <w:b/>
          <w:sz w:val="20"/>
          <w:szCs w:val="20"/>
          <w:lang w:eastAsia="en-CA"/>
        </w:rPr>
        <w:t>Abella</w:t>
      </w:r>
      <w:proofErr w:type="spellEnd"/>
      <w:r w:rsidRPr="009D287C">
        <w:rPr>
          <w:rFonts w:eastAsia="Times New Roman" w:cs="Times New Roman"/>
          <w:sz w:val="20"/>
          <w:szCs w:val="20"/>
          <w:lang w:eastAsia="en-CA"/>
        </w:rPr>
        <w:t xml:space="preserve"> and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JJ. (</w:t>
      </w:r>
      <w:proofErr w:type="gramStart"/>
      <w:r w:rsidRPr="009D287C">
        <w:rPr>
          <w:rFonts w:eastAsia="Times New Roman" w:cs="Times New Roman"/>
          <w:sz w:val="20"/>
          <w:szCs w:val="20"/>
          <w:lang w:eastAsia="en-CA"/>
        </w:rPr>
        <w:t>dissenting</w:t>
      </w:r>
      <w:proofErr w:type="gramEnd"/>
      <w:r w:rsidRPr="009D287C">
        <w:rPr>
          <w:rFonts w:eastAsia="Times New Roman" w:cs="Times New Roman"/>
          <w:sz w:val="20"/>
          <w:szCs w:val="20"/>
          <w:lang w:eastAsia="en-CA"/>
        </w:rPr>
        <w:t>): There is no adjustment to the test for rectification in a tax case, and in this case the test has been met. The lower court’s decisions to grant rectification resulted from the factual finding that the parties had a continuing, ascertainable intention to pursue the transaction on a tax</w:t>
      </w:r>
      <w:r w:rsidRPr="009D287C">
        <w:rPr>
          <w:rFonts w:eastAsia="Times New Roman" w:cs="Times New Roman"/>
          <w:sz w:val="20"/>
          <w:szCs w:val="20"/>
          <w:lang w:eastAsia="en-CA"/>
        </w:rPr>
        <w:noBreakHyphen/>
        <w:t>free basis or not at all. The majority’s approach however unduly narrows the doctrine of rectification’s scope. A common, continuing, definite and ascertainable intention to pursue a transaction in a tax</w:t>
      </w:r>
      <w:r w:rsidRPr="009D287C">
        <w:rPr>
          <w:rFonts w:eastAsia="Times New Roman" w:cs="Times New Roman"/>
          <w:sz w:val="20"/>
          <w:szCs w:val="20"/>
          <w:lang w:eastAsia="en-CA"/>
        </w:rPr>
        <w:noBreakHyphen/>
        <w:t>neutral manner has usually satisfied the threshold for granting rectification. The additional requirement that the parties clearly identify the precise mechanism by which they intended to achieve tax neutrality, and how that mechanism was mistakenly transcribed in a document, has the effect of raising the threshold and frustrating the purpose of the remedy. Whether a mistake is unilateral or mutual, rectification is, ultimately, an equitable remedy that seeks to give effect to the true intention of the parties, and prevent errors from causing windfalls. The doctrine is also based on the principle of unjust enrichment, namely, that it would be unfair to rigidly enforce an error that enriches one party at the expense of another.</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While rectification seems most often to have been granted in the context of agreed upon terms having been transcribed incorrectly, since unjust enrichment can result from a mistake in carrying out the intention of the parties, the remedy is also available to correct errors in implementation. Courts have, as a result, granted rectification where a corporate transaction was conducted in the wrong sequence, where an underlying calculation in a contract was incorrect, and where the requisite steps of an amalgamation were not correctly carried out.</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Whether the errors are in transcription or in implementation, courts may refuse to exercise their discretion where allowing rectification would prejudice the rights of third parties. But the mere existence of a third party will not bar rectification. Only where the third party has actually relied on the flawed agreement will rectification be barred. Just as rectification can prevent one party from enforcing an error and being unjustly enriched by the other’s mistake, rectification can also prevent a third party who has not relied on the agreement from enforcing a mistake and receiving a windfall.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Allowing the tax authorities, a third party, to profit from legitimate tax planning errors, when its own rights have not been prejudiced in any way, amounts to unjust enrichment. Businesses and individuals are legally entitled to structure their affairs in a way that minimizes their tax burden. The tax department is not entitled to play “</w:t>
      </w:r>
      <w:proofErr w:type="spellStart"/>
      <w:r w:rsidRPr="009D287C">
        <w:rPr>
          <w:rFonts w:eastAsia="Times New Roman" w:cs="Times New Roman"/>
          <w:sz w:val="20"/>
          <w:szCs w:val="20"/>
          <w:lang w:eastAsia="en-CA"/>
        </w:rPr>
        <w:t>Gotcha</w:t>
      </w:r>
      <w:proofErr w:type="spellEnd"/>
      <w:r w:rsidRPr="009D287C">
        <w:rPr>
          <w:rFonts w:eastAsia="Times New Roman" w:cs="Times New Roman"/>
          <w:sz w:val="20"/>
          <w:szCs w:val="20"/>
          <w:lang w:eastAsia="en-CA"/>
        </w:rPr>
        <w:t>” any more than would any other third party who did not rely to its detriment on the mistake. On the other hand, businesses and individuals</w:t>
      </w:r>
      <w:r w:rsidRPr="009D287C">
        <w:rPr>
          <w:rFonts w:eastAsia="Times New Roman" w:cs="Times New Roman"/>
          <w:b/>
          <w:sz w:val="20"/>
          <w:szCs w:val="20"/>
          <w:lang w:eastAsia="en-CA"/>
        </w:rPr>
        <w:t xml:space="preserve"> </w:t>
      </w:r>
      <w:r w:rsidRPr="009D287C">
        <w:rPr>
          <w:rFonts w:eastAsia="Times New Roman" w:cs="Times New Roman"/>
          <w:sz w:val="20"/>
          <w:szCs w:val="20"/>
          <w:lang w:eastAsia="en-CA"/>
        </w:rPr>
        <w:t xml:space="preserve">should not be allowed to exploit rectification for purposes of engaging in retroactive tax planning.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Civil law and common law rectification in the tax context are clearly based on analogous principles, namely, that the true intention of the parties has primacy over errors in the transcription or implementation of that agreement, subject to a need for precision and the rights of third parties who detrimentally rely on the agreement. That means that there is no principled basis in either legal system for a stricter standard in the tax context simply because it is the government that is positioned to benefit from a mistake.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In this case, Fairmont was found by the application judge to have always had a clear, continuing intention to unwind the financing arrangement on a tax</w:t>
      </w:r>
      <w:r w:rsidRPr="009D287C">
        <w:rPr>
          <w:rFonts w:eastAsia="Times New Roman" w:cs="Times New Roman"/>
          <w:sz w:val="20"/>
          <w:szCs w:val="20"/>
          <w:lang w:eastAsia="en-CA"/>
        </w:rPr>
        <w:noBreakHyphen/>
        <w:t>neutral basis and never to redeem the shares. Fairmont was not attempting to change its original intention because of unanticipated tax consequences. It had</w:t>
      </w:r>
      <w:r w:rsidRPr="009D287C">
        <w:rPr>
          <w:rFonts w:eastAsia="Times New Roman" w:cs="Times New Roman"/>
          <w:i/>
          <w:sz w:val="20"/>
          <w:szCs w:val="20"/>
          <w:lang w:eastAsia="en-CA"/>
        </w:rPr>
        <w:t xml:space="preserve"> </w:t>
      </w:r>
      <w:r w:rsidRPr="009D287C">
        <w:rPr>
          <w:rFonts w:eastAsia="Times New Roman" w:cs="Times New Roman"/>
          <w:sz w:val="20"/>
          <w:szCs w:val="20"/>
          <w:lang w:eastAsia="en-CA"/>
        </w:rPr>
        <w:t>anticipated the tax consequences of unwinding the arrangement with a share redemption mechanism, and it specifically</w:t>
      </w:r>
      <w:r w:rsidRPr="009D287C">
        <w:rPr>
          <w:rFonts w:eastAsia="Times New Roman" w:cs="Times New Roman"/>
          <w:b/>
          <w:sz w:val="20"/>
          <w:szCs w:val="20"/>
          <w:lang w:eastAsia="en-CA"/>
        </w:rPr>
        <w:t xml:space="preserve"> </w:t>
      </w:r>
      <w:r w:rsidRPr="009D287C">
        <w:rPr>
          <w:rFonts w:eastAsia="Times New Roman" w:cs="Times New Roman"/>
          <w:sz w:val="20"/>
          <w:szCs w:val="20"/>
          <w:lang w:eastAsia="en-CA"/>
        </w:rPr>
        <w:t>rejected this course of action. But, by mistake, the preferred share redemption terms were included in the directors’ resolutions. This is exactly the kind of mistake rectification exists to remedy. Once the application judge was satisfied of the true intention of the parties, he was entitled to give effect to it by allowing rectification of the directors’ resolutions.</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To require an exhaustive account of how the unwinding was supposed to have proceeded would amount to imposing a uniquely high threshold for rectification in the tax context and would give the Canada Revenue Agency, as the tax authorities, an unintended gain because of the mistake. There is no basis for permitting a windfall to the Canada Revenue Agency that no other third party would have been entitled to. </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t xml:space="preserve">APPEAL from a judgment of the Ontario Court of Appeal (Simmons, Cronk and Blair JJ.A.), 2015 ONCA 441, 45 B.L.R. (5th) 230, 2015 DTC 5073, [2015] O.J. No. 3172 (QL), 2015 </w:t>
      </w:r>
      <w:proofErr w:type="spellStart"/>
      <w:r w:rsidRPr="009D287C">
        <w:rPr>
          <w:rFonts w:eastAsia="Times New Roman" w:cs="Times New Roman"/>
          <w:sz w:val="20"/>
          <w:szCs w:val="20"/>
          <w:lang w:eastAsia="en-CA"/>
        </w:rPr>
        <w:t>CarswellOnt</w:t>
      </w:r>
      <w:proofErr w:type="spellEnd"/>
      <w:r w:rsidRPr="009D287C">
        <w:rPr>
          <w:rFonts w:eastAsia="Times New Roman" w:cs="Times New Roman"/>
          <w:sz w:val="20"/>
          <w:szCs w:val="20"/>
          <w:lang w:eastAsia="en-CA"/>
        </w:rPr>
        <w:t xml:space="preserve"> 8955 (WL Can.), affirming a decision of </w:t>
      </w:r>
      <w:proofErr w:type="spellStart"/>
      <w:r w:rsidRPr="009D287C">
        <w:rPr>
          <w:rFonts w:eastAsia="Times New Roman" w:cs="Times New Roman"/>
          <w:sz w:val="20"/>
          <w:szCs w:val="20"/>
          <w:lang w:eastAsia="en-CA"/>
        </w:rPr>
        <w:t>Newbould</w:t>
      </w:r>
      <w:proofErr w:type="spellEnd"/>
      <w:r w:rsidRPr="009D287C">
        <w:rPr>
          <w:rFonts w:eastAsia="Times New Roman" w:cs="Times New Roman"/>
          <w:sz w:val="20"/>
          <w:szCs w:val="20"/>
          <w:lang w:eastAsia="en-CA"/>
        </w:rPr>
        <w:t xml:space="preserve"> J., 2014 ONSC 7302, 123 O.R. (3d) 241, [2015] 3 C.T.C. 9, 2015 DTC 5019, 36 B.L.R. (5th) 215, [2014] O.J. No. 6086 (QL), 2014 </w:t>
      </w:r>
      <w:proofErr w:type="spellStart"/>
      <w:r w:rsidRPr="009D287C">
        <w:rPr>
          <w:rFonts w:eastAsia="Times New Roman" w:cs="Times New Roman"/>
          <w:sz w:val="20"/>
          <w:szCs w:val="20"/>
          <w:lang w:eastAsia="en-CA"/>
        </w:rPr>
        <w:t>CarswellOnt</w:t>
      </w:r>
      <w:proofErr w:type="spellEnd"/>
      <w:r w:rsidRPr="009D287C">
        <w:rPr>
          <w:rFonts w:eastAsia="Times New Roman" w:cs="Times New Roman"/>
          <w:sz w:val="20"/>
          <w:szCs w:val="20"/>
          <w:lang w:eastAsia="en-CA"/>
        </w:rPr>
        <w:t xml:space="preserve"> 17975 (WL Can.). Appeal allowed, </w:t>
      </w:r>
      <w:proofErr w:type="spellStart"/>
      <w:r w:rsidRPr="009D287C">
        <w:rPr>
          <w:rFonts w:eastAsia="Times New Roman" w:cs="Times New Roman"/>
          <w:sz w:val="20"/>
          <w:szCs w:val="20"/>
          <w:lang w:eastAsia="en-CA"/>
        </w:rPr>
        <w:t>Abella</w:t>
      </w:r>
      <w:proofErr w:type="spellEnd"/>
      <w:r w:rsidRPr="009D287C">
        <w:rPr>
          <w:rFonts w:eastAsia="Times New Roman" w:cs="Times New Roman"/>
          <w:sz w:val="20"/>
          <w:szCs w:val="20"/>
          <w:lang w:eastAsia="en-CA"/>
        </w:rPr>
        <w:t xml:space="preserve"> and </w:t>
      </w:r>
      <w:proofErr w:type="spellStart"/>
      <w:r w:rsidRPr="009D287C">
        <w:rPr>
          <w:rFonts w:eastAsia="Times New Roman" w:cs="Times New Roman"/>
          <w:sz w:val="20"/>
          <w:szCs w:val="20"/>
          <w:lang w:eastAsia="en-CA"/>
        </w:rPr>
        <w:t>Côté</w:t>
      </w:r>
      <w:proofErr w:type="spellEnd"/>
      <w:r w:rsidRPr="009D287C">
        <w:rPr>
          <w:rFonts w:eastAsia="Times New Roman" w:cs="Times New Roman"/>
          <w:sz w:val="20"/>
          <w:szCs w:val="20"/>
          <w:lang w:eastAsia="en-CA"/>
        </w:rPr>
        <w:t xml:space="preserve"> JJ. </w:t>
      </w:r>
      <w:proofErr w:type="gramStart"/>
      <w:r w:rsidRPr="009D287C">
        <w:rPr>
          <w:rFonts w:eastAsia="Times New Roman" w:cs="Times New Roman"/>
          <w:sz w:val="20"/>
          <w:szCs w:val="20"/>
          <w:lang w:eastAsia="en-CA"/>
        </w:rPr>
        <w:t>dissenting</w:t>
      </w:r>
      <w:proofErr w:type="gramEnd"/>
      <w:r w:rsidRPr="009D287C">
        <w:rPr>
          <w:rFonts w:eastAsia="Times New Roman" w:cs="Times New Roman"/>
          <w:sz w:val="20"/>
          <w:szCs w:val="20"/>
          <w:lang w:eastAsia="en-CA"/>
        </w:rPr>
        <w:t>.</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Daniel Bourgeois</w:t>
      </w:r>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Eric Noble</w:t>
      </w:r>
      <w:r w:rsidRPr="009D287C">
        <w:rPr>
          <w:rFonts w:eastAsia="Times New Roman" w:cs="Times New Roman"/>
          <w:sz w:val="20"/>
          <w:szCs w:val="20"/>
          <w:lang w:eastAsia="en-CA"/>
        </w:rPr>
        <w:t>, for the appellant.</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sz w:val="20"/>
          <w:szCs w:val="20"/>
          <w:lang w:eastAsia="en-CA"/>
        </w:rPr>
      </w:pPr>
      <w:r w:rsidRPr="009D287C">
        <w:rPr>
          <w:rFonts w:eastAsia="Times New Roman" w:cs="Times New Roman"/>
          <w:sz w:val="20"/>
          <w:szCs w:val="20"/>
          <w:lang w:eastAsia="en-CA"/>
        </w:rPr>
        <w:tab/>
      </w:r>
      <w:r w:rsidRPr="009D287C">
        <w:rPr>
          <w:rFonts w:eastAsia="Times New Roman" w:cs="Times New Roman"/>
          <w:i/>
          <w:sz w:val="20"/>
          <w:szCs w:val="20"/>
          <w:lang w:eastAsia="en-CA"/>
        </w:rPr>
        <w:t>Geoff R. Hall</w:t>
      </w:r>
      <w:r w:rsidRPr="009D287C">
        <w:rPr>
          <w:rFonts w:eastAsia="Times New Roman" w:cs="Times New Roman"/>
          <w:sz w:val="20"/>
          <w:szCs w:val="20"/>
          <w:lang w:eastAsia="en-CA"/>
        </w:rPr>
        <w:t xml:space="preserve"> and </w:t>
      </w:r>
      <w:r w:rsidRPr="009D287C">
        <w:rPr>
          <w:rFonts w:eastAsia="Times New Roman" w:cs="Times New Roman"/>
          <w:i/>
          <w:sz w:val="20"/>
          <w:szCs w:val="20"/>
          <w:lang w:eastAsia="en-CA"/>
        </w:rPr>
        <w:t>Chia</w:t>
      </w:r>
      <w:r w:rsidRPr="009D287C">
        <w:rPr>
          <w:rFonts w:eastAsia="Times New Roman" w:cs="Times New Roman"/>
          <w:i/>
          <w:sz w:val="20"/>
          <w:szCs w:val="20"/>
          <w:lang w:eastAsia="en-CA"/>
        </w:rPr>
        <w:noBreakHyphen/>
      </w:r>
      <w:proofErr w:type="spellStart"/>
      <w:r w:rsidRPr="009D287C">
        <w:rPr>
          <w:rFonts w:eastAsia="Times New Roman" w:cs="Times New Roman"/>
          <w:i/>
          <w:sz w:val="20"/>
          <w:szCs w:val="20"/>
          <w:lang w:eastAsia="en-CA"/>
        </w:rPr>
        <w:t>yi</w:t>
      </w:r>
      <w:proofErr w:type="spellEnd"/>
      <w:r w:rsidRPr="009D287C">
        <w:rPr>
          <w:rFonts w:eastAsia="Times New Roman" w:cs="Times New Roman"/>
          <w:i/>
          <w:sz w:val="20"/>
          <w:szCs w:val="20"/>
          <w:lang w:eastAsia="en-CA"/>
        </w:rPr>
        <w:t xml:space="preserve"> Chua</w:t>
      </w:r>
      <w:r w:rsidRPr="009D287C">
        <w:rPr>
          <w:rFonts w:eastAsia="Times New Roman" w:cs="Times New Roman"/>
          <w:sz w:val="20"/>
          <w:szCs w:val="20"/>
          <w:lang w:eastAsia="en-CA"/>
        </w:rPr>
        <w:t>, for the respondents.</w:t>
      </w:r>
    </w:p>
    <w:p w:rsidR="00061503" w:rsidRPr="009D287C" w:rsidRDefault="00061503" w:rsidP="00061503">
      <w:pPr>
        <w:tabs>
          <w:tab w:val="left" w:pos="1168"/>
        </w:tabs>
        <w:jc w:val="both"/>
        <w:rPr>
          <w:rFonts w:eastAsia="Times New Roman" w:cs="Times New Roman"/>
          <w:sz w:val="20"/>
          <w:szCs w:val="20"/>
          <w:lang w:eastAsia="en-CA"/>
        </w:rPr>
      </w:pPr>
    </w:p>
    <w:p w:rsidR="00061503" w:rsidRPr="009D287C" w:rsidRDefault="00061503" w:rsidP="0006150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Solicitor for the appellant: Attorney General of Canada, Ottawa.</w:t>
      </w:r>
    </w:p>
    <w:p w:rsidR="00061503" w:rsidRPr="009D287C" w:rsidRDefault="00061503" w:rsidP="00061503">
      <w:pPr>
        <w:tabs>
          <w:tab w:val="left" w:pos="1168"/>
        </w:tabs>
        <w:jc w:val="both"/>
        <w:rPr>
          <w:rFonts w:eastAsia="Times New Roman" w:cs="Times New Roman"/>
          <w:i/>
          <w:sz w:val="20"/>
          <w:szCs w:val="20"/>
          <w:lang w:eastAsia="en-CA"/>
        </w:rPr>
      </w:pPr>
    </w:p>
    <w:p w:rsidR="00061503" w:rsidRPr="009D287C" w:rsidRDefault="00061503" w:rsidP="00061503">
      <w:pPr>
        <w:tabs>
          <w:tab w:val="left" w:pos="1168"/>
        </w:tabs>
        <w:jc w:val="both"/>
        <w:rPr>
          <w:rFonts w:eastAsia="Times New Roman" w:cs="Times New Roman"/>
          <w:i/>
          <w:sz w:val="20"/>
          <w:szCs w:val="20"/>
          <w:lang w:eastAsia="en-CA"/>
        </w:rPr>
      </w:pPr>
      <w:r w:rsidRPr="009D287C">
        <w:rPr>
          <w:rFonts w:eastAsia="Times New Roman" w:cs="Times New Roman"/>
          <w:i/>
          <w:sz w:val="20"/>
          <w:szCs w:val="20"/>
          <w:lang w:eastAsia="en-CA"/>
        </w:rPr>
        <w:tab/>
        <w:t xml:space="preserve">Solicitors for the respondents: McCarthy </w:t>
      </w:r>
      <w:proofErr w:type="spellStart"/>
      <w:r w:rsidRPr="009D287C">
        <w:rPr>
          <w:rFonts w:eastAsia="Times New Roman" w:cs="Times New Roman"/>
          <w:i/>
          <w:sz w:val="20"/>
          <w:szCs w:val="20"/>
          <w:lang w:eastAsia="en-CA"/>
        </w:rPr>
        <w:t>Tétrault</w:t>
      </w:r>
      <w:proofErr w:type="spellEnd"/>
      <w:r w:rsidRPr="009D287C">
        <w:rPr>
          <w:rFonts w:eastAsia="Times New Roman" w:cs="Times New Roman"/>
          <w:i/>
          <w:sz w:val="20"/>
          <w:szCs w:val="20"/>
          <w:lang w:eastAsia="en-CA"/>
        </w:rPr>
        <w:t>, Toronto.</w:t>
      </w:r>
    </w:p>
    <w:p w:rsidR="00874580" w:rsidRPr="009D287C" w:rsidRDefault="00874580" w:rsidP="00874580">
      <w:pPr>
        <w:rPr>
          <w:rFonts w:cs="Times New Roman"/>
          <w:sz w:val="20"/>
          <w:szCs w:val="20"/>
          <w:lang w:val="fr-CA"/>
        </w:rPr>
      </w:pPr>
      <w:r w:rsidRPr="009D287C">
        <w:rPr>
          <w:rFonts w:cs="Times New Roman"/>
          <w:sz w:val="20"/>
          <w:szCs w:val="20"/>
          <w:lang w:val="fr-CA"/>
        </w:rPr>
        <w:t>________________________</w:t>
      </w:r>
    </w:p>
    <w:p w:rsidR="00874580" w:rsidRPr="009D287C" w:rsidRDefault="00874580" w:rsidP="000C22C3">
      <w:pPr>
        <w:rPr>
          <w:rFonts w:cs="Times New Roman"/>
          <w:sz w:val="20"/>
          <w:szCs w:val="20"/>
          <w:lang w:val="fr-CA"/>
        </w:rPr>
      </w:pPr>
    </w:p>
    <w:p w:rsidR="000C22C3" w:rsidRPr="009D287C" w:rsidRDefault="000C22C3" w:rsidP="000C22C3">
      <w:pPr>
        <w:jc w:val="both"/>
        <w:rPr>
          <w:rFonts w:eastAsia="Times New Roman" w:cs="Times New Roman"/>
          <w:sz w:val="20"/>
          <w:szCs w:val="20"/>
          <w:lang w:val="fr-CA" w:eastAsia="en-CA"/>
        </w:rPr>
      </w:pPr>
      <w:r w:rsidRPr="009D287C">
        <w:rPr>
          <w:rFonts w:eastAsia="Times New Roman" w:cs="Times New Roman"/>
          <w:sz w:val="20"/>
          <w:szCs w:val="20"/>
          <w:lang w:val="fr-CA" w:eastAsia="en-CA"/>
        </w:rPr>
        <w:t xml:space="preserve">Présents : La juge en chef McLachlin et les juges Abella, Cromwell, </w:t>
      </w:r>
      <w:proofErr w:type="spellStart"/>
      <w:r w:rsidRPr="009D287C">
        <w:rPr>
          <w:rFonts w:eastAsia="Times New Roman" w:cs="Times New Roman"/>
          <w:sz w:val="20"/>
          <w:szCs w:val="20"/>
          <w:lang w:val="fr-CA" w:eastAsia="en-CA"/>
        </w:rPr>
        <w:t>Moldaver</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Karakatsanis</w:t>
      </w:r>
      <w:proofErr w:type="spellEnd"/>
      <w:r w:rsidRPr="009D287C">
        <w:rPr>
          <w:rFonts w:eastAsia="Times New Roman" w:cs="Times New Roman"/>
          <w:sz w:val="20"/>
          <w:szCs w:val="20"/>
          <w:lang w:val="fr-CA" w:eastAsia="en-CA"/>
        </w:rPr>
        <w:t>, Wagner, Gascon, Côté et Brown.</w:t>
      </w:r>
    </w:p>
    <w:p w:rsidR="000C22C3" w:rsidRPr="009D287C" w:rsidRDefault="000C22C3" w:rsidP="000C22C3">
      <w:pPr>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i/>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 xml:space="preserve">Contrats — </w:t>
      </w:r>
      <w:proofErr w:type="spellStart"/>
      <w:r w:rsidRPr="009D287C">
        <w:rPr>
          <w:rFonts w:eastAsia="Times New Roman" w:cs="Times New Roman"/>
          <w:i/>
          <w:sz w:val="20"/>
          <w:szCs w:val="20"/>
          <w:lang w:val="fr-CA" w:eastAsia="en-CA"/>
        </w:rPr>
        <w:t>Equity</w:t>
      </w:r>
      <w:proofErr w:type="spellEnd"/>
      <w:r w:rsidRPr="009D287C">
        <w:rPr>
          <w:rFonts w:eastAsia="Times New Roman" w:cs="Times New Roman"/>
          <w:i/>
          <w:sz w:val="20"/>
          <w:szCs w:val="20"/>
          <w:lang w:val="fr-CA" w:eastAsia="en-CA"/>
        </w:rPr>
        <w:t xml:space="preserve"> — Recours — Rectification d’un instrument écrit qui consigne une entente antérieure — Souhait des parties que l’entente soit exécutée de façon neutre sur le plan fiscal — Résolutions d’une société portant rachat d’actions — Rachat d’actions entraînant des conséquences non souhaitées — Les juridictions inférieures </w:t>
      </w:r>
      <w:proofErr w:type="spellStart"/>
      <w:r w:rsidRPr="009D287C">
        <w:rPr>
          <w:rFonts w:eastAsia="Times New Roman" w:cs="Times New Roman"/>
          <w:i/>
          <w:sz w:val="20"/>
          <w:szCs w:val="20"/>
          <w:lang w:val="fr-CA" w:eastAsia="en-CA"/>
        </w:rPr>
        <w:t>ont</w:t>
      </w:r>
      <w:r w:rsidRPr="009D287C">
        <w:rPr>
          <w:rFonts w:eastAsia="Times New Roman" w:cs="Times New Roman"/>
          <w:i/>
          <w:sz w:val="20"/>
          <w:szCs w:val="20"/>
          <w:lang w:val="fr-CA" w:eastAsia="en-CA"/>
        </w:rPr>
        <w:noBreakHyphen/>
        <w:t>elles</w:t>
      </w:r>
      <w:proofErr w:type="spellEnd"/>
      <w:r w:rsidRPr="009D287C">
        <w:rPr>
          <w:rFonts w:eastAsia="Times New Roman" w:cs="Times New Roman"/>
          <w:i/>
          <w:sz w:val="20"/>
          <w:szCs w:val="20"/>
          <w:lang w:val="fr-CA" w:eastAsia="en-CA"/>
        </w:rPr>
        <w:t xml:space="preserve"> commis une erreur en concluant que l’intention des parties peut justifier l’octroi d’une rectification? — Est</w:t>
      </w:r>
      <w:r w:rsidRPr="009D287C">
        <w:rPr>
          <w:rFonts w:eastAsia="Times New Roman" w:cs="Times New Roman"/>
          <w:i/>
          <w:sz w:val="20"/>
          <w:szCs w:val="20"/>
          <w:lang w:val="fr-CA" w:eastAsia="en-CA"/>
        </w:rPr>
        <w:noBreakHyphen/>
        <w:t xml:space="preserve">il possible d’obtenir la rectification, une réparation en </w:t>
      </w:r>
      <w:proofErr w:type="spellStart"/>
      <w:r w:rsidRPr="009D287C">
        <w:rPr>
          <w:rFonts w:eastAsia="Times New Roman" w:cs="Times New Roman"/>
          <w:i/>
          <w:sz w:val="20"/>
          <w:szCs w:val="20"/>
          <w:lang w:val="fr-CA" w:eastAsia="en-CA"/>
        </w:rPr>
        <w:t>equity</w:t>
      </w:r>
      <w:proofErr w:type="spellEnd"/>
      <w:r w:rsidRPr="009D287C">
        <w:rPr>
          <w:rFonts w:eastAsia="Times New Roman" w:cs="Times New Roman"/>
          <w:i/>
          <w:sz w:val="20"/>
          <w:szCs w:val="20"/>
          <w:lang w:val="fr-CA" w:eastAsia="en-CA"/>
        </w:rPr>
        <w:t>?</w:t>
      </w:r>
    </w:p>
    <w:p w:rsidR="000C22C3" w:rsidRPr="009D287C" w:rsidRDefault="000C22C3" w:rsidP="000C22C3">
      <w:pPr>
        <w:tabs>
          <w:tab w:val="left" w:pos="1168"/>
        </w:tabs>
        <w:jc w:val="both"/>
        <w:rPr>
          <w:rFonts w:eastAsia="Times New Roman" w:cs="Times New Roman"/>
          <w:i/>
          <w:sz w:val="20"/>
          <w:szCs w:val="20"/>
          <w:lang w:val="fr-CA" w:eastAsia="en-CA"/>
        </w:rPr>
      </w:pPr>
    </w:p>
    <w:p w:rsidR="000C22C3" w:rsidRPr="009D287C" w:rsidRDefault="000C22C3" w:rsidP="000C22C3">
      <w:pPr>
        <w:tabs>
          <w:tab w:val="left" w:pos="1168"/>
        </w:tabs>
        <w:jc w:val="both"/>
        <w:rPr>
          <w:rFonts w:eastAsia="Times New Roman" w:cs="Times New Roman"/>
          <w:i/>
          <w:sz w:val="20"/>
          <w:szCs w:val="20"/>
          <w:lang w:val="fr-CA" w:eastAsia="en-CA"/>
        </w:rPr>
      </w:pPr>
      <w:r w:rsidRPr="009D287C">
        <w:rPr>
          <w:rFonts w:eastAsia="Times New Roman" w:cs="Times New Roman"/>
          <w:i/>
          <w:sz w:val="20"/>
          <w:szCs w:val="20"/>
          <w:lang w:val="fr-CA" w:eastAsia="en-CA"/>
        </w:rPr>
        <w:tab/>
        <w:t>Droit commercial — Sociétés par actions— Fiscalité — La rectification du contrat est</w:t>
      </w:r>
      <w:r w:rsidRPr="009D287C">
        <w:rPr>
          <w:rFonts w:eastAsia="Times New Roman" w:cs="Times New Roman"/>
          <w:i/>
          <w:sz w:val="20"/>
          <w:szCs w:val="20"/>
          <w:lang w:val="fr-CA" w:eastAsia="en-CA"/>
        </w:rPr>
        <w:noBreakHyphen/>
        <w:t>elle assimilable à une planification fiscale rétroactive?</w:t>
      </w:r>
    </w:p>
    <w:p w:rsidR="000C22C3" w:rsidRPr="009D287C" w:rsidRDefault="000C22C3" w:rsidP="000C22C3">
      <w:pPr>
        <w:tabs>
          <w:tab w:val="left" w:pos="1168"/>
        </w:tabs>
        <w:jc w:val="both"/>
        <w:rPr>
          <w:rFonts w:eastAsia="Times New Roman" w:cs="Times New Roman"/>
          <w:i/>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Hôtels Fairmont Inc. a participé au financement de l’acquisition, par </w:t>
      </w:r>
      <w:proofErr w:type="spellStart"/>
      <w:r w:rsidRPr="009D287C">
        <w:rPr>
          <w:rFonts w:eastAsia="Times New Roman" w:cs="Times New Roman"/>
          <w:sz w:val="20"/>
          <w:szCs w:val="20"/>
          <w:lang w:val="fr-CA" w:eastAsia="en-CA"/>
        </w:rPr>
        <w:t>Legacy</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Hotels</w:t>
      </w:r>
      <w:proofErr w:type="spellEnd"/>
      <w:r w:rsidRPr="009D287C">
        <w:rPr>
          <w:rFonts w:eastAsia="Times New Roman" w:cs="Times New Roman"/>
          <w:sz w:val="20"/>
          <w:szCs w:val="20"/>
          <w:lang w:val="fr-CA" w:eastAsia="en-CA"/>
        </w:rPr>
        <w:t xml:space="preserve">, de deux autres hôtels en dollars américains. L’entente de financement devait être exécutée de façon neutre sur le plan fiscal. Lorsque Fairmont a été acquise par la suite, cet objectif a toutefois été contrecarré, puisque l’acquisition aurait fait subir à Fairmont et à ses filiales une perte sur change présumée. Les parties à l’acquisition de Fairmont ont donc convenu d’un plan qui permettait à Fairmont, mais non à ses filiales, de se protéger du risque d’être tenue à une obligation fiscale prospective sur les opérations de change. Aucun plan n’a été échafaudé pour protéger les filiales de ce risque parce que la conception de ce plan a été reportée à plus tard. L’année suivante, </w:t>
      </w:r>
      <w:proofErr w:type="spellStart"/>
      <w:r w:rsidRPr="009D287C">
        <w:rPr>
          <w:rFonts w:eastAsia="Times New Roman" w:cs="Times New Roman"/>
          <w:sz w:val="20"/>
          <w:szCs w:val="20"/>
          <w:lang w:val="fr-CA" w:eastAsia="en-CA"/>
        </w:rPr>
        <w:t>Legacy</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Hotels</w:t>
      </w:r>
      <w:proofErr w:type="spellEnd"/>
      <w:r w:rsidRPr="009D287C">
        <w:rPr>
          <w:rFonts w:eastAsia="Times New Roman" w:cs="Times New Roman"/>
          <w:sz w:val="20"/>
          <w:szCs w:val="20"/>
          <w:lang w:val="fr-CA" w:eastAsia="en-CA"/>
        </w:rPr>
        <w:t xml:space="preserve"> a demandé à Fairmont de résilier leur entente de financement de façon à permettre la vente des deux autres hôtels. Par conséquent, Fairmont a racheté les actions qu’elle détenait dans ses filiales au moyen de résolutions adoptées par leurs administrateurs. Cette opération a toutefois fait naître une obligation fiscale imprévue. Fairmont a voulu se soustraire à cette obligation en faisant rectifier les résolutions des administrateurs. Tant le juge saisi de la demande que la Cour d’appel ont accordé cette rectification au motif que les parties recherchaient la neutralité fiscale.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 xml:space="preserve">Arrêt </w:t>
      </w:r>
      <w:r w:rsidRPr="009D287C">
        <w:rPr>
          <w:rFonts w:eastAsia="Times New Roman" w:cs="Times New Roman"/>
          <w:sz w:val="20"/>
          <w:szCs w:val="20"/>
          <w:lang w:val="fr-CA" w:eastAsia="en-CA"/>
        </w:rPr>
        <w:t>(les juges Abella et Côté sont dissidentes) : Le pourvoi est accueilli.</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La</w:t>
      </w:r>
      <w:r w:rsidRPr="009D287C">
        <w:rPr>
          <w:rFonts w:eastAsia="Times New Roman" w:cs="Times New Roman"/>
          <w:sz w:val="20"/>
          <w:szCs w:val="20"/>
          <w:lang w:val="fr-CA" w:eastAsia="en-CA"/>
        </w:rPr>
        <w:t xml:space="preserve"> juge en chef McLachlin et les juges Cromwell, </w:t>
      </w:r>
      <w:proofErr w:type="spellStart"/>
      <w:r w:rsidRPr="009D287C">
        <w:rPr>
          <w:rFonts w:eastAsia="Times New Roman" w:cs="Times New Roman"/>
          <w:sz w:val="20"/>
          <w:szCs w:val="20"/>
          <w:lang w:val="fr-CA" w:eastAsia="en-CA"/>
        </w:rPr>
        <w:t>Moldaver</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Karakatsanis</w:t>
      </w:r>
      <w:proofErr w:type="spellEnd"/>
      <w:r w:rsidRPr="009D287C">
        <w:rPr>
          <w:rFonts w:eastAsia="Times New Roman" w:cs="Times New Roman"/>
          <w:sz w:val="20"/>
          <w:szCs w:val="20"/>
          <w:lang w:val="fr-CA" w:eastAsia="en-CA"/>
        </w:rPr>
        <w:t xml:space="preserve">, Wagner, Gascon et </w:t>
      </w:r>
      <w:r w:rsidRPr="009D287C">
        <w:rPr>
          <w:rFonts w:eastAsia="Times New Roman" w:cs="Times New Roman"/>
          <w:b/>
          <w:sz w:val="20"/>
          <w:szCs w:val="20"/>
          <w:lang w:val="fr-CA" w:eastAsia="en-CA"/>
        </w:rPr>
        <w:t>Brown</w:t>
      </w:r>
      <w:r w:rsidRPr="009D287C">
        <w:rPr>
          <w:rFonts w:eastAsia="Times New Roman" w:cs="Times New Roman"/>
          <w:sz w:val="20"/>
          <w:szCs w:val="20"/>
          <w:lang w:val="fr-CA" w:eastAsia="en-CA"/>
        </w:rPr>
        <w:t xml:space="preserve"> : Les deux juridictions inférieures ont commis une erreur en concluant que l’objectif de neutralité fiscale des parties pouvait justifier l’octroi d’une rectification. Une intention commune constante ne suffit pas. La rectification est une réparation en </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xml:space="preserve"> visant à corriger les erreurs dans la consignation de modalités dans des instruments juridiques écrits. Il n’y a rectification que dans les cas où un instrument écrit a consigné incorrectement l’entente antérieure entre les parties. Autrement dit, la rectification ne peut être accordée lorsqu’elle est fondée sur le désir de l’une des parties ou des deux de modifier non pas l’instrument consignant leur entente, mais l’entente elle</w:t>
      </w:r>
      <w:r w:rsidRPr="009D287C">
        <w:rPr>
          <w:rFonts w:eastAsia="Times New Roman" w:cs="Times New Roman"/>
          <w:sz w:val="20"/>
          <w:szCs w:val="20"/>
          <w:lang w:val="fr-CA" w:eastAsia="en-CA"/>
        </w:rPr>
        <w:noBreakHyphen/>
        <w:t xml:space="preserve">même.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lastRenderedPageBreak/>
        <w:tab/>
        <w:t xml:space="preserve">Lorsqu’on allègue que l’erreur résulte d’une erreur commune à toutes les parties à l’entente, le tribunal peut accorder la rectification de l’instrument s’il est convaincu qu’il y avait une entente antérieure dont les modalités sont déterminées et déterminables, que l’entente était toujours en vigueur au moment de la signature de l’instrument, que l’instrument ne consigne pas correctement l’entente et que l’instrument, s’il est rectifié, exécuterait l’entente antérieure des parties.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Il incombe à la partie qui sollicite la rectification de démontrer non seulement l’erreur putative, mais également la façon dont l’instrument devrait être rectifié afin de consigner correctement ce que les parties avaient l’intention de faire. La norme de preuve applicable à la preuve présentée à l’appui d’une demande de rectification est la prépondérance des probabilités. Le tribunal exigera généralement une preuve très claire, convaincante et solide avant de permettre que les modalités d’un instrument écrit soient remplacées par celles qui constateraient la véritable intention des parties. En matière de rectification, l’</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xml:space="preserve"> et le droit civil vont dans le même sens, malgré le fait que chaque système juridique arrive à une même conclusion par des voies différentes — le premier visant la correction du document, et le dernier étant axé sur son interprétation. Cette convergence est indubitablement souhaitable.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Ces principes doivent être appliqués dans un contexte fiscal exactement de la même manière que dans un contexte non fiscal afin d’éviter une planification fiscale rétroactive inadmissible. En l’espèce, l’application de ces principes mène inévitablement à la conclusion que la demande de rectification de Fairmont aurait dû être rejetée, puisqu’elle n’a pu démontrer qu’elle avait conclu une entente antérieure dont les modalités étaient déterminées et déterminables. Il est clair que Fairmont comptait limiter, voire éviter complètement, son obligation fiscale en annulant l’entente de financement. Et le rachat des actions a contrecarré cette intention. Sans plus, toutefois, ces faits ne justifient pas l’octroi d’une rectification. La rectification n’est pas équivalente en </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xml:space="preserve"> à un second essai. Les tribunaux rectifient des instruments qui ne consignent pas correctement une entente. Ils ne rectifient pas les ententes dont la consignation fidèle dans un instrument a mené à un résultat indésirable ou par ailleurs imprévu.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De même, Fairmont n’a pas démontré comment son intention, qu’elle partageait de manière constante avec ses filiales, devait être réalisée selon des modalités déterminées et déterminables tout en annulant l’entente de financement. Fairmont parle d’un plan visant à protéger ses filiales contre une obligation fiscale sur les opérations de change, mais ce plan n’était pas seulement imprécis. Il ne s’agissait même pas en fait d’un plan. Ce n’était tout au plus qu’un désir incomplet de protéger les filiales par des moyens non précisés.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Les</w:t>
      </w:r>
      <w:r w:rsidRPr="009D287C">
        <w:rPr>
          <w:rFonts w:eastAsia="Times New Roman" w:cs="Times New Roman"/>
          <w:sz w:val="20"/>
          <w:szCs w:val="20"/>
          <w:lang w:val="fr-CA" w:eastAsia="en-CA"/>
        </w:rPr>
        <w:t xml:space="preserve"> juges </w:t>
      </w:r>
      <w:r w:rsidRPr="009D287C">
        <w:rPr>
          <w:rFonts w:eastAsia="Times New Roman" w:cs="Times New Roman"/>
          <w:b/>
          <w:sz w:val="20"/>
          <w:szCs w:val="20"/>
          <w:lang w:val="fr-CA" w:eastAsia="en-CA"/>
        </w:rPr>
        <w:t>Abella</w:t>
      </w:r>
      <w:r w:rsidRPr="009D287C">
        <w:rPr>
          <w:rFonts w:eastAsia="Times New Roman" w:cs="Times New Roman"/>
          <w:sz w:val="20"/>
          <w:szCs w:val="20"/>
          <w:lang w:val="fr-CA" w:eastAsia="en-CA"/>
        </w:rPr>
        <w:t xml:space="preserve"> et Côté (dissidentes) : Il n’y a pas lieu de modifier le test de rectification dans une affaire de nature fiscale et, en l’espèce, ce test a été respecté. Les décisions des juridictions inférieures d’accorder la rectification reposent sur la conclusion de fait que les parties avaient l’intention constante et déterminable de réaliser l’opération sans incidences fiscales, ou de ne pas la réaliser du tout. L’approche de la majorité restreint toutefois indûment la portée de la doctrine de la rectification. L’intention commune, constante, déterminée et déterminable de réaliser une opération sans incidences fiscales satisfait habituellement au seuil d’octroi d’une rectification. L’exigence supplémentaire selon laquelle les parties doivent désigner clairement le mécanisme précis au moyen duquel elles ont l’intention d’atteindre la neutralité fiscale, ainsi que la manière dont ce mécanisme a été incorrectement transcrit dans le document, a pour effet de hausser le seuil et de contrecarrer l’objet de la réparation. Que l’erreur soit unilatérale ou commune, la rectification est, en définitive, une réparation d’</w:t>
      </w:r>
      <w:proofErr w:type="spellStart"/>
      <w:r w:rsidRPr="009D287C">
        <w:rPr>
          <w:rFonts w:eastAsia="Times New Roman" w:cs="Times New Roman"/>
          <w:sz w:val="20"/>
          <w:szCs w:val="20"/>
          <w:lang w:val="fr-CA" w:eastAsia="en-CA"/>
        </w:rPr>
        <w:t>equity</w:t>
      </w:r>
      <w:proofErr w:type="spellEnd"/>
      <w:r w:rsidRPr="009D287C">
        <w:rPr>
          <w:rFonts w:eastAsia="Times New Roman" w:cs="Times New Roman"/>
          <w:sz w:val="20"/>
          <w:szCs w:val="20"/>
          <w:lang w:val="fr-CA" w:eastAsia="en-CA"/>
        </w:rPr>
        <w:t xml:space="preserve"> qui vise à donner effet à la véritable intention des parties et à empêcher que des erreurs donnent lieu à des gains fortuits. La doctrine est aussi fondée sur le principe d’enrichissement injustifié, à savoir qu’il serait injuste de donner effet, de façon rigide, à une erreur qui enrichit l’une des parties au détriment de l’autre.</w:t>
      </w:r>
    </w:p>
    <w:p w:rsidR="000C22C3" w:rsidRPr="009D287C" w:rsidRDefault="000C22C3" w:rsidP="000C22C3">
      <w:pPr>
        <w:tabs>
          <w:tab w:val="left" w:pos="1168"/>
        </w:tabs>
        <w:jc w:val="both"/>
        <w:rPr>
          <w:rFonts w:eastAsia="Times New Roman" w:cs="Times New Roman"/>
          <w:b/>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Certes, on semble avoir le plus souvent accordé la rectification dans des cas où les modalités convenues avaient été mal transcrites, mais puisque l’enrichissement injustifié peut résulter d’une erreur dans la réalisation de l’intention des parties, on peut aussi recourir à la rectification pour corriger les erreurs de mise en œuvre. Les tribunaux ont donc accordé la rectification demandée lorsqu’une transaction commerciale a été exécutée dans le mauvais ordre, lorsqu’une erreur de calcul sous</w:t>
      </w:r>
      <w:r w:rsidRPr="009D287C">
        <w:rPr>
          <w:rFonts w:eastAsia="Times New Roman" w:cs="Times New Roman"/>
          <w:sz w:val="20"/>
          <w:szCs w:val="20"/>
          <w:lang w:val="fr-CA" w:eastAsia="en-CA"/>
        </w:rPr>
        <w:noBreakHyphen/>
        <w:t>jacente au contrat a été commise, et lorsque les étapes nécessaires d’une fusion ont été mal suivies.</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Que l’erreur réside dans la transcription ou dans la mise en œuvre, les tribunaux peuvent refuser d’exercer leur pouvoir discrétionnaire si la rectification serait préjudiciable aux droits des tiers. Toutefois, la simple présence d’un tiers ne fait pas obstacle à la rectification. La rectification ne sera irrecevable que si le tiers en question s’est effectivement fondé sur l’entente erronée. La rectification peut empêcher une partie de donner effet à une erreur et de s’enrichir </w:t>
      </w:r>
      <w:r w:rsidRPr="009D287C">
        <w:rPr>
          <w:rFonts w:eastAsia="Times New Roman" w:cs="Times New Roman"/>
          <w:sz w:val="20"/>
          <w:szCs w:val="20"/>
          <w:lang w:val="fr-CA" w:eastAsia="en-CA"/>
        </w:rPr>
        <w:lastRenderedPageBreak/>
        <w:t xml:space="preserve">injustement parce que l’autre partie s’est trompée, tout comme elle peut empêcher un tiers qui ne s’est pas fié sur l’entente de donner effet à une erreur et d’en tirer profit.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Permettre aux autorités fiscales, une tierce partie, de tirer profit des erreurs commises dans une planification fiscale légitime, alors qu’il n’a été nullement porté atteinte à ses droits, équivaut à un enrichissement injustifié. Les entreprises et les particuliers ont légalement le droit d’organiser leurs affaires de manière à réduire le plus possible leur fardeau fiscal. Le fisc ne peut pas plus jouer à « </w:t>
      </w:r>
      <w:proofErr w:type="spellStart"/>
      <w:r w:rsidRPr="009D287C">
        <w:rPr>
          <w:rFonts w:eastAsia="Times New Roman" w:cs="Times New Roman"/>
          <w:i/>
          <w:sz w:val="20"/>
          <w:szCs w:val="20"/>
          <w:lang w:val="fr-CA" w:eastAsia="en-CA"/>
        </w:rPr>
        <w:t>Gotcha</w:t>
      </w:r>
      <w:proofErr w:type="spellEnd"/>
      <w:r w:rsidRPr="009D287C">
        <w:rPr>
          <w:rFonts w:eastAsia="Times New Roman" w:cs="Times New Roman"/>
          <w:i/>
          <w:sz w:val="20"/>
          <w:szCs w:val="20"/>
          <w:lang w:val="fr-CA" w:eastAsia="en-CA"/>
        </w:rPr>
        <w:t> </w:t>
      </w:r>
      <w:r w:rsidRPr="009D287C">
        <w:rPr>
          <w:rFonts w:eastAsia="Times New Roman" w:cs="Times New Roman"/>
          <w:sz w:val="20"/>
          <w:szCs w:val="20"/>
          <w:lang w:val="fr-CA" w:eastAsia="en-CA"/>
        </w:rPr>
        <w:t xml:space="preserve">» que n’importe quel autre tiers qui ne s’est pas fondé à son détriment sur l’erreur. D’autre part, les entreprises et les particuliers ne devraient pas pouvoir recourir à la rectification pour procéder à une planification fiscale rétroactive.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La rectification en droit civil et celle en </w:t>
      </w:r>
      <w:proofErr w:type="spellStart"/>
      <w:r w:rsidRPr="009D287C">
        <w:rPr>
          <w:rFonts w:eastAsia="Times New Roman" w:cs="Times New Roman"/>
          <w:sz w:val="20"/>
          <w:szCs w:val="20"/>
          <w:lang w:val="fr-CA" w:eastAsia="en-CA"/>
        </w:rPr>
        <w:t>common</w:t>
      </w:r>
      <w:proofErr w:type="spellEnd"/>
      <w:r w:rsidRPr="009D287C">
        <w:rPr>
          <w:rFonts w:eastAsia="Times New Roman" w:cs="Times New Roman"/>
          <w:sz w:val="20"/>
          <w:szCs w:val="20"/>
          <w:lang w:val="fr-CA" w:eastAsia="en-CA"/>
        </w:rPr>
        <w:t xml:space="preserve"> </w:t>
      </w:r>
      <w:proofErr w:type="spellStart"/>
      <w:r w:rsidRPr="009D287C">
        <w:rPr>
          <w:rFonts w:eastAsia="Times New Roman" w:cs="Times New Roman"/>
          <w:sz w:val="20"/>
          <w:szCs w:val="20"/>
          <w:lang w:val="fr-CA" w:eastAsia="en-CA"/>
        </w:rPr>
        <w:t>law</w:t>
      </w:r>
      <w:proofErr w:type="spellEnd"/>
      <w:r w:rsidRPr="009D287C">
        <w:rPr>
          <w:rFonts w:eastAsia="Times New Roman" w:cs="Times New Roman"/>
          <w:sz w:val="20"/>
          <w:szCs w:val="20"/>
          <w:lang w:val="fr-CA" w:eastAsia="en-CA"/>
        </w:rPr>
        <w:t xml:space="preserve"> dans le domaine fiscal sont manifestement fondées sur des principes analogues, à savoir que la véritable intention des parties l’emporte sur les erreurs de transcription ou de mise en œuvre de l’entente en question, sous réserve des précisions nécessaires et des droits des tiers qui se fondent à leur détriment sur l’entente. Ainsi, aucune raison de principe ne permet, quel que soit le système juridique applicable, d’imposer une norme plus stricte dans le domaine fiscal du simple fait que c’est le gouvernement qui pourrait bénéficier d’une erreur.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En l’espèce, le juge saisi de la demande a conclu que Fairmont avait toujours eu l’intention claire de dénouer l’entente de financement sans incidences fiscales et n’avait jamais eu l’intention de racheter les actions. Fairmont ne tentait pas de s’écarter de son intention initiale à cause de conséquences fiscales imprévues. Elle avait prévu les conséquences fiscales d’un dénouement de l’arrangement par le rachat des actions, et elle avait explicitement rejeté cette démarche. Or, par erreur, les modalités de rachat des actions privilégiées ont été incluses dans les résolutions adoptées par les administrateurs. C’est exactement le genre d’erreur que la rectification vise à corriger. Une fois que le juge saisi de la demande a été convaincu de la véritable intention des parties, il avait le droit de lui donner effet en autorisant la rectification des résolutions des administrateurs.</w:t>
      </w:r>
    </w:p>
    <w:p w:rsidR="000C22C3" w:rsidRPr="009D287C" w:rsidRDefault="000C22C3" w:rsidP="000C22C3">
      <w:pPr>
        <w:tabs>
          <w:tab w:val="left" w:pos="1168"/>
        </w:tabs>
        <w:jc w:val="both"/>
        <w:rPr>
          <w:rFonts w:eastAsia="Times New Roman" w:cs="Times New Roman"/>
          <w:b/>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Exiger une description détaillée de la manière dont le dénouement était censé se dérouler reviendrait à imposer un seuil exceptionnellement élevé à atteindre pour obtenir la rectification dans le domaine fiscal et permettrait à l’Agence du revenu du Canada, les autorités fiscales, de tirer un gain fortuit de l’erreur. Il n’y a aucune raison de permettre à l’Agence du revenu du Canada de tirer un gain fortuit auquel aucun autre tiers n’aurait eu droit. </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t xml:space="preserve">POURVOI contre un arrêt de la Cour d’appel de l’Ontario (les juges Simmons, </w:t>
      </w:r>
      <w:proofErr w:type="spellStart"/>
      <w:r w:rsidRPr="009D287C">
        <w:rPr>
          <w:rFonts w:eastAsia="Times New Roman" w:cs="Times New Roman"/>
          <w:sz w:val="20"/>
          <w:szCs w:val="20"/>
          <w:lang w:val="fr-CA" w:eastAsia="en-CA"/>
        </w:rPr>
        <w:t>Cronk</w:t>
      </w:r>
      <w:proofErr w:type="spellEnd"/>
      <w:r w:rsidRPr="009D287C">
        <w:rPr>
          <w:rFonts w:eastAsia="Times New Roman" w:cs="Times New Roman"/>
          <w:sz w:val="20"/>
          <w:szCs w:val="20"/>
          <w:lang w:val="fr-CA" w:eastAsia="en-CA"/>
        </w:rPr>
        <w:t xml:space="preserve"> et Blair), 2015 ONCA 441, 45 B.L.R. (5th) 230, 2015 DTC 5073, [2015] O.J. No. 3172 (QL), 2015 </w:t>
      </w:r>
      <w:proofErr w:type="spellStart"/>
      <w:r w:rsidRPr="009D287C">
        <w:rPr>
          <w:rFonts w:eastAsia="Times New Roman" w:cs="Times New Roman"/>
          <w:sz w:val="20"/>
          <w:szCs w:val="20"/>
          <w:lang w:val="fr-CA" w:eastAsia="en-CA"/>
        </w:rPr>
        <w:t>CarswellOnt</w:t>
      </w:r>
      <w:proofErr w:type="spellEnd"/>
      <w:r w:rsidRPr="009D287C">
        <w:rPr>
          <w:rFonts w:eastAsia="Times New Roman" w:cs="Times New Roman"/>
          <w:sz w:val="20"/>
          <w:szCs w:val="20"/>
          <w:lang w:val="fr-CA" w:eastAsia="en-CA"/>
        </w:rPr>
        <w:t xml:space="preserve"> 8955 (WL Can.), qui a confirmé une décision du juge </w:t>
      </w:r>
      <w:proofErr w:type="spellStart"/>
      <w:r w:rsidRPr="009D287C">
        <w:rPr>
          <w:rFonts w:eastAsia="Times New Roman" w:cs="Times New Roman"/>
          <w:sz w:val="20"/>
          <w:szCs w:val="20"/>
          <w:lang w:val="fr-CA" w:eastAsia="en-CA"/>
        </w:rPr>
        <w:t>Newbould</w:t>
      </w:r>
      <w:proofErr w:type="spellEnd"/>
      <w:r w:rsidRPr="009D287C">
        <w:rPr>
          <w:rFonts w:eastAsia="Times New Roman" w:cs="Times New Roman"/>
          <w:sz w:val="20"/>
          <w:szCs w:val="20"/>
          <w:lang w:val="fr-CA" w:eastAsia="en-CA"/>
        </w:rPr>
        <w:t xml:space="preserve">, 2014 ONSC 7302, 123 O.R. (3d) 241, [2015] 3 C.T.C. 9, 2015 DTC 5019, 36 B.L.R. (5th) 215, [2014] O.J. No. 6086 (QL), 2014 </w:t>
      </w:r>
      <w:proofErr w:type="spellStart"/>
      <w:r w:rsidRPr="009D287C">
        <w:rPr>
          <w:rFonts w:eastAsia="Times New Roman" w:cs="Times New Roman"/>
          <w:sz w:val="20"/>
          <w:szCs w:val="20"/>
          <w:lang w:val="fr-CA" w:eastAsia="en-CA"/>
        </w:rPr>
        <w:t>CarswellOnt</w:t>
      </w:r>
      <w:proofErr w:type="spellEnd"/>
      <w:r w:rsidRPr="009D287C">
        <w:rPr>
          <w:rFonts w:eastAsia="Times New Roman" w:cs="Times New Roman"/>
          <w:sz w:val="20"/>
          <w:szCs w:val="20"/>
          <w:lang w:val="fr-CA" w:eastAsia="en-CA"/>
        </w:rPr>
        <w:t xml:space="preserve"> 17975 (WL Can.). Pourvoi accueilli, les juges Abella et Côté sont dissidentes.</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Daniel Bourgeois</w:t>
      </w:r>
      <w:r w:rsidRPr="009D287C">
        <w:rPr>
          <w:rFonts w:eastAsia="Times New Roman" w:cs="Times New Roman"/>
          <w:sz w:val="20"/>
          <w:szCs w:val="20"/>
          <w:lang w:val="fr-CA" w:eastAsia="en-CA"/>
        </w:rPr>
        <w:t xml:space="preserve"> et </w:t>
      </w:r>
      <w:proofErr w:type="spellStart"/>
      <w:r w:rsidRPr="009D287C">
        <w:rPr>
          <w:rFonts w:eastAsia="Times New Roman" w:cs="Times New Roman"/>
          <w:i/>
          <w:sz w:val="20"/>
          <w:szCs w:val="20"/>
          <w:lang w:val="fr-CA" w:eastAsia="en-CA"/>
        </w:rPr>
        <w:t>Eric</w:t>
      </w:r>
      <w:proofErr w:type="spellEnd"/>
      <w:r w:rsidRPr="009D287C">
        <w:rPr>
          <w:rFonts w:eastAsia="Times New Roman" w:cs="Times New Roman"/>
          <w:i/>
          <w:sz w:val="20"/>
          <w:szCs w:val="20"/>
          <w:lang w:val="fr-CA" w:eastAsia="en-CA"/>
        </w:rPr>
        <w:t xml:space="preserve"> Noble</w:t>
      </w:r>
      <w:r w:rsidRPr="009D287C">
        <w:rPr>
          <w:rFonts w:eastAsia="Times New Roman" w:cs="Times New Roman"/>
          <w:sz w:val="20"/>
          <w:szCs w:val="20"/>
          <w:lang w:val="fr-CA" w:eastAsia="en-CA"/>
        </w:rPr>
        <w:t>, pour l’appelant.</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sz w:val="20"/>
          <w:szCs w:val="20"/>
          <w:lang w:val="fr-CA" w:eastAsia="en-CA"/>
        </w:rPr>
        <w:tab/>
      </w:r>
      <w:r w:rsidRPr="009D287C">
        <w:rPr>
          <w:rFonts w:eastAsia="Times New Roman" w:cs="Times New Roman"/>
          <w:i/>
          <w:sz w:val="20"/>
          <w:szCs w:val="20"/>
          <w:lang w:val="fr-CA" w:eastAsia="en-CA"/>
        </w:rPr>
        <w:t>Geoff R. Hall</w:t>
      </w:r>
      <w:r w:rsidRPr="009D287C">
        <w:rPr>
          <w:rFonts w:eastAsia="Times New Roman" w:cs="Times New Roman"/>
          <w:sz w:val="20"/>
          <w:szCs w:val="20"/>
          <w:lang w:val="fr-CA" w:eastAsia="en-CA"/>
        </w:rPr>
        <w:t xml:space="preserve"> et </w:t>
      </w:r>
      <w:proofErr w:type="spellStart"/>
      <w:r w:rsidRPr="009D287C">
        <w:rPr>
          <w:rFonts w:eastAsia="Times New Roman" w:cs="Times New Roman"/>
          <w:i/>
          <w:sz w:val="20"/>
          <w:szCs w:val="20"/>
          <w:lang w:val="fr-CA" w:eastAsia="en-CA"/>
        </w:rPr>
        <w:t>Chia</w:t>
      </w:r>
      <w:r w:rsidRPr="009D287C">
        <w:rPr>
          <w:rFonts w:eastAsia="Times New Roman" w:cs="Times New Roman"/>
          <w:i/>
          <w:sz w:val="20"/>
          <w:szCs w:val="20"/>
          <w:lang w:val="fr-CA" w:eastAsia="en-CA"/>
        </w:rPr>
        <w:noBreakHyphen/>
        <w:t>yi</w:t>
      </w:r>
      <w:proofErr w:type="spellEnd"/>
      <w:r w:rsidRPr="009D287C">
        <w:rPr>
          <w:rFonts w:eastAsia="Times New Roman" w:cs="Times New Roman"/>
          <w:i/>
          <w:sz w:val="20"/>
          <w:szCs w:val="20"/>
          <w:lang w:val="fr-CA" w:eastAsia="en-CA"/>
        </w:rPr>
        <w:t xml:space="preserve"> </w:t>
      </w:r>
      <w:proofErr w:type="spellStart"/>
      <w:r w:rsidRPr="009D287C">
        <w:rPr>
          <w:rFonts w:eastAsia="Times New Roman" w:cs="Times New Roman"/>
          <w:i/>
          <w:sz w:val="20"/>
          <w:szCs w:val="20"/>
          <w:lang w:val="fr-CA" w:eastAsia="en-CA"/>
        </w:rPr>
        <w:t>Chua</w:t>
      </w:r>
      <w:proofErr w:type="spellEnd"/>
      <w:r w:rsidRPr="009D287C">
        <w:rPr>
          <w:rFonts w:eastAsia="Times New Roman" w:cs="Times New Roman"/>
          <w:sz w:val="20"/>
          <w:szCs w:val="20"/>
          <w:lang w:val="fr-CA" w:eastAsia="en-CA"/>
        </w:rPr>
        <w:t>, pour les intimées.</w:t>
      </w:r>
    </w:p>
    <w:p w:rsidR="000C22C3" w:rsidRPr="009D287C" w:rsidRDefault="000C22C3" w:rsidP="000C22C3">
      <w:pPr>
        <w:tabs>
          <w:tab w:val="left" w:pos="1168"/>
        </w:tabs>
        <w:jc w:val="both"/>
        <w:rPr>
          <w:rFonts w:eastAsia="Times New Roman" w:cs="Times New Roman"/>
          <w:sz w:val="20"/>
          <w:szCs w:val="20"/>
          <w:lang w:val="fr-CA" w:eastAsia="en-CA"/>
        </w:rPr>
      </w:pPr>
    </w:p>
    <w:p w:rsidR="000C22C3" w:rsidRPr="009D287C" w:rsidRDefault="000C22C3" w:rsidP="000C22C3">
      <w:pPr>
        <w:tabs>
          <w:tab w:val="left" w:pos="1168"/>
        </w:tabs>
        <w:jc w:val="both"/>
        <w:rPr>
          <w:rFonts w:eastAsia="Times New Roman" w:cs="Times New Roman"/>
          <w:i/>
          <w:sz w:val="20"/>
          <w:szCs w:val="20"/>
          <w:lang w:val="fr-CA" w:eastAsia="en-CA"/>
        </w:rPr>
      </w:pPr>
      <w:r w:rsidRPr="009D287C">
        <w:rPr>
          <w:rFonts w:eastAsia="Times New Roman" w:cs="Times New Roman"/>
          <w:i/>
          <w:sz w:val="20"/>
          <w:szCs w:val="20"/>
          <w:lang w:val="fr-CA" w:eastAsia="en-CA"/>
        </w:rPr>
        <w:tab/>
        <w:t>Procureur de l’appelant : Procureur général du Canada, Ottawa.</w:t>
      </w:r>
    </w:p>
    <w:p w:rsidR="000C22C3" w:rsidRPr="009D287C" w:rsidRDefault="000C22C3" w:rsidP="000C22C3">
      <w:pPr>
        <w:tabs>
          <w:tab w:val="left" w:pos="1168"/>
        </w:tabs>
        <w:jc w:val="both"/>
        <w:rPr>
          <w:rFonts w:eastAsia="Times New Roman" w:cs="Times New Roman"/>
          <w:i/>
          <w:sz w:val="20"/>
          <w:szCs w:val="20"/>
          <w:lang w:val="fr-CA" w:eastAsia="en-CA"/>
        </w:rPr>
      </w:pPr>
    </w:p>
    <w:p w:rsidR="000C22C3" w:rsidRPr="009D287C" w:rsidRDefault="000C22C3" w:rsidP="000C22C3">
      <w:pPr>
        <w:tabs>
          <w:tab w:val="left" w:pos="1168"/>
        </w:tabs>
        <w:jc w:val="both"/>
        <w:rPr>
          <w:rFonts w:eastAsia="Times New Roman" w:cs="Times New Roman"/>
          <w:sz w:val="20"/>
          <w:szCs w:val="20"/>
          <w:lang w:val="fr-CA" w:eastAsia="en-CA"/>
        </w:rPr>
      </w:pPr>
      <w:r w:rsidRPr="009D287C">
        <w:rPr>
          <w:rFonts w:eastAsia="Times New Roman" w:cs="Times New Roman"/>
          <w:i/>
          <w:sz w:val="20"/>
          <w:szCs w:val="20"/>
          <w:lang w:val="fr-CA" w:eastAsia="en-CA"/>
        </w:rPr>
        <w:tab/>
        <w:t xml:space="preserve">Procureurs des intimées : McCarthy </w:t>
      </w:r>
      <w:proofErr w:type="spellStart"/>
      <w:r w:rsidRPr="009D287C">
        <w:rPr>
          <w:rFonts w:eastAsia="Times New Roman" w:cs="Times New Roman"/>
          <w:i/>
          <w:sz w:val="20"/>
          <w:szCs w:val="20"/>
          <w:lang w:val="fr-CA" w:eastAsia="en-CA"/>
        </w:rPr>
        <w:t>Tétrault</w:t>
      </w:r>
      <w:proofErr w:type="spellEnd"/>
      <w:r w:rsidRPr="009D287C">
        <w:rPr>
          <w:rFonts w:eastAsia="Times New Roman" w:cs="Times New Roman"/>
          <w:i/>
          <w:sz w:val="20"/>
          <w:szCs w:val="20"/>
          <w:lang w:val="fr-CA" w:eastAsia="en-CA"/>
        </w:rPr>
        <w:t>, Toronto.</w:t>
      </w:r>
    </w:p>
    <w:p w:rsidR="00874580" w:rsidRPr="009D287C" w:rsidRDefault="00346C6C" w:rsidP="00874580">
      <w:pPr>
        <w:rPr>
          <w:rFonts w:cs="Times New Roman"/>
          <w:sz w:val="20"/>
          <w:szCs w:val="20"/>
          <w:lang w:val="fr-CA"/>
        </w:rPr>
      </w:pPr>
      <w:r>
        <w:rPr>
          <w:rFonts w:cs="Times New Roman"/>
          <w:sz w:val="20"/>
          <w:szCs w:val="20"/>
          <w:lang w:val="fr-CA"/>
        </w:rPr>
        <w:pict>
          <v:rect id="_x0000_i1068" style="width:144.3pt;height:1pt" o:hrpct="300" o:hralign="center" o:hrstd="t" o:hrnoshade="t" o:hr="t" fillcolor="black [3213]" stroked="f"/>
        </w:pict>
      </w:r>
    </w:p>
    <w:p w:rsidR="00874580" w:rsidRPr="009D287C" w:rsidRDefault="00874580" w:rsidP="00902E51">
      <w:pPr>
        <w:rPr>
          <w:rFonts w:cs="Times New Roman"/>
          <w:sz w:val="20"/>
          <w:szCs w:val="20"/>
          <w:lang w:val="fr-CA"/>
        </w:rPr>
      </w:pPr>
    </w:p>
    <w:p w:rsidR="00874580" w:rsidRPr="009D287C" w:rsidRDefault="00874580" w:rsidP="00902E51">
      <w:pPr>
        <w:rPr>
          <w:rFonts w:cs="Times New Roman"/>
          <w:sz w:val="20"/>
          <w:szCs w:val="20"/>
          <w:lang w:val="fr-CA"/>
        </w:rPr>
      </w:pPr>
    </w:p>
    <w:p w:rsidR="005C6840" w:rsidRPr="009D287C" w:rsidRDefault="005C6840" w:rsidP="005C6840">
      <w:pPr>
        <w:jc w:val="both"/>
        <w:rPr>
          <w:sz w:val="20"/>
          <w:szCs w:val="20"/>
          <w:lang w:val="fr-CA"/>
        </w:rPr>
      </w:pPr>
    </w:p>
    <w:p w:rsidR="00102926" w:rsidRPr="009D287C" w:rsidRDefault="00102926" w:rsidP="00782AE4">
      <w:pPr>
        <w:jc w:val="both"/>
        <w:rPr>
          <w:sz w:val="20"/>
          <w:szCs w:val="20"/>
          <w:lang w:val="fr-CA"/>
        </w:rPr>
        <w:sectPr w:rsidR="00102926" w:rsidRPr="009D287C"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576" w:footer="960" w:gutter="0"/>
          <w:cols w:space="720"/>
          <w:titlePg/>
          <w:docGrid w:linePitch="272"/>
        </w:sectPr>
      </w:pPr>
    </w:p>
    <w:bookmarkStart w:id="2" w:name="QuickMark"/>
    <w:bookmarkEnd w:id="2"/>
    <w:p w:rsidR="008902B1" w:rsidRPr="009D287C" w:rsidRDefault="008902B1" w:rsidP="008902B1">
      <w:pPr>
        <w:widowControl w:val="0"/>
        <w:spacing w:line="180" w:lineRule="auto"/>
        <w:jc w:val="center"/>
        <w:rPr>
          <w:rFonts w:asciiTheme="minorHAnsi" w:hAnsiTheme="minorHAnsi" w:cstheme="minorHAnsi"/>
          <w:b/>
          <w:szCs w:val="24"/>
        </w:rPr>
      </w:pPr>
      <w:r w:rsidRPr="009D287C">
        <w:rPr>
          <w:rFonts w:asciiTheme="minorHAnsi" w:hAnsiTheme="minorHAnsi" w:cstheme="minorHAnsi"/>
          <w:b/>
          <w:szCs w:val="24"/>
        </w:rPr>
        <w:lastRenderedPageBreak/>
        <w:fldChar w:fldCharType="begin"/>
      </w:r>
      <w:r w:rsidRPr="009D287C">
        <w:rPr>
          <w:rFonts w:asciiTheme="minorHAnsi" w:hAnsiTheme="minorHAnsi" w:cstheme="minorHAnsi"/>
          <w:b/>
          <w:szCs w:val="24"/>
        </w:rPr>
        <w:instrText xml:space="preserve"> SEQ CHAPTER \h \r 1</w:instrText>
      </w:r>
      <w:r w:rsidRPr="009D287C">
        <w:rPr>
          <w:rFonts w:asciiTheme="minorHAnsi" w:hAnsiTheme="minorHAnsi" w:cstheme="minorHAnsi"/>
          <w:b/>
          <w:szCs w:val="24"/>
        </w:rPr>
        <w:fldChar w:fldCharType="end"/>
      </w:r>
      <w:r w:rsidRPr="009D287C">
        <w:rPr>
          <w:rFonts w:asciiTheme="minorHAnsi" w:hAnsiTheme="minorHAnsi" w:cstheme="minorHAnsi"/>
          <w:b/>
          <w:szCs w:val="24"/>
        </w:rPr>
        <w:t>SUPREME COURT OF CANADA SCHEDULE /</w:t>
      </w:r>
      <w:bookmarkStart w:id="3" w:name="_GoBack"/>
      <w:bookmarkEnd w:id="3"/>
      <w:r w:rsidRPr="009D287C">
        <w:rPr>
          <w:rFonts w:asciiTheme="minorHAnsi" w:hAnsiTheme="minorHAnsi" w:cstheme="minorHAnsi"/>
          <w:b/>
          <w:szCs w:val="24"/>
        </w:rPr>
        <w:t xml:space="preserve"> CALENDRIER DE LA COUR SUPREME</w:t>
      </w:r>
    </w:p>
    <w:p w:rsidR="0013595D" w:rsidRPr="009D287C" w:rsidRDefault="0013595D" w:rsidP="0013595D">
      <w:pPr>
        <w:widowControl w:val="0"/>
        <w:spacing w:line="180" w:lineRule="auto"/>
        <w:rPr>
          <w:rFonts w:asciiTheme="minorHAnsi" w:hAnsiTheme="minorHAnsi" w:cstheme="minorHAnsi"/>
          <w:szCs w:val="24"/>
        </w:rPr>
      </w:pPr>
    </w:p>
    <w:p w:rsidR="0013595D" w:rsidRPr="009D287C" w:rsidRDefault="0013595D" w:rsidP="00346C6C">
      <w:pPr>
        <w:widowControl w:val="0"/>
        <w:tabs>
          <w:tab w:val="center" w:pos="5400"/>
          <w:tab w:val="right" w:pos="10440"/>
        </w:tabs>
        <w:jc w:val="center"/>
        <w:rPr>
          <w:rFonts w:ascii="Arial" w:hAnsi="Arial"/>
          <w:sz w:val="18"/>
        </w:rPr>
      </w:pPr>
      <w:r w:rsidRPr="009D287C">
        <w:rPr>
          <w:rFonts w:ascii="Arial" w:hAnsi="Arial"/>
          <w:i/>
          <w:sz w:val="36"/>
        </w:rPr>
        <w:t xml:space="preserve">- </w:t>
      </w:r>
      <w:r w:rsidRPr="009D287C">
        <w:rPr>
          <w:rFonts w:ascii="Arial" w:hAnsi="Arial"/>
          <w:b/>
          <w:i/>
          <w:sz w:val="36"/>
        </w:rPr>
        <w:t>2016</w:t>
      </w:r>
      <w:r w:rsidRPr="009D287C">
        <w:rPr>
          <w:rFonts w:ascii="Arial" w:hAnsi="Arial"/>
          <w:i/>
          <w:sz w:val="36"/>
        </w:rPr>
        <w:t xml:space="preserve"> -</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9D287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DECEMBER - DÉCEMBRE</w:t>
            </w:r>
          </w:p>
        </w:tc>
      </w:tr>
      <w:tr w:rsidR="0013595D" w:rsidRPr="009D287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4"/>
                <w:szCs w:val="14"/>
                <w:lang w:val="fr-FR"/>
              </w:rPr>
            </w:pPr>
            <w:r w:rsidRPr="009D287C">
              <w:rPr>
                <w:rFonts w:ascii="Arial" w:hAnsi="Arial" w:cs="Arial"/>
                <w:b/>
                <w:sz w:val="14"/>
                <w:szCs w:val="14"/>
                <w:lang w:val="fr-FR"/>
              </w:rPr>
              <w:t>S</w:t>
            </w:r>
          </w:p>
          <w:p w:rsidR="0013595D" w:rsidRPr="009D287C" w:rsidRDefault="0013595D" w:rsidP="00E942C2">
            <w:pPr>
              <w:tabs>
                <w:tab w:val="center" w:pos="5220"/>
                <w:tab w:val="right" w:pos="10440"/>
              </w:tabs>
              <w:jc w:val="center"/>
              <w:rPr>
                <w:rFonts w:ascii="Arial" w:hAnsi="Arial" w:cs="Arial"/>
                <w:b/>
                <w:sz w:val="14"/>
                <w:szCs w:val="14"/>
                <w:lang w:val="fr-FR"/>
              </w:rPr>
            </w:pPr>
            <w:r w:rsidRPr="009D287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T</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W</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T</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F</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S</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S</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T</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W</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T</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F</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S</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S</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M</w:t>
            </w:r>
          </w:p>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lang w:val="fr-FR"/>
              </w:rPr>
            </w:pPr>
            <w:r w:rsidRPr="009D287C">
              <w:rPr>
                <w:rFonts w:ascii="Arial" w:hAnsi="Arial" w:cs="Arial"/>
                <w:b/>
                <w:sz w:val="13"/>
                <w:szCs w:val="13"/>
                <w:lang w:val="fr-FR"/>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r>
      <w:tr w:rsidR="0013595D" w:rsidRPr="009D287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r>
      <w:tr w:rsidR="0013595D" w:rsidRPr="009D287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9D287C" w:rsidRDefault="0013595D" w:rsidP="00E942C2">
            <w:pPr>
              <w:jc w:val="center"/>
              <w:rPr>
                <w:rFonts w:ascii="Arial" w:hAnsi="Arial" w:cs="Arial"/>
                <w:b/>
                <w:sz w:val="12"/>
                <w:szCs w:val="12"/>
              </w:rPr>
            </w:pPr>
          </w:p>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 xml:space="preserve">H </w:t>
            </w:r>
          </w:p>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r>
      <w:tr w:rsidR="0013595D" w:rsidRPr="009D287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b/>
                <w:sz w:val="13"/>
                <w:szCs w:val="13"/>
              </w:rPr>
              <w:t xml:space="preserve">H </w:t>
            </w:r>
          </w:p>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09" w:type="pct"/>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51" w:type="pct"/>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10" w:type="pct"/>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17" w:type="pct"/>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18" w:type="pct"/>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18" w:type="pct"/>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r>
      <w:tr w:rsidR="0013595D" w:rsidRPr="009D287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67" w:type="pct"/>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09" w:type="pct"/>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10" w:type="pct"/>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r>
      <w:tr w:rsidR="0013595D" w:rsidRPr="009D287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9D287C" w:rsidRDefault="0013595D" w:rsidP="00E942C2">
            <w:pPr>
              <w:rPr>
                <w:rFonts w:ascii="Arial" w:hAnsi="Arial" w:cs="Arial"/>
                <w:sz w:val="13"/>
                <w:szCs w:val="13"/>
              </w:rPr>
            </w:pPr>
            <w:r w:rsidRPr="009D287C">
              <w:rPr>
                <w:rFonts w:ascii="Arial" w:hAnsi="Arial" w:cs="Arial"/>
                <w:sz w:val="13"/>
                <w:szCs w:val="13"/>
              </w:rPr>
              <w:t>23</w:t>
            </w:r>
          </w:p>
          <w:p w:rsidR="0013595D" w:rsidRPr="009D287C" w:rsidRDefault="0013595D" w:rsidP="00E942C2">
            <w:pPr>
              <w:jc w:val="center"/>
              <w:rPr>
                <w:rFonts w:ascii="Arial" w:hAnsi="Arial" w:cs="Arial"/>
                <w:sz w:val="13"/>
                <w:szCs w:val="13"/>
              </w:rPr>
            </w:pPr>
            <w:r w:rsidRPr="009D287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9D287C" w:rsidRDefault="0013595D" w:rsidP="00E942C2">
            <w:pPr>
              <w:rPr>
                <w:rFonts w:ascii="Arial" w:hAnsi="Arial" w:cs="Arial"/>
                <w:sz w:val="13"/>
                <w:szCs w:val="13"/>
              </w:rPr>
            </w:pPr>
            <w:r w:rsidRPr="009D287C">
              <w:rPr>
                <w:rFonts w:ascii="Arial" w:hAnsi="Arial" w:cs="Arial"/>
                <w:sz w:val="13"/>
                <w:szCs w:val="13"/>
              </w:rPr>
              <w:t>24</w:t>
            </w:r>
          </w:p>
          <w:p w:rsidR="0013595D" w:rsidRPr="009D287C" w:rsidRDefault="0013595D" w:rsidP="00E942C2">
            <w:pPr>
              <w:rPr>
                <w:rFonts w:ascii="Arial" w:hAnsi="Arial" w:cs="Arial"/>
                <w:sz w:val="13"/>
                <w:szCs w:val="13"/>
              </w:rPr>
            </w:pPr>
            <w:r w:rsidRPr="009D287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b/>
                <w:sz w:val="13"/>
                <w:szCs w:val="13"/>
              </w:rPr>
            </w:pPr>
          </w:p>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H</w:t>
            </w:r>
          </w:p>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H</w:t>
            </w:r>
          </w:p>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31</w:t>
            </w:r>
          </w:p>
        </w:tc>
      </w:tr>
    </w:tbl>
    <w:p w:rsidR="0013595D" w:rsidRPr="009D287C" w:rsidRDefault="0013595D" w:rsidP="0013595D">
      <w:pPr>
        <w:tabs>
          <w:tab w:val="center" w:pos="5220"/>
          <w:tab w:val="right" w:pos="10440"/>
        </w:tabs>
        <w:jc w:val="center"/>
        <w:rPr>
          <w:rFonts w:ascii="Arial" w:hAnsi="Arial" w:cs="Arial"/>
          <w:sz w:val="36"/>
          <w:szCs w:val="36"/>
        </w:rPr>
      </w:pPr>
      <w:r w:rsidRPr="009D287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9D287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MARCH - MARS</w:t>
            </w:r>
          </w:p>
        </w:tc>
      </w:tr>
      <w:tr w:rsidR="0013595D" w:rsidRPr="009D287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L</w:t>
            </w:r>
          </w:p>
        </w:tc>
        <w:tc>
          <w:tcPr>
            <w:tcW w:w="217"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D</w:t>
            </w:r>
          </w:p>
        </w:tc>
        <w:tc>
          <w:tcPr>
            <w:tcW w:w="208"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L</w:t>
            </w:r>
          </w:p>
        </w:tc>
        <w:tc>
          <w:tcPr>
            <w:tcW w:w="249"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50"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16"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17"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D</w:t>
            </w:r>
          </w:p>
        </w:tc>
        <w:tc>
          <w:tcPr>
            <w:tcW w:w="223"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L</w:t>
            </w:r>
          </w:p>
        </w:tc>
        <w:tc>
          <w:tcPr>
            <w:tcW w:w="208"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08"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08"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08"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r>
      <w:tr w:rsidR="0013595D" w:rsidRPr="009D287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9D287C" w:rsidRDefault="0013595D" w:rsidP="00E942C2">
            <w:pPr>
              <w:jc w:val="center"/>
              <w:rPr>
                <w:rFonts w:ascii="Arial" w:hAnsi="Arial" w:cs="Arial"/>
                <w:b/>
                <w:sz w:val="13"/>
                <w:szCs w:val="13"/>
              </w:rPr>
            </w:pPr>
          </w:p>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H</w:t>
            </w:r>
          </w:p>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25"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23" w:type="pct"/>
            <w:tcMar>
              <w:bottom w:w="43" w:type="dxa"/>
            </w:tcMar>
            <w:vAlign w:val="bottom"/>
          </w:tcPr>
          <w:p w:rsidR="0013595D" w:rsidRPr="009D287C" w:rsidRDefault="0013595D" w:rsidP="00E942C2">
            <w:pPr>
              <w:jc w:val="center"/>
              <w:rPr>
                <w:rFonts w:ascii="Arial" w:hAnsi="Arial" w:cs="Arial"/>
                <w:sz w:val="13"/>
                <w:szCs w:val="13"/>
              </w:rPr>
            </w:pPr>
          </w:p>
        </w:tc>
        <w:tc>
          <w:tcPr>
            <w:tcW w:w="208" w:type="pct"/>
            <w:tcMar>
              <w:bottom w:w="43" w:type="dxa"/>
            </w:tcMar>
            <w:vAlign w:val="bottom"/>
          </w:tcPr>
          <w:p w:rsidR="0013595D" w:rsidRPr="009D287C" w:rsidRDefault="0013595D" w:rsidP="00E942C2">
            <w:pPr>
              <w:jc w:val="center"/>
              <w:rPr>
                <w:rFonts w:ascii="Arial" w:hAnsi="Arial" w:cs="Arial"/>
                <w:sz w:val="13"/>
                <w:szCs w:val="13"/>
              </w:rPr>
            </w:pPr>
          </w:p>
        </w:tc>
        <w:tc>
          <w:tcPr>
            <w:tcW w:w="208" w:type="pct"/>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08" w:type="pct"/>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08" w:type="pct"/>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18"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r>
      <w:tr w:rsidR="0013595D" w:rsidRPr="009D287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47"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25"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23" w:type="pct"/>
            <w:tcBorders>
              <w:bottom w:val="single" w:sz="4"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18"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r>
      <w:tr w:rsidR="0013595D" w:rsidRPr="009D287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25"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18"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r>
      <w:tr w:rsidR="0013595D" w:rsidRPr="009D287C" w:rsidTr="00E942C2">
        <w:trPr>
          <w:trHeight w:val="288"/>
        </w:trPr>
        <w:tc>
          <w:tcPr>
            <w:tcW w:w="217" w:type="pct"/>
            <w:tcBorders>
              <w:lef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49"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50"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16"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217"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c>
          <w:tcPr>
            <w:tcW w:w="225" w:type="pct"/>
            <w:tcBorders>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r>
      <w:tr w:rsidR="0013595D" w:rsidRPr="009D287C" w:rsidTr="00E942C2">
        <w:trPr>
          <w:trHeight w:val="288"/>
        </w:trPr>
        <w:tc>
          <w:tcPr>
            <w:tcW w:w="217" w:type="pct"/>
            <w:tcBorders>
              <w:left w:val="double" w:sz="6" w:space="0" w:color="auto"/>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217"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30</w:t>
            </w:r>
          </w:p>
        </w:tc>
        <w:tc>
          <w:tcPr>
            <w:tcW w:w="217"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31</w:t>
            </w:r>
          </w:p>
        </w:tc>
        <w:tc>
          <w:tcPr>
            <w:tcW w:w="233"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08"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49"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50" w:type="pct"/>
            <w:tcBorders>
              <w:bottom w:val="double" w:sz="6" w:space="0" w:color="auto"/>
            </w:tcBorders>
            <w:tcMar>
              <w:bottom w:w="43" w:type="dxa"/>
            </w:tcMar>
            <w:vAlign w:val="bottom"/>
          </w:tcPr>
          <w:p w:rsidR="0013595D" w:rsidRPr="009D287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r>
      <w:tr w:rsidR="0013595D" w:rsidRPr="009D287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JUNE – JUIN</w:t>
            </w:r>
          </w:p>
        </w:tc>
      </w:tr>
      <w:tr w:rsidR="0013595D" w:rsidRPr="009D287C" w:rsidTr="00E942C2">
        <w:trPr>
          <w:trHeight w:val="270"/>
        </w:trPr>
        <w:tc>
          <w:tcPr>
            <w:tcW w:w="217" w:type="pct"/>
            <w:tcBorders>
              <w:top w:val="double" w:sz="6" w:space="0" w:color="auto"/>
              <w:lef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D</w:t>
            </w:r>
          </w:p>
        </w:tc>
        <w:tc>
          <w:tcPr>
            <w:tcW w:w="217"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L</w:t>
            </w:r>
          </w:p>
        </w:tc>
        <w:tc>
          <w:tcPr>
            <w:tcW w:w="217"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33"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21"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D</w:t>
            </w:r>
          </w:p>
        </w:tc>
        <w:tc>
          <w:tcPr>
            <w:tcW w:w="208"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L</w:t>
            </w:r>
          </w:p>
        </w:tc>
        <w:tc>
          <w:tcPr>
            <w:tcW w:w="249"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50"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16"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17" w:type="pct"/>
            <w:tcBorders>
              <w:top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W</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T</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F</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p w:rsidR="0013595D" w:rsidRPr="009D287C" w:rsidRDefault="0013595D" w:rsidP="00E942C2">
            <w:pPr>
              <w:tabs>
                <w:tab w:val="center" w:pos="5220"/>
                <w:tab w:val="right" w:pos="10440"/>
              </w:tabs>
              <w:jc w:val="center"/>
              <w:rPr>
                <w:rFonts w:ascii="Arial" w:hAnsi="Arial" w:cs="Arial"/>
                <w:b/>
                <w:sz w:val="13"/>
                <w:szCs w:val="13"/>
              </w:rPr>
            </w:pPr>
            <w:r w:rsidRPr="009D287C">
              <w:rPr>
                <w:rFonts w:ascii="Arial" w:hAnsi="Arial" w:cs="Arial"/>
                <w:b/>
                <w:sz w:val="13"/>
                <w:szCs w:val="13"/>
              </w:rPr>
              <w:t>S</w:t>
            </w:r>
          </w:p>
        </w:tc>
      </w:tr>
      <w:tr w:rsidR="0013595D" w:rsidRPr="009D287C" w:rsidTr="00E942C2">
        <w:trPr>
          <w:trHeight w:val="288"/>
        </w:trPr>
        <w:tc>
          <w:tcPr>
            <w:tcW w:w="217" w:type="pct"/>
            <w:tcBorders>
              <w:lef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r>
      <w:tr w:rsidR="0013595D" w:rsidRPr="009D287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r>
      <w:tr w:rsidR="0013595D" w:rsidRPr="009D287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H</w:t>
            </w:r>
          </w:p>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r>
      <w:tr w:rsidR="0013595D" w:rsidRPr="009D287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b/>
                <w:sz w:val="13"/>
                <w:szCs w:val="13"/>
              </w:rPr>
            </w:pPr>
          </w:p>
          <w:p w:rsidR="0013595D" w:rsidRPr="009D287C" w:rsidRDefault="0013595D" w:rsidP="00E942C2">
            <w:pPr>
              <w:jc w:val="center"/>
              <w:rPr>
                <w:rFonts w:ascii="Arial" w:hAnsi="Arial" w:cs="Arial"/>
                <w:sz w:val="13"/>
                <w:szCs w:val="13"/>
              </w:rPr>
            </w:pPr>
            <w:r w:rsidRPr="009D287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H</w:t>
            </w:r>
          </w:p>
          <w:p w:rsidR="0013595D" w:rsidRPr="009D287C" w:rsidRDefault="0013595D" w:rsidP="00E942C2">
            <w:pPr>
              <w:jc w:val="center"/>
              <w:rPr>
                <w:rFonts w:ascii="Arial" w:hAnsi="Arial" w:cs="Arial"/>
                <w:sz w:val="13"/>
                <w:szCs w:val="13"/>
              </w:rPr>
            </w:pPr>
            <w:r w:rsidRPr="009D287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D287C" w:rsidRDefault="0013595D" w:rsidP="00E942C2">
            <w:pPr>
              <w:jc w:val="center"/>
              <w:rPr>
                <w:rFonts w:ascii="Arial" w:hAnsi="Arial" w:cs="Arial"/>
                <w:b/>
                <w:sz w:val="13"/>
                <w:szCs w:val="13"/>
              </w:rPr>
            </w:pPr>
            <w:r w:rsidRPr="009D287C">
              <w:rPr>
                <w:rFonts w:ascii="Arial" w:hAnsi="Arial" w:cs="Arial"/>
                <w:b/>
                <w:sz w:val="13"/>
                <w:szCs w:val="13"/>
              </w:rPr>
              <w:t>H</w:t>
            </w:r>
          </w:p>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250"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c>
          <w:tcPr>
            <w:tcW w:w="216"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17"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19</w:t>
            </w:r>
          </w:p>
        </w:tc>
        <w:tc>
          <w:tcPr>
            <w:tcW w:w="208"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20</w:t>
            </w:r>
          </w:p>
        </w:tc>
        <w:tc>
          <w:tcPr>
            <w:tcW w:w="208"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21</w:t>
            </w:r>
          </w:p>
        </w:tc>
        <w:tc>
          <w:tcPr>
            <w:tcW w:w="208"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22</w:t>
            </w:r>
          </w:p>
        </w:tc>
        <w:tc>
          <w:tcPr>
            <w:tcW w:w="208" w:type="pct"/>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r>
      <w:tr w:rsidR="0013595D" w:rsidRPr="009D287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9D287C" w:rsidRDefault="0013595D" w:rsidP="00E942C2">
            <w:pPr>
              <w:rPr>
                <w:rFonts w:ascii="Arial" w:hAnsi="Arial" w:cs="Arial"/>
                <w:sz w:val="13"/>
                <w:szCs w:val="13"/>
              </w:rPr>
            </w:pPr>
            <w:r w:rsidRPr="009D287C">
              <w:rPr>
                <w:rFonts w:ascii="Arial" w:hAnsi="Arial" w:cs="Arial"/>
                <w:sz w:val="13"/>
                <w:szCs w:val="13"/>
              </w:rPr>
              <w:t>23</w:t>
            </w:r>
          </w:p>
          <w:p w:rsidR="0013595D" w:rsidRPr="009D287C" w:rsidRDefault="0013595D" w:rsidP="00E942C2">
            <w:pPr>
              <w:jc w:val="center"/>
              <w:rPr>
                <w:rFonts w:ascii="Arial" w:hAnsi="Arial" w:cs="Arial"/>
                <w:sz w:val="13"/>
                <w:szCs w:val="13"/>
              </w:rPr>
            </w:pPr>
            <w:r w:rsidRPr="009D287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249"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30</w:t>
            </w:r>
          </w:p>
        </w:tc>
        <w:tc>
          <w:tcPr>
            <w:tcW w:w="250"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31</w:t>
            </w:r>
          </w:p>
        </w:tc>
        <w:tc>
          <w:tcPr>
            <w:tcW w:w="216"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D287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25</w:t>
            </w:r>
          </w:p>
        </w:tc>
        <w:tc>
          <w:tcPr>
            <w:tcW w:w="223"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26</w:t>
            </w:r>
          </w:p>
        </w:tc>
        <w:tc>
          <w:tcPr>
            <w:tcW w:w="208"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27</w:t>
            </w:r>
          </w:p>
        </w:tc>
        <w:tc>
          <w:tcPr>
            <w:tcW w:w="208"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28</w:t>
            </w:r>
          </w:p>
        </w:tc>
        <w:tc>
          <w:tcPr>
            <w:tcW w:w="208"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29</w:t>
            </w:r>
          </w:p>
        </w:tc>
        <w:tc>
          <w:tcPr>
            <w:tcW w:w="208" w:type="pct"/>
            <w:tcBorders>
              <w:bottom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r w:rsidRPr="009D287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9D287C" w:rsidRDefault="0013595D" w:rsidP="00E942C2">
            <w:pPr>
              <w:jc w:val="center"/>
              <w:rPr>
                <w:rFonts w:ascii="Arial" w:hAnsi="Arial" w:cs="Arial"/>
                <w:sz w:val="13"/>
                <w:szCs w:val="13"/>
              </w:rPr>
            </w:pPr>
          </w:p>
        </w:tc>
      </w:tr>
    </w:tbl>
    <w:p w:rsidR="0013595D" w:rsidRPr="009D287C" w:rsidRDefault="0013595D" w:rsidP="0013595D">
      <w:pPr>
        <w:widowControl w:val="0"/>
        <w:tabs>
          <w:tab w:val="center" w:pos="5400"/>
          <w:tab w:val="right" w:pos="10440"/>
        </w:tabs>
        <w:rPr>
          <w:rFonts w:ascii="Arial" w:hAnsi="Arial"/>
          <w:sz w:val="18"/>
        </w:rPr>
      </w:pPr>
    </w:p>
    <w:p w:rsidR="0013595D" w:rsidRPr="009D287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9D287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9D287C" w:rsidRDefault="0013595D" w:rsidP="00E942C2">
            <w:pPr>
              <w:widowControl w:val="0"/>
              <w:rPr>
                <w:rFonts w:ascii="Arial" w:hAnsi="Arial"/>
                <w:sz w:val="16"/>
              </w:rPr>
            </w:pPr>
            <w:r w:rsidRPr="009D287C">
              <w:rPr>
                <w:rFonts w:ascii="Arial" w:hAnsi="Arial"/>
                <w:sz w:val="16"/>
              </w:rPr>
              <w:t>Sittings of the Court:</w:t>
            </w:r>
          </w:p>
          <w:p w:rsidR="0013595D" w:rsidRPr="009D287C" w:rsidRDefault="0013595D" w:rsidP="00E942C2">
            <w:pPr>
              <w:widowControl w:val="0"/>
              <w:rPr>
                <w:rFonts w:ascii="Arial" w:hAnsi="Arial"/>
                <w:sz w:val="16"/>
              </w:rPr>
            </w:pPr>
            <w:r w:rsidRPr="009D287C">
              <w:rPr>
                <w:rFonts w:ascii="Arial" w:hAnsi="Arial"/>
                <w:sz w:val="16"/>
              </w:rPr>
              <w:t xml:space="preserve">Séances de la </w:t>
            </w:r>
            <w:proofErr w:type="spellStart"/>
            <w:r w:rsidRPr="009D287C">
              <w:rPr>
                <w:rFonts w:ascii="Arial" w:hAnsi="Arial"/>
                <w:sz w:val="16"/>
              </w:rPr>
              <w:t>Cour</w:t>
            </w:r>
            <w:proofErr w:type="spellEnd"/>
            <w:r w:rsidRPr="009D287C">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9D287C" w:rsidRDefault="0013595D" w:rsidP="00E942C2">
            <w:pPr>
              <w:widowControl w:val="0"/>
              <w:rPr>
                <w:rFonts w:ascii="Arial" w:hAnsi="Arial"/>
                <w:sz w:val="16"/>
              </w:rPr>
            </w:pPr>
          </w:p>
          <w:p w:rsidR="0013595D" w:rsidRPr="009D287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9D28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D287C">
              <w:rPr>
                <w:rFonts w:ascii="Arial" w:hAnsi="Arial"/>
                <w:b/>
                <w:sz w:val="16"/>
                <w:lang w:val="fr-CA"/>
              </w:rPr>
              <w:t xml:space="preserve">18  </w:t>
            </w:r>
            <w:proofErr w:type="spellStart"/>
            <w:r w:rsidRPr="009D287C">
              <w:rPr>
                <w:rFonts w:ascii="Arial" w:hAnsi="Arial"/>
                <w:b/>
                <w:sz w:val="16"/>
                <w:lang w:val="fr-CA"/>
              </w:rPr>
              <w:t>sitting</w:t>
            </w:r>
            <w:proofErr w:type="spellEnd"/>
            <w:r w:rsidRPr="009D287C">
              <w:rPr>
                <w:rFonts w:ascii="Arial" w:hAnsi="Arial"/>
                <w:b/>
                <w:sz w:val="16"/>
                <w:lang w:val="fr-CA"/>
              </w:rPr>
              <w:t xml:space="preserve"> </w:t>
            </w:r>
            <w:proofErr w:type="spellStart"/>
            <w:r w:rsidRPr="009D287C">
              <w:rPr>
                <w:rFonts w:ascii="Arial" w:hAnsi="Arial"/>
                <w:b/>
                <w:sz w:val="16"/>
                <w:lang w:val="fr-CA"/>
              </w:rPr>
              <w:t>weeks</w:t>
            </w:r>
            <w:proofErr w:type="spellEnd"/>
            <w:r w:rsidRPr="009D287C">
              <w:rPr>
                <w:rFonts w:ascii="Arial" w:hAnsi="Arial"/>
                <w:b/>
                <w:sz w:val="16"/>
                <w:lang w:val="fr-CA"/>
              </w:rPr>
              <w:t xml:space="preserve"> / semaines séances de la cour</w:t>
            </w:r>
          </w:p>
          <w:p w:rsidR="0013595D" w:rsidRPr="009D28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D287C">
              <w:rPr>
                <w:rFonts w:ascii="Arial" w:hAnsi="Arial"/>
                <w:b/>
                <w:sz w:val="16"/>
                <w:lang w:val="fr-CA"/>
              </w:rPr>
              <w:t xml:space="preserve">86  </w:t>
            </w:r>
            <w:proofErr w:type="spellStart"/>
            <w:r w:rsidRPr="009D287C">
              <w:rPr>
                <w:rFonts w:ascii="Arial" w:hAnsi="Arial"/>
                <w:b/>
                <w:sz w:val="16"/>
                <w:lang w:val="fr-CA"/>
              </w:rPr>
              <w:t>sitting</w:t>
            </w:r>
            <w:proofErr w:type="spellEnd"/>
            <w:r w:rsidRPr="009D287C">
              <w:rPr>
                <w:rFonts w:ascii="Arial" w:hAnsi="Arial"/>
                <w:b/>
                <w:sz w:val="16"/>
                <w:lang w:val="fr-CA"/>
              </w:rPr>
              <w:t xml:space="preserve"> </w:t>
            </w:r>
            <w:proofErr w:type="spellStart"/>
            <w:r w:rsidRPr="009D287C">
              <w:rPr>
                <w:rFonts w:ascii="Arial" w:hAnsi="Arial"/>
                <w:b/>
                <w:sz w:val="16"/>
                <w:lang w:val="fr-CA"/>
              </w:rPr>
              <w:t>days</w:t>
            </w:r>
            <w:proofErr w:type="spellEnd"/>
            <w:r w:rsidRPr="009D287C">
              <w:rPr>
                <w:rFonts w:ascii="Arial" w:hAnsi="Arial"/>
                <w:b/>
                <w:sz w:val="16"/>
                <w:lang w:val="fr-CA"/>
              </w:rPr>
              <w:t xml:space="preserve"> / journées séances de la cour</w:t>
            </w:r>
          </w:p>
          <w:p w:rsidR="0013595D" w:rsidRPr="009D28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D287C">
              <w:rPr>
                <w:rFonts w:ascii="Arial" w:hAnsi="Arial"/>
                <w:b/>
                <w:sz w:val="16"/>
                <w:lang w:val="fr-CA"/>
              </w:rPr>
              <w:t>4</w:t>
            </w:r>
            <w:r w:rsidRPr="009D287C">
              <w:rPr>
                <w:rFonts w:ascii="Arial" w:hAnsi="Arial"/>
                <w:b/>
                <w:sz w:val="16"/>
              </w:rPr>
              <w:t xml:space="preserve">    holidays during sitting days / </w:t>
            </w:r>
            <w:proofErr w:type="spellStart"/>
            <w:r w:rsidRPr="009D287C">
              <w:rPr>
                <w:rFonts w:ascii="Arial" w:hAnsi="Arial"/>
                <w:b/>
                <w:sz w:val="16"/>
              </w:rPr>
              <w:t>jours</w:t>
            </w:r>
            <w:proofErr w:type="spellEnd"/>
            <w:r w:rsidRPr="009D287C">
              <w:rPr>
                <w:rFonts w:ascii="Arial" w:hAnsi="Arial"/>
                <w:b/>
                <w:sz w:val="16"/>
              </w:rPr>
              <w:t xml:space="preserve"> </w:t>
            </w:r>
            <w:proofErr w:type="spellStart"/>
            <w:r w:rsidRPr="009D287C">
              <w:rPr>
                <w:rFonts w:ascii="Arial" w:hAnsi="Arial"/>
                <w:b/>
                <w:sz w:val="16"/>
              </w:rPr>
              <w:t>fériés</w:t>
            </w:r>
            <w:proofErr w:type="spellEnd"/>
            <w:r w:rsidRPr="009D287C">
              <w:rPr>
                <w:rFonts w:ascii="Arial" w:hAnsi="Arial"/>
                <w:b/>
                <w:sz w:val="16"/>
              </w:rPr>
              <w:t xml:space="preserve"> </w:t>
            </w:r>
            <w:proofErr w:type="spellStart"/>
            <w:r w:rsidRPr="009D287C">
              <w:rPr>
                <w:rFonts w:ascii="Arial" w:hAnsi="Arial"/>
                <w:b/>
                <w:sz w:val="16"/>
              </w:rPr>
              <w:t>durant</w:t>
            </w:r>
            <w:proofErr w:type="spellEnd"/>
            <w:r w:rsidRPr="009D287C">
              <w:rPr>
                <w:rFonts w:ascii="Arial" w:hAnsi="Arial"/>
                <w:b/>
                <w:sz w:val="16"/>
              </w:rPr>
              <w:t xml:space="preserve"> les sessions</w:t>
            </w:r>
          </w:p>
          <w:p w:rsidR="0013595D" w:rsidRPr="009D28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9D28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D287C">
              <w:rPr>
                <w:rFonts w:ascii="Arial" w:hAnsi="Arial"/>
                <w:sz w:val="16"/>
              </w:rPr>
              <w:t>Holidays:</w:t>
            </w:r>
          </w:p>
          <w:p w:rsidR="0013595D" w:rsidRPr="009D287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D287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9D287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4"/>
      <w:footerReference w:type="default" r:id="rId7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6F" w:rsidRDefault="00F03D6F" w:rsidP="00A87207">
      <w:r>
        <w:separator/>
      </w:r>
    </w:p>
  </w:endnote>
  <w:endnote w:type="continuationSeparator" w:id="0">
    <w:p w:rsidR="00F03D6F" w:rsidRDefault="00F03D6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pPr>
      <w:pStyle w:val="Footer"/>
      <w:rPr>
        <w:lang w:val="fr-CA"/>
      </w:rPr>
    </w:pPr>
    <w:r>
      <w:rPr>
        <w:lang w:val="fr-CA"/>
      </w:rPr>
      <w:pict>
        <v:rect id="_x0000_i1040" style="width:480.95pt;height:1pt" o:hralign="center" o:hrstd="t" o:hrnoshade="t" o:hr="t" fillcolor="black [3213]" stroked="f"/>
      </w:pict>
    </w:r>
  </w:p>
  <w:p w:rsidR="00F03D6F" w:rsidRDefault="00F03D6F" w:rsidP="00245129">
    <w:pPr>
      <w:tabs>
        <w:tab w:val="center" w:pos="4680"/>
      </w:tabs>
    </w:pPr>
    <w:r>
      <w:tab/>
    </w:r>
    <w:r w:rsidRPr="0009648D">
      <w:t xml:space="preserve">- </w:t>
    </w:r>
    <w:r>
      <w:fldChar w:fldCharType="begin"/>
    </w:r>
    <w:r>
      <w:instrText xml:space="preserve"> PAGE   \* MERGEFORMAT </w:instrText>
    </w:r>
    <w:r>
      <w:fldChar w:fldCharType="separate"/>
    </w:r>
    <w:r w:rsidR="00346C6C">
      <w:rPr>
        <w:noProof/>
      </w:rPr>
      <w:t>1779</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3D6F" w:rsidRDefault="00F03D6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755F22">
    <w:pPr>
      <w:tabs>
        <w:tab w:val="left" w:pos="-1440"/>
        <w:tab w:val="left" w:pos="-720"/>
      </w:tabs>
    </w:pPr>
    <w:r>
      <w:pict>
        <v:rect id="_x0000_i1047" style="width:480.95pt;height:1pt" o:hralign="center" o:hrstd="t" o:hrnoshade="t" o:hr="t" fillcolor="black [3213]" stroked="f"/>
      </w:pict>
    </w:r>
  </w:p>
  <w:p w:rsidR="00F03D6F" w:rsidRDefault="00F03D6F" w:rsidP="00EB2B90">
    <w:pPr>
      <w:tabs>
        <w:tab w:val="center" w:pos="4680"/>
      </w:tabs>
    </w:pPr>
    <w:r>
      <w:tab/>
      <w:t xml:space="preserve">- </w:t>
    </w:r>
    <w:r>
      <w:fldChar w:fldCharType="begin"/>
    </w:r>
    <w:r>
      <w:instrText xml:space="preserve"> PAGE   \* MERGEFORMAT </w:instrText>
    </w:r>
    <w:r>
      <w:fldChar w:fldCharType="separate"/>
    </w:r>
    <w:r w:rsidR="00346C6C">
      <w:rPr>
        <w:noProof/>
      </w:rPr>
      <w:t>1788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EB2B90">
    <w:pPr>
      <w:tabs>
        <w:tab w:val="center" w:pos="4680"/>
      </w:tabs>
    </w:pPr>
    <w:r>
      <w:pict>
        <v:rect id="_x0000_i1048" style="width:480.95pt;height:1pt" o:hralign="center" o:hrstd="t" o:hrnoshade="t" o:hr="t" fillcolor="black [3213]" stroked="f"/>
      </w:pict>
    </w:r>
  </w:p>
  <w:p w:rsidR="00F03D6F" w:rsidRPr="0031432F" w:rsidRDefault="00F03D6F" w:rsidP="00EB2B90">
    <w:pPr>
      <w:tabs>
        <w:tab w:val="center" w:pos="4680"/>
      </w:tabs>
    </w:pPr>
    <w:r>
      <w:tab/>
      <w:t xml:space="preserve">- </w:t>
    </w:r>
    <w:r>
      <w:fldChar w:fldCharType="begin"/>
    </w:r>
    <w:r>
      <w:instrText xml:space="preserve"> PAGE   \* MERGEFORMAT </w:instrText>
    </w:r>
    <w:r>
      <w:fldChar w:fldCharType="separate"/>
    </w:r>
    <w:r w:rsidR="00346C6C">
      <w:rPr>
        <w:noProof/>
      </w:rPr>
      <w:t>1783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3D6F" w:rsidRDefault="00F03D6F">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F03D6F" w:rsidRDefault="00F03D6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pPr>
      <w:pStyle w:val="Footer"/>
      <w:rPr>
        <w:lang w:val="fr-CA"/>
      </w:rPr>
    </w:pPr>
    <w:r>
      <w:rPr>
        <w:lang w:val="fr-CA"/>
      </w:rPr>
      <w:pict>
        <v:rect id="_x0000_i1052" style="width:480.95pt;height:1pt" o:hralign="center" o:hrstd="t" o:hrnoshade="t" o:hr="t" fillcolor="black [3213]" stroked="f"/>
      </w:pict>
    </w:r>
  </w:p>
  <w:p w:rsidR="00F03D6F" w:rsidRDefault="00F03D6F" w:rsidP="00EB2B90">
    <w:pPr>
      <w:tabs>
        <w:tab w:val="center" w:pos="4680"/>
      </w:tabs>
    </w:pPr>
    <w:r>
      <w:tab/>
      <w:t xml:space="preserve">- </w:t>
    </w:r>
    <w:r>
      <w:fldChar w:fldCharType="begin"/>
    </w:r>
    <w:r>
      <w:instrText xml:space="preserve"> PAGE   \* MERGEFORMAT </w:instrText>
    </w:r>
    <w:r>
      <w:fldChar w:fldCharType="separate"/>
    </w:r>
    <w:r w:rsidR="00346C6C">
      <w:rPr>
        <w:noProof/>
      </w:rPr>
      <w:t>1789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3D6F" w:rsidRDefault="00F03D6F">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732DB7">
    <w:r>
      <w:pict>
        <v:rect id="_x0000_i1056" style="width:480.95pt;height:1pt" o:hralign="center" o:hrstd="t" o:hrnoshade="t" o:hr="t" fillcolor="black" stroked="f"/>
      </w:pict>
    </w:r>
  </w:p>
  <w:p w:rsidR="00F03D6F" w:rsidRDefault="00F03D6F">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pPr>
      <w:pStyle w:val="Footer"/>
    </w:pPr>
    <w:r>
      <w:pict>
        <v:rect id="_x0000_i1057" style="width:480.95pt;height:1pt" o:hralign="center" o:hrstd="t" o:hrnoshade="t" o:hr="t" fillcolor="black" stroked="f"/>
      </w:pict>
    </w:r>
  </w:p>
  <w:p w:rsidR="00F03D6F" w:rsidRPr="00283C52" w:rsidRDefault="00F03D6F">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3D6F" w:rsidRDefault="00F03D6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732DB7">
    <w:r>
      <w:pict>
        <v:rect id="_x0000_i1061" style="width:480.95pt;height:1pt" o:hralign="center" o:hrstd="t" o:hrnoshade="t" o:hr="t" fillcolor="black" stroked="f"/>
      </w:pict>
    </w:r>
  </w:p>
  <w:p w:rsidR="00F03D6F" w:rsidRDefault="00F03D6F">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pPr>
      <w:pStyle w:val="Footer"/>
    </w:pPr>
    <w:r>
      <w:pict>
        <v:rect id="_x0000_i1062" style="width:480.95pt;height:1pt" o:hralign="center" o:hrstd="t" o:hrnoshade="t" o:hr="t" fillcolor="black [3213]" stroked="f"/>
      </w:pict>
    </w:r>
  </w:p>
  <w:p w:rsidR="00F03D6F" w:rsidRPr="003C2C0F" w:rsidRDefault="00F03D6F" w:rsidP="00697C62">
    <w:pPr>
      <w:tabs>
        <w:tab w:val="center" w:pos="4680"/>
      </w:tabs>
    </w:pPr>
    <w:r>
      <w:tab/>
      <w:t xml:space="preserve">- </w:t>
    </w:r>
    <w:r>
      <w:fldChar w:fldCharType="begin"/>
    </w:r>
    <w:r>
      <w:instrText xml:space="preserve"> PAGE   \* MERGEFORMAT </w:instrText>
    </w:r>
    <w:r>
      <w:fldChar w:fldCharType="separate"/>
    </w:r>
    <w:r w:rsidR="00346C6C">
      <w:rPr>
        <w:noProof/>
      </w:rPr>
      <w:t>1793</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3D6F" w:rsidRDefault="00F03D6F">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03D6F" w:rsidRDefault="00346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F03D6F" w:rsidRDefault="00F03D6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46C6C">
      <w:rPr>
        <w:noProof/>
        <w:szCs w:val="24"/>
      </w:rPr>
      <w:t>1811</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782AE4">
    <w:pPr>
      <w:tabs>
        <w:tab w:val="center" w:pos="4680"/>
      </w:tabs>
    </w:pPr>
    <w:r>
      <w:pict>
        <v:rect id="_x0000_i1070" style="width:480.95pt;height:1pt" o:hralign="center" o:hrstd="t" o:hrnoshade="t" o:hr="t" fillcolor="black [3213]" stroked="f"/>
      </w:pict>
    </w:r>
  </w:p>
  <w:p w:rsidR="00F03D6F" w:rsidRDefault="00F03D6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46C6C">
      <w:rPr>
        <w:noProof/>
        <w:szCs w:val="24"/>
      </w:rPr>
      <w:t>1795</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Pr="00924065" w:rsidRDefault="00F03D6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A87207">
    <w:pPr>
      <w:pStyle w:val="Footer"/>
    </w:pPr>
    <w:r>
      <w:pict>
        <v:rect id="_x0000_i1030" style="width:480.95pt;height:1pt" o:hralign="center" o:hrstd="t" o:hrnoshade="t" o:hr="t" fillcolor="black [3213]" stroked="f"/>
      </w:pict>
    </w:r>
  </w:p>
  <w:p w:rsidR="00F03D6F" w:rsidRPr="00B7374B" w:rsidRDefault="00F03D6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755F22">
    <w:pPr>
      <w:tabs>
        <w:tab w:val="left" w:pos="-1440"/>
        <w:tab w:val="left" w:pos="-720"/>
      </w:tabs>
    </w:pPr>
    <w:r>
      <w:pict>
        <v:rect id="_x0000_i1031" style="width:480.95pt;height:1pt" o:hralign="center" o:hrstd="t" o:hrnoshade="t" o:hr="t" fillcolor="black [3213]" stroked="f"/>
      </w:pict>
    </w:r>
  </w:p>
  <w:p w:rsidR="00F03D6F" w:rsidRPr="00954D22" w:rsidRDefault="00F03D6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46C6C">
      <w:rPr>
        <w:noProof/>
        <w:szCs w:val="24"/>
      </w:rPr>
      <w:t>1777</w:t>
    </w:r>
    <w:r>
      <w:rPr>
        <w:szCs w:val="24"/>
      </w:rPr>
      <w:fldChar w:fldCharType="end"/>
    </w:r>
    <w:r w:rsidRPr="00954D22">
      <w:rPr>
        <w:szCs w:val="24"/>
      </w:rPr>
      <w:t xml:space="preserve"> -</w:t>
    </w:r>
  </w:p>
  <w:p w:rsidR="00F03D6F" w:rsidRDefault="00F03D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A87207">
    <w:pPr>
      <w:pStyle w:val="Footer"/>
    </w:pPr>
    <w:r>
      <w:pict>
        <v:rect id="_x0000_i1033" style="width:480.95pt;height:1pt" o:hralign="center" o:hrstd="t" o:hrnoshade="t" o:hr="t" fillcolor="black [3213]" stroked="f"/>
      </w:pict>
    </w:r>
  </w:p>
  <w:p w:rsidR="00F03D6F" w:rsidRPr="00B7374B" w:rsidRDefault="00F03D6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F03D6F" w:rsidRPr="00954D22" w:rsidRDefault="00F03D6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46C6C">
      <w:rPr>
        <w:noProof/>
        <w:szCs w:val="24"/>
      </w:rPr>
      <w:t>1778</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03D6F" w:rsidRDefault="00F03D6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346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F03D6F" w:rsidRPr="0009648D" w:rsidRDefault="00F03D6F" w:rsidP="00ED7E83">
    <w:pPr>
      <w:tabs>
        <w:tab w:val="center" w:pos="4680"/>
      </w:tabs>
    </w:pPr>
    <w:r>
      <w:tab/>
    </w:r>
    <w:r w:rsidRPr="0009648D">
      <w:t xml:space="preserve">- </w:t>
    </w:r>
    <w:r>
      <w:fldChar w:fldCharType="begin"/>
    </w:r>
    <w:r>
      <w:instrText xml:space="preserve"> PAGE   \* MERGEFORMAT </w:instrText>
    </w:r>
    <w:r>
      <w:fldChar w:fldCharType="separate"/>
    </w:r>
    <w:r w:rsidR="00346C6C">
      <w:rPr>
        <w:noProof/>
      </w:rPr>
      <w:t>1782</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6F" w:rsidRDefault="00F03D6F" w:rsidP="00A87207">
      <w:r>
        <w:separator/>
      </w:r>
    </w:p>
  </w:footnote>
  <w:footnote w:type="continuationSeparator" w:id="0">
    <w:p w:rsidR="00F03D6F" w:rsidRDefault="00F03D6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03D6F">
      <w:tc>
        <w:tcPr>
          <w:tcW w:w="423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03D6F"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3D6F"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03D6F">
      <w:trPr>
        <w:gridAfter w:val="2"/>
        <w:wAfter w:w="5250" w:type="dxa"/>
      </w:trPr>
      <w:tc>
        <w:tcPr>
          <w:tcW w:w="4230" w:type="dxa"/>
          <w:tcMar>
            <w:left w:w="0" w:type="dxa"/>
            <w:right w:w="0" w:type="dxa"/>
          </w:tcMar>
        </w:tcPr>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03D6F" w:rsidRPr="00755F22" w:rsidTr="00245129">
      <w:tc>
        <w:tcPr>
          <w:tcW w:w="4230" w:type="dxa"/>
          <w:tcMar>
            <w:left w:w="0" w:type="dxa"/>
            <w:right w:w="0" w:type="dxa"/>
          </w:tcMar>
        </w:tcPr>
        <w:p w:rsidR="00F03D6F" w:rsidRPr="00755F22" w:rsidRDefault="00F03D6F" w:rsidP="00831CA9">
          <w:pPr>
            <w:keepNext/>
            <w:keepLines/>
            <w:rPr>
              <w:sz w:val="20"/>
              <w:szCs w:val="20"/>
            </w:rPr>
          </w:pPr>
          <w:r w:rsidRPr="00755F22">
            <w:rPr>
              <w:sz w:val="20"/>
              <w:szCs w:val="20"/>
            </w:rPr>
            <w:t>MOTIONS</w:t>
          </w:r>
        </w:p>
      </w:tc>
      <w:tc>
        <w:tcPr>
          <w:tcW w:w="1170" w:type="dxa"/>
          <w:tcMar>
            <w:left w:w="0" w:type="dxa"/>
            <w:right w:w="0" w:type="dxa"/>
          </w:tcMar>
        </w:tcPr>
        <w:p w:rsidR="00F03D6F" w:rsidRPr="00755F22" w:rsidRDefault="00F03D6F" w:rsidP="00831CA9">
          <w:pPr>
            <w:keepLines/>
            <w:jc w:val="center"/>
            <w:rPr>
              <w:sz w:val="20"/>
              <w:szCs w:val="20"/>
            </w:rPr>
          </w:pPr>
        </w:p>
        <w:p w:rsidR="00F03D6F" w:rsidRPr="00755F22" w:rsidRDefault="00F03D6F" w:rsidP="00831CA9">
          <w:pPr>
            <w:keepLines/>
            <w:tabs>
              <w:tab w:val="left" w:pos="-1440"/>
              <w:tab w:val="left" w:pos="-720"/>
            </w:tabs>
            <w:jc w:val="center"/>
            <w:rPr>
              <w:sz w:val="20"/>
              <w:szCs w:val="20"/>
            </w:rPr>
          </w:pPr>
        </w:p>
      </w:tc>
      <w:tc>
        <w:tcPr>
          <w:tcW w:w="4080" w:type="dxa"/>
          <w:tcMar>
            <w:left w:w="0" w:type="dxa"/>
            <w:right w:w="0" w:type="dxa"/>
          </w:tcMar>
        </w:tcPr>
        <w:p w:rsidR="00F03D6F" w:rsidRPr="00BA6468" w:rsidRDefault="00F03D6F" w:rsidP="00BA6468">
          <w:pPr>
            <w:keepLines/>
            <w:rPr>
              <w:sz w:val="20"/>
              <w:szCs w:val="20"/>
              <w:lang w:val="fr-CA"/>
            </w:rPr>
          </w:pPr>
          <w:r w:rsidRPr="00BA6468">
            <w:rPr>
              <w:sz w:val="20"/>
              <w:szCs w:val="20"/>
              <w:lang w:val="fr-CA"/>
            </w:rPr>
            <w:t>REQUÊTES</w:t>
          </w:r>
        </w:p>
      </w:tc>
    </w:tr>
  </w:tbl>
  <w:p w:rsidR="00F03D6F" w:rsidRDefault="00F03D6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tc>
        <w:tcPr>
          <w:tcW w:w="4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3D6F" w:rsidRPr="00B01A03"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03D6F" w:rsidRPr="00B01A03"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03D6F" w:rsidRPr="00B01A03"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03D6F" w:rsidRPr="00346C6C" w:rsidTr="00245129">
      <w:tc>
        <w:tcPr>
          <w:tcW w:w="4200" w:type="dxa"/>
          <w:tcMar>
            <w:left w:w="0" w:type="dxa"/>
            <w:right w:w="0" w:type="dxa"/>
          </w:tcMar>
        </w:tcPr>
        <w:p w:rsidR="00F03D6F" w:rsidRPr="00F40249" w:rsidRDefault="00F03D6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03D6F" w:rsidRDefault="00F03D6F" w:rsidP="00102926">
          <w:pPr>
            <w:keepNext/>
            <w:keepLines/>
            <w:tabs>
              <w:tab w:val="left" w:pos="-1440"/>
              <w:tab w:val="left" w:pos="-720"/>
            </w:tabs>
            <w:jc w:val="center"/>
            <w:rPr>
              <w:sz w:val="20"/>
              <w:szCs w:val="20"/>
            </w:rPr>
          </w:pPr>
        </w:p>
        <w:p w:rsidR="00F03D6F" w:rsidRDefault="00F03D6F" w:rsidP="00102926">
          <w:pPr>
            <w:keepNext/>
            <w:keepLines/>
            <w:tabs>
              <w:tab w:val="left" w:pos="-1440"/>
              <w:tab w:val="left" w:pos="-720"/>
            </w:tabs>
            <w:jc w:val="center"/>
            <w:rPr>
              <w:sz w:val="20"/>
              <w:szCs w:val="20"/>
            </w:rPr>
          </w:pPr>
        </w:p>
        <w:p w:rsidR="00F03D6F" w:rsidRPr="00F40249" w:rsidRDefault="00F03D6F" w:rsidP="00102926">
          <w:pPr>
            <w:keepNext/>
            <w:keepLines/>
            <w:tabs>
              <w:tab w:val="left" w:pos="-1440"/>
              <w:tab w:val="left" w:pos="-720"/>
            </w:tabs>
            <w:jc w:val="center"/>
            <w:rPr>
              <w:sz w:val="20"/>
              <w:szCs w:val="20"/>
            </w:rPr>
          </w:pPr>
        </w:p>
      </w:tc>
      <w:tc>
        <w:tcPr>
          <w:tcW w:w="4230" w:type="dxa"/>
          <w:tcMar>
            <w:left w:w="0" w:type="dxa"/>
            <w:right w:w="0" w:type="dxa"/>
          </w:tcMar>
        </w:tcPr>
        <w:p w:rsidR="00F03D6F" w:rsidRPr="00F40249" w:rsidRDefault="00F03D6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03D6F" w:rsidRPr="00B01A03" w:rsidRDefault="00F03D6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tc>
        <w:tcPr>
          <w:tcW w:w="4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3D6F" w:rsidRPr="00283C52"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03D6F" w:rsidRPr="00283C52"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03D6F" w:rsidRPr="00283C52"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rsidTr="00245129">
      <w:tc>
        <w:tcPr>
          <w:tcW w:w="4200" w:type="dxa"/>
          <w:tcMar>
            <w:left w:w="0" w:type="dxa"/>
            <w:right w:w="0" w:type="dxa"/>
          </w:tcMar>
        </w:tcPr>
        <w:p w:rsidR="00F03D6F" w:rsidRPr="00732DB7" w:rsidRDefault="00F03D6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03D6F" w:rsidRPr="00732DB7" w:rsidRDefault="00F03D6F" w:rsidP="00732DB7">
          <w:pPr>
            <w:keepNext/>
            <w:keepLines/>
            <w:tabs>
              <w:tab w:val="left" w:pos="-1440"/>
              <w:tab w:val="left" w:pos="-720"/>
            </w:tabs>
            <w:jc w:val="center"/>
            <w:rPr>
              <w:sz w:val="20"/>
              <w:szCs w:val="20"/>
            </w:rPr>
          </w:pPr>
        </w:p>
        <w:p w:rsidR="00F03D6F" w:rsidRPr="00732DB7" w:rsidRDefault="00F03D6F" w:rsidP="00732DB7">
          <w:pPr>
            <w:keepNext/>
            <w:keepLines/>
            <w:tabs>
              <w:tab w:val="left" w:pos="-1440"/>
              <w:tab w:val="left" w:pos="-720"/>
            </w:tabs>
            <w:jc w:val="center"/>
            <w:rPr>
              <w:sz w:val="20"/>
              <w:szCs w:val="20"/>
            </w:rPr>
          </w:pPr>
        </w:p>
        <w:p w:rsidR="00F03D6F" w:rsidRPr="00732DB7" w:rsidRDefault="00F03D6F" w:rsidP="00732DB7">
          <w:pPr>
            <w:keepNext/>
            <w:keepLines/>
            <w:tabs>
              <w:tab w:val="left" w:pos="-1440"/>
              <w:tab w:val="left" w:pos="-720"/>
            </w:tabs>
            <w:jc w:val="center"/>
            <w:rPr>
              <w:sz w:val="20"/>
              <w:szCs w:val="20"/>
            </w:rPr>
          </w:pPr>
        </w:p>
      </w:tc>
      <w:tc>
        <w:tcPr>
          <w:tcW w:w="4080" w:type="dxa"/>
          <w:tcMar>
            <w:left w:w="0" w:type="dxa"/>
            <w:right w:w="0" w:type="dxa"/>
          </w:tcMar>
        </w:tcPr>
        <w:p w:rsidR="00F03D6F" w:rsidRPr="00732DB7" w:rsidRDefault="00F03D6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03D6F" w:rsidRPr="00283C52" w:rsidRDefault="00F03D6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tc>
        <w:tcPr>
          <w:tcW w:w="4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03D6F" w:rsidRPr="003C2C0F"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03D6F" w:rsidRPr="003C2C0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03D6F" w:rsidRPr="003C2C0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rsidTr="00245129">
      <w:tc>
        <w:tcPr>
          <w:tcW w:w="4200" w:type="dxa"/>
          <w:tcMar>
            <w:left w:w="0" w:type="dxa"/>
            <w:right w:w="0" w:type="dxa"/>
          </w:tcMar>
        </w:tcPr>
        <w:p w:rsidR="00F03D6F" w:rsidRPr="00FF6EEC" w:rsidRDefault="00F03D6F" w:rsidP="00FF6EEC">
          <w:pPr>
            <w:rPr>
              <w:sz w:val="20"/>
              <w:szCs w:val="20"/>
            </w:rPr>
          </w:pPr>
          <w:r w:rsidRPr="00FF6EEC">
            <w:rPr>
              <w:sz w:val="20"/>
              <w:szCs w:val="20"/>
            </w:rPr>
            <w:t>PRONOUNCEMENTS OF APPEALS RESERVED</w:t>
          </w:r>
        </w:p>
      </w:tc>
      <w:tc>
        <w:tcPr>
          <w:tcW w:w="1200" w:type="dxa"/>
          <w:tcMar>
            <w:left w:w="0" w:type="dxa"/>
            <w:right w:w="0" w:type="dxa"/>
          </w:tcMar>
        </w:tcPr>
        <w:p w:rsidR="00F03D6F" w:rsidRPr="00FF6EEC" w:rsidRDefault="00F03D6F" w:rsidP="00FF6EEC">
          <w:pPr>
            <w:jc w:val="center"/>
            <w:rPr>
              <w:sz w:val="20"/>
              <w:szCs w:val="20"/>
            </w:rPr>
          </w:pPr>
        </w:p>
        <w:p w:rsidR="00F03D6F" w:rsidRPr="00FF6EEC" w:rsidRDefault="00F03D6F" w:rsidP="00FF6EEC">
          <w:pPr>
            <w:jc w:val="center"/>
            <w:rPr>
              <w:sz w:val="20"/>
              <w:szCs w:val="20"/>
            </w:rPr>
          </w:pPr>
        </w:p>
        <w:p w:rsidR="00F03D6F" w:rsidRPr="00FF6EEC" w:rsidRDefault="00F03D6F" w:rsidP="00FF6EEC">
          <w:pPr>
            <w:jc w:val="center"/>
            <w:rPr>
              <w:sz w:val="20"/>
              <w:szCs w:val="20"/>
            </w:rPr>
          </w:pPr>
        </w:p>
      </w:tc>
      <w:tc>
        <w:tcPr>
          <w:tcW w:w="4080" w:type="dxa"/>
          <w:tcMar>
            <w:left w:w="0" w:type="dxa"/>
            <w:right w:w="0" w:type="dxa"/>
          </w:tcMar>
        </w:tcPr>
        <w:p w:rsidR="00F03D6F" w:rsidRPr="00FF6EEC" w:rsidRDefault="00F03D6F" w:rsidP="00FF6EEC">
          <w:pPr>
            <w:rPr>
              <w:sz w:val="20"/>
              <w:szCs w:val="20"/>
              <w:lang w:val="fr-CA"/>
            </w:rPr>
          </w:pPr>
          <w:r w:rsidRPr="00FF6EEC">
            <w:rPr>
              <w:sz w:val="20"/>
              <w:szCs w:val="20"/>
              <w:lang w:val="fr-CA"/>
            </w:rPr>
            <w:t>JUGEMENTS RENDUS SUR LES APPELS EN DÉLIBÉRÉ</w:t>
          </w:r>
        </w:p>
      </w:tc>
    </w:tr>
  </w:tbl>
  <w:p w:rsidR="00F03D6F" w:rsidRPr="003C2C0F" w:rsidRDefault="00F03D6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03D6F">
      <w:tc>
        <w:tcPr>
          <w:tcW w:w="423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03D6F"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03D6F"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03D6F" w:rsidRPr="00782AE4" w:rsidTr="00245129">
      <w:tc>
        <w:tcPr>
          <w:tcW w:w="4230" w:type="dxa"/>
          <w:tcMar>
            <w:left w:w="0" w:type="dxa"/>
            <w:right w:w="0" w:type="dxa"/>
          </w:tcMar>
        </w:tcPr>
        <w:p w:rsidR="00F03D6F" w:rsidRPr="00782AE4" w:rsidRDefault="00F03D6F" w:rsidP="00102926">
          <w:pPr>
            <w:keepNext/>
            <w:keepLines/>
            <w:tabs>
              <w:tab w:val="left" w:pos="-1440"/>
              <w:tab w:val="left" w:pos="-720"/>
            </w:tabs>
            <w:rPr>
              <w:sz w:val="20"/>
              <w:szCs w:val="20"/>
            </w:rPr>
          </w:pPr>
          <w:r w:rsidRPr="00782AE4">
            <w:rPr>
              <w:sz w:val="20"/>
              <w:szCs w:val="20"/>
            </w:rPr>
            <w:t xml:space="preserve">HEADNOTES OF RECENT </w:t>
          </w:r>
        </w:p>
        <w:p w:rsidR="00F03D6F" w:rsidRPr="00782AE4"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03D6F" w:rsidRDefault="00F03D6F" w:rsidP="00102926">
          <w:pPr>
            <w:keepNext/>
            <w:keepLines/>
            <w:tabs>
              <w:tab w:val="left" w:pos="-1440"/>
              <w:tab w:val="left" w:pos="-720"/>
            </w:tabs>
            <w:jc w:val="center"/>
            <w:rPr>
              <w:sz w:val="20"/>
              <w:szCs w:val="20"/>
            </w:rPr>
          </w:pPr>
        </w:p>
        <w:p w:rsidR="00F03D6F" w:rsidRDefault="00F03D6F" w:rsidP="00102926">
          <w:pPr>
            <w:keepNext/>
            <w:keepLines/>
            <w:tabs>
              <w:tab w:val="left" w:pos="-1440"/>
              <w:tab w:val="left" w:pos="-720"/>
            </w:tabs>
            <w:jc w:val="center"/>
            <w:rPr>
              <w:sz w:val="20"/>
              <w:szCs w:val="20"/>
            </w:rPr>
          </w:pPr>
        </w:p>
        <w:p w:rsidR="00F03D6F" w:rsidRPr="00782AE4" w:rsidRDefault="00F03D6F" w:rsidP="00102926">
          <w:pPr>
            <w:keepNext/>
            <w:keepLines/>
            <w:tabs>
              <w:tab w:val="left" w:pos="-1440"/>
              <w:tab w:val="left" w:pos="-720"/>
            </w:tabs>
            <w:jc w:val="center"/>
            <w:rPr>
              <w:sz w:val="20"/>
              <w:szCs w:val="20"/>
            </w:rPr>
          </w:pPr>
        </w:p>
      </w:tc>
      <w:tc>
        <w:tcPr>
          <w:tcW w:w="4080" w:type="dxa"/>
          <w:tcMar>
            <w:left w:w="0" w:type="dxa"/>
            <w:right w:w="0" w:type="dxa"/>
          </w:tcMar>
        </w:tcPr>
        <w:p w:rsidR="00F03D6F" w:rsidRPr="00102926"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03D6F" w:rsidRPr="00782AE4" w:rsidRDefault="00F03D6F" w:rsidP="00102926">
          <w:pPr>
            <w:keepLines/>
            <w:tabs>
              <w:tab w:val="left" w:pos="-1440"/>
              <w:tab w:val="left" w:pos="-720"/>
            </w:tabs>
            <w:rPr>
              <w:sz w:val="20"/>
              <w:szCs w:val="20"/>
            </w:rPr>
          </w:pPr>
          <w:r w:rsidRPr="00102926">
            <w:rPr>
              <w:sz w:val="20"/>
              <w:szCs w:val="20"/>
              <w:lang w:val="fr-CA"/>
            </w:rPr>
            <w:t>RÉCENTS</w:t>
          </w:r>
        </w:p>
      </w:tc>
    </w:tr>
  </w:tbl>
  <w:p w:rsidR="00F03D6F" w:rsidRDefault="00F03D6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03D6F" w:rsidRPr="0044776A" w:rsidTr="00245129">
      <w:tc>
        <w:tcPr>
          <w:tcW w:w="4290" w:type="dxa"/>
          <w:tcMar>
            <w:left w:w="0" w:type="dxa"/>
            <w:right w:w="0" w:type="dxa"/>
          </w:tcMar>
        </w:tcPr>
        <w:p w:rsidR="00F03D6F" w:rsidRPr="0044776A" w:rsidRDefault="00F03D6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03D6F" w:rsidRPr="0044776A" w:rsidRDefault="00F03D6F" w:rsidP="002E2327">
          <w:pPr>
            <w:keepNext/>
            <w:keepLines/>
            <w:tabs>
              <w:tab w:val="left" w:pos="-1440"/>
              <w:tab w:val="left" w:pos="-720"/>
            </w:tabs>
            <w:jc w:val="center"/>
            <w:rPr>
              <w:sz w:val="20"/>
              <w:szCs w:val="20"/>
            </w:rPr>
          </w:pPr>
        </w:p>
        <w:p w:rsidR="00F03D6F" w:rsidRPr="0044776A" w:rsidRDefault="00F03D6F" w:rsidP="002E2327">
          <w:pPr>
            <w:keepNext/>
            <w:keepLines/>
            <w:tabs>
              <w:tab w:val="left" w:pos="-1440"/>
              <w:tab w:val="left" w:pos="-720"/>
            </w:tabs>
            <w:jc w:val="center"/>
            <w:rPr>
              <w:sz w:val="20"/>
              <w:szCs w:val="20"/>
            </w:rPr>
          </w:pPr>
        </w:p>
        <w:p w:rsidR="00F03D6F" w:rsidRPr="0044776A" w:rsidRDefault="00F03D6F" w:rsidP="002E2327">
          <w:pPr>
            <w:keepNext/>
            <w:keepLines/>
            <w:tabs>
              <w:tab w:val="left" w:pos="-1440"/>
              <w:tab w:val="left" w:pos="-720"/>
            </w:tabs>
            <w:jc w:val="center"/>
            <w:rPr>
              <w:sz w:val="20"/>
              <w:szCs w:val="20"/>
            </w:rPr>
          </w:pPr>
        </w:p>
      </w:tc>
      <w:tc>
        <w:tcPr>
          <w:tcW w:w="4320" w:type="dxa"/>
          <w:tcMar>
            <w:left w:w="0" w:type="dxa"/>
            <w:right w:w="0" w:type="dxa"/>
          </w:tcMar>
        </w:tcPr>
        <w:p w:rsidR="00F03D6F" w:rsidRPr="0044776A" w:rsidRDefault="00F03D6F" w:rsidP="002E2327">
          <w:pPr>
            <w:keepLines/>
            <w:rPr>
              <w:sz w:val="20"/>
              <w:szCs w:val="20"/>
              <w:lang w:val="fr-CA"/>
            </w:rPr>
          </w:pPr>
          <w:r w:rsidRPr="0044776A">
            <w:rPr>
              <w:sz w:val="20"/>
              <w:szCs w:val="20"/>
              <w:lang w:val="fr-CA"/>
            </w:rPr>
            <w:t>DEMANDES D'AUTORISATION D'APPEL DÉPOSÉES</w:t>
          </w:r>
        </w:p>
      </w:tc>
    </w:tr>
  </w:tbl>
  <w:p w:rsidR="00F03D6F" w:rsidRDefault="00F03D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rsidTr="00245129">
      <w:tc>
        <w:tcPr>
          <w:tcW w:w="4200" w:type="dxa"/>
          <w:tcMar>
            <w:left w:w="0" w:type="dxa"/>
            <w:right w:w="0" w:type="dxa"/>
          </w:tcMar>
        </w:tcPr>
        <w:p w:rsidR="00F03D6F" w:rsidRPr="0044776A" w:rsidRDefault="00F03D6F" w:rsidP="0044776A">
          <w:pPr>
            <w:keepNext/>
            <w:keepLines/>
            <w:widowControl w:val="0"/>
            <w:rPr>
              <w:sz w:val="20"/>
              <w:szCs w:val="20"/>
            </w:rPr>
          </w:pPr>
          <w:r>
            <w:rPr>
              <w:sz w:val="20"/>
              <w:szCs w:val="20"/>
            </w:rPr>
            <w:t>APPLICATIONS FOR LEAVE</w:t>
          </w:r>
        </w:p>
        <w:p w:rsidR="00F03D6F" w:rsidRPr="0044776A" w:rsidRDefault="00F03D6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03D6F" w:rsidRPr="0044776A" w:rsidRDefault="00F03D6F" w:rsidP="0044776A">
          <w:pPr>
            <w:keepNext/>
            <w:keepLines/>
            <w:widowControl w:val="0"/>
            <w:jc w:val="center"/>
            <w:rPr>
              <w:sz w:val="20"/>
              <w:szCs w:val="20"/>
            </w:rPr>
          </w:pPr>
        </w:p>
        <w:p w:rsidR="00F03D6F" w:rsidRPr="0044776A" w:rsidRDefault="00F03D6F" w:rsidP="0044776A">
          <w:pPr>
            <w:keepNext/>
            <w:keepLines/>
            <w:widowControl w:val="0"/>
            <w:jc w:val="center"/>
            <w:rPr>
              <w:sz w:val="20"/>
              <w:szCs w:val="20"/>
            </w:rPr>
          </w:pPr>
        </w:p>
        <w:p w:rsidR="00F03D6F" w:rsidRPr="0044776A" w:rsidRDefault="00F03D6F" w:rsidP="0044776A">
          <w:pPr>
            <w:keepNext/>
            <w:keepLines/>
            <w:widowControl w:val="0"/>
            <w:jc w:val="center"/>
            <w:rPr>
              <w:sz w:val="20"/>
              <w:szCs w:val="20"/>
            </w:rPr>
          </w:pPr>
        </w:p>
      </w:tc>
      <w:tc>
        <w:tcPr>
          <w:tcW w:w="4080" w:type="dxa"/>
          <w:tcMar>
            <w:left w:w="0" w:type="dxa"/>
            <w:right w:w="0" w:type="dxa"/>
          </w:tcMar>
        </w:tcPr>
        <w:p w:rsidR="00F03D6F" w:rsidRPr="0044776A" w:rsidRDefault="00F03D6F" w:rsidP="0044776A">
          <w:pPr>
            <w:keepLines/>
            <w:widowControl w:val="0"/>
            <w:rPr>
              <w:sz w:val="20"/>
              <w:szCs w:val="20"/>
              <w:lang w:val="fr-CA"/>
            </w:rPr>
          </w:pPr>
          <w:r w:rsidRPr="0044776A">
            <w:rPr>
              <w:sz w:val="20"/>
              <w:szCs w:val="20"/>
              <w:lang w:val="fr-CA"/>
            </w:rPr>
            <w:t>DEMANDES SOUMISES À LA COUR DEPUIS LA DERNIÈRE PARUTION</w:t>
          </w:r>
        </w:p>
        <w:p w:rsidR="00F03D6F" w:rsidRPr="0044776A" w:rsidRDefault="00F03D6F" w:rsidP="0044776A">
          <w:pPr>
            <w:widowControl w:val="0"/>
            <w:rPr>
              <w:sz w:val="20"/>
              <w:szCs w:val="20"/>
              <w:lang w:val="fr-CA"/>
            </w:rPr>
          </w:pPr>
        </w:p>
      </w:tc>
    </w:tr>
  </w:tbl>
  <w:p w:rsidR="00F03D6F" w:rsidRPr="002E2327" w:rsidRDefault="00F03D6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6F" w:rsidRDefault="00F03D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tc>
        <w:tcPr>
          <w:tcW w:w="4200" w:type="dxa"/>
          <w:tcMar>
            <w:left w:w="0" w:type="dxa"/>
            <w:right w:w="0" w:type="dxa"/>
          </w:tcMar>
        </w:tcPr>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03D6F"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03D6F"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03D6F" w:rsidRPr="00FF6BA5"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03D6F" w:rsidRPr="00FF6BA5"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03D6F" w:rsidRPr="00FF6BA5"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03D6F" w:rsidRPr="00FF6BA5" w:rsidRDefault="00F0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03D6F" w:rsidRPr="00346C6C" w:rsidTr="00245129">
      <w:tc>
        <w:tcPr>
          <w:tcW w:w="4200" w:type="dxa"/>
          <w:tcMar>
            <w:left w:w="0" w:type="dxa"/>
            <w:right w:w="0" w:type="dxa"/>
          </w:tcMar>
        </w:tcPr>
        <w:p w:rsidR="00F03D6F" w:rsidRPr="00755F22"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03D6F" w:rsidRPr="00755F22" w:rsidRDefault="00F03D6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03D6F" w:rsidRPr="00755F22" w:rsidRDefault="00F03D6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03D6F" w:rsidRPr="00755F22" w:rsidRDefault="00F03D6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03D6F" w:rsidRPr="00755F22" w:rsidRDefault="00F03D6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03D6F" w:rsidRPr="00755F22" w:rsidRDefault="00F03D6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03D6F" w:rsidRPr="00FF6BA5" w:rsidRDefault="00F03D6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B42"/>
    <w:multiLevelType w:val="hybridMultilevel"/>
    <w:tmpl w:val="BBBEE23C"/>
    <w:lvl w:ilvl="0" w:tplc="D2C800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78184B"/>
    <w:multiLevelType w:val="hybridMultilevel"/>
    <w:tmpl w:val="A94C47F2"/>
    <w:lvl w:ilvl="0" w:tplc="9C6A38A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B4"/>
    <w:rsid w:val="00002704"/>
    <w:rsid w:val="00013B57"/>
    <w:rsid w:val="00015A69"/>
    <w:rsid w:val="00020DC3"/>
    <w:rsid w:val="0002318B"/>
    <w:rsid w:val="00031E61"/>
    <w:rsid w:val="0003223B"/>
    <w:rsid w:val="000327B2"/>
    <w:rsid w:val="0004528B"/>
    <w:rsid w:val="00061503"/>
    <w:rsid w:val="00061AAA"/>
    <w:rsid w:val="00064FBA"/>
    <w:rsid w:val="00091116"/>
    <w:rsid w:val="00091FA6"/>
    <w:rsid w:val="00092D4A"/>
    <w:rsid w:val="00096BD9"/>
    <w:rsid w:val="000A1145"/>
    <w:rsid w:val="000B3C9A"/>
    <w:rsid w:val="000B40A2"/>
    <w:rsid w:val="000B4624"/>
    <w:rsid w:val="000C0ACD"/>
    <w:rsid w:val="000C0D2A"/>
    <w:rsid w:val="000C22C3"/>
    <w:rsid w:val="000C5CE8"/>
    <w:rsid w:val="000E27A5"/>
    <w:rsid w:val="000E2959"/>
    <w:rsid w:val="000F0B60"/>
    <w:rsid w:val="00102926"/>
    <w:rsid w:val="0010587F"/>
    <w:rsid w:val="00110AE3"/>
    <w:rsid w:val="00111C6B"/>
    <w:rsid w:val="0012102B"/>
    <w:rsid w:val="00125CE0"/>
    <w:rsid w:val="0013369E"/>
    <w:rsid w:val="0013595D"/>
    <w:rsid w:val="00137534"/>
    <w:rsid w:val="00142DC8"/>
    <w:rsid w:val="00164E6D"/>
    <w:rsid w:val="00175007"/>
    <w:rsid w:val="0017664B"/>
    <w:rsid w:val="00183454"/>
    <w:rsid w:val="00187846"/>
    <w:rsid w:val="001A3A36"/>
    <w:rsid w:val="001B157C"/>
    <w:rsid w:val="001B4006"/>
    <w:rsid w:val="001B5C23"/>
    <w:rsid w:val="001D0D5F"/>
    <w:rsid w:val="001D6B8C"/>
    <w:rsid w:val="001E4CBE"/>
    <w:rsid w:val="001F1F83"/>
    <w:rsid w:val="001F40DF"/>
    <w:rsid w:val="001F43F8"/>
    <w:rsid w:val="001F6B2D"/>
    <w:rsid w:val="002021A9"/>
    <w:rsid w:val="0021253B"/>
    <w:rsid w:val="002139A7"/>
    <w:rsid w:val="00215F7C"/>
    <w:rsid w:val="0022323B"/>
    <w:rsid w:val="00223C46"/>
    <w:rsid w:val="002410B8"/>
    <w:rsid w:val="00242AEE"/>
    <w:rsid w:val="00245129"/>
    <w:rsid w:val="00245879"/>
    <w:rsid w:val="00253236"/>
    <w:rsid w:val="0025468E"/>
    <w:rsid w:val="00267FD5"/>
    <w:rsid w:val="00272C8D"/>
    <w:rsid w:val="00274D34"/>
    <w:rsid w:val="00283ED8"/>
    <w:rsid w:val="002868D0"/>
    <w:rsid w:val="00291573"/>
    <w:rsid w:val="002A008C"/>
    <w:rsid w:val="002A27D1"/>
    <w:rsid w:val="002A4AFA"/>
    <w:rsid w:val="002B479F"/>
    <w:rsid w:val="002B516C"/>
    <w:rsid w:val="002D72EB"/>
    <w:rsid w:val="002E2327"/>
    <w:rsid w:val="002E3583"/>
    <w:rsid w:val="002E5576"/>
    <w:rsid w:val="0030050B"/>
    <w:rsid w:val="00311F6F"/>
    <w:rsid w:val="00330CE0"/>
    <w:rsid w:val="00331B52"/>
    <w:rsid w:val="003359D3"/>
    <w:rsid w:val="00335D10"/>
    <w:rsid w:val="00346C6C"/>
    <w:rsid w:val="00351639"/>
    <w:rsid w:val="00355967"/>
    <w:rsid w:val="00356DF0"/>
    <w:rsid w:val="00382C47"/>
    <w:rsid w:val="00384384"/>
    <w:rsid w:val="003866AE"/>
    <w:rsid w:val="003956FF"/>
    <w:rsid w:val="003A492A"/>
    <w:rsid w:val="003B3977"/>
    <w:rsid w:val="003C0714"/>
    <w:rsid w:val="003E1D4C"/>
    <w:rsid w:val="00403655"/>
    <w:rsid w:val="00411C9C"/>
    <w:rsid w:val="004137A0"/>
    <w:rsid w:val="00413F9C"/>
    <w:rsid w:val="00422D9A"/>
    <w:rsid w:val="00432989"/>
    <w:rsid w:val="00440E24"/>
    <w:rsid w:val="004449A1"/>
    <w:rsid w:val="0044776A"/>
    <w:rsid w:val="00460AFC"/>
    <w:rsid w:val="0047471F"/>
    <w:rsid w:val="00484FBC"/>
    <w:rsid w:val="004A28F2"/>
    <w:rsid w:val="004B195E"/>
    <w:rsid w:val="004B66B4"/>
    <w:rsid w:val="004B7F60"/>
    <w:rsid w:val="004C1AAC"/>
    <w:rsid w:val="004E1E0A"/>
    <w:rsid w:val="004F090E"/>
    <w:rsid w:val="00501F3C"/>
    <w:rsid w:val="0052229C"/>
    <w:rsid w:val="00527CC7"/>
    <w:rsid w:val="00571CA4"/>
    <w:rsid w:val="00582136"/>
    <w:rsid w:val="00596F22"/>
    <w:rsid w:val="005A132A"/>
    <w:rsid w:val="005C6840"/>
    <w:rsid w:val="005F1ED8"/>
    <w:rsid w:val="005F263E"/>
    <w:rsid w:val="00600252"/>
    <w:rsid w:val="00606C4E"/>
    <w:rsid w:val="00612A40"/>
    <w:rsid w:val="0062714A"/>
    <w:rsid w:val="0063150B"/>
    <w:rsid w:val="006409CB"/>
    <w:rsid w:val="00675479"/>
    <w:rsid w:val="00680709"/>
    <w:rsid w:val="00681F61"/>
    <w:rsid w:val="00696BF9"/>
    <w:rsid w:val="00697C62"/>
    <w:rsid w:val="006A329B"/>
    <w:rsid w:val="006A7EB8"/>
    <w:rsid w:val="006B6926"/>
    <w:rsid w:val="006C3F47"/>
    <w:rsid w:val="006C5F7A"/>
    <w:rsid w:val="006E06AF"/>
    <w:rsid w:val="006F320D"/>
    <w:rsid w:val="006F350F"/>
    <w:rsid w:val="006F392A"/>
    <w:rsid w:val="00723E18"/>
    <w:rsid w:val="00732DB7"/>
    <w:rsid w:val="00734E8C"/>
    <w:rsid w:val="0074238B"/>
    <w:rsid w:val="00745EF7"/>
    <w:rsid w:val="00755F22"/>
    <w:rsid w:val="00766E4A"/>
    <w:rsid w:val="0078025B"/>
    <w:rsid w:val="007820CE"/>
    <w:rsid w:val="00782AE4"/>
    <w:rsid w:val="0079724F"/>
    <w:rsid w:val="007A0568"/>
    <w:rsid w:val="007A25C7"/>
    <w:rsid w:val="007A3EAE"/>
    <w:rsid w:val="007A62A7"/>
    <w:rsid w:val="007C04FC"/>
    <w:rsid w:val="007C3DB0"/>
    <w:rsid w:val="007C47C2"/>
    <w:rsid w:val="007D3E0F"/>
    <w:rsid w:val="007E4282"/>
    <w:rsid w:val="007F387B"/>
    <w:rsid w:val="007F461A"/>
    <w:rsid w:val="00802863"/>
    <w:rsid w:val="00803EE2"/>
    <w:rsid w:val="008112A9"/>
    <w:rsid w:val="0081473A"/>
    <w:rsid w:val="00815B3C"/>
    <w:rsid w:val="0081610A"/>
    <w:rsid w:val="0082783A"/>
    <w:rsid w:val="00831CA9"/>
    <w:rsid w:val="0085017A"/>
    <w:rsid w:val="00850E1F"/>
    <w:rsid w:val="0085476B"/>
    <w:rsid w:val="0086120A"/>
    <w:rsid w:val="0086340B"/>
    <w:rsid w:val="00874580"/>
    <w:rsid w:val="008902B1"/>
    <w:rsid w:val="00890FEB"/>
    <w:rsid w:val="00895E7E"/>
    <w:rsid w:val="008A5C1A"/>
    <w:rsid w:val="008D292F"/>
    <w:rsid w:val="008E03DC"/>
    <w:rsid w:val="00902E51"/>
    <w:rsid w:val="00920690"/>
    <w:rsid w:val="00924065"/>
    <w:rsid w:val="00930D68"/>
    <w:rsid w:val="00932DB4"/>
    <w:rsid w:val="00941A4B"/>
    <w:rsid w:val="00946242"/>
    <w:rsid w:val="0095096B"/>
    <w:rsid w:val="00970CD3"/>
    <w:rsid w:val="009723FA"/>
    <w:rsid w:val="00984546"/>
    <w:rsid w:val="00996510"/>
    <w:rsid w:val="009D1F15"/>
    <w:rsid w:val="009D287C"/>
    <w:rsid w:val="009D555E"/>
    <w:rsid w:val="009E3900"/>
    <w:rsid w:val="009F2EA3"/>
    <w:rsid w:val="009F3024"/>
    <w:rsid w:val="009F39BA"/>
    <w:rsid w:val="00A0355E"/>
    <w:rsid w:val="00A375D1"/>
    <w:rsid w:val="00A51D10"/>
    <w:rsid w:val="00A52A83"/>
    <w:rsid w:val="00A6552C"/>
    <w:rsid w:val="00A81ADC"/>
    <w:rsid w:val="00A87207"/>
    <w:rsid w:val="00A935AA"/>
    <w:rsid w:val="00A956D3"/>
    <w:rsid w:val="00AB2201"/>
    <w:rsid w:val="00AD1D34"/>
    <w:rsid w:val="00AD3259"/>
    <w:rsid w:val="00AF1715"/>
    <w:rsid w:val="00AF3904"/>
    <w:rsid w:val="00AF3DE7"/>
    <w:rsid w:val="00B010C0"/>
    <w:rsid w:val="00B406BC"/>
    <w:rsid w:val="00B4740D"/>
    <w:rsid w:val="00B61629"/>
    <w:rsid w:val="00B7374B"/>
    <w:rsid w:val="00B90DC0"/>
    <w:rsid w:val="00BA116A"/>
    <w:rsid w:val="00BA5582"/>
    <w:rsid w:val="00BA6468"/>
    <w:rsid w:val="00BB1D44"/>
    <w:rsid w:val="00BD06DA"/>
    <w:rsid w:val="00BD4217"/>
    <w:rsid w:val="00BF25F3"/>
    <w:rsid w:val="00C0240F"/>
    <w:rsid w:val="00C1697B"/>
    <w:rsid w:val="00C21644"/>
    <w:rsid w:val="00C21CB5"/>
    <w:rsid w:val="00C46376"/>
    <w:rsid w:val="00C50A5C"/>
    <w:rsid w:val="00C50FDF"/>
    <w:rsid w:val="00C63381"/>
    <w:rsid w:val="00C72D8B"/>
    <w:rsid w:val="00C72F67"/>
    <w:rsid w:val="00C73D06"/>
    <w:rsid w:val="00C73E1B"/>
    <w:rsid w:val="00C7556C"/>
    <w:rsid w:val="00C759B4"/>
    <w:rsid w:val="00C77713"/>
    <w:rsid w:val="00C85BB7"/>
    <w:rsid w:val="00C95454"/>
    <w:rsid w:val="00CA2DEA"/>
    <w:rsid w:val="00CB2D29"/>
    <w:rsid w:val="00CB3520"/>
    <w:rsid w:val="00CB43D5"/>
    <w:rsid w:val="00CB45E1"/>
    <w:rsid w:val="00CC4D84"/>
    <w:rsid w:val="00CE198A"/>
    <w:rsid w:val="00CF08C8"/>
    <w:rsid w:val="00CF6258"/>
    <w:rsid w:val="00D004FC"/>
    <w:rsid w:val="00D05994"/>
    <w:rsid w:val="00D3721B"/>
    <w:rsid w:val="00D62217"/>
    <w:rsid w:val="00D64901"/>
    <w:rsid w:val="00D72A69"/>
    <w:rsid w:val="00D76BDF"/>
    <w:rsid w:val="00D818B6"/>
    <w:rsid w:val="00D862C1"/>
    <w:rsid w:val="00D93B50"/>
    <w:rsid w:val="00D94028"/>
    <w:rsid w:val="00D94670"/>
    <w:rsid w:val="00DA46F6"/>
    <w:rsid w:val="00DA756F"/>
    <w:rsid w:val="00DC7DB4"/>
    <w:rsid w:val="00DD0B49"/>
    <w:rsid w:val="00DE0502"/>
    <w:rsid w:val="00DE349D"/>
    <w:rsid w:val="00E05532"/>
    <w:rsid w:val="00E06DFA"/>
    <w:rsid w:val="00E20A0A"/>
    <w:rsid w:val="00E240C2"/>
    <w:rsid w:val="00E356C7"/>
    <w:rsid w:val="00E414CA"/>
    <w:rsid w:val="00E41A5A"/>
    <w:rsid w:val="00E45FE4"/>
    <w:rsid w:val="00E4610B"/>
    <w:rsid w:val="00E64FA7"/>
    <w:rsid w:val="00E75CFD"/>
    <w:rsid w:val="00E770CB"/>
    <w:rsid w:val="00E903A1"/>
    <w:rsid w:val="00E940EB"/>
    <w:rsid w:val="00E942C2"/>
    <w:rsid w:val="00E9703F"/>
    <w:rsid w:val="00EB2B90"/>
    <w:rsid w:val="00EC5D3C"/>
    <w:rsid w:val="00EC7188"/>
    <w:rsid w:val="00ED0DD8"/>
    <w:rsid w:val="00ED5EB9"/>
    <w:rsid w:val="00ED7E83"/>
    <w:rsid w:val="00EE091F"/>
    <w:rsid w:val="00EF4B63"/>
    <w:rsid w:val="00F0068D"/>
    <w:rsid w:val="00F03D6F"/>
    <w:rsid w:val="00F0576D"/>
    <w:rsid w:val="00F14E6D"/>
    <w:rsid w:val="00F15EA8"/>
    <w:rsid w:val="00F16C8D"/>
    <w:rsid w:val="00F21894"/>
    <w:rsid w:val="00F26C61"/>
    <w:rsid w:val="00F33CCE"/>
    <w:rsid w:val="00F40249"/>
    <w:rsid w:val="00F526C8"/>
    <w:rsid w:val="00F761A3"/>
    <w:rsid w:val="00F9272D"/>
    <w:rsid w:val="00F95037"/>
    <w:rsid w:val="00F9518C"/>
    <w:rsid w:val="00FA2C85"/>
    <w:rsid w:val="00FA316E"/>
    <w:rsid w:val="00FA3373"/>
    <w:rsid w:val="00FA59EF"/>
    <w:rsid w:val="00FB19A2"/>
    <w:rsid w:val="00FB4A2E"/>
    <w:rsid w:val="00FF1CC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7A62A7"/>
    <w:pPr>
      <w:jc w:val="center"/>
    </w:pPr>
    <w:rPr>
      <w:rFonts w:eastAsia="Calibri" w:cs="Times New Roman"/>
      <w:lang w:val="fr-CA"/>
    </w:rPr>
  </w:style>
  <w:style w:type="character" w:customStyle="1" w:styleId="SCCLsocPartyChar">
    <w:name w:val="SCC.Lsoc.Party Char"/>
    <w:basedOn w:val="DefaultParagraphFont"/>
    <w:link w:val="SCCLsocParty"/>
    <w:rsid w:val="007A62A7"/>
    <w:rPr>
      <w:rFonts w:eastAsia="Calibri" w:cs="Times New Roman"/>
      <w:lang w:val="fr-CA"/>
    </w:rPr>
  </w:style>
  <w:style w:type="table" w:customStyle="1" w:styleId="TableGrid2">
    <w:name w:val="Table Grid2"/>
    <w:basedOn w:val="TableNormal"/>
    <w:next w:val="TableGrid"/>
    <w:uiPriority w:val="59"/>
    <w:rsid w:val="00110AE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5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FF"/>
    <w:rPr>
      <w:rFonts w:ascii="Segoe UI" w:hAnsi="Segoe UI" w:cs="Segoe UI"/>
      <w:sz w:val="18"/>
      <w:szCs w:val="18"/>
      <w:lang w:val="en-CA"/>
    </w:rPr>
  </w:style>
  <w:style w:type="table" w:customStyle="1" w:styleId="TableGrid3">
    <w:name w:val="Table Grid3"/>
    <w:basedOn w:val="TableNormal"/>
    <w:next w:val="TableGrid"/>
    <w:uiPriority w:val="59"/>
    <w:rsid w:val="00484FB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298">
      <w:bodyDiv w:val="1"/>
      <w:marLeft w:val="0"/>
      <w:marRight w:val="0"/>
      <w:marTop w:val="0"/>
      <w:marBottom w:val="0"/>
      <w:divBdr>
        <w:top w:val="none" w:sz="0" w:space="0" w:color="auto"/>
        <w:left w:val="none" w:sz="0" w:space="0" w:color="auto"/>
        <w:bottom w:val="none" w:sz="0" w:space="0" w:color="auto"/>
        <w:right w:val="none" w:sz="0" w:space="0" w:color="auto"/>
      </w:divBdr>
    </w:div>
    <w:div w:id="832524595">
      <w:bodyDiv w:val="1"/>
      <w:marLeft w:val="0"/>
      <w:marRight w:val="0"/>
      <w:marTop w:val="0"/>
      <w:marBottom w:val="0"/>
      <w:divBdr>
        <w:top w:val="none" w:sz="0" w:space="0" w:color="auto"/>
        <w:left w:val="none" w:sz="0" w:space="0" w:color="auto"/>
        <w:bottom w:val="none" w:sz="0" w:space="0" w:color="auto"/>
        <w:right w:val="none" w:sz="0" w:space="0" w:color="auto"/>
      </w:divBdr>
    </w:div>
    <w:div w:id="1584145185">
      <w:bodyDiv w:val="1"/>
      <w:marLeft w:val="0"/>
      <w:marRight w:val="0"/>
      <w:marTop w:val="0"/>
      <w:marBottom w:val="0"/>
      <w:divBdr>
        <w:top w:val="none" w:sz="0" w:space="0" w:color="auto"/>
        <w:left w:val="none" w:sz="0" w:space="0" w:color="auto"/>
        <w:bottom w:val="none" w:sz="0" w:space="0" w:color="auto"/>
        <w:right w:val="none" w:sz="0" w:space="0" w:color="auto"/>
      </w:divBdr>
    </w:div>
    <w:div w:id="20035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mb/mbqb/doc/2015/2015mbqb99/2015mbqb99.html?autocompleteStr=2015%20MBQB%2099&amp;autocompletePos=1" TargetMode="Externa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footer" Target="footer8.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yperlink" Target="http://www.scc-csc.ca/case-dossier/info/sum-som-fra.aspx?cas=36539" TargetMode="External"/><Relationship Id="rId55" Type="http://schemas.openxmlformats.org/officeDocument/2006/relationships/footer" Target="footer17.xml"/><Relationship Id="rId63" Type="http://schemas.openxmlformats.org/officeDocument/2006/relationships/header" Target="header22.xml"/><Relationship Id="rId68" Type="http://schemas.openxmlformats.org/officeDocument/2006/relationships/header" Target="header23.xm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doc.domain.scc-csc.gc.ca/L25/01/05/%3chttp:/canlii.ca/t/gs1bv%3e," TargetMode="External"/><Relationship Id="rId11" Type="http://schemas.openxmlformats.org/officeDocument/2006/relationships/header" Target="header2.xml"/><Relationship Id="rId24" Type="http://schemas.openxmlformats.org/officeDocument/2006/relationships/hyperlink" Target="http://www.canlii.org/en/mb/mbqb/doc/2015/2015mbqb99/2015mbqb99.html?autocompleteStr=2015%20MBQB%2099&amp;autocompletePos=1" TargetMode="Externa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5.xml"/><Relationship Id="rId53" Type="http://schemas.openxmlformats.org/officeDocument/2006/relationships/header" Target="header17.xml"/><Relationship Id="rId58" Type="http://schemas.openxmlformats.org/officeDocument/2006/relationships/footer" Target="footer19.xml"/><Relationship Id="rId66" Type="http://schemas.openxmlformats.org/officeDocument/2006/relationships/hyperlink" Target="http://www.scc-csc.ca/case-dossier/info/sum-som-fra.aspx?cas=36505" TargetMode="External"/><Relationship Id="rId74"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doc.domain.scc-csc.gc.ca/L25/01/05/%3chttp:/canlii.ca/t/g2vj8%3e," TargetMode="External"/><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header" Target="header19.xm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doc.domain.scc-csc.gc.ca/L25/01/05/%3chttp:/canlii.ca/t/gs1bv%3e," TargetMode="External"/><Relationship Id="rId44" Type="http://schemas.openxmlformats.org/officeDocument/2006/relationships/header" Target="header14.xml"/><Relationship Id="rId52" Type="http://schemas.openxmlformats.org/officeDocument/2006/relationships/hyperlink" Target="http://www.scc-csc.ca/case-dossier/info/sum-som-eng.aspx?cas=36771" TargetMode="External"/><Relationship Id="rId60" Type="http://schemas.openxmlformats.org/officeDocument/2006/relationships/header" Target="header21.xml"/><Relationship Id="rId65" Type="http://schemas.openxmlformats.org/officeDocument/2006/relationships/hyperlink" Target="http://www.scc-csc.ca/case-dossier/info/sum-som-eng.aspx?cas=36465" TargetMode="External"/><Relationship Id="rId73"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mb/mbca/doc/2016/2016mbca40/2016mbca40.html" TargetMode="External"/><Relationship Id="rId30" Type="http://schemas.openxmlformats.org/officeDocument/2006/relationships/hyperlink" Target="http://c-doc.domain.scc-csc.gc.ca/L25/01/05/%3chttp:/canlii.ca/t/g2vj8%3e," TargetMode="Externa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header" Target="header24.xml"/><Relationship Id="rId77"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www.scc-csc.ca/case-dossier/info/sum-som-eng.aspx?cas=36602" TargetMode="External"/><Relationship Id="rId72"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mb/mbca/doc/2016/2016mbca40/2016mbca40.html" TargetMode="Externa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14.xml"/><Relationship Id="rId59" Type="http://schemas.openxmlformats.org/officeDocument/2006/relationships/header" Target="header20.xml"/><Relationship Id="rId67" Type="http://schemas.openxmlformats.org/officeDocument/2006/relationships/hyperlink" Target="http://www.scc-csc.ca/case-dossier/info/sum-som-eng.aspx?cas=36606" TargetMode="External"/><Relationship Id="rId20" Type="http://schemas.openxmlformats.org/officeDocument/2006/relationships/header" Target="header6.xml"/><Relationship Id="rId41" Type="http://schemas.openxmlformats.org/officeDocument/2006/relationships/footer" Target="footer12.xml"/><Relationship Id="rId54" Type="http://schemas.openxmlformats.org/officeDocument/2006/relationships/header" Target="header18.xml"/><Relationship Id="rId62" Type="http://schemas.openxmlformats.org/officeDocument/2006/relationships/footer" Target="footer21.xml"/><Relationship Id="rId70" Type="http://schemas.openxmlformats.org/officeDocument/2006/relationships/footer" Target="footer23.xml"/><Relationship Id="rId75"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18481</Words>
  <Characters>105345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2016-12-09T14:59:00Z</dcterms:created>
  <dcterms:modified xsi:type="dcterms:W3CDTF">2016-12-12T15:18:00Z</dcterms:modified>
</cp:coreProperties>
</file>