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003B04" w:rsidRDefault="00382C47" w:rsidP="00C7556C">
      <w:pPr>
        <w:jc w:val="center"/>
      </w:pPr>
      <w:r w:rsidRPr="00003B04">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003B04"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003B04" w:rsidTr="002E5576">
        <w:tc>
          <w:tcPr>
            <w:tcW w:w="4518" w:type="dxa"/>
          </w:tcPr>
          <w:p w:rsidR="00BF25F3" w:rsidRPr="00003B04" w:rsidRDefault="00BF25F3" w:rsidP="00BF25F3">
            <w:pPr>
              <w:tabs>
                <w:tab w:val="left" w:pos="6075"/>
              </w:tabs>
              <w:jc w:val="center"/>
              <w:rPr>
                <w:b/>
                <w:sz w:val="32"/>
                <w:szCs w:val="32"/>
              </w:rPr>
            </w:pPr>
            <w:r w:rsidRPr="00003B04">
              <w:rPr>
                <w:b/>
                <w:sz w:val="32"/>
                <w:szCs w:val="32"/>
              </w:rPr>
              <w:t>SUPREME COURT OF CANADA</w:t>
            </w:r>
          </w:p>
        </w:tc>
        <w:tc>
          <w:tcPr>
            <w:tcW w:w="630" w:type="dxa"/>
          </w:tcPr>
          <w:p w:rsidR="00BF25F3" w:rsidRPr="00003B04" w:rsidRDefault="00BF25F3" w:rsidP="00BF25F3">
            <w:pPr>
              <w:tabs>
                <w:tab w:val="left" w:pos="6075"/>
              </w:tabs>
              <w:jc w:val="center"/>
              <w:rPr>
                <w:sz w:val="32"/>
                <w:szCs w:val="32"/>
              </w:rPr>
            </w:pPr>
          </w:p>
        </w:tc>
        <w:tc>
          <w:tcPr>
            <w:tcW w:w="4428" w:type="dxa"/>
          </w:tcPr>
          <w:p w:rsidR="00BF25F3" w:rsidRPr="00003B04" w:rsidRDefault="00BF25F3" w:rsidP="00BF25F3">
            <w:pPr>
              <w:tabs>
                <w:tab w:val="left" w:pos="6075"/>
              </w:tabs>
              <w:jc w:val="center"/>
              <w:rPr>
                <w:b/>
                <w:sz w:val="32"/>
                <w:szCs w:val="32"/>
                <w:lang w:val="fr-CA"/>
              </w:rPr>
            </w:pPr>
            <w:r w:rsidRPr="00003B04">
              <w:rPr>
                <w:b/>
                <w:sz w:val="32"/>
                <w:szCs w:val="32"/>
                <w:lang w:val="fr-CA"/>
              </w:rPr>
              <w:t>COUR SUPRÊME DU CANADA</w:t>
            </w:r>
          </w:p>
        </w:tc>
      </w:tr>
      <w:tr w:rsidR="00BF25F3" w:rsidRPr="00003B04" w:rsidTr="002E5576">
        <w:tc>
          <w:tcPr>
            <w:tcW w:w="4518" w:type="dxa"/>
          </w:tcPr>
          <w:p w:rsidR="00BF25F3" w:rsidRPr="00003B04" w:rsidRDefault="00BF25F3" w:rsidP="00BF25F3">
            <w:pPr>
              <w:tabs>
                <w:tab w:val="left" w:pos="6075"/>
              </w:tabs>
            </w:pPr>
          </w:p>
          <w:p w:rsidR="001B5C23" w:rsidRPr="00003B04" w:rsidRDefault="001B5C23" w:rsidP="00BF25F3">
            <w:pPr>
              <w:tabs>
                <w:tab w:val="left" w:pos="6075"/>
              </w:tabs>
            </w:pPr>
          </w:p>
          <w:p w:rsidR="001B5C23" w:rsidRPr="00003B04" w:rsidRDefault="001B5C23" w:rsidP="00BF25F3">
            <w:pPr>
              <w:tabs>
                <w:tab w:val="left" w:pos="6075"/>
              </w:tabs>
            </w:pPr>
          </w:p>
        </w:tc>
        <w:tc>
          <w:tcPr>
            <w:tcW w:w="630" w:type="dxa"/>
          </w:tcPr>
          <w:p w:rsidR="00BF25F3" w:rsidRPr="00003B04" w:rsidRDefault="00BF25F3" w:rsidP="00BF25F3">
            <w:pPr>
              <w:tabs>
                <w:tab w:val="left" w:pos="6075"/>
              </w:tabs>
            </w:pPr>
          </w:p>
        </w:tc>
        <w:tc>
          <w:tcPr>
            <w:tcW w:w="4428" w:type="dxa"/>
          </w:tcPr>
          <w:p w:rsidR="00BF25F3" w:rsidRPr="00003B04" w:rsidRDefault="00BF25F3" w:rsidP="00BF25F3">
            <w:pPr>
              <w:tabs>
                <w:tab w:val="left" w:pos="6075"/>
              </w:tabs>
              <w:rPr>
                <w:lang w:val="fr-CA"/>
              </w:rPr>
            </w:pPr>
          </w:p>
        </w:tc>
      </w:tr>
      <w:tr w:rsidR="00BF25F3" w:rsidRPr="00003B04" w:rsidTr="002E5576">
        <w:tc>
          <w:tcPr>
            <w:tcW w:w="4518" w:type="dxa"/>
          </w:tcPr>
          <w:p w:rsidR="001B5C23" w:rsidRPr="00003B04" w:rsidRDefault="00BF25F3" w:rsidP="00BF25F3">
            <w:pPr>
              <w:tabs>
                <w:tab w:val="left" w:pos="6075"/>
              </w:tabs>
              <w:jc w:val="center"/>
              <w:rPr>
                <w:sz w:val="28"/>
                <w:szCs w:val="28"/>
              </w:rPr>
            </w:pPr>
            <w:r w:rsidRPr="00003B04">
              <w:rPr>
                <w:sz w:val="28"/>
                <w:szCs w:val="28"/>
              </w:rPr>
              <w:t>BULLETIN OF</w:t>
            </w:r>
          </w:p>
          <w:p w:rsidR="00BF25F3" w:rsidRPr="00003B04" w:rsidRDefault="00BF25F3" w:rsidP="00BF25F3">
            <w:pPr>
              <w:tabs>
                <w:tab w:val="left" w:pos="6075"/>
              </w:tabs>
              <w:jc w:val="center"/>
              <w:rPr>
                <w:sz w:val="28"/>
                <w:szCs w:val="28"/>
              </w:rPr>
            </w:pPr>
            <w:r w:rsidRPr="00003B04">
              <w:rPr>
                <w:sz w:val="28"/>
                <w:szCs w:val="28"/>
              </w:rPr>
              <w:t xml:space="preserve"> PROCEEDINGS</w:t>
            </w:r>
          </w:p>
        </w:tc>
        <w:tc>
          <w:tcPr>
            <w:tcW w:w="630" w:type="dxa"/>
          </w:tcPr>
          <w:p w:rsidR="00BF25F3" w:rsidRPr="00003B04" w:rsidRDefault="00BF25F3" w:rsidP="00BF25F3">
            <w:pPr>
              <w:tabs>
                <w:tab w:val="left" w:pos="6075"/>
              </w:tabs>
            </w:pPr>
          </w:p>
        </w:tc>
        <w:tc>
          <w:tcPr>
            <w:tcW w:w="4428" w:type="dxa"/>
          </w:tcPr>
          <w:p w:rsidR="001B5C23" w:rsidRPr="00003B04" w:rsidRDefault="00BF25F3" w:rsidP="00BF25F3">
            <w:pPr>
              <w:tabs>
                <w:tab w:val="left" w:pos="6075"/>
              </w:tabs>
              <w:jc w:val="center"/>
              <w:rPr>
                <w:sz w:val="28"/>
                <w:szCs w:val="28"/>
                <w:lang w:val="fr-CA"/>
              </w:rPr>
            </w:pPr>
            <w:r w:rsidRPr="00003B04">
              <w:rPr>
                <w:sz w:val="28"/>
                <w:szCs w:val="28"/>
                <w:lang w:val="fr-CA"/>
              </w:rPr>
              <w:t>BULLETIN DES</w:t>
            </w:r>
          </w:p>
          <w:p w:rsidR="00BF25F3" w:rsidRPr="00003B04" w:rsidRDefault="00BF25F3" w:rsidP="00BF25F3">
            <w:pPr>
              <w:tabs>
                <w:tab w:val="left" w:pos="6075"/>
              </w:tabs>
              <w:jc w:val="center"/>
              <w:rPr>
                <w:sz w:val="28"/>
                <w:szCs w:val="28"/>
                <w:lang w:val="fr-CA"/>
              </w:rPr>
            </w:pPr>
            <w:r w:rsidRPr="00003B04">
              <w:rPr>
                <w:sz w:val="28"/>
                <w:szCs w:val="28"/>
                <w:lang w:val="fr-CA"/>
              </w:rPr>
              <w:t xml:space="preserve"> PROCÉDURES</w:t>
            </w:r>
          </w:p>
        </w:tc>
      </w:tr>
      <w:tr w:rsidR="00BF25F3" w:rsidRPr="00003B04" w:rsidTr="002E5576">
        <w:tc>
          <w:tcPr>
            <w:tcW w:w="4518" w:type="dxa"/>
          </w:tcPr>
          <w:p w:rsidR="00BF25F3" w:rsidRPr="00003B04" w:rsidRDefault="00BF25F3" w:rsidP="00BF25F3">
            <w:pPr>
              <w:tabs>
                <w:tab w:val="left" w:pos="6075"/>
              </w:tabs>
            </w:pPr>
          </w:p>
          <w:p w:rsidR="001B5C23" w:rsidRPr="00003B04" w:rsidRDefault="001B5C23" w:rsidP="00BF25F3">
            <w:pPr>
              <w:tabs>
                <w:tab w:val="left" w:pos="6075"/>
              </w:tabs>
            </w:pPr>
          </w:p>
        </w:tc>
        <w:tc>
          <w:tcPr>
            <w:tcW w:w="630" w:type="dxa"/>
          </w:tcPr>
          <w:p w:rsidR="00BF25F3" w:rsidRPr="00003B04" w:rsidRDefault="00BF25F3" w:rsidP="00BF25F3">
            <w:pPr>
              <w:tabs>
                <w:tab w:val="left" w:pos="6075"/>
              </w:tabs>
            </w:pPr>
          </w:p>
        </w:tc>
        <w:tc>
          <w:tcPr>
            <w:tcW w:w="4428" w:type="dxa"/>
          </w:tcPr>
          <w:p w:rsidR="00BF25F3" w:rsidRPr="00003B04" w:rsidRDefault="00BF25F3" w:rsidP="00BF25F3">
            <w:pPr>
              <w:tabs>
                <w:tab w:val="left" w:pos="6075"/>
              </w:tabs>
              <w:rPr>
                <w:lang w:val="fr-CA"/>
              </w:rPr>
            </w:pPr>
          </w:p>
        </w:tc>
      </w:tr>
      <w:tr w:rsidR="00BF25F3" w:rsidRPr="00C3697D" w:rsidTr="002E5576">
        <w:tc>
          <w:tcPr>
            <w:tcW w:w="4518" w:type="dxa"/>
          </w:tcPr>
          <w:p w:rsidR="00BF25F3" w:rsidRPr="00003B04" w:rsidRDefault="00BF25F3" w:rsidP="00BF25F3">
            <w:pPr>
              <w:tabs>
                <w:tab w:val="left" w:pos="6075"/>
              </w:tabs>
              <w:jc w:val="both"/>
              <w:rPr>
                <w:rFonts w:ascii="Arial" w:hAnsi="Arial" w:cs="Arial"/>
                <w:i/>
                <w:sz w:val="20"/>
                <w:szCs w:val="20"/>
              </w:rPr>
            </w:pPr>
            <w:r w:rsidRPr="00003B04">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003B04" w:rsidRDefault="00BF25F3" w:rsidP="00BF25F3">
            <w:pPr>
              <w:tabs>
                <w:tab w:val="left" w:pos="6075"/>
              </w:tabs>
              <w:jc w:val="both"/>
              <w:rPr>
                <w:rFonts w:ascii="Arial" w:hAnsi="Arial" w:cs="Arial"/>
                <w:i/>
                <w:sz w:val="20"/>
                <w:szCs w:val="20"/>
              </w:rPr>
            </w:pPr>
          </w:p>
        </w:tc>
        <w:tc>
          <w:tcPr>
            <w:tcW w:w="4428" w:type="dxa"/>
          </w:tcPr>
          <w:p w:rsidR="00BF25F3" w:rsidRPr="00003B04" w:rsidRDefault="00BF25F3" w:rsidP="00BF25F3">
            <w:pPr>
              <w:tabs>
                <w:tab w:val="left" w:pos="6075"/>
              </w:tabs>
              <w:jc w:val="both"/>
              <w:rPr>
                <w:rFonts w:ascii="Arial" w:hAnsi="Arial" w:cs="Arial"/>
                <w:i/>
                <w:sz w:val="20"/>
                <w:szCs w:val="20"/>
                <w:lang w:val="fr-CA"/>
              </w:rPr>
            </w:pPr>
            <w:r w:rsidRPr="00003B04">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C3697D" w:rsidTr="002E5576">
        <w:tc>
          <w:tcPr>
            <w:tcW w:w="4518" w:type="dxa"/>
          </w:tcPr>
          <w:p w:rsidR="00BF25F3" w:rsidRPr="00003B04" w:rsidRDefault="00BF25F3" w:rsidP="00BF25F3">
            <w:pPr>
              <w:tabs>
                <w:tab w:val="left" w:pos="6075"/>
              </w:tabs>
              <w:rPr>
                <w:lang w:val="fr-CA"/>
              </w:rPr>
            </w:pPr>
          </w:p>
          <w:p w:rsidR="00D862C1" w:rsidRPr="00003B04" w:rsidRDefault="00D862C1" w:rsidP="00BF25F3">
            <w:pPr>
              <w:tabs>
                <w:tab w:val="left" w:pos="6075"/>
              </w:tabs>
              <w:rPr>
                <w:lang w:val="fr-CA"/>
              </w:rPr>
            </w:pPr>
          </w:p>
        </w:tc>
        <w:tc>
          <w:tcPr>
            <w:tcW w:w="630" w:type="dxa"/>
          </w:tcPr>
          <w:p w:rsidR="00BF25F3" w:rsidRPr="00003B04" w:rsidRDefault="00BF25F3" w:rsidP="00BF25F3">
            <w:pPr>
              <w:tabs>
                <w:tab w:val="left" w:pos="6075"/>
              </w:tabs>
              <w:rPr>
                <w:lang w:val="fr-CA"/>
              </w:rPr>
            </w:pPr>
          </w:p>
        </w:tc>
        <w:tc>
          <w:tcPr>
            <w:tcW w:w="4428" w:type="dxa"/>
          </w:tcPr>
          <w:p w:rsidR="00BF25F3" w:rsidRPr="00003B04" w:rsidRDefault="00BF25F3" w:rsidP="00BF25F3">
            <w:pPr>
              <w:tabs>
                <w:tab w:val="left" w:pos="6075"/>
              </w:tabs>
              <w:rPr>
                <w:lang w:val="fr-CA"/>
              </w:rPr>
            </w:pPr>
          </w:p>
        </w:tc>
      </w:tr>
      <w:tr w:rsidR="00BF25F3" w:rsidRPr="00C3697D" w:rsidTr="002E5576">
        <w:tc>
          <w:tcPr>
            <w:tcW w:w="4518" w:type="dxa"/>
          </w:tcPr>
          <w:p w:rsidR="00BF25F3" w:rsidRPr="00003B04" w:rsidRDefault="00BF25F3" w:rsidP="009F3024">
            <w:pPr>
              <w:tabs>
                <w:tab w:val="left" w:pos="6075"/>
              </w:tabs>
              <w:jc w:val="both"/>
              <w:rPr>
                <w:rFonts w:ascii="Arial" w:hAnsi="Arial" w:cs="Arial"/>
                <w:i/>
                <w:sz w:val="20"/>
                <w:szCs w:val="20"/>
              </w:rPr>
            </w:pPr>
            <w:r w:rsidRPr="00003B04">
              <w:rPr>
                <w:rFonts w:ascii="Arial" w:hAnsi="Arial" w:cs="Arial"/>
                <w:i/>
                <w:sz w:val="20"/>
                <w:szCs w:val="20"/>
              </w:rPr>
              <w:t xml:space="preserve">During Court sessions </w:t>
            </w:r>
            <w:r w:rsidR="009F3024" w:rsidRPr="00003B04">
              <w:rPr>
                <w:rFonts w:ascii="Arial" w:hAnsi="Arial" w:cs="Arial"/>
                <w:i/>
                <w:sz w:val="20"/>
                <w:szCs w:val="20"/>
              </w:rPr>
              <w:t xml:space="preserve">the Bulletin </w:t>
            </w:r>
            <w:r w:rsidRPr="00003B04">
              <w:rPr>
                <w:rFonts w:ascii="Arial" w:hAnsi="Arial" w:cs="Arial"/>
                <w:i/>
                <w:sz w:val="20"/>
                <w:szCs w:val="20"/>
              </w:rPr>
              <w:t>is usually issued weekly.</w:t>
            </w:r>
          </w:p>
        </w:tc>
        <w:tc>
          <w:tcPr>
            <w:tcW w:w="630" w:type="dxa"/>
          </w:tcPr>
          <w:p w:rsidR="00BF25F3" w:rsidRPr="00003B04" w:rsidRDefault="00BF25F3" w:rsidP="00BF25F3">
            <w:pPr>
              <w:tabs>
                <w:tab w:val="left" w:pos="6075"/>
              </w:tabs>
              <w:jc w:val="both"/>
              <w:rPr>
                <w:rFonts w:ascii="Arial" w:hAnsi="Arial" w:cs="Arial"/>
                <w:i/>
                <w:sz w:val="20"/>
                <w:szCs w:val="20"/>
              </w:rPr>
            </w:pPr>
          </w:p>
        </w:tc>
        <w:tc>
          <w:tcPr>
            <w:tcW w:w="4428" w:type="dxa"/>
          </w:tcPr>
          <w:p w:rsidR="00BF25F3" w:rsidRPr="00003B04" w:rsidRDefault="00BF25F3" w:rsidP="00BF25F3">
            <w:pPr>
              <w:tabs>
                <w:tab w:val="left" w:pos="6075"/>
              </w:tabs>
              <w:jc w:val="both"/>
              <w:rPr>
                <w:rFonts w:ascii="Arial" w:hAnsi="Arial" w:cs="Arial"/>
                <w:i/>
                <w:sz w:val="20"/>
                <w:szCs w:val="20"/>
                <w:lang w:val="fr-CA"/>
              </w:rPr>
            </w:pPr>
            <w:r w:rsidRPr="00003B04">
              <w:rPr>
                <w:rFonts w:ascii="Arial" w:hAnsi="Arial" w:cs="Arial"/>
                <w:i/>
                <w:sz w:val="20"/>
                <w:szCs w:val="20"/>
                <w:lang w:val="fr-CA"/>
              </w:rPr>
              <w:t>Le Bulletin paraît en principe toutes les semaines pendant les sessions de la Cour.</w:t>
            </w:r>
          </w:p>
        </w:tc>
      </w:tr>
      <w:tr w:rsidR="00BF25F3" w:rsidRPr="00C3697D" w:rsidTr="002E5576">
        <w:tc>
          <w:tcPr>
            <w:tcW w:w="4518" w:type="dxa"/>
          </w:tcPr>
          <w:p w:rsidR="00BF25F3" w:rsidRPr="00003B04" w:rsidRDefault="00BF25F3" w:rsidP="00BF25F3">
            <w:pPr>
              <w:tabs>
                <w:tab w:val="left" w:pos="6075"/>
              </w:tabs>
              <w:rPr>
                <w:lang w:val="fr-CA"/>
              </w:rPr>
            </w:pPr>
          </w:p>
          <w:p w:rsidR="00D862C1" w:rsidRPr="00003B04" w:rsidRDefault="00D862C1" w:rsidP="00BF25F3">
            <w:pPr>
              <w:tabs>
                <w:tab w:val="left" w:pos="6075"/>
              </w:tabs>
              <w:rPr>
                <w:lang w:val="fr-CA"/>
              </w:rPr>
            </w:pPr>
          </w:p>
        </w:tc>
        <w:tc>
          <w:tcPr>
            <w:tcW w:w="630" w:type="dxa"/>
          </w:tcPr>
          <w:p w:rsidR="00BF25F3" w:rsidRPr="00003B04" w:rsidRDefault="00BF25F3" w:rsidP="00BF25F3">
            <w:pPr>
              <w:tabs>
                <w:tab w:val="left" w:pos="6075"/>
              </w:tabs>
              <w:rPr>
                <w:lang w:val="fr-CA"/>
              </w:rPr>
            </w:pPr>
          </w:p>
        </w:tc>
        <w:tc>
          <w:tcPr>
            <w:tcW w:w="4428" w:type="dxa"/>
          </w:tcPr>
          <w:p w:rsidR="00BF25F3" w:rsidRPr="00003B04" w:rsidRDefault="00BF25F3" w:rsidP="00BF25F3">
            <w:pPr>
              <w:tabs>
                <w:tab w:val="left" w:pos="6075"/>
              </w:tabs>
              <w:rPr>
                <w:lang w:val="fr-CA"/>
              </w:rPr>
            </w:pPr>
          </w:p>
        </w:tc>
      </w:tr>
      <w:tr w:rsidR="00BF25F3" w:rsidRPr="00C3697D" w:rsidTr="002E5576">
        <w:tc>
          <w:tcPr>
            <w:tcW w:w="4518" w:type="dxa"/>
          </w:tcPr>
          <w:p w:rsidR="00BF25F3" w:rsidRPr="00003B04" w:rsidRDefault="000E27A5" w:rsidP="00BF25F3">
            <w:pPr>
              <w:tabs>
                <w:tab w:val="left" w:pos="6075"/>
              </w:tabs>
              <w:jc w:val="both"/>
              <w:rPr>
                <w:rFonts w:ascii="Arial" w:hAnsi="Arial" w:cs="Arial"/>
                <w:i/>
                <w:sz w:val="20"/>
                <w:szCs w:val="20"/>
              </w:rPr>
            </w:pPr>
            <w:r w:rsidRPr="00003B04">
              <w:rPr>
                <w:rFonts w:ascii="Arial" w:hAnsi="Arial" w:cs="Arial"/>
                <w:i/>
                <w:sz w:val="20"/>
                <w:szCs w:val="20"/>
              </w:rPr>
              <w:fldChar w:fldCharType="begin"/>
            </w:r>
            <w:r w:rsidR="00BF25F3" w:rsidRPr="00003B04">
              <w:rPr>
                <w:rFonts w:ascii="Arial" w:hAnsi="Arial" w:cs="Arial"/>
                <w:i/>
                <w:sz w:val="20"/>
                <w:szCs w:val="20"/>
              </w:rPr>
              <w:instrText xml:space="preserve"> SEQ CHAPTER \h \r 1</w:instrText>
            </w:r>
            <w:r w:rsidRPr="00003B04">
              <w:rPr>
                <w:rFonts w:ascii="Arial" w:hAnsi="Arial" w:cs="Arial"/>
                <w:i/>
                <w:sz w:val="20"/>
                <w:szCs w:val="20"/>
              </w:rPr>
              <w:fldChar w:fldCharType="end"/>
            </w:r>
            <w:r w:rsidR="00BF25F3" w:rsidRPr="00003B04">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003B04" w:rsidRDefault="00BF25F3" w:rsidP="00BF25F3">
            <w:pPr>
              <w:tabs>
                <w:tab w:val="left" w:pos="6075"/>
              </w:tabs>
              <w:jc w:val="both"/>
              <w:rPr>
                <w:rFonts w:ascii="Arial" w:hAnsi="Arial" w:cs="Arial"/>
                <w:i/>
                <w:sz w:val="20"/>
                <w:szCs w:val="20"/>
              </w:rPr>
            </w:pPr>
          </w:p>
        </w:tc>
        <w:tc>
          <w:tcPr>
            <w:tcW w:w="4428" w:type="dxa"/>
          </w:tcPr>
          <w:p w:rsidR="00BF25F3" w:rsidRPr="00003B04" w:rsidRDefault="000E27A5" w:rsidP="00BF25F3">
            <w:pPr>
              <w:tabs>
                <w:tab w:val="left" w:pos="6075"/>
              </w:tabs>
              <w:jc w:val="both"/>
              <w:rPr>
                <w:rFonts w:ascii="Arial" w:hAnsi="Arial" w:cs="Arial"/>
                <w:i/>
                <w:sz w:val="20"/>
                <w:szCs w:val="20"/>
                <w:lang w:val="fr-CA"/>
              </w:rPr>
            </w:pPr>
            <w:r w:rsidRPr="00003B04">
              <w:rPr>
                <w:rFonts w:ascii="Arial" w:hAnsi="Arial" w:cs="Arial"/>
                <w:i/>
                <w:sz w:val="20"/>
                <w:szCs w:val="20"/>
                <w:lang w:val="fr-CA"/>
              </w:rPr>
              <w:fldChar w:fldCharType="begin"/>
            </w:r>
            <w:r w:rsidR="00BF25F3" w:rsidRPr="00003B04">
              <w:rPr>
                <w:rFonts w:ascii="Arial" w:hAnsi="Arial" w:cs="Arial"/>
                <w:i/>
                <w:sz w:val="20"/>
                <w:szCs w:val="20"/>
                <w:lang w:val="fr-CA"/>
              </w:rPr>
              <w:instrText xml:space="preserve"> SEQ CHAPTER \h \r 1</w:instrText>
            </w:r>
            <w:r w:rsidRPr="00003B04">
              <w:rPr>
                <w:rFonts w:ascii="Arial" w:hAnsi="Arial" w:cs="Arial"/>
                <w:i/>
                <w:sz w:val="20"/>
                <w:szCs w:val="20"/>
                <w:lang w:val="fr-CA"/>
              </w:rPr>
              <w:fldChar w:fldCharType="end"/>
            </w:r>
            <w:r w:rsidR="00BF25F3" w:rsidRPr="00003B04">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C3697D" w:rsidTr="002E5576">
        <w:tc>
          <w:tcPr>
            <w:tcW w:w="4518" w:type="dxa"/>
          </w:tcPr>
          <w:p w:rsidR="009F3024" w:rsidRPr="00003B04" w:rsidRDefault="009F3024" w:rsidP="009F3024">
            <w:pPr>
              <w:tabs>
                <w:tab w:val="left" w:pos="6075"/>
              </w:tabs>
              <w:rPr>
                <w:rFonts w:cs="Times New Roman"/>
                <w:szCs w:val="24"/>
                <w:lang w:val="fr-CA"/>
              </w:rPr>
            </w:pPr>
          </w:p>
          <w:p w:rsidR="009F3024" w:rsidRPr="00003B04" w:rsidRDefault="009F3024" w:rsidP="009F3024">
            <w:pPr>
              <w:tabs>
                <w:tab w:val="left" w:pos="6075"/>
              </w:tabs>
              <w:rPr>
                <w:rFonts w:cs="Times New Roman"/>
                <w:szCs w:val="24"/>
                <w:lang w:val="fr-CA"/>
              </w:rPr>
            </w:pPr>
          </w:p>
        </w:tc>
        <w:tc>
          <w:tcPr>
            <w:tcW w:w="630" w:type="dxa"/>
          </w:tcPr>
          <w:p w:rsidR="009F3024" w:rsidRPr="00003B04" w:rsidRDefault="009F3024" w:rsidP="009F3024">
            <w:pPr>
              <w:tabs>
                <w:tab w:val="left" w:pos="6075"/>
              </w:tabs>
              <w:rPr>
                <w:rFonts w:cs="Times New Roman"/>
                <w:szCs w:val="24"/>
                <w:lang w:val="fr-CA"/>
              </w:rPr>
            </w:pPr>
          </w:p>
        </w:tc>
        <w:tc>
          <w:tcPr>
            <w:tcW w:w="4428" w:type="dxa"/>
          </w:tcPr>
          <w:p w:rsidR="009F3024" w:rsidRPr="00003B04" w:rsidRDefault="009F3024" w:rsidP="009F3024">
            <w:pPr>
              <w:tabs>
                <w:tab w:val="left" w:pos="6075"/>
              </w:tabs>
              <w:rPr>
                <w:rFonts w:cs="Times New Roman"/>
                <w:szCs w:val="24"/>
                <w:lang w:val="fr-CA"/>
              </w:rPr>
            </w:pPr>
          </w:p>
        </w:tc>
      </w:tr>
      <w:tr w:rsidR="009F3024" w:rsidRPr="00C3697D" w:rsidTr="002E5576">
        <w:tc>
          <w:tcPr>
            <w:tcW w:w="4518" w:type="dxa"/>
          </w:tcPr>
          <w:p w:rsidR="009F3024" w:rsidRPr="00003B04" w:rsidRDefault="009F3024" w:rsidP="00E414CA">
            <w:pPr>
              <w:tabs>
                <w:tab w:val="left" w:pos="6075"/>
              </w:tabs>
              <w:jc w:val="both"/>
              <w:rPr>
                <w:rFonts w:ascii="Arial" w:hAnsi="Arial" w:cs="Arial"/>
                <w:i/>
                <w:sz w:val="20"/>
                <w:szCs w:val="20"/>
              </w:rPr>
            </w:pPr>
            <w:r w:rsidRPr="00003B04">
              <w:rPr>
                <w:rFonts w:ascii="Arial" w:hAnsi="Arial" w:cs="Arial"/>
                <w:i/>
                <w:sz w:val="20"/>
                <w:szCs w:val="20"/>
              </w:rPr>
              <w:t xml:space="preserve">Consult the Supreme Court of Canada website at </w:t>
            </w:r>
            <w:hyperlink r:id="rId9" w:history="1">
              <w:r w:rsidR="00E414CA" w:rsidRPr="00003B04">
                <w:rPr>
                  <w:rStyle w:val="Hyperlink"/>
                  <w:rFonts w:ascii="Arial" w:hAnsi="Arial" w:cs="Arial"/>
                  <w:i/>
                  <w:sz w:val="20"/>
                  <w:szCs w:val="20"/>
                </w:rPr>
                <w:t>www.scc-csc.ca</w:t>
              </w:r>
            </w:hyperlink>
            <w:r w:rsidRPr="00003B04">
              <w:rPr>
                <w:rFonts w:ascii="Arial" w:hAnsi="Arial" w:cs="Arial"/>
                <w:i/>
                <w:sz w:val="20"/>
                <w:szCs w:val="20"/>
              </w:rPr>
              <w:t xml:space="preserve"> for more information.</w:t>
            </w:r>
          </w:p>
        </w:tc>
        <w:tc>
          <w:tcPr>
            <w:tcW w:w="630" w:type="dxa"/>
          </w:tcPr>
          <w:p w:rsidR="009F3024" w:rsidRPr="00003B04" w:rsidRDefault="009F3024" w:rsidP="00BF25F3">
            <w:pPr>
              <w:tabs>
                <w:tab w:val="left" w:pos="6075"/>
              </w:tabs>
              <w:jc w:val="both"/>
              <w:rPr>
                <w:rFonts w:ascii="Arial" w:hAnsi="Arial" w:cs="Arial"/>
                <w:i/>
                <w:sz w:val="20"/>
                <w:szCs w:val="20"/>
              </w:rPr>
            </w:pPr>
          </w:p>
        </w:tc>
        <w:tc>
          <w:tcPr>
            <w:tcW w:w="4428" w:type="dxa"/>
          </w:tcPr>
          <w:p w:rsidR="009F3024" w:rsidRPr="00003B04" w:rsidRDefault="009F3024" w:rsidP="00E414CA">
            <w:pPr>
              <w:tabs>
                <w:tab w:val="left" w:pos="6075"/>
              </w:tabs>
              <w:jc w:val="both"/>
              <w:rPr>
                <w:rFonts w:ascii="Arial" w:hAnsi="Arial" w:cs="Arial"/>
                <w:i/>
                <w:sz w:val="20"/>
                <w:szCs w:val="20"/>
                <w:lang w:val="fr-CA"/>
              </w:rPr>
            </w:pPr>
            <w:r w:rsidRPr="00003B04">
              <w:rPr>
                <w:rFonts w:ascii="Arial" w:hAnsi="Arial" w:cs="Arial"/>
                <w:i/>
                <w:sz w:val="20"/>
                <w:szCs w:val="20"/>
                <w:lang w:val="fr-CA"/>
              </w:rPr>
              <w:t xml:space="preserve">Pour de plus amples informations, consulter le site Web de la Cour suprême du Canada à l’adresse suivante : </w:t>
            </w:r>
            <w:hyperlink r:id="rId10" w:history="1">
              <w:r w:rsidR="0081473A" w:rsidRPr="00003B04">
                <w:rPr>
                  <w:rStyle w:val="Hyperlink"/>
                  <w:rFonts w:ascii="Arial" w:hAnsi="Arial" w:cs="Arial"/>
                  <w:i/>
                  <w:sz w:val="20"/>
                  <w:szCs w:val="20"/>
                  <w:lang w:val="fr-CA"/>
                </w:rPr>
                <w:t>www.scc-csc.ca</w:t>
              </w:r>
            </w:hyperlink>
            <w:r w:rsidRPr="00003B04">
              <w:rPr>
                <w:rFonts w:ascii="Arial" w:hAnsi="Arial" w:cs="Arial"/>
                <w:i/>
                <w:sz w:val="20"/>
                <w:szCs w:val="20"/>
                <w:lang w:val="fr-CA"/>
              </w:rPr>
              <w:t xml:space="preserve"> </w:t>
            </w:r>
          </w:p>
        </w:tc>
      </w:tr>
    </w:tbl>
    <w:p w:rsidR="00BF25F3" w:rsidRPr="00003B04" w:rsidRDefault="00BF25F3" w:rsidP="00BF25F3">
      <w:pPr>
        <w:tabs>
          <w:tab w:val="left" w:pos="6075"/>
        </w:tabs>
        <w:rPr>
          <w:lang w:val="fr-CA"/>
        </w:rPr>
      </w:pPr>
    </w:p>
    <w:p w:rsidR="00440E24" w:rsidRPr="00003B04" w:rsidRDefault="00440E24" w:rsidP="00440E24">
      <w:pPr>
        <w:pBdr>
          <w:bottom w:val="single" w:sz="6" w:space="1" w:color="auto"/>
        </w:pBdr>
        <w:tabs>
          <w:tab w:val="left" w:pos="6075"/>
        </w:tabs>
        <w:rPr>
          <w:lang w:val="fr-CA"/>
        </w:rPr>
      </w:pPr>
    </w:p>
    <w:p w:rsidR="00440E24" w:rsidRPr="00003B04" w:rsidRDefault="00440E24" w:rsidP="00440E24">
      <w:pPr>
        <w:rPr>
          <w:lang w:val="fr-CA"/>
        </w:rPr>
      </w:pPr>
    </w:p>
    <w:p w:rsidR="00600252" w:rsidRPr="00003B04" w:rsidRDefault="00646F25" w:rsidP="00F0068D">
      <w:pPr>
        <w:pBdr>
          <w:bottom w:val="single" w:sz="6" w:space="1" w:color="auto"/>
        </w:pBdr>
        <w:tabs>
          <w:tab w:val="center" w:pos="4680"/>
          <w:tab w:val="right" w:pos="9360"/>
        </w:tabs>
        <w:rPr>
          <w:lang w:val="fr-CA"/>
        </w:rPr>
      </w:pPr>
      <w:proofErr w:type="spellStart"/>
      <w:r w:rsidRPr="00003B04">
        <w:rPr>
          <w:lang w:val="fr-CA"/>
        </w:rPr>
        <w:t>February</w:t>
      </w:r>
      <w:proofErr w:type="spellEnd"/>
      <w:r w:rsidRPr="00003B04">
        <w:rPr>
          <w:lang w:val="fr-CA"/>
        </w:rPr>
        <w:t xml:space="preserve"> 24</w:t>
      </w:r>
      <w:r w:rsidR="00440E24" w:rsidRPr="00003B04">
        <w:rPr>
          <w:lang w:val="fr-CA"/>
        </w:rPr>
        <w:t>, 201</w:t>
      </w:r>
      <w:r w:rsidR="00E8544A" w:rsidRPr="00003B04">
        <w:rPr>
          <w:lang w:val="fr-CA"/>
        </w:rPr>
        <w:t>7</w:t>
      </w:r>
      <w:r w:rsidR="00F0068D" w:rsidRPr="00003B04">
        <w:rPr>
          <w:lang w:val="fr-CA"/>
        </w:rPr>
        <w:tab/>
      </w:r>
      <w:r w:rsidRPr="00003B04">
        <w:rPr>
          <w:lang w:val="fr-CA"/>
        </w:rPr>
        <w:t>300</w:t>
      </w:r>
      <w:r w:rsidR="00F0068D" w:rsidRPr="00003B04">
        <w:rPr>
          <w:lang w:val="fr-CA"/>
        </w:rPr>
        <w:t xml:space="preserve"> - </w:t>
      </w:r>
      <w:r w:rsidR="00887A6A" w:rsidRPr="00003B04">
        <w:rPr>
          <w:lang w:val="fr-CA"/>
        </w:rPr>
        <w:t>359</w:t>
      </w:r>
      <w:r w:rsidR="00440E24" w:rsidRPr="00003B04">
        <w:rPr>
          <w:lang w:val="fr-CA"/>
        </w:rPr>
        <w:tab/>
        <w:t>Le</w:t>
      </w:r>
      <w:r w:rsidR="00C73D06" w:rsidRPr="00003B04">
        <w:rPr>
          <w:lang w:val="fr-CA"/>
        </w:rPr>
        <w:t xml:space="preserve"> </w:t>
      </w:r>
      <w:r w:rsidRPr="00003B04">
        <w:rPr>
          <w:lang w:val="fr-CA"/>
        </w:rPr>
        <w:t>24 février</w:t>
      </w:r>
      <w:r w:rsidR="00440E24" w:rsidRPr="00003B04">
        <w:rPr>
          <w:lang w:val="fr-CA"/>
        </w:rPr>
        <w:t xml:space="preserve"> 201</w:t>
      </w:r>
      <w:r w:rsidR="00E8544A" w:rsidRPr="00003B04">
        <w:rPr>
          <w:lang w:val="fr-CA"/>
        </w:rPr>
        <w:t>7</w:t>
      </w:r>
    </w:p>
    <w:p w:rsidR="00440E24" w:rsidRPr="00003B04" w:rsidRDefault="00440E24" w:rsidP="00440E24">
      <w:pPr>
        <w:pBdr>
          <w:bottom w:val="single" w:sz="6" w:space="1" w:color="auto"/>
        </w:pBdr>
        <w:tabs>
          <w:tab w:val="right" w:pos="9360"/>
        </w:tabs>
        <w:rPr>
          <w:lang w:val="fr-CA"/>
        </w:rPr>
      </w:pPr>
    </w:p>
    <w:p w:rsidR="00440E24" w:rsidRPr="00003B04" w:rsidRDefault="00440E24" w:rsidP="00440E24">
      <w:pPr>
        <w:pBdr>
          <w:bottom w:val="single" w:sz="6" w:space="1" w:color="auto"/>
        </w:pBdr>
        <w:tabs>
          <w:tab w:val="right" w:pos="9360"/>
        </w:tabs>
        <w:rPr>
          <w:sz w:val="18"/>
          <w:szCs w:val="18"/>
          <w:lang w:val="fr-CA"/>
        </w:rPr>
      </w:pPr>
      <w:r w:rsidRPr="00003B04">
        <w:rPr>
          <w:sz w:val="18"/>
          <w:szCs w:val="18"/>
          <w:lang w:val="fr-CA"/>
        </w:rPr>
        <w:t xml:space="preserve">© </w:t>
      </w:r>
      <w:proofErr w:type="spellStart"/>
      <w:r w:rsidRPr="00003B04">
        <w:rPr>
          <w:sz w:val="18"/>
          <w:szCs w:val="18"/>
          <w:lang w:val="fr-CA"/>
        </w:rPr>
        <w:t>Supreme</w:t>
      </w:r>
      <w:proofErr w:type="spellEnd"/>
      <w:r w:rsidRPr="00003B04">
        <w:rPr>
          <w:sz w:val="18"/>
          <w:szCs w:val="18"/>
          <w:lang w:val="fr-CA"/>
        </w:rPr>
        <w:t xml:space="preserve"> Court of Canada (</w:t>
      </w:r>
      <w:r w:rsidR="0030050B" w:rsidRPr="00003B04">
        <w:rPr>
          <w:sz w:val="18"/>
          <w:szCs w:val="18"/>
          <w:lang w:val="fr-CA"/>
        </w:rPr>
        <w:t>201</w:t>
      </w:r>
      <w:r w:rsidR="00E8544A" w:rsidRPr="00003B04">
        <w:rPr>
          <w:sz w:val="18"/>
          <w:szCs w:val="18"/>
          <w:lang w:val="fr-CA"/>
        </w:rPr>
        <w:t>7</w:t>
      </w:r>
      <w:r w:rsidRPr="00003B04">
        <w:rPr>
          <w:sz w:val="18"/>
          <w:szCs w:val="18"/>
          <w:lang w:val="fr-CA"/>
        </w:rPr>
        <w:t>)</w:t>
      </w:r>
      <w:r w:rsidRPr="00003B04">
        <w:rPr>
          <w:sz w:val="18"/>
          <w:szCs w:val="18"/>
          <w:lang w:val="fr-CA"/>
        </w:rPr>
        <w:tab/>
        <w:t>© Cour suprême du Canada (</w:t>
      </w:r>
      <w:r w:rsidR="0030050B" w:rsidRPr="00003B04">
        <w:rPr>
          <w:sz w:val="18"/>
          <w:szCs w:val="18"/>
          <w:lang w:val="fr-CA"/>
        </w:rPr>
        <w:t>201</w:t>
      </w:r>
      <w:r w:rsidR="00E8544A" w:rsidRPr="00003B04">
        <w:rPr>
          <w:sz w:val="18"/>
          <w:szCs w:val="18"/>
          <w:lang w:val="fr-CA"/>
        </w:rPr>
        <w:t>7</w:t>
      </w:r>
      <w:r w:rsidRPr="00003B04">
        <w:rPr>
          <w:sz w:val="18"/>
          <w:szCs w:val="18"/>
          <w:lang w:val="fr-CA"/>
        </w:rPr>
        <w:t>)</w:t>
      </w:r>
    </w:p>
    <w:p w:rsidR="00440E24" w:rsidRPr="00003B04" w:rsidRDefault="00440E24" w:rsidP="00440E24">
      <w:pPr>
        <w:pBdr>
          <w:bottom w:val="single" w:sz="6" w:space="1" w:color="auto"/>
        </w:pBdr>
        <w:tabs>
          <w:tab w:val="right" w:pos="9360"/>
        </w:tabs>
        <w:rPr>
          <w:sz w:val="18"/>
          <w:szCs w:val="18"/>
          <w:lang w:val="fr-CA"/>
        </w:rPr>
      </w:pPr>
      <w:r w:rsidRPr="00003B04">
        <w:rPr>
          <w:sz w:val="18"/>
          <w:szCs w:val="18"/>
          <w:lang w:val="fr-CA"/>
        </w:rPr>
        <w:t>ISSN 1918-8358 (Online)</w:t>
      </w:r>
      <w:r w:rsidRPr="00003B04">
        <w:rPr>
          <w:sz w:val="18"/>
          <w:szCs w:val="18"/>
          <w:lang w:val="fr-CA"/>
        </w:rPr>
        <w:tab/>
        <w:t>ISSN 1918-8358 (En ligne)</w:t>
      </w:r>
    </w:p>
    <w:p w:rsidR="00600252" w:rsidRPr="00003B04" w:rsidRDefault="00600252" w:rsidP="00BF25F3">
      <w:pPr>
        <w:pBdr>
          <w:bottom w:val="single" w:sz="6" w:space="1" w:color="auto"/>
        </w:pBdr>
        <w:tabs>
          <w:tab w:val="left" w:pos="6075"/>
        </w:tabs>
        <w:rPr>
          <w:lang w:val="fr-CA"/>
        </w:rPr>
      </w:pPr>
    </w:p>
    <w:p w:rsidR="0030050B" w:rsidRPr="00003B04"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003B04" w:rsidTr="00245129">
        <w:tc>
          <w:tcPr>
            <w:tcW w:w="4290" w:type="dxa"/>
            <w:shd w:val="clear" w:color="auto" w:fill="auto"/>
            <w:tcMar>
              <w:left w:w="0" w:type="dxa"/>
              <w:right w:w="0" w:type="dxa"/>
            </w:tcMar>
          </w:tcPr>
          <w:p w:rsidR="00245129" w:rsidRPr="00003B04" w:rsidRDefault="00245129" w:rsidP="00245129">
            <w:pPr>
              <w:jc w:val="both"/>
              <w:rPr>
                <w:rFonts w:eastAsia="Times New Roman" w:cs="Times New Roman"/>
                <w:b/>
                <w:sz w:val="20"/>
                <w:szCs w:val="20"/>
                <w:lang w:eastAsia="en-CA"/>
              </w:rPr>
            </w:pPr>
            <w:r w:rsidRPr="00003B04">
              <w:rPr>
                <w:b/>
              </w:rPr>
              <w:t>CONTENTS</w:t>
            </w:r>
          </w:p>
        </w:tc>
        <w:tc>
          <w:tcPr>
            <w:tcW w:w="1200" w:type="dxa"/>
            <w:shd w:val="clear" w:color="auto" w:fill="auto"/>
            <w:tcMar>
              <w:left w:w="0" w:type="dxa"/>
              <w:right w:w="0" w:type="dxa"/>
            </w:tcMar>
          </w:tcPr>
          <w:p w:rsidR="00245129" w:rsidRPr="00003B04" w:rsidRDefault="00245129" w:rsidP="00245129">
            <w:pPr>
              <w:jc w:val="center"/>
              <w:rPr>
                <w:rFonts w:eastAsia="Times New Roman" w:cs="Times New Roman"/>
                <w:b/>
                <w:sz w:val="20"/>
                <w:szCs w:val="20"/>
                <w:lang w:eastAsia="en-CA"/>
              </w:rPr>
            </w:pPr>
          </w:p>
          <w:p w:rsidR="00245129" w:rsidRPr="00003B04"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003B04" w:rsidRDefault="00245129" w:rsidP="00245129">
            <w:pPr>
              <w:rPr>
                <w:rFonts w:eastAsia="Times New Roman" w:cs="Times New Roman"/>
                <w:b/>
                <w:sz w:val="20"/>
                <w:szCs w:val="20"/>
                <w:lang w:val="fr-CA" w:eastAsia="en-CA"/>
              </w:rPr>
            </w:pPr>
            <w:r w:rsidRPr="00003B04">
              <w:rPr>
                <w:b/>
                <w:lang w:val="fr-CA"/>
              </w:rPr>
              <w:t>TABLE DES MATIÈRES</w:t>
            </w:r>
          </w:p>
        </w:tc>
      </w:tr>
    </w:tbl>
    <w:p w:rsidR="0095096B" w:rsidRPr="00003B04"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003B04" w:rsidTr="00164E6D">
        <w:tc>
          <w:tcPr>
            <w:tcW w:w="3708" w:type="dxa"/>
          </w:tcPr>
          <w:p w:rsidR="0095096B" w:rsidRPr="00003B04" w:rsidRDefault="0095096B" w:rsidP="0095096B">
            <w:pPr>
              <w:tabs>
                <w:tab w:val="right" w:pos="9360"/>
              </w:tabs>
              <w:rPr>
                <w:rFonts w:cs="Times New Roman"/>
                <w:sz w:val="20"/>
                <w:szCs w:val="20"/>
              </w:rPr>
            </w:pPr>
            <w:r w:rsidRPr="00003B04">
              <w:rPr>
                <w:rFonts w:cs="Times New Roman"/>
                <w:sz w:val="20"/>
                <w:szCs w:val="20"/>
              </w:rPr>
              <w:t xml:space="preserve">Applications for leave to appeal </w:t>
            </w:r>
          </w:p>
          <w:p w:rsidR="0095096B" w:rsidRPr="00003B04" w:rsidRDefault="0095096B" w:rsidP="0095096B">
            <w:pPr>
              <w:tabs>
                <w:tab w:val="right" w:pos="9360"/>
              </w:tabs>
              <w:rPr>
                <w:rFonts w:cs="Times New Roman"/>
                <w:sz w:val="20"/>
                <w:szCs w:val="20"/>
              </w:rPr>
            </w:pPr>
            <w:r w:rsidRPr="00003B04">
              <w:rPr>
                <w:rFonts w:cs="Times New Roman"/>
                <w:sz w:val="20"/>
                <w:szCs w:val="20"/>
              </w:rPr>
              <w:t>filed</w:t>
            </w:r>
          </w:p>
          <w:p w:rsidR="0095096B" w:rsidRPr="00003B04" w:rsidRDefault="0095096B" w:rsidP="0095096B">
            <w:pPr>
              <w:tabs>
                <w:tab w:val="right" w:pos="9360"/>
              </w:tabs>
              <w:rPr>
                <w:rFonts w:cs="Times New Roman"/>
                <w:sz w:val="20"/>
                <w:szCs w:val="20"/>
              </w:rPr>
            </w:pPr>
          </w:p>
          <w:p w:rsidR="0095096B" w:rsidRPr="00003B04" w:rsidRDefault="0095096B" w:rsidP="0095096B">
            <w:pPr>
              <w:tabs>
                <w:tab w:val="right" w:pos="9360"/>
              </w:tabs>
              <w:rPr>
                <w:rFonts w:cs="Times New Roman"/>
                <w:sz w:val="20"/>
                <w:szCs w:val="20"/>
              </w:rPr>
            </w:pPr>
            <w:r w:rsidRPr="00003B04">
              <w:rPr>
                <w:rFonts w:cs="Times New Roman"/>
                <w:sz w:val="20"/>
                <w:szCs w:val="20"/>
              </w:rPr>
              <w:t xml:space="preserve">Applications for leave submitted </w:t>
            </w:r>
          </w:p>
          <w:p w:rsidR="0095096B" w:rsidRPr="00003B04" w:rsidRDefault="0095096B" w:rsidP="0095096B">
            <w:pPr>
              <w:tabs>
                <w:tab w:val="right" w:pos="9360"/>
              </w:tabs>
              <w:rPr>
                <w:rFonts w:cs="Times New Roman"/>
                <w:sz w:val="20"/>
                <w:szCs w:val="20"/>
              </w:rPr>
            </w:pPr>
            <w:r w:rsidRPr="00003B04">
              <w:rPr>
                <w:rFonts w:cs="Times New Roman"/>
                <w:sz w:val="20"/>
                <w:szCs w:val="20"/>
              </w:rPr>
              <w:t>to Court since last issue</w:t>
            </w:r>
          </w:p>
          <w:p w:rsidR="0095096B" w:rsidRPr="00003B04" w:rsidRDefault="0095096B" w:rsidP="0095096B">
            <w:pPr>
              <w:tabs>
                <w:tab w:val="right" w:pos="9360"/>
              </w:tabs>
              <w:rPr>
                <w:rFonts w:cs="Times New Roman"/>
                <w:sz w:val="20"/>
                <w:szCs w:val="20"/>
              </w:rPr>
            </w:pPr>
          </w:p>
          <w:p w:rsidR="0095096B" w:rsidRPr="00003B04" w:rsidRDefault="0095096B" w:rsidP="0095096B">
            <w:pPr>
              <w:tabs>
                <w:tab w:val="right" w:pos="9360"/>
              </w:tabs>
              <w:rPr>
                <w:rFonts w:cs="Times New Roman"/>
                <w:sz w:val="20"/>
                <w:szCs w:val="20"/>
              </w:rPr>
            </w:pPr>
            <w:r w:rsidRPr="00003B04">
              <w:rPr>
                <w:rFonts w:cs="Times New Roman"/>
                <w:sz w:val="20"/>
                <w:szCs w:val="20"/>
              </w:rPr>
              <w:t xml:space="preserve">Judgments on applications for </w:t>
            </w:r>
          </w:p>
          <w:p w:rsidR="0095096B" w:rsidRPr="00003B04" w:rsidRDefault="0095096B" w:rsidP="0095096B">
            <w:pPr>
              <w:tabs>
                <w:tab w:val="right" w:pos="9360"/>
              </w:tabs>
              <w:rPr>
                <w:rFonts w:cs="Times New Roman"/>
                <w:sz w:val="20"/>
                <w:szCs w:val="20"/>
              </w:rPr>
            </w:pPr>
            <w:r w:rsidRPr="00003B04">
              <w:rPr>
                <w:rFonts w:cs="Times New Roman"/>
                <w:sz w:val="20"/>
                <w:szCs w:val="20"/>
              </w:rPr>
              <w:t>leave</w:t>
            </w:r>
          </w:p>
          <w:p w:rsidR="0095096B" w:rsidRPr="00003B04" w:rsidRDefault="0095096B" w:rsidP="0095096B">
            <w:pPr>
              <w:tabs>
                <w:tab w:val="right" w:pos="9360"/>
              </w:tabs>
              <w:rPr>
                <w:rFonts w:cs="Times New Roman"/>
                <w:sz w:val="20"/>
                <w:szCs w:val="20"/>
              </w:rPr>
            </w:pPr>
          </w:p>
          <w:p w:rsidR="0095096B" w:rsidRPr="00003B04" w:rsidRDefault="0095096B" w:rsidP="0095096B">
            <w:pPr>
              <w:tabs>
                <w:tab w:val="right" w:pos="9360"/>
              </w:tabs>
              <w:rPr>
                <w:rFonts w:cs="Times New Roman"/>
                <w:sz w:val="20"/>
                <w:szCs w:val="20"/>
              </w:rPr>
            </w:pPr>
            <w:r w:rsidRPr="00003B04">
              <w:rPr>
                <w:rFonts w:cs="Times New Roman"/>
                <w:sz w:val="20"/>
                <w:szCs w:val="20"/>
              </w:rPr>
              <w:t>Motions</w:t>
            </w:r>
          </w:p>
          <w:p w:rsidR="0095096B" w:rsidRPr="00003B04" w:rsidRDefault="0095096B" w:rsidP="0095096B">
            <w:pPr>
              <w:tabs>
                <w:tab w:val="right" w:pos="9360"/>
              </w:tabs>
              <w:rPr>
                <w:rFonts w:cs="Times New Roman"/>
                <w:sz w:val="20"/>
                <w:szCs w:val="20"/>
              </w:rPr>
            </w:pPr>
          </w:p>
          <w:p w:rsidR="0095096B" w:rsidRPr="00003B04" w:rsidRDefault="0095096B" w:rsidP="0095096B">
            <w:pPr>
              <w:tabs>
                <w:tab w:val="right" w:pos="9360"/>
              </w:tabs>
              <w:rPr>
                <w:rFonts w:cs="Times New Roman"/>
                <w:sz w:val="20"/>
                <w:szCs w:val="20"/>
              </w:rPr>
            </w:pPr>
            <w:r w:rsidRPr="00003B04">
              <w:rPr>
                <w:rFonts w:cs="Times New Roman"/>
                <w:sz w:val="20"/>
                <w:szCs w:val="20"/>
              </w:rPr>
              <w:t>Appeals heard since last issue and disposition</w:t>
            </w:r>
          </w:p>
          <w:p w:rsidR="0095096B" w:rsidRPr="00003B04" w:rsidRDefault="0095096B" w:rsidP="0095096B">
            <w:pPr>
              <w:tabs>
                <w:tab w:val="right" w:pos="9360"/>
              </w:tabs>
              <w:rPr>
                <w:rFonts w:cs="Times New Roman"/>
                <w:sz w:val="20"/>
                <w:szCs w:val="20"/>
              </w:rPr>
            </w:pPr>
          </w:p>
          <w:p w:rsidR="0095096B" w:rsidRPr="00003B04" w:rsidRDefault="0095096B" w:rsidP="0095096B">
            <w:pPr>
              <w:tabs>
                <w:tab w:val="right" w:pos="9360"/>
              </w:tabs>
              <w:rPr>
                <w:rFonts w:cs="Times New Roman"/>
                <w:sz w:val="20"/>
                <w:szCs w:val="20"/>
              </w:rPr>
            </w:pPr>
            <w:r w:rsidRPr="00003B04">
              <w:rPr>
                <w:rFonts w:cs="Times New Roman"/>
                <w:sz w:val="20"/>
                <w:szCs w:val="20"/>
              </w:rPr>
              <w:t>Pronouncements of appeals reserved</w:t>
            </w:r>
          </w:p>
          <w:p w:rsidR="0095096B" w:rsidRPr="00003B04" w:rsidRDefault="0095096B" w:rsidP="0095096B">
            <w:pPr>
              <w:tabs>
                <w:tab w:val="right" w:pos="9360"/>
              </w:tabs>
              <w:rPr>
                <w:rFonts w:cs="Times New Roman"/>
                <w:sz w:val="20"/>
                <w:szCs w:val="20"/>
              </w:rPr>
            </w:pPr>
          </w:p>
          <w:p w:rsidR="0095096B" w:rsidRPr="00003B04" w:rsidRDefault="0095096B" w:rsidP="0095096B">
            <w:pPr>
              <w:tabs>
                <w:tab w:val="right" w:pos="9360"/>
              </w:tabs>
              <w:rPr>
                <w:rFonts w:cs="Times New Roman"/>
                <w:sz w:val="20"/>
                <w:szCs w:val="20"/>
              </w:rPr>
            </w:pPr>
          </w:p>
          <w:p w:rsidR="0095096B" w:rsidRPr="00003B04" w:rsidRDefault="0095096B" w:rsidP="0095096B">
            <w:pPr>
              <w:tabs>
                <w:tab w:val="right" w:pos="9360"/>
              </w:tabs>
              <w:rPr>
                <w:rFonts w:cs="Times New Roman"/>
                <w:sz w:val="20"/>
                <w:szCs w:val="20"/>
              </w:rPr>
            </w:pPr>
            <w:r w:rsidRPr="00003B04">
              <w:rPr>
                <w:rFonts w:cs="Times New Roman"/>
                <w:sz w:val="20"/>
                <w:szCs w:val="20"/>
              </w:rPr>
              <w:t>Headnotes of recent judgments</w:t>
            </w:r>
          </w:p>
          <w:p w:rsidR="0095096B" w:rsidRPr="00003B04" w:rsidRDefault="0095096B" w:rsidP="0095096B">
            <w:pPr>
              <w:tabs>
                <w:tab w:val="right" w:pos="9360"/>
              </w:tabs>
              <w:rPr>
                <w:rFonts w:cs="Times New Roman"/>
                <w:sz w:val="20"/>
                <w:szCs w:val="20"/>
              </w:rPr>
            </w:pPr>
          </w:p>
          <w:p w:rsidR="00A87207" w:rsidRPr="00003B04" w:rsidRDefault="00A87207" w:rsidP="009D7E89">
            <w:pPr>
              <w:tabs>
                <w:tab w:val="right" w:pos="9360"/>
              </w:tabs>
              <w:rPr>
                <w:rFonts w:cs="Times New Roman"/>
                <w:sz w:val="20"/>
                <w:szCs w:val="20"/>
              </w:rPr>
            </w:pPr>
          </w:p>
        </w:tc>
        <w:tc>
          <w:tcPr>
            <w:tcW w:w="1980" w:type="dxa"/>
          </w:tcPr>
          <w:p w:rsidR="0095096B" w:rsidRPr="00003B04" w:rsidRDefault="00887A6A" w:rsidP="0095096B">
            <w:pPr>
              <w:jc w:val="center"/>
              <w:rPr>
                <w:rFonts w:cs="Times New Roman"/>
                <w:sz w:val="20"/>
                <w:szCs w:val="20"/>
              </w:rPr>
            </w:pPr>
            <w:r w:rsidRPr="00003B04">
              <w:rPr>
                <w:rFonts w:cs="Times New Roman"/>
                <w:sz w:val="20"/>
                <w:szCs w:val="20"/>
              </w:rPr>
              <w:t xml:space="preserve">300 </w:t>
            </w:r>
            <w:r w:rsidR="000E27A5" w:rsidRPr="00003B04">
              <w:rPr>
                <w:rFonts w:cs="Times New Roman"/>
                <w:sz w:val="20"/>
                <w:szCs w:val="20"/>
              </w:rPr>
              <w:fldChar w:fldCharType="begin"/>
            </w:r>
            <w:r w:rsidR="0095096B" w:rsidRPr="00003B04">
              <w:rPr>
                <w:rFonts w:cs="Times New Roman"/>
                <w:sz w:val="20"/>
                <w:szCs w:val="20"/>
              </w:rPr>
              <w:instrText xml:space="preserve"> SEQ CHAPTER \h \r 1</w:instrText>
            </w:r>
            <w:r w:rsidR="000E27A5" w:rsidRPr="00003B04">
              <w:rPr>
                <w:rFonts w:cs="Times New Roman"/>
                <w:sz w:val="20"/>
                <w:szCs w:val="20"/>
              </w:rPr>
              <w:fldChar w:fldCharType="end"/>
            </w:r>
            <w:r w:rsidR="0095096B" w:rsidRPr="00003B04">
              <w:rPr>
                <w:rFonts w:cs="Times New Roman"/>
                <w:sz w:val="20"/>
                <w:szCs w:val="20"/>
              </w:rPr>
              <w:t>-</w:t>
            </w:r>
            <w:r w:rsidRPr="00003B04">
              <w:rPr>
                <w:rFonts w:cs="Times New Roman"/>
                <w:sz w:val="20"/>
                <w:szCs w:val="20"/>
              </w:rPr>
              <w:t xml:space="preserve"> 302</w:t>
            </w:r>
          </w:p>
          <w:p w:rsidR="0095096B" w:rsidRPr="00003B04" w:rsidRDefault="0095096B" w:rsidP="0095096B">
            <w:pPr>
              <w:jc w:val="center"/>
              <w:rPr>
                <w:rFonts w:cs="Times New Roman"/>
                <w:sz w:val="20"/>
                <w:szCs w:val="20"/>
              </w:rPr>
            </w:pPr>
          </w:p>
          <w:p w:rsidR="0095096B" w:rsidRPr="00003B04" w:rsidRDefault="0095096B" w:rsidP="0095096B">
            <w:pPr>
              <w:jc w:val="center"/>
              <w:rPr>
                <w:rFonts w:cs="Times New Roman"/>
                <w:sz w:val="20"/>
                <w:szCs w:val="20"/>
              </w:rPr>
            </w:pPr>
          </w:p>
          <w:p w:rsidR="0095096B" w:rsidRPr="00003B04" w:rsidRDefault="00887A6A" w:rsidP="0095096B">
            <w:pPr>
              <w:jc w:val="center"/>
              <w:rPr>
                <w:rFonts w:cs="Times New Roman"/>
                <w:sz w:val="20"/>
                <w:szCs w:val="20"/>
              </w:rPr>
            </w:pPr>
            <w:r w:rsidRPr="00003B04">
              <w:rPr>
                <w:rFonts w:cs="Times New Roman"/>
                <w:sz w:val="20"/>
                <w:szCs w:val="20"/>
              </w:rPr>
              <w:t>303</w:t>
            </w:r>
          </w:p>
          <w:p w:rsidR="0095096B" w:rsidRPr="00003B04" w:rsidRDefault="0095096B" w:rsidP="0095096B">
            <w:pPr>
              <w:jc w:val="center"/>
              <w:rPr>
                <w:rFonts w:cs="Times New Roman"/>
                <w:sz w:val="20"/>
                <w:szCs w:val="20"/>
              </w:rPr>
            </w:pPr>
          </w:p>
          <w:p w:rsidR="0095096B" w:rsidRPr="00003B04" w:rsidRDefault="00887A6A" w:rsidP="0095096B">
            <w:pPr>
              <w:jc w:val="center"/>
              <w:rPr>
                <w:rFonts w:cs="Times New Roman"/>
                <w:sz w:val="20"/>
                <w:szCs w:val="20"/>
              </w:rPr>
            </w:pPr>
            <w:r w:rsidRPr="00003B04">
              <w:rPr>
                <w:rFonts w:cs="Times New Roman"/>
                <w:sz w:val="20"/>
                <w:szCs w:val="20"/>
              </w:rPr>
              <w:t xml:space="preserve">304 </w:t>
            </w:r>
            <w:r w:rsidR="0095096B" w:rsidRPr="00003B04">
              <w:rPr>
                <w:rFonts w:cs="Times New Roman"/>
                <w:sz w:val="20"/>
                <w:szCs w:val="20"/>
              </w:rPr>
              <w:t>-</w:t>
            </w:r>
            <w:r w:rsidRPr="00003B04">
              <w:rPr>
                <w:rFonts w:cs="Times New Roman"/>
                <w:sz w:val="20"/>
                <w:szCs w:val="20"/>
              </w:rPr>
              <w:t xml:space="preserve"> 345</w:t>
            </w:r>
          </w:p>
          <w:p w:rsidR="0095096B" w:rsidRPr="00003B04" w:rsidRDefault="0095096B" w:rsidP="0095096B">
            <w:pPr>
              <w:jc w:val="center"/>
              <w:rPr>
                <w:rFonts w:cs="Times New Roman"/>
                <w:sz w:val="20"/>
                <w:szCs w:val="20"/>
              </w:rPr>
            </w:pPr>
          </w:p>
          <w:p w:rsidR="009D7E89" w:rsidRPr="00003B04" w:rsidRDefault="009D7E89" w:rsidP="0095096B">
            <w:pPr>
              <w:jc w:val="center"/>
              <w:rPr>
                <w:rFonts w:cs="Times New Roman"/>
                <w:sz w:val="20"/>
                <w:szCs w:val="20"/>
              </w:rPr>
            </w:pPr>
          </w:p>
          <w:p w:rsidR="00887A6A" w:rsidRPr="00003B04" w:rsidRDefault="00887A6A" w:rsidP="0095096B">
            <w:pPr>
              <w:jc w:val="center"/>
              <w:rPr>
                <w:rFonts w:cs="Times New Roman"/>
                <w:sz w:val="20"/>
                <w:szCs w:val="20"/>
              </w:rPr>
            </w:pPr>
          </w:p>
          <w:p w:rsidR="0095096B" w:rsidRPr="00003B04" w:rsidRDefault="00887A6A" w:rsidP="0095096B">
            <w:pPr>
              <w:jc w:val="center"/>
              <w:rPr>
                <w:rFonts w:cs="Times New Roman"/>
                <w:sz w:val="20"/>
                <w:szCs w:val="20"/>
              </w:rPr>
            </w:pPr>
            <w:r w:rsidRPr="00003B04">
              <w:rPr>
                <w:rFonts w:cs="Times New Roman"/>
                <w:sz w:val="20"/>
                <w:szCs w:val="20"/>
              </w:rPr>
              <w:t xml:space="preserve">346 </w:t>
            </w:r>
            <w:r w:rsidR="0095096B" w:rsidRPr="00003B04">
              <w:rPr>
                <w:rFonts w:cs="Times New Roman"/>
                <w:sz w:val="20"/>
                <w:szCs w:val="20"/>
              </w:rPr>
              <w:t>-</w:t>
            </w:r>
            <w:r w:rsidRPr="00003B04">
              <w:rPr>
                <w:rFonts w:cs="Times New Roman"/>
                <w:sz w:val="20"/>
                <w:szCs w:val="20"/>
              </w:rPr>
              <w:t xml:space="preserve"> 348</w:t>
            </w:r>
          </w:p>
          <w:p w:rsidR="0095096B" w:rsidRPr="00003B04" w:rsidRDefault="0095096B" w:rsidP="0095096B">
            <w:pPr>
              <w:jc w:val="center"/>
              <w:rPr>
                <w:rFonts w:cs="Times New Roman"/>
                <w:sz w:val="20"/>
                <w:szCs w:val="20"/>
              </w:rPr>
            </w:pPr>
          </w:p>
          <w:p w:rsidR="0095096B" w:rsidRPr="00003B04" w:rsidRDefault="00887A6A" w:rsidP="0095096B">
            <w:pPr>
              <w:jc w:val="center"/>
              <w:rPr>
                <w:rFonts w:cs="Times New Roman"/>
                <w:sz w:val="20"/>
                <w:szCs w:val="20"/>
              </w:rPr>
            </w:pPr>
            <w:r w:rsidRPr="00003B04">
              <w:rPr>
                <w:rFonts w:cs="Times New Roman"/>
                <w:sz w:val="20"/>
                <w:szCs w:val="20"/>
              </w:rPr>
              <w:t xml:space="preserve">349 </w:t>
            </w:r>
            <w:r w:rsidR="0095096B" w:rsidRPr="00003B04">
              <w:rPr>
                <w:rFonts w:cs="Times New Roman"/>
                <w:sz w:val="20"/>
                <w:szCs w:val="20"/>
              </w:rPr>
              <w:t>-</w:t>
            </w:r>
            <w:r w:rsidRPr="00003B04">
              <w:rPr>
                <w:rFonts w:cs="Times New Roman"/>
                <w:sz w:val="20"/>
                <w:szCs w:val="20"/>
              </w:rPr>
              <w:t xml:space="preserve"> 353</w:t>
            </w:r>
          </w:p>
          <w:p w:rsidR="0095096B" w:rsidRPr="00003B04" w:rsidRDefault="0095096B" w:rsidP="0095096B">
            <w:pPr>
              <w:jc w:val="center"/>
              <w:rPr>
                <w:rFonts w:cs="Times New Roman"/>
                <w:sz w:val="20"/>
                <w:szCs w:val="20"/>
              </w:rPr>
            </w:pPr>
          </w:p>
          <w:p w:rsidR="0095096B" w:rsidRPr="00003B04" w:rsidRDefault="0095096B" w:rsidP="0095096B">
            <w:pPr>
              <w:jc w:val="center"/>
              <w:rPr>
                <w:rFonts w:cs="Times New Roman"/>
                <w:sz w:val="20"/>
                <w:szCs w:val="20"/>
              </w:rPr>
            </w:pPr>
          </w:p>
          <w:p w:rsidR="0095096B" w:rsidRPr="00003B04" w:rsidRDefault="00887A6A" w:rsidP="0095096B">
            <w:pPr>
              <w:jc w:val="center"/>
              <w:rPr>
                <w:rFonts w:cs="Times New Roman"/>
                <w:sz w:val="20"/>
                <w:szCs w:val="20"/>
              </w:rPr>
            </w:pPr>
            <w:r w:rsidRPr="00003B04">
              <w:rPr>
                <w:rFonts w:cs="Times New Roman"/>
                <w:sz w:val="20"/>
                <w:szCs w:val="20"/>
              </w:rPr>
              <w:t xml:space="preserve">354 </w:t>
            </w:r>
            <w:r w:rsidR="0095096B" w:rsidRPr="00003B04">
              <w:rPr>
                <w:rFonts w:cs="Times New Roman"/>
                <w:sz w:val="20"/>
                <w:szCs w:val="20"/>
              </w:rPr>
              <w:t>-</w:t>
            </w:r>
            <w:r w:rsidRPr="00003B04">
              <w:rPr>
                <w:rFonts w:cs="Times New Roman"/>
                <w:sz w:val="20"/>
                <w:szCs w:val="20"/>
              </w:rPr>
              <w:t xml:space="preserve"> 355</w:t>
            </w:r>
          </w:p>
          <w:p w:rsidR="0095096B" w:rsidRPr="00003B04" w:rsidRDefault="0095096B" w:rsidP="0095096B">
            <w:pPr>
              <w:jc w:val="center"/>
              <w:rPr>
                <w:rFonts w:cs="Times New Roman"/>
                <w:sz w:val="20"/>
                <w:szCs w:val="20"/>
              </w:rPr>
            </w:pPr>
          </w:p>
          <w:p w:rsidR="009D7E89" w:rsidRPr="00003B04" w:rsidRDefault="009D7E89" w:rsidP="0095096B">
            <w:pPr>
              <w:jc w:val="center"/>
              <w:rPr>
                <w:rFonts w:cs="Times New Roman"/>
                <w:sz w:val="20"/>
                <w:szCs w:val="20"/>
              </w:rPr>
            </w:pPr>
          </w:p>
          <w:p w:rsidR="0095096B" w:rsidRPr="00003B04" w:rsidRDefault="00887A6A" w:rsidP="0095096B">
            <w:pPr>
              <w:jc w:val="center"/>
              <w:rPr>
                <w:rFonts w:cs="Times New Roman"/>
                <w:sz w:val="20"/>
                <w:szCs w:val="20"/>
              </w:rPr>
            </w:pPr>
            <w:r w:rsidRPr="00003B04">
              <w:rPr>
                <w:rFonts w:cs="Times New Roman"/>
                <w:sz w:val="20"/>
                <w:szCs w:val="20"/>
              </w:rPr>
              <w:t xml:space="preserve">356 </w:t>
            </w:r>
            <w:r w:rsidR="0095096B" w:rsidRPr="00003B04">
              <w:rPr>
                <w:rFonts w:cs="Times New Roman"/>
                <w:sz w:val="20"/>
                <w:szCs w:val="20"/>
              </w:rPr>
              <w:t>-</w:t>
            </w:r>
            <w:r w:rsidRPr="00003B04">
              <w:rPr>
                <w:rFonts w:cs="Times New Roman"/>
                <w:sz w:val="20"/>
                <w:szCs w:val="20"/>
              </w:rPr>
              <w:t xml:space="preserve"> 359</w:t>
            </w:r>
          </w:p>
          <w:p w:rsidR="00A87207" w:rsidRPr="00003B04" w:rsidRDefault="00A87207" w:rsidP="009D7E89">
            <w:pPr>
              <w:rPr>
                <w:rFonts w:cs="Times New Roman"/>
                <w:sz w:val="20"/>
                <w:szCs w:val="20"/>
              </w:rPr>
            </w:pPr>
          </w:p>
        </w:tc>
        <w:tc>
          <w:tcPr>
            <w:tcW w:w="3888" w:type="dxa"/>
          </w:tcPr>
          <w:p w:rsidR="0095096B" w:rsidRPr="00003B04" w:rsidRDefault="000E27A5" w:rsidP="0095096B">
            <w:pPr>
              <w:rPr>
                <w:rFonts w:cs="Times New Roman"/>
                <w:sz w:val="20"/>
                <w:szCs w:val="20"/>
                <w:lang w:val="fr-CA"/>
              </w:rPr>
            </w:pPr>
            <w:r w:rsidRPr="00003B04">
              <w:rPr>
                <w:rFonts w:cs="Times New Roman"/>
                <w:sz w:val="20"/>
                <w:szCs w:val="20"/>
                <w:lang w:val="fr-CA"/>
              </w:rPr>
              <w:fldChar w:fldCharType="begin"/>
            </w:r>
            <w:r w:rsidR="0095096B" w:rsidRPr="00003B04">
              <w:rPr>
                <w:rFonts w:cs="Times New Roman"/>
                <w:sz w:val="20"/>
                <w:szCs w:val="20"/>
                <w:lang w:val="fr-CA"/>
              </w:rPr>
              <w:instrText xml:space="preserve"> SEQ CHAPTER \h \r 1</w:instrText>
            </w:r>
            <w:r w:rsidRPr="00003B04">
              <w:rPr>
                <w:rFonts w:cs="Times New Roman"/>
                <w:sz w:val="20"/>
                <w:szCs w:val="20"/>
                <w:lang w:val="fr-CA"/>
              </w:rPr>
              <w:fldChar w:fldCharType="end"/>
            </w:r>
            <w:r w:rsidR="0095096B" w:rsidRPr="00003B04">
              <w:rPr>
                <w:rFonts w:cs="Times New Roman"/>
                <w:sz w:val="20"/>
                <w:szCs w:val="20"/>
                <w:lang w:val="fr-CA"/>
              </w:rPr>
              <w:t>Demandes d</w:t>
            </w:r>
            <w:r w:rsidR="004137A0" w:rsidRPr="00003B04">
              <w:rPr>
                <w:rFonts w:cs="Times New Roman"/>
                <w:sz w:val="20"/>
                <w:szCs w:val="20"/>
                <w:lang w:val="fr-CA"/>
              </w:rPr>
              <w:t>’</w:t>
            </w:r>
            <w:r w:rsidR="0095096B" w:rsidRPr="00003B04">
              <w:rPr>
                <w:rFonts w:cs="Times New Roman"/>
                <w:sz w:val="20"/>
                <w:szCs w:val="20"/>
                <w:lang w:val="fr-CA"/>
              </w:rPr>
              <w:t>autorisation d</w:t>
            </w:r>
            <w:r w:rsidR="004137A0" w:rsidRPr="00003B04">
              <w:rPr>
                <w:rFonts w:cs="Times New Roman"/>
                <w:sz w:val="20"/>
                <w:szCs w:val="20"/>
                <w:lang w:val="fr-CA"/>
              </w:rPr>
              <w:t>’</w:t>
            </w:r>
            <w:r w:rsidR="0095096B" w:rsidRPr="00003B04">
              <w:rPr>
                <w:rFonts w:cs="Times New Roman"/>
                <w:sz w:val="20"/>
                <w:szCs w:val="20"/>
                <w:lang w:val="fr-CA"/>
              </w:rPr>
              <w:t xml:space="preserve">appel </w:t>
            </w:r>
          </w:p>
          <w:p w:rsidR="0095096B" w:rsidRPr="00003B04" w:rsidRDefault="0095096B" w:rsidP="0095096B">
            <w:pPr>
              <w:rPr>
                <w:rFonts w:cs="Times New Roman"/>
                <w:sz w:val="20"/>
                <w:szCs w:val="20"/>
                <w:lang w:val="fr-CA"/>
              </w:rPr>
            </w:pPr>
            <w:r w:rsidRPr="00003B04">
              <w:rPr>
                <w:rFonts w:cs="Times New Roman"/>
                <w:sz w:val="20"/>
                <w:szCs w:val="20"/>
                <w:lang w:val="fr-CA"/>
              </w:rPr>
              <w:t>déposées</w:t>
            </w:r>
          </w:p>
          <w:p w:rsidR="0095096B" w:rsidRPr="00003B04" w:rsidRDefault="0095096B" w:rsidP="0095096B">
            <w:pPr>
              <w:rPr>
                <w:rFonts w:cs="Times New Roman"/>
                <w:sz w:val="20"/>
                <w:szCs w:val="20"/>
                <w:lang w:val="fr-CA"/>
              </w:rPr>
            </w:pPr>
          </w:p>
          <w:p w:rsidR="0095096B" w:rsidRPr="00003B04" w:rsidRDefault="0095096B" w:rsidP="0095096B">
            <w:pPr>
              <w:rPr>
                <w:rFonts w:cs="Times New Roman"/>
                <w:sz w:val="20"/>
                <w:szCs w:val="20"/>
                <w:lang w:val="fr-CA"/>
              </w:rPr>
            </w:pPr>
            <w:r w:rsidRPr="00003B04">
              <w:rPr>
                <w:rFonts w:cs="Times New Roman"/>
                <w:sz w:val="20"/>
                <w:szCs w:val="20"/>
                <w:lang w:val="fr-CA"/>
              </w:rPr>
              <w:t xml:space="preserve">Demandes soumises à la Cour depuis la </w:t>
            </w:r>
          </w:p>
          <w:p w:rsidR="0095096B" w:rsidRPr="00003B04" w:rsidRDefault="0095096B" w:rsidP="0095096B">
            <w:pPr>
              <w:rPr>
                <w:rFonts w:cs="Times New Roman"/>
                <w:sz w:val="20"/>
                <w:szCs w:val="20"/>
                <w:lang w:val="fr-CA"/>
              </w:rPr>
            </w:pPr>
            <w:r w:rsidRPr="00003B04">
              <w:rPr>
                <w:rFonts w:cs="Times New Roman"/>
                <w:sz w:val="20"/>
                <w:szCs w:val="20"/>
                <w:lang w:val="fr-CA"/>
              </w:rPr>
              <w:t>dernière parution</w:t>
            </w:r>
          </w:p>
          <w:p w:rsidR="0095096B" w:rsidRPr="00003B04" w:rsidRDefault="0095096B" w:rsidP="0095096B">
            <w:pPr>
              <w:rPr>
                <w:rFonts w:cs="Times New Roman"/>
                <w:sz w:val="20"/>
                <w:szCs w:val="20"/>
                <w:lang w:val="fr-CA"/>
              </w:rPr>
            </w:pPr>
          </w:p>
          <w:p w:rsidR="0095096B" w:rsidRPr="00003B04" w:rsidRDefault="0095096B" w:rsidP="0095096B">
            <w:pPr>
              <w:rPr>
                <w:rFonts w:cs="Times New Roman"/>
                <w:sz w:val="20"/>
                <w:szCs w:val="20"/>
                <w:lang w:val="fr-CA"/>
              </w:rPr>
            </w:pPr>
            <w:r w:rsidRPr="00003B04">
              <w:rPr>
                <w:rFonts w:cs="Times New Roman"/>
                <w:sz w:val="20"/>
                <w:szCs w:val="20"/>
                <w:lang w:val="fr-CA"/>
              </w:rPr>
              <w:t xml:space="preserve">Jugements rendus sur les demandes </w:t>
            </w:r>
          </w:p>
          <w:p w:rsidR="0095096B" w:rsidRPr="00003B04" w:rsidRDefault="004137A0" w:rsidP="0095096B">
            <w:pPr>
              <w:rPr>
                <w:rFonts w:cs="Times New Roman"/>
                <w:sz w:val="20"/>
                <w:szCs w:val="20"/>
                <w:lang w:val="fr-CA"/>
              </w:rPr>
            </w:pPr>
            <w:r w:rsidRPr="00003B04">
              <w:rPr>
                <w:rFonts w:cs="Times New Roman"/>
                <w:sz w:val="20"/>
                <w:szCs w:val="20"/>
                <w:lang w:val="fr-CA"/>
              </w:rPr>
              <w:t>d’</w:t>
            </w:r>
            <w:r w:rsidR="0095096B" w:rsidRPr="00003B04">
              <w:rPr>
                <w:rFonts w:cs="Times New Roman"/>
                <w:sz w:val="20"/>
                <w:szCs w:val="20"/>
                <w:lang w:val="fr-CA"/>
              </w:rPr>
              <w:t>autorisation</w:t>
            </w:r>
          </w:p>
          <w:p w:rsidR="0095096B" w:rsidRPr="00003B04" w:rsidRDefault="0095096B" w:rsidP="0095096B">
            <w:pPr>
              <w:rPr>
                <w:rFonts w:cs="Times New Roman"/>
                <w:sz w:val="20"/>
                <w:szCs w:val="20"/>
                <w:lang w:val="fr-CA"/>
              </w:rPr>
            </w:pPr>
          </w:p>
          <w:p w:rsidR="0095096B" w:rsidRPr="00003B04" w:rsidRDefault="0095096B" w:rsidP="0095096B">
            <w:pPr>
              <w:rPr>
                <w:rFonts w:cs="Times New Roman"/>
                <w:sz w:val="20"/>
                <w:szCs w:val="20"/>
                <w:lang w:val="fr-CA"/>
              </w:rPr>
            </w:pPr>
            <w:r w:rsidRPr="00003B04">
              <w:rPr>
                <w:rFonts w:cs="Times New Roman"/>
                <w:sz w:val="20"/>
                <w:szCs w:val="20"/>
                <w:lang w:val="fr-CA"/>
              </w:rPr>
              <w:t>Requêtes</w:t>
            </w:r>
          </w:p>
          <w:p w:rsidR="0095096B" w:rsidRPr="00003B04" w:rsidRDefault="0095096B" w:rsidP="0095096B">
            <w:pPr>
              <w:rPr>
                <w:rFonts w:cs="Times New Roman"/>
                <w:sz w:val="20"/>
                <w:szCs w:val="20"/>
                <w:lang w:val="fr-CA"/>
              </w:rPr>
            </w:pPr>
          </w:p>
          <w:p w:rsidR="0095096B" w:rsidRPr="00003B04" w:rsidRDefault="0095096B" w:rsidP="0095096B">
            <w:pPr>
              <w:rPr>
                <w:rFonts w:cs="Times New Roman"/>
                <w:sz w:val="20"/>
                <w:szCs w:val="20"/>
                <w:lang w:val="fr-CA"/>
              </w:rPr>
            </w:pPr>
            <w:r w:rsidRPr="00003B04">
              <w:rPr>
                <w:rFonts w:cs="Times New Roman"/>
                <w:sz w:val="20"/>
                <w:szCs w:val="20"/>
                <w:lang w:val="fr-CA"/>
              </w:rPr>
              <w:t xml:space="preserve">Appels entendus depuis la dernière </w:t>
            </w:r>
          </w:p>
          <w:p w:rsidR="0095096B" w:rsidRPr="00003B04" w:rsidRDefault="0095096B" w:rsidP="0095096B">
            <w:pPr>
              <w:rPr>
                <w:rFonts w:cs="Times New Roman"/>
                <w:sz w:val="20"/>
                <w:szCs w:val="20"/>
                <w:lang w:val="fr-CA"/>
              </w:rPr>
            </w:pPr>
            <w:r w:rsidRPr="00003B04">
              <w:rPr>
                <w:rFonts w:cs="Times New Roman"/>
                <w:sz w:val="20"/>
                <w:szCs w:val="20"/>
                <w:lang w:val="fr-CA"/>
              </w:rPr>
              <w:t>parution et résultat</w:t>
            </w:r>
          </w:p>
          <w:p w:rsidR="0095096B" w:rsidRPr="00003B04" w:rsidRDefault="0095096B" w:rsidP="0095096B">
            <w:pPr>
              <w:rPr>
                <w:rFonts w:cs="Times New Roman"/>
                <w:sz w:val="20"/>
                <w:szCs w:val="20"/>
                <w:lang w:val="fr-CA"/>
              </w:rPr>
            </w:pPr>
          </w:p>
          <w:p w:rsidR="0095096B" w:rsidRPr="00003B04" w:rsidRDefault="0095096B" w:rsidP="0095096B">
            <w:pPr>
              <w:rPr>
                <w:rFonts w:cs="Times New Roman"/>
                <w:sz w:val="20"/>
                <w:szCs w:val="20"/>
                <w:lang w:val="fr-CA"/>
              </w:rPr>
            </w:pPr>
            <w:r w:rsidRPr="00003B04">
              <w:rPr>
                <w:rFonts w:cs="Times New Roman"/>
                <w:sz w:val="20"/>
                <w:szCs w:val="20"/>
                <w:lang w:val="fr-CA"/>
              </w:rPr>
              <w:t xml:space="preserve">Jugements rendus sur les appels en </w:t>
            </w:r>
          </w:p>
          <w:p w:rsidR="0095096B" w:rsidRPr="00003B04" w:rsidRDefault="0095096B" w:rsidP="0095096B">
            <w:pPr>
              <w:rPr>
                <w:rFonts w:cs="Times New Roman"/>
                <w:sz w:val="20"/>
                <w:szCs w:val="20"/>
                <w:lang w:val="fr-CA"/>
              </w:rPr>
            </w:pPr>
            <w:r w:rsidRPr="00003B04">
              <w:rPr>
                <w:rFonts w:cs="Times New Roman"/>
                <w:sz w:val="20"/>
                <w:szCs w:val="20"/>
                <w:lang w:val="fr-CA"/>
              </w:rPr>
              <w:t>délibéré</w:t>
            </w:r>
          </w:p>
          <w:p w:rsidR="0095096B" w:rsidRPr="00003B04" w:rsidRDefault="0095096B" w:rsidP="0095096B">
            <w:pPr>
              <w:rPr>
                <w:rFonts w:cs="Times New Roman"/>
                <w:sz w:val="20"/>
                <w:szCs w:val="20"/>
                <w:lang w:val="fr-CA"/>
              </w:rPr>
            </w:pPr>
          </w:p>
          <w:p w:rsidR="0095096B" w:rsidRPr="00003B04" w:rsidRDefault="0095096B" w:rsidP="0095096B">
            <w:pPr>
              <w:rPr>
                <w:rFonts w:cs="Times New Roman"/>
                <w:sz w:val="20"/>
                <w:szCs w:val="20"/>
                <w:lang w:val="fr-CA"/>
              </w:rPr>
            </w:pPr>
            <w:r w:rsidRPr="00003B04">
              <w:rPr>
                <w:rFonts w:cs="Times New Roman"/>
                <w:sz w:val="20"/>
                <w:szCs w:val="20"/>
                <w:lang w:val="fr-CA"/>
              </w:rPr>
              <w:t xml:space="preserve">Sommaires de </w:t>
            </w:r>
            <w:r w:rsidR="00C50A5C" w:rsidRPr="00003B04">
              <w:rPr>
                <w:rFonts w:cs="Times New Roman"/>
                <w:sz w:val="20"/>
                <w:szCs w:val="20"/>
                <w:lang w:val="fr-CA"/>
              </w:rPr>
              <w:t>jugements récents</w:t>
            </w:r>
          </w:p>
          <w:p w:rsidR="0095096B" w:rsidRPr="00003B04" w:rsidRDefault="0095096B" w:rsidP="0095096B">
            <w:pPr>
              <w:rPr>
                <w:rFonts w:cs="Times New Roman"/>
                <w:sz w:val="20"/>
                <w:szCs w:val="20"/>
                <w:lang w:val="fr-CA"/>
              </w:rPr>
            </w:pPr>
          </w:p>
          <w:p w:rsidR="00A87207" w:rsidRPr="00003B04" w:rsidRDefault="00A87207" w:rsidP="009D7E89">
            <w:pPr>
              <w:tabs>
                <w:tab w:val="right" w:pos="9360"/>
              </w:tabs>
              <w:rPr>
                <w:rFonts w:cs="Times New Roman"/>
                <w:sz w:val="20"/>
                <w:szCs w:val="20"/>
                <w:lang w:val="fr-CA"/>
              </w:rPr>
            </w:pPr>
          </w:p>
        </w:tc>
      </w:tr>
    </w:tbl>
    <w:p w:rsidR="0095096B" w:rsidRPr="00003B04"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C3697D" w:rsidTr="0079724F">
        <w:tc>
          <w:tcPr>
            <w:tcW w:w="9576" w:type="dxa"/>
          </w:tcPr>
          <w:p w:rsidR="0079724F" w:rsidRPr="00003B04" w:rsidRDefault="0079724F" w:rsidP="00215F7C">
            <w:pPr>
              <w:keepNext/>
              <w:tabs>
                <w:tab w:val="right" w:pos="9360"/>
              </w:tabs>
              <w:jc w:val="center"/>
              <w:rPr>
                <w:szCs w:val="24"/>
              </w:rPr>
            </w:pPr>
            <w:r w:rsidRPr="00003B04">
              <w:rPr>
                <w:szCs w:val="24"/>
              </w:rPr>
              <w:t>NOTICE</w:t>
            </w:r>
          </w:p>
          <w:p w:rsidR="0079724F" w:rsidRPr="00003B04" w:rsidRDefault="0079724F" w:rsidP="00215F7C">
            <w:pPr>
              <w:keepNext/>
              <w:tabs>
                <w:tab w:val="right" w:pos="9360"/>
              </w:tabs>
              <w:rPr>
                <w:szCs w:val="24"/>
              </w:rPr>
            </w:pPr>
          </w:p>
          <w:p w:rsidR="0079724F" w:rsidRPr="00003B04" w:rsidRDefault="0079724F" w:rsidP="00215F7C">
            <w:pPr>
              <w:keepNext/>
              <w:tabs>
                <w:tab w:val="right" w:pos="9360"/>
              </w:tabs>
              <w:jc w:val="both"/>
              <w:rPr>
                <w:szCs w:val="24"/>
              </w:rPr>
            </w:pPr>
            <w:r w:rsidRPr="00003B04">
              <w:rPr>
                <w:szCs w:val="24"/>
              </w:rPr>
              <w:t>Case summaries included in the Bulletin are prepared by the Office of the Registrar of the Supreme Court of Canada (Law Branch) for information purposes only.</w:t>
            </w:r>
          </w:p>
          <w:p w:rsidR="0079724F" w:rsidRPr="00003B04" w:rsidRDefault="0079724F" w:rsidP="00215F7C">
            <w:pPr>
              <w:keepNext/>
              <w:tabs>
                <w:tab w:val="right" w:pos="9360"/>
              </w:tabs>
              <w:rPr>
                <w:szCs w:val="24"/>
              </w:rPr>
            </w:pPr>
          </w:p>
          <w:p w:rsidR="0079724F" w:rsidRPr="00003B04" w:rsidRDefault="0079724F" w:rsidP="00215F7C">
            <w:pPr>
              <w:keepNext/>
              <w:tabs>
                <w:tab w:val="right" w:pos="9360"/>
              </w:tabs>
              <w:rPr>
                <w:szCs w:val="24"/>
              </w:rPr>
            </w:pPr>
          </w:p>
          <w:p w:rsidR="0079724F" w:rsidRPr="00003B04" w:rsidRDefault="0079724F" w:rsidP="00215F7C">
            <w:pPr>
              <w:keepNext/>
              <w:tabs>
                <w:tab w:val="right" w:pos="9360"/>
              </w:tabs>
              <w:jc w:val="center"/>
              <w:rPr>
                <w:szCs w:val="24"/>
                <w:lang w:val="fr-CA"/>
              </w:rPr>
            </w:pPr>
            <w:r w:rsidRPr="00003B04">
              <w:rPr>
                <w:szCs w:val="24"/>
                <w:lang w:val="fr-CA"/>
              </w:rPr>
              <w:t>AVIS</w:t>
            </w:r>
          </w:p>
          <w:p w:rsidR="0079724F" w:rsidRPr="00003B04" w:rsidRDefault="0079724F" w:rsidP="00215F7C">
            <w:pPr>
              <w:keepNext/>
              <w:tabs>
                <w:tab w:val="right" w:pos="9360"/>
              </w:tabs>
              <w:rPr>
                <w:szCs w:val="24"/>
                <w:lang w:val="fr-CA"/>
              </w:rPr>
            </w:pPr>
          </w:p>
          <w:p w:rsidR="0079724F" w:rsidRPr="00003B04" w:rsidRDefault="0079724F" w:rsidP="00215F7C">
            <w:pPr>
              <w:keepNext/>
              <w:tabs>
                <w:tab w:val="right" w:pos="9360"/>
              </w:tabs>
              <w:jc w:val="both"/>
              <w:rPr>
                <w:sz w:val="20"/>
                <w:szCs w:val="20"/>
                <w:lang w:val="fr-CA"/>
              </w:rPr>
            </w:pPr>
            <w:r w:rsidRPr="00003B04">
              <w:rPr>
                <w:szCs w:val="24"/>
                <w:lang w:val="fr-CA"/>
              </w:rPr>
              <w:t>Les résumés de dossiers publiés dans le bulletin sont préparés par le Bureau du registraire (Direction générale du droit) uniquement à titre d’information.</w:t>
            </w:r>
          </w:p>
        </w:tc>
      </w:tr>
    </w:tbl>
    <w:p w:rsidR="0095096B" w:rsidRPr="00003B04" w:rsidRDefault="0095096B" w:rsidP="0095096B">
      <w:pPr>
        <w:tabs>
          <w:tab w:val="right" w:pos="9360"/>
        </w:tabs>
        <w:rPr>
          <w:lang w:val="fr-CA"/>
        </w:rPr>
      </w:pPr>
    </w:p>
    <w:p w:rsidR="00C01FCB" w:rsidRPr="00003B04" w:rsidRDefault="00C01FCB" w:rsidP="0095096B">
      <w:pPr>
        <w:tabs>
          <w:tab w:val="right" w:pos="9360"/>
        </w:tabs>
        <w:rPr>
          <w:lang w:val="fr-CA"/>
        </w:rPr>
      </w:pPr>
    </w:p>
    <w:p w:rsidR="00C01FCB" w:rsidRPr="00003B04" w:rsidRDefault="00C01FCB" w:rsidP="0095096B">
      <w:pPr>
        <w:tabs>
          <w:tab w:val="right" w:pos="9360"/>
        </w:tabs>
        <w:rPr>
          <w:lang w:val="fr-CA"/>
        </w:rPr>
      </w:pPr>
    </w:p>
    <w:p w:rsidR="00A87207" w:rsidRPr="00003B04" w:rsidRDefault="00A87207" w:rsidP="0095096B">
      <w:pPr>
        <w:tabs>
          <w:tab w:val="right" w:pos="9360"/>
        </w:tabs>
        <w:rPr>
          <w:lang w:val="fr-CA"/>
        </w:rPr>
        <w:sectPr w:rsidR="00A87207" w:rsidRPr="00003B04"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003B04" w:rsidTr="00245129">
        <w:tc>
          <w:tcPr>
            <w:tcW w:w="4200" w:type="dxa"/>
            <w:shd w:val="clear" w:color="auto" w:fill="auto"/>
            <w:tcMar>
              <w:left w:w="0" w:type="dxa"/>
              <w:right w:w="0" w:type="dxa"/>
            </w:tcMar>
          </w:tcPr>
          <w:p w:rsidR="00A87207" w:rsidRPr="00003B04" w:rsidRDefault="00A87207" w:rsidP="00BA6468">
            <w:pPr>
              <w:rPr>
                <w:rFonts w:eastAsia="Times New Roman" w:cs="Times New Roman"/>
                <w:b/>
                <w:sz w:val="20"/>
                <w:szCs w:val="20"/>
                <w:lang w:eastAsia="en-CA"/>
              </w:rPr>
            </w:pPr>
            <w:r w:rsidRPr="00003B04">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003B04" w:rsidRDefault="00A87207" w:rsidP="002E2327">
            <w:pPr>
              <w:jc w:val="center"/>
              <w:rPr>
                <w:rFonts w:eastAsia="Times New Roman" w:cs="Times New Roman"/>
                <w:b/>
                <w:sz w:val="20"/>
                <w:szCs w:val="20"/>
                <w:lang w:eastAsia="en-CA"/>
              </w:rPr>
            </w:pPr>
          </w:p>
          <w:p w:rsidR="00A87207" w:rsidRPr="00003B04" w:rsidRDefault="00A87207" w:rsidP="002E2327">
            <w:pPr>
              <w:jc w:val="center"/>
              <w:rPr>
                <w:rFonts w:eastAsia="Times New Roman" w:cs="Times New Roman"/>
                <w:b/>
                <w:sz w:val="20"/>
                <w:szCs w:val="20"/>
                <w:lang w:eastAsia="en-CA"/>
              </w:rPr>
            </w:pPr>
          </w:p>
          <w:p w:rsidR="00A87207" w:rsidRPr="00003B04"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003B04" w:rsidRDefault="00A87207" w:rsidP="00A87207">
            <w:pPr>
              <w:rPr>
                <w:rFonts w:eastAsia="Times New Roman" w:cs="Times New Roman"/>
                <w:b/>
                <w:sz w:val="20"/>
                <w:szCs w:val="20"/>
                <w:lang w:val="fr-CA" w:eastAsia="en-CA"/>
              </w:rPr>
            </w:pPr>
            <w:r w:rsidRPr="00003B04">
              <w:rPr>
                <w:rFonts w:eastAsia="Times New Roman" w:cs="Times New Roman"/>
                <w:b/>
                <w:szCs w:val="20"/>
                <w:lang w:val="fr-CA" w:eastAsia="en-CA"/>
              </w:rPr>
              <w:t>DEMANDES D’AUTORISATION D’APPEL DÉPOSÉES</w:t>
            </w:r>
          </w:p>
        </w:tc>
      </w:tr>
    </w:tbl>
    <w:p w:rsidR="00A87207" w:rsidRPr="00003B04"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003B04" w:rsidTr="003B3977">
        <w:tc>
          <w:tcPr>
            <w:tcW w:w="4320" w:type="dxa"/>
            <w:shd w:val="clear" w:color="auto" w:fill="auto"/>
          </w:tcPr>
          <w:p w:rsidR="00F05954" w:rsidRPr="00003B04" w:rsidRDefault="00F05954" w:rsidP="005F1ED8">
            <w:pPr>
              <w:rPr>
                <w:b/>
                <w:sz w:val="20"/>
                <w:szCs w:val="20"/>
                <w:lang w:val="fr-CA"/>
              </w:rPr>
            </w:pPr>
            <w:r w:rsidRPr="00003B04">
              <w:rPr>
                <w:b/>
                <w:sz w:val="20"/>
                <w:szCs w:val="20"/>
                <w:lang w:val="fr-CA"/>
              </w:rPr>
              <w:t xml:space="preserve">Ville de Montréal </w:t>
            </w:r>
          </w:p>
          <w:p w:rsidR="00F05954" w:rsidRPr="00003B04" w:rsidRDefault="00F05954" w:rsidP="005F1ED8">
            <w:pPr>
              <w:rPr>
                <w:sz w:val="20"/>
                <w:szCs w:val="20"/>
                <w:lang w:val="fr-CA"/>
              </w:rPr>
            </w:pPr>
            <w:r w:rsidRPr="00003B04">
              <w:rPr>
                <w:sz w:val="20"/>
                <w:szCs w:val="20"/>
                <w:lang w:val="fr-CA"/>
              </w:rPr>
              <w:tab/>
              <w:t>Mikaël Benoit</w:t>
            </w:r>
          </w:p>
          <w:p w:rsidR="00F05954" w:rsidRPr="00003B04" w:rsidRDefault="00F05954" w:rsidP="005F1ED8">
            <w:pPr>
              <w:rPr>
                <w:sz w:val="20"/>
                <w:szCs w:val="20"/>
                <w:lang w:val="fr-CA"/>
              </w:rPr>
            </w:pPr>
            <w:r w:rsidRPr="00003B04">
              <w:rPr>
                <w:sz w:val="20"/>
                <w:szCs w:val="20"/>
                <w:lang w:val="fr-CA"/>
              </w:rPr>
              <w:tab/>
            </w:r>
            <w:proofErr w:type="spellStart"/>
            <w:r w:rsidRPr="00003B04">
              <w:rPr>
                <w:sz w:val="20"/>
                <w:szCs w:val="20"/>
                <w:lang w:val="fr-CA"/>
              </w:rPr>
              <w:t>Gagnier</w:t>
            </w:r>
            <w:proofErr w:type="spellEnd"/>
            <w:r w:rsidRPr="00003B04">
              <w:rPr>
                <w:sz w:val="20"/>
                <w:szCs w:val="20"/>
                <w:lang w:val="fr-CA"/>
              </w:rPr>
              <w:t>, Guay, Biron</w:t>
            </w:r>
          </w:p>
          <w:p w:rsidR="00F05954" w:rsidRPr="00003B04" w:rsidRDefault="00F05954" w:rsidP="005F1ED8">
            <w:pPr>
              <w:rPr>
                <w:sz w:val="20"/>
                <w:szCs w:val="20"/>
                <w:lang w:val="fr-CA"/>
              </w:rPr>
            </w:pPr>
          </w:p>
          <w:p w:rsidR="00F05954" w:rsidRPr="00003B04" w:rsidRDefault="00F05954" w:rsidP="005F1ED8">
            <w:pPr>
              <w:rPr>
                <w:b/>
                <w:sz w:val="20"/>
                <w:szCs w:val="20"/>
                <w:lang w:val="en-US"/>
              </w:rPr>
            </w:pPr>
            <w:r w:rsidRPr="00003B04">
              <w:rPr>
                <w:b/>
                <w:sz w:val="20"/>
                <w:szCs w:val="20"/>
                <w:lang w:val="fr-CA"/>
              </w:rPr>
              <w:tab/>
            </w:r>
            <w:r w:rsidRPr="00003B04">
              <w:rPr>
                <w:b/>
                <w:sz w:val="20"/>
                <w:szCs w:val="20"/>
                <w:lang w:val="en-US"/>
              </w:rPr>
              <w:t>c. (37433)</w:t>
            </w:r>
          </w:p>
          <w:p w:rsidR="00F05954" w:rsidRPr="00003B04" w:rsidRDefault="00F05954" w:rsidP="005F1ED8">
            <w:pPr>
              <w:rPr>
                <w:b/>
                <w:sz w:val="20"/>
                <w:szCs w:val="20"/>
                <w:lang w:val="en-US"/>
              </w:rPr>
            </w:pPr>
          </w:p>
          <w:p w:rsidR="00F05954" w:rsidRPr="00003B04" w:rsidRDefault="00F05954" w:rsidP="005F1ED8">
            <w:pPr>
              <w:rPr>
                <w:b/>
                <w:sz w:val="20"/>
                <w:szCs w:val="20"/>
                <w:lang w:val="en-US"/>
              </w:rPr>
            </w:pPr>
            <w:r w:rsidRPr="00003B04">
              <w:rPr>
                <w:b/>
                <w:sz w:val="20"/>
                <w:szCs w:val="20"/>
                <w:lang w:val="en-US"/>
              </w:rPr>
              <w:t>Hydro-Québec (Qc)</w:t>
            </w:r>
          </w:p>
          <w:p w:rsidR="00F05954" w:rsidRPr="00003B04" w:rsidRDefault="00F05954" w:rsidP="005F1ED8">
            <w:pPr>
              <w:rPr>
                <w:sz w:val="20"/>
                <w:szCs w:val="20"/>
                <w:lang w:val="en-US"/>
              </w:rPr>
            </w:pPr>
            <w:r w:rsidRPr="00003B04">
              <w:rPr>
                <w:b/>
                <w:sz w:val="20"/>
                <w:szCs w:val="20"/>
                <w:lang w:val="en-US"/>
              </w:rPr>
              <w:tab/>
            </w:r>
            <w:r w:rsidRPr="00003B04">
              <w:rPr>
                <w:sz w:val="20"/>
                <w:szCs w:val="20"/>
                <w:lang w:val="en-US"/>
              </w:rPr>
              <w:t>William Moran</w:t>
            </w:r>
          </w:p>
          <w:p w:rsidR="00F05954" w:rsidRPr="00003B04" w:rsidRDefault="00F05954" w:rsidP="005F1ED8">
            <w:pPr>
              <w:rPr>
                <w:sz w:val="20"/>
                <w:szCs w:val="20"/>
                <w:lang w:val="fr-CA"/>
              </w:rPr>
            </w:pPr>
            <w:r w:rsidRPr="00003B04">
              <w:rPr>
                <w:sz w:val="20"/>
                <w:szCs w:val="20"/>
                <w:lang w:val="en-US"/>
              </w:rPr>
              <w:tab/>
            </w:r>
            <w:r w:rsidRPr="00003B04">
              <w:rPr>
                <w:sz w:val="20"/>
                <w:szCs w:val="20"/>
                <w:lang w:val="fr-CA"/>
              </w:rPr>
              <w:t xml:space="preserve">Hydro-Québec </w:t>
            </w:r>
            <w:proofErr w:type="spellStart"/>
            <w:r w:rsidRPr="00003B04">
              <w:rPr>
                <w:sz w:val="20"/>
                <w:szCs w:val="20"/>
                <w:lang w:val="fr-CA"/>
              </w:rPr>
              <w:t>Cellucci</w:t>
            </w:r>
            <w:proofErr w:type="spellEnd"/>
            <w:r w:rsidRPr="00003B04">
              <w:rPr>
                <w:sz w:val="20"/>
                <w:szCs w:val="20"/>
                <w:lang w:val="fr-CA"/>
              </w:rPr>
              <w:t xml:space="preserve"> </w:t>
            </w:r>
            <w:proofErr w:type="spellStart"/>
            <w:r w:rsidRPr="00003B04">
              <w:rPr>
                <w:sz w:val="20"/>
                <w:szCs w:val="20"/>
                <w:lang w:val="fr-CA"/>
              </w:rPr>
              <w:t>Ganesan</w:t>
            </w:r>
            <w:proofErr w:type="spellEnd"/>
            <w:r w:rsidRPr="00003B04">
              <w:rPr>
                <w:sz w:val="20"/>
                <w:szCs w:val="20"/>
                <w:lang w:val="fr-CA"/>
              </w:rPr>
              <w:t xml:space="preserve"> Fraser</w:t>
            </w:r>
          </w:p>
          <w:p w:rsidR="00F05954" w:rsidRPr="00003B04" w:rsidRDefault="00F05954" w:rsidP="005F1ED8">
            <w:pPr>
              <w:rPr>
                <w:sz w:val="20"/>
                <w:szCs w:val="20"/>
                <w:lang w:val="fr-CA"/>
              </w:rPr>
            </w:pPr>
          </w:p>
          <w:p w:rsidR="00F05954" w:rsidRPr="00003B04" w:rsidRDefault="00F05954" w:rsidP="005F1ED8">
            <w:pPr>
              <w:rPr>
                <w:sz w:val="20"/>
                <w:szCs w:val="20"/>
                <w:lang w:val="fr-CA"/>
              </w:rPr>
            </w:pPr>
            <w:r w:rsidRPr="00003B04">
              <w:rPr>
                <w:sz w:val="20"/>
                <w:szCs w:val="20"/>
                <w:lang w:val="fr-CA"/>
              </w:rPr>
              <w:t>DATE DE PRODUCTION : 02.02.2017</w:t>
            </w:r>
          </w:p>
          <w:p w:rsidR="00C21644" w:rsidRPr="00003B04" w:rsidRDefault="00604445" w:rsidP="005F1ED8">
            <w:pPr>
              <w:rPr>
                <w:sz w:val="20"/>
                <w:szCs w:val="20"/>
                <w:lang w:val="fr-CA"/>
              </w:rPr>
            </w:pPr>
            <w:r>
              <w:rPr>
                <w:sz w:val="20"/>
                <w:szCs w:val="20"/>
                <w:lang w:val="fr-CA"/>
              </w:rPr>
              <w:pict>
                <v:rect id="_x0000_i1025" style="width:108pt;height:1pt" o:hrpct="0" o:hralign="center" o:hrstd="t" o:hrnoshade="t" o:hr="t" fillcolor="black [3213]" stroked="f"/>
              </w:pict>
            </w:r>
          </w:p>
          <w:p w:rsidR="00F05954" w:rsidRPr="00003B04" w:rsidRDefault="00F05954" w:rsidP="005F1ED8">
            <w:pPr>
              <w:rPr>
                <w:sz w:val="20"/>
                <w:szCs w:val="20"/>
              </w:rPr>
            </w:pPr>
          </w:p>
        </w:tc>
        <w:tc>
          <w:tcPr>
            <w:tcW w:w="1181" w:type="dxa"/>
            <w:shd w:val="clear" w:color="auto" w:fill="auto"/>
          </w:tcPr>
          <w:p w:rsidR="00C21644" w:rsidRPr="00003B04" w:rsidRDefault="00C21644" w:rsidP="00242AEE">
            <w:pPr>
              <w:jc w:val="center"/>
              <w:rPr>
                <w:sz w:val="20"/>
                <w:szCs w:val="20"/>
              </w:rPr>
            </w:pPr>
          </w:p>
          <w:p w:rsidR="00C21644" w:rsidRPr="00003B04" w:rsidRDefault="00C21644" w:rsidP="00242AEE">
            <w:pPr>
              <w:jc w:val="center"/>
              <w:rPr>
                <w:sz w:val="20"/>
                <w:szCs w:val="20"/>
              </w:rPr>
            </w:pPr>
          </w:p>
          <w:p w:rsidR="00C21644" w:rsidRPr="00003B04" w:rsidRDefault="00C21644" w:rsidP="00242AEE">
            <w:pPr>
              <w:jc w:val="center"/>
              <w:rPr>
                <w:sz w:val="20"/>
                <w:szCs w:val="20"/>
              </w:rPr>
            </w:pPr>
          </w:p>
        </w:tc>
        <w:tc>
          <w:tcPr>
            <w:tcW w:w="4320" w:type="dxa"/>
            <w:shd w:val="clear" w:color="auto" w:fill="auto"/>
          </w:tcPr>
          <w:p w:rsidR="00C21644" w:rsidRPr="00003B04" w:rsidRDefault="00F05954" w:rsidP="00F05954">
            <w:pPr>
              <w:rPr>
                <w:sz w:val="20"/>
                <w:szCs w:val="20"/>
                <w:lang w:val="en-US"/>
              </w:rPr>
            </w:pPr>
            <w:r w:rsidRPr="00003B04">
              <w:rPr>
                <w:b/>
                <w:sz w:val="20"/>
                <w:szCs w:val="20"/>
                <w:lang w:val="en-US"/>
              </w:rPr>
              <w:t xml:space="preserve">Chief Steve </w:t>
            </w:r>
            <w:proofErr w:type="spellStart"/>
            <w:r w:rsidRPr="00003B04">
              <w:rPr>
                <w:b/>
                <w:sz w:val="20"/>
                <w:szCs w:val="20"/>
                <w:lang w:val="en-US"/>
              </w:rPr>
              <w:t>Courtoreille</w:t>
            </w:r>
            <w:proofErr w:type="spellEnd"/>
            <w:r w:rsidRPr="00003B04">
              <w:rPr>
                <w:b/>
                <w:sz w:val="20"/>
                <w:szCs w:val="20"/>
                <w:lang w:val="en-US"/>
              </w:rPr>
              <w:t xml:space="preserve"> on behalf of himself and the members of the </w:t>
            </w:r>
            <w:proofErr w:type="spellStart"/>
            <w:r w:rsidRPr="00003B04">
              <w:rPr>
                <w:b/>
                <w:sz w:val="20"/>
                <w:szCs w:val="20"/>
                <w:lang w:val="en-US"/>
              </w:rPr>
              <w:t>Mikisew</w:t>
            </w:r>
            <w:proofErr w:type="spellEnd"/>
            <w:r w:rsidRPr="00003B04">
              <w:rPr>
                <w:b/>
                <w:sz w:val="20"/>
                <w:szCs w:val="20"/>
                <w:lang w:val="en-US"/>
              </w:rPr>
              <w:t xml:space="preserve"> Cree First Nation</w:t>
            </w:r>
          </w:p>
          <w:p w:rsidR="00F05954" w:rsidRPr="00003B04" w:rsidRDefault="00F05954" w:rsidP="00F05954">
            <w:pPr>
              <w:rPr>
                <w:sz w:val="20"/>
                <w:szCs w:val="20"/>
                <w:lang w:val="en-US"/>
              </w:rPr>
            </w:pPr>
            <w:r w:rsidRPr="00003B04">
              <w:rPr>
                <w:sz w:val="20"/>
                <w:szCs w:val="20"/>
                <w:lang w:val="en-US"/>
              </w:rPr>
              <w:tab/>
              <w:t>Robert J.M. Janes</w:t>
            </w:r>
          </w:p>
          <w:p w:rsidR="00F05954" w:rsidRPr="00003B04" w:rsidRDefault="00F05954" w:rsidP="00F05954">
            <w:pPr>
              <w:rPr>
                <w:sz w:val="20"/>
                <w:szCs w:val="20"/>
                <w:lang w:val="en-US"/>
              </w:rPr>
            </w:pPr>
            <w:r w:rsidRPr="00003B04">
              <w:rPr>
                <w:sz w:val="20"/>
                <w:szCs w:val="20"/>
                <w:lang w:val="en-US"/>
              </w:rPr>
              <w:tab/>
              <w:t>Janes Freedman Kyle Law Corporation</w:t>
            </w:r>
          </w:p>
          <w:p w:rsidR="00F05954" w:rsidRPr="00003B04" w:rsidRDefault="00F05954" w:rsidP="00F05954">
            <w:pPr>
              <w:rPr>
                <w:sz w:val="20"/>
                <w:szCs w:val="20"/>
                <w:lang w:val="en-US"/>
              </w:rPr>
            </w:pPr>
          </w:p>
          <w:p w:rsidR="00F05954" w:rsidRPr="00003B04" w:rsidRDefault="00F05954" w:rsidP="00F05954">
            <w:pPr>
              <w:rPr>
                <w:sz w:val="20"/>
                <w:szCs w:val="20"/>
                <w:lang w:val="en-US"/>
              </w:rPr>
            </w:pPr>
            <w:r w:rsidRPr="00003B04">
              <w:rPr>
                <w:sz w:val="20"/>
                <w:szCs w:val="20"/>
                <w:lang w:val="en-US"/>
              </w:rPr>
              <w:tab/>
              <w:t>v. (37441)</w:t>
            </w:r>
          </w:p>
          <w:p w:rsidR="00F05954" w:rsidRPr="00003B04" w:rsidRDefault="00F05954" w:rsidP="00F05954">
            <w:pPr>
              <w:rPr>
                <w:sz w:val="20"/>
                <w:szCs w:val="20"/>
                <w:lang w:val="en-US"/>
              </w:rPr>
            </w:pPr>
          </w:p>
          <w:p w:rsidR="00F05954" w:rsidRPr="00003B04" w:rsidRDefault="00F05954" w:rsidP="00F05954">
            <w:pPr>
              <w:rPr>
                <w:b/>
                <w:sz w:val="20"/>
                <w:szCs w:val="20"/>
                <w:lang w:val="en-US"/>
              </w:rPr>
            </w:pPr>
            <w:r w:rsidRPr="00003B04">
              <w:rPr>
                <w:b/>
                <w:sz w:val="20"/>
                <w:szCs w:val="20"/>
                <w:lang w:val="en-US"/>
              </w:rPr>
              <w:t>Governor General in Council et al. (F.C.)</w:t>
            </w:r>
          </w:p>
          <w:p w:rsidR="00F05954" w:rsidRPr="00003B04" w:rsidRDefault="00F05954" w:rsidP="00F05954">
            <w:pPr>
              <w:rPr>
                <w:sz w:val="20"/>
                <w:szCs w:val="20"/>
                <w:lang w:val="en-US"/>
              </w:rPr>
            </w:pPr>
            <w:r w:rsidRPr="00003B04">
              <w:rPr>
                <w:sz w:val="20"/>
                <w:szCs w:val="20"/>
                <w:lang w:val="en-US"/>
              </w:rPr>
              <w:tab/>
              <w:t>Cynthia J. Dickins</w:t>
            </w:r>
          </w:p>
          <w:p w:rsidR="00F05954" w:rsidRPr="00003B04" w:rsidRDefault="00F05954" w:rsidP="00F05954">
            <w:pPr>
              <w:rPr>
                <w:sz w:val="20"/>
                <w:szCs w:val="20"/>
                <w:lang w:val="en-US"/>
              </w:rPr>
            </w:pPr>
            <w:r w:rsidRPr="00003B04">
              <w:rPr>
                <w:sz w:val="20"/>
                <w:szCs w:val="20"/>
                <w:lang w:val="en-US"/>
              </w:rPr>
              <w:tab/>
              <w:t>A.G. of Canada</w:t>
            </w:r>
          </w:p>
          <w:p w:rsidR="00F05954" w:rsidRPr="00003B04" w:rsidRDefault="00F05954" w:rsidP="00F05954">
            <w:pPr>
              <w:rPr>
                <w:sz w:val="20"/>
                <w:szCs w:val="20"/>
                <w:lang w:val="en-US"/>
              </w:rPr>
            </w:pPr>
          </w:p>
          <w:p w:rsidR="00F05954" w:rsidRPr="00003B04" w:rsidRDefault="00F05954" w:rsidP="00F05954">
            <w:pPr>
              <w:rPr>
                <w:sz w:val="20"/>
                <w:szCs w:val="20"/>
                <w:lang w:val="fr-CA"/>
              </w:rPr>
            </w:pPr>
            <w:r w:rsidRPr="00003B04">
              <w:rPr>
                <w:sz w:val="20"/>
                <w:szCs w:val="20"/>
                <w:lang w:val="fr-CA"/>
              </w:rPr>
              <w:t>FILING DATE: 06.02.2017</w:t>
            </w:r>
          </w:p>
          <w:p w:rsidR="00F05954" w:rsidRPr="00003B04" w:rsidRDefault="00604445" w:rsidP="00F05954">
            <w:pPr>
              <w:rPr>
                <w:sz w:val="20"/>
                <w:szCs w:val="20"/>
                <w:lang w:val="fr-CA"/>
              </w:rPr>
            </w:pPr>
            <w:r>
              <w:rPr>
                <w:sz w:val="20"/>
                <w:szCs w:val="20"/>
                <w:lang w:val="fr-CA"/>
              </w:rPr>
              <w:pict>
                <v:rect id="_x0000_i1026" style="width:108pt;height:1pt" o:hrpct="0" o:hralign="center" o:hrstd="t" o:hrnoshade="t" o:hr="t" fillcolor="black [3213]" stroked="f"/>
              </w:pict>
            </w:r>
          </w:p>
          <w:p w:rsidR="00F05954" w:rsidRPr="00003B04" w:rsidRDefault="00F05954" w:rsidP="00F05954">
            <w:pPr>
              <w:rPr>
                <w:sz w:val="20"/>
                <w:szCs w:val="20"/>
                <w:lang w:val="fr-CA"/>
              </w:rPr>
            </w:pPr>
          </w:p>
        </w:tc>
      </w:tr>
      <w:tr w:rsidR="00F05954" w:rsidRPr="00003B04" w:rsidTr="003B3977">
        <w:tc>
          <w:tcPr>
            <w:tcW w:w="4320" w:type="dxa"/>
            <w:shd w:val="clear" w:color="auto" w:fill="auto"/>
          </w:tcPr>
          <w:p w:rsidR="00F05954" w:rsidRPr="00003B04" w:rsidRDefault="008A136C" w:rsidP="005F1ED8">
            <w:pPr>
              <w:rPr>
                <w:b/>
                <w:sz w:val="20"/>
                <w:szCs w:val="20"/>
                <w:lang w:val="en-US"/>
              </w:rPr>
            </w:pPr>
            <w:r w:rsidRPr="00003B04">
              <w:rPr>
                <w:b/>
                <w:sz w:val="20"/>
                <w:szCs w:val="20"/>
                <w:lang w:val="en-US"/>
              </w:rPr>
              <w:t xml:space="preserve">Graham Mathew </w:t>
            </w:r>
            <w:proofErr w:type="spellStart"/>
            <w:r w:rsidRPr="00003B04">
              <w:rPr>
                <w:b/>
                <w:sz w:val="20"/>
                <w:szCs w:val="20"/>
                <w:lang w:val="en-US"/>
              </w:rPr>
              <w:t>Ible</w:t>
            </w:r>
            <w:proofErr w:type="spellEnd"/>
          </w:p>
          <w:p w:rsidR="008A136C" w:rsidRPr="00003B04" w:rsidRDefault="008A136C" w:rsidP="005F1ED8">
            <w:pPr>
              <w:rPr>
                <w:sz w:val="20"/>
                <w:szCs w:val="20"/>
                <w:lang w:val="en-US"/>
              </w:rPr>
            </w:pPr>
            <w:r w:rsidRPr="00003B04">
              <w:rPr>
                <w:b/>
                <w:sz w:val="20"/>
                <w:szCs w:val="20"/>
                <w:lang w:val="en-US"/>
              </w:rPr>
              <w:tab/>
            </w:r>
            <w:r w:rsidRPr="00003B04">
              <w:rPr>
                <w:sz w:val="20"/>
                <w:szCs w:val="20"/>
                <w:lang w:val="en-US"/>
              </w:rPr>
              <w:t>Daryl J. Royer</w:t>
            </w:r>
          </w:p>
          <w:p w:rsidR="008A136C" w:rsidRPr="00003B04" w:rsidRDefault="008A136C" w:rsidP="005F1ED8">
            <w:pPr>
              <w:rPr>
                <w:sz w:val="20"/>
                <w:szCs w:val="20"/>
                <w:lang w:val="en-US"/>
              </w:rPr>
            </w:pPr>
          </w:p>
          <w:p w:rsidR="008A136C" w:rsidRPr="00003B04" w:rsidRDefault="008A136C" w:rsidP="005F1ED8">
            <w:pPr>
              <w:rPr>
                <w:sz w:val="20"/>
                <w:szCs w:val="20"/>
                <w:lang w:val="en-US"/>
              </w:rPr>
            </w:pPr>
            <w:r w:rsidRPr="00003B04">
              <w:rPr>
                <w:sz w:val="20"/>
                <w:szCs w:val="20"/>
                <w:lang w:val="en-US"/>
              </w:rPr>
              <w:tab/>
              <w:t>v. (37432)</w:t>
            </w:r>
          </w:p>
          <w:p w:rsidR="008A136C" w:rsidRPr="00003B04" w:rsidRDefault="008A136C" w:rsidP="005F1ED8">
            <w:pPr>
              <w:rPr>
                <w:sz w:val="20"/>
                <w:szCs w:val="20"/>
                <w:lang w:val="en-US"/>
              </w:rPr>
            </w:pPr>
          </w:p>
          <w:p w:rsidR="008A136C" w:rsidRPr="00003B04" w:rsidRDefault="008A136C" w:rsidP="005F1ED8">
            <w:pPr>
              <w:rPr>
                <w:b/>
                <w:sz w:val="20"/>
                <w:szCs w:val="20"/>
                <w:lang w:val="en-US"/>
              </w:rPr>
            </w:pPr>
            <w:r w:rsidRPr="00003B04">
              <w:rPr>
                <w:b/>
                <w:sz w:val="20"/>
                <w:szCs w:val="20"/>
                <w:lang w:val="en-US"/>
              </w:rPr>
              <w:t>Her Majesty the Queen (Alta.)</w:t>
            </w:r>
          </w:p>
          <w:p w:rsidR="008A136C" w:rsidRPr="00003B04" w:rsidRDefault="008A136C" w:rsidP="005F1ED8">
            <w:pPr>
              <w:rPr>
                <w:sz w:val="20"/>
                <w:szCs w:val="20"/>
                <w:lang w:val="en-US"/>
              </w:rPr>
            </w:pPr>
            <w:r w:rsidRPr="00003B04">
              <w:rPr>
                <w:sz w:val="20"/>
                <w:szCs w:val="20"/>
                <w:lang w:val="en-US"/>
              </w:rPr>
              <w:tab/>
              <w:t>Ronald C. Reimer</w:t>
            </w:r>
          </w:p>
          <w:p w:rsidR="008A136C" w:rsidRPr="00003B04" w:rsidRDefault="008A136C" w:rsidP="005F1ED8">
            <w:pPr>
              <w:rPr>
                <w:sz w:val="20"/>
                <w:szCs w:val="20"/>
                <w:lang w:val="en-US"/>
              </w:rPr>
            </w:pPr>
            <w:r w:rsidRPr="00003B04">
              <w:rPr>
                <w:sz w:val="20"/>
                <w:szCs w:val="20"/>
                <w:lang w:val="en-US"/>
              </w:rPr>
              <w:tab/>
              <w:t>Public Prosecution Service of Canada</w:t>
            </w:r>
          </w:p>
          <w:p w:rsidR="008A136C" w:rsidRPr="00003B04" w:rsidRDefault="008A136C" w:rsidP="005F1ED8">
            <w:pPr>
              <w:rPr>
                <w:sz w:val="20"/>
                <w:szCs w:val="20"/>
                <w:lang w:val="en-US"/>
              </w:rPr>
            </w:pPr>
          </w:p>
          <w:p w:rsidR="008A136C" w:rsidRPr="00003B04" w:rsidRDefault="008A136C" w:rsidP="005F1ED8">
            <w:pPr>
              <w:rPr>
                <w:sz w:val="20"/>
                <w:szCs w:val="20"/>
                <w:lang w:val="en-US"/>
              </w:rPr>
            </w:pPr>
            <w:r w:rsidRPr="00003B04">
              <w:rPr>
                <w:sz w:val="20"/>
                <w:szCs w:val="20"/>
                <w:lang w:val="en-US"/>
              </w:rPr>
              <w:t>FILING DATE: 02.02.2017</w:t>
            </w:r>
          </w:p>
          <w:p w:rsidR="008A136C" w:rsidRPr="00003B04" w:rsidRDefault="00604445" w:rsidP="005F1ED8">
            <w:pPr>
              <w:rPr>
                <w:sz w:val="20"/>
                <w:szCs w:val="20"/>
                <w:lang w:val="fr-CA"/>
              </w:rPr>
            </w:pPr>
            <w:r>
              <w:rPr>
                <w:sz w:val="20"/>
                <w:szCs w:val="20"/>
                <w:lang w:val="fr-CA"/>
              </w:rPr>
              <w:pict>
                <v:rect id="_x0000_i1027" style="width:108pt;height:1pt" o:hrpct="0" o:hralign="center" o:hrstd="t" o:hrnoshade="t" o:hr="t" fillcolor="black [3213]" stroked="f"/>
              </w:pict>
            </w:r>
          </w:p>
          <w:p w:rsidR="008A136C" w:rsidRPr="00003B04" w:rsidRDefault="008A136C" w:rsidP="005F1ED8">
            <w:pPr>
              <w:rPr>
                <w:sz w:val="20"/>
                <w:szCs w:val="20"/>
                <w:lang w:val="en-US"/>
              </w:rPr>
            </w:pPr>
          </w:p>
        </w:tc>
        <w:tc>
          <w:tcPr>
            <w:tcW w:w="1181" w:type="dxa"/>
            <w:shd w:val="clear" w:color="auto" w:fill="auto"/>
          </w:tcPr>
          <w:p w:rsidR="00F05954" w:rsidRPr="00003B04" w:rsidRDefault="00F05954" w:rsidP="00242AEE">
            <w:pPr>
              <w:jc w:val="center"/>
              <w:rPr>
                <w:sz w:val="20"/>
                <w:szCs w:val="20"/>
              </w:rPr>
            </w:pPr>
          </w:p>
        </w:tc>
        <w:tc>
          <w:tcPr>
            <w:tcW w:w="4320" w:type="dxa"/>
            <w:shd w:val="clear" w:color="auto" w:fill="auto"/>
          </w:tcPr>
          <w:p w:rsidR="00F05954" w:rsidRPr="00003B04" w:rsidRDefault="008A136C" w:rsidP="00F05954">
            <w:pPr>
              <w:rPr>
                <w:b/>
                <w:sz w:val="20"/>
                <w:szCs w:val="20"/>
                <w:lang w:val="en-US"/>
              </w:rPr>
            </w:pPr>
            <w:r w:rsidRPr="00003B04">
              <w:rPr>
                <w:b/>
                <w:sz w:val="20"/>
                <w:szCs w:val="20"/>
                <w:lang w:val="en-US"/>
              </w:rPr>
              <w:t xml:space="preserve">Robert Frederick </w:t>
            </w:r>
            <w:proofErr w:type="spellStart"/>
            <w:r w:rsidRPr="00003B04">
              <w:rPr>
                <w:b/>
                <w:sz w:val="20"/>
                <w:szCs w:val="20"/>
                <w:lang w:val="en-US"/>
              </w:rPr>
              <w:t>Widdifield</w:t>
            </w:r>
            <w:proofErr w:type="spellEnd"/>
          </w:p>
          <w:p w:rsidR="008A136C" w:rsidRPr="00003B04" w:rsidRDefault="008A136C" w:rsidP="00F05954">
            <w:pPr>
              <w:rPr>
                <w:sz w:val="20"/>
                <w:szCs w:val="20"/>
                <w:lang w:val="en-US"/>
              </w:rPr>
            </w:pPr>
            <w:r w:rsidRPr="00003B04">
              <w:rPr>
                <w:sz w:val="20"/>
                <w:szCs w:val="20"/>
                <w:lang w:val="en-US"/>
              </w:rPr>
              <w:tab/>
              <w:t>Kenneth S. Westlake, Q.C.</w:t>
            </w:r>
          </w:p>
          <w:p w:rsidR="008A136C" w:rsidRPr="00003B04" w:rsidRDefault="008A136C" w:rsidP="00F05954">
            <w:pPr>
              <w:rPr>
                <w:sz w:val="20"/>
                <w:szCs w:val="20"/>
                <w:lang w:val="en-US"/>
              </w:rPr>
            </w:pPr>
          </w:p>
          <w:p w:rsidR="008A136C" w:rsidRPr="00003B04" w:rsidRDefault="008A136C" w:rsidP="00F05954">
            <w:pPr>
              <w:rPr>
                <w:sz w:val="20"/>
                <w:szCs w:val="20"/>
                <w:lang w:val="en-US"/>
              </w:rPr>
            </w:pPr>
            <w:r w:rsidRPr="00003B04">
              <w:rPr>
                <w:sz w:val="20"/>
                <w:szCs w:val="20"/>
                <w:lang w:val="en-US"/>
              </w:rPr>
              <w:tab/>
              <w:t>v. (37417)</w:t>
            </w:r>
          </w:p>
          <w:p w:rsidR="008A136C" w:rsidRPr="00003B04" w:rsidRDefault="008A136C" w:rsidP="00F05954">
            <w:pPr>
              <w:rPr>
                <w:sz w:val="20"/>
                <w:szCs w:val="20"/>
                <w:lang w:val="en-US"/>
              </w:rPr>
            </w:pPr>
          </w:p>
          <w:p w:rsidR="008A136C" w:rsidRPr="00003B04" w:rsidRDefault="008A136C" w:rsidP="00F05954">
            <w:pPr>
              <w:rPr>
                <w:b/>
                <w:sz w:val="20"/>
                <w:szCs w:val="20"/>
                <w:lang w:val="en-US"/>
              </w:rPr>
            </w:pPr>
            <w:r w:rsidRPr="00003B04">
              <w:rPr>
                <w:b/>
                <w:sz w:val="20"/>
                <w:szCs w:val="20"/>
                <w:lang w:val="en-US"/>
              </w:rPr>
              <w:t>Her Majesty the Queen (B.C.)</w:t>
            </w:r>
          </w:p>
          <w:p w:rsidR="008A136C" w:rsidRPr="00003B04" w:rsidRDefault="008A136C" w:rsidP="00F05954">
            <w:pPr>
              <w:rPr>
                <w:sz w:val="20"/>
                <w:szCs w:val="20"/>
                <w:lang w:val="en-US"/>
              </w:rPr>
            </w:pPr>
            <w:r w:rsidRPr="00003B04">
              <w:rPr>
                <w:sz w:val="20"/>
                <w:szCs w:val="20"/>
                <w:lang w:val="en-US"/>
              </w:rPr>
              <w:tab/>
              <w:t>David Layton</w:t>
            </w:r>
          </w:p>
          <w:p w:rsidR="008A136C" w:rsidRPr="00003B04" w:rsidRDefault="008A136C" w:rsidP="00F05954">
            <w:pPr>
              <w:rPr>
                <w:sz w:val="20"/>
                <w:szCs w:val="20"/>
                <w:lang w:val="en-US"/>
              </w:rPr>
            </w:pPr>
            <w:r w:rsidRPr="00003B04">
              <w:rPr>
                <w:sz w:val="20"/>
                <w:szCs w:val="20"/>
                <w:lang w:val="en-US"/>
              </w:rPr>
              <w:tab/>
              <w:t>Ministry of Justice</w:t>
            </w:r>
          </w:p>
          <w:p w:rsidR="008A136C" w:rsidRPr="00003B04" w:rsidRDefault="008A136C" w:rsidP="00F05954">
            <w:pPr>
              <w:rPr>
                <w:sz w:val="20"/>
                <w:szCs w:val="20"/>
                <w:lang w:val="en-US"/>
              </w:rPr>
            </w:pPr>
          </w:p>
          <w:p w:rsidR="008A136C" w:rsidRPr="00003B04" w:rsidRDefault="008A136C" w:rsidP="00F05954">
            <w:pPr>
              <w:rPr>
                <w:sz w:val="20"/>
                <w:szCs w:val="20"/>
                <w:lang w:val="en-US"/>
              </w:rPr>
            </w:pPr>
            <w:r w:rsidRPr="00003B04">
              <w:rPr>
                <w:sz w:val="20"/>
                <w:szCs w:val="20"/>
                <w:lang w:val="en-US"/>
              </w:rPr>
              <w:t>FILING DATE: 23.01.2017</w:t>
            </w:r>
          </w:p>
          <w:p w:rsidR="008A136C" w:rsidRPr="00003B04" w:rsidRDefault="00604445" w:rsidP="00F05954">
            <w:pPr>
              <w:rPr>
                <w:sz w:val="20"/>
                <w:szCs w:val="20"/>
                <w:lang w:val="fr-CA"/>
              </w:rPr>
            </w:pPr>
            <w:r>
              <w:rPr>
                <w:sz w:val="20"/>
                <w:szCs w:val="20"/>
                <w:lang w:val="fr-CA"/>
              </w:rPr>
              <w:pict>
                <v:rect id="_x0000_i1028" style="width:108pt;height:1pt" o:hrpct="0" o:hralign="center" o:hrstd="t" o:hrnoshade="t" o:hr="t" fillcolor="black [3213]" stroked="f"/>
              </w:pict>
            </w:r>
          </w:p>
          <w:p w:rsidR="008A136C" w:rsidRPr="00003B04" w:rsidRDefault="008A136C" w:rsidP="00F05954">
            <w:pPr>
              <w:rPr>
                <w:sz w:val="20"/>
                <w:szCs w:val="20"/>
                <w:lang w:val="en-US"/>
              </w:rPr>
            </w:pPr>
          </w:p>
        </w:tc>
      </w:tr>
      <w:tr w:rsidR="00C21644" w:rsidRPr="00003B04" w:rsidTr="003B3977">
        <w:tc>
          <w:tcPr>
            <w:tcW w:w="4320" w:type="dxa"/>
            <w:shd w:val="clear" w:color="auto" w:fill="auto"/>
          </w:tcPr>
          <w:p w:rsidR="00C21644" w:rsidRPr="00003B04" w:rsidRDefault="008A136C" w:rsidP="003B3977">
            <w:pPr>
              <w:rPr>
                <w:b/>
                <w:sz w:val="20"/>
                <w:szCs w:val="20"/>
                <w:lang w:val="en-US"/>
              </w:rPr>
            </w:pPr>
            <w:r w:rsidRPr="00003B04">
              <w:rPr>
                <w:b/>
                <w:sz w:val="20"/>
                <w:szCs w:val="20"/>
                <w:lang w:val="en-US"/>
              </w:rPr>
              <w:t xml:space="preserve">Allan M.R. </w:t>
            </w:r>
            <w:proofErr w:type="spellStart"/>
            <w:r w:rsidRPr="00003B04">
              <w:rPr>
                <w:b/>
                <w:sz w:val="20"/>
                <w:szCs w:val="20"/>
                <w:lang w:val="en-US"/>
              </w:rPr>
              <w:t>MacRae</w:t>
            </w:r>
            <w:proofErr w:type="spellEnd"/>
            <w:r w:rsidRPr="00003B04">
              <w:rPr>
                <w:b/>
                <w:sz w:val="20"/>
                <w:szCs w:val="20"/>
                <w:lang w:val="en-US"/>
              </w:rPr>
              <w:t xml:space="preserve"> and Amira Summer </w:t>
            </w:r>
            <w:proofErr w:type="spellStart"/>
            <w:r w:rsidRPr="00003B04">
              <w:rPr>
                <w:b/>
                <w:sz w:val="20"/>
                <w:szCs w:val="20"/>
                <w:lang w:val="en-US"/>
              </w:rPr>
              <w:t>MacRae</w:t>
            </w:r>
            <w:proofErr w:type="spellEnd"/>
            <w:r w:rsidRPr="00003B04">
              <w:rPr>
                <w:b/>
                <w:sz w:val="20"/>
                <w:szCs w:val="20"/>
                <w:lang w:val="en-US"/>
              </w:rPr>
              <w:t xml:space="preserve">, by Her Litigation Representative Allan M.R. </w:t>
            </w:r>
            <w:proofErr w:type="spellStart"/>
            <w:r w:rsidRPr="00003B04">
              <w:rPr>
                <w:b/>
                <w:sz w:val="20"/>
                <w:szCs w:val="20"/>
                <w:lang w:val="en-US"/>
              </w:rPr>
              <w:t>MacRae</w:t>
            </w:r>
            <w:proofErr w:type="spellEnd"/>
          </w:p>
          <w:p w:rsidR="008A136C" w:rsidRPr="00003B04" w:rsidRDefault="008A136C" w:rsidP="003B3977">
            <w:pPr>
              <w:rPr>
                <w:sz w:val="20"/>
                <w:szCs w:val="20"/>
                <w:lang w:val="en-US"/>
              </w:rPr>
            </w:pPr>
            <w:r w:rsidRPr="00003B04">
              <w:rPr>
                <w:b/>
                <w:sz w:val="20"/>
                <w:szCs w:val="20"/>
                <w:lang w:val="en-US"/>
              </w:rPr>
              <w:tab/>
            </w:r>
            <w:r w:rsidRPr="00003B04">
              <w:rPr>
                <w:sz w:val="20"/>
                <w:szCs w:val="20"/>
                <w:lang w:val="en-US"/>
              </w:rPr>
              <w:t>Allan M.</w:t>
            </w:r>
            <w:r w:rsidR="00BC52A3" w:rsidRPr="00003B04">
              <w:rPr>
                <w:sz w:val="20"/>
                <w:szCs w:val="20"/>
                <w:lang w:val="en-US"/>
              </w:rPr>
              <w:t xml:space="preserve">R. </w:t>
            </w:r>
            <w:proofErr w:type="spellStart"/>
            <w:r w:rsidR="00BC52A3" w:rsidRPr="00003B04">
              <w:rPr>
                <w:sz w:val="20"/>
                <w:szCs w:val="20"/>
                <w:lang w:val="en-US"/>
              </w:rPr>
              <w:t>MacRae</w:t>
            </w:r>
            <w:proofErr w:type="spellEnd"/>
          </w:p>
          <w:p w:rsidR="00BC52A3" w:rsidRPr="00003B04" w:rsidRDefault="00BC52A3" w:rsidP="003B3977">
            <w:pPr>
              <w:rPr>
                <w:sz w:val="20"/>
                <w:szCs w:val="20"/>
                <w:lang w:val="en-US"/>
              </w:rPr>
            </w:pPr>
          </w:p>
          <w:p w:rsidR="00BC52A3" w:rsidRPr="00003B04" w:rsidRDefault="00BC52A3" w:rsidP="003B3977">
            <w:pPr>
              <w:rPr>
                <w:sz w:val="20"/>
                <w:szCs w:val="20"/>
                <w:lang w:val="en-US"/>
              </w:rPr>
            </w:pPr>
            <w:r w:rsidRPr="00003B04">
              <w:rPr>
                <w:sz w:val="20"/>
                <w:szCs w:val="20"/>
                <w:lang w:val="en-US"/>
              </w:rPr>
              <w:tab/>
              <w:t>v. (37378)</w:t>
            </w:r>
          </w:p>
          <w:p w:rsidR="00BC52A3" w:rsidRPr="00003B04" w:rsidRDefault="00BC52A3" w:rsidP="003B3977">
            <w:pPr>
              <w:rPr>
                <w:sz w:val="20"/>
                <w:szCs w:val="20"/>
                <w:lang w:val="en-US"/>
              </w:rPr>
            </w:pPr>
          </w:p>
          <w:p w:rsidR="00BC52A3" w:rsidRPr="00003B04" w:rsidRDefault="00BC52A3" w:rsidP="003B3977">
            <w:pPr>
              <w:rPr>
                <w:b/>
                <w:sz w:val="20"/>
                <w:szCs w:val="20"/>
                <w:lang w:val="en-US"/>
              </w:rPr>
            </w:pPr>
            <w:r w:rsidRPr="00003B04">
              <w:rPr>
                <w:b/>
                <w:sz w:val="20"/>
                <w:szCs w:val="20"/>
                <w:lang w:val="en-US"/>
              </w:rPr>
              <w:t>Constable S. Feeney with the City of Calgary Police Service et al. (Alta.)</w:t>
            </w:r>
          </w:p>
          <w:p w:rsidR="00BC52A3" w:rsidRPr="00003B04" w:rsidRDefault="00BC52A3" w:rsidP="003B3977">
            <w:pPr>
              <w:rPr>
                <w:sz w:val="20"/>
                <w:szCs w:val="20"/>
                <w:lang w:val="en-US"/>
              </w:rPr>
            </w:pPr>
            <w:r w:rsidRPr="00003B04">
              <w:rPr>
                <w:sz w:val="20"/>
                <w:szCs w:val="20"/>
                <w:lang w:val="en-US"/>
              </w:rPr>
              <w:tab/>
              <w:t>Douglas Merchant</w:t>
            </w:r>
          </w:p>
          <w:p w:rsidR="00BC52A3" w:rsidRPr="00003B04" w:rsidRDefault="00BC52A3" w:rsidP="003B3977">
            <w:pPr>
              <w:rPr>
                <w:sz w:val="20"/>
                <w:szCs w:val="20"/>
                <w:lang w:val="en-US"/>
              </w:rPr>
            </w:pPr>
            <w:r w:rsidRPr="00003B04">
              <w:rPr>
                <w:sz w:val="20"/>
                <w:szCs w:val="20"/>
                <w:lang w:val="en-US"/>
              </w:rPr>
              <w:tab/>
              <w:t>City of Calgary</w:t>
            </w:r>
          </w:p>
          <w:p w:rsidR="00BC52A3" w:rsidRPr="00003B04" w:rsidRDefault="00BC52A3" w:rsidP="003B3977">
            <w:pPr>
              <w:rPr>
                <w:sz w:val="20"/>
                <w:szCs w:val="20"/>
                <w:lang w:val="en-US"/>
              </w:rPr>
            </w:pPr>
          </w:p>
          <w:p w:rsidR="00BC52A3" w:rsidRPr="00003B04" w:rsidRDefault="00BC52A3" w:rsidP="003B3977">
            <w:pPr>
              <w:rPr>
                <w:sz w:val="20"/>
                <w:szCs w:val="20"/>
                <w:lang w:val="en-US"/>
              </w:rPr>
            </w:pPr>
            <w:r w:rsidRPr="00003B04">
              <w:rPr>
                <w:sz w:val="20"/>
                <w:szCs w:val="20"/>
                <w:lang w:val="en-US"/>
              </w:rPr>
              <w:t>FILING DATE: 13.12.2016</w:t>
            </w:r>
          </w:p>
          <w:p w:rsidR="00BC52A3" w:rsidRPr="00003B04" w:rsidRDefault="00604445" w:rsidP="003B3977">
            <w:pPr>
              <w:rPr>
                <w:sz w:val="20"/>
                <w:szCs w:val="20"/>
                <w:lang w:val="fr-CA"/>
              </w:rPr>
            </w:pPr>
            <w:r>
              <w:rPr>
                <w:sz w:val="20"/>
                <w:szCs w:val="20"/>
                <w:lang w:val="fr-CA"/>
              </w:rPr>
              <w:pict>
                <v:rect id="_x0000_i1029" style="width:108pt;height:1pt" o:hrpct="0" o:hralign="center" o:hrstd="t" o:hrnoshade="t" o:hr="t" fillcolor="black [3213]" stroked="f"/>
              </w:pict>
            </w:r>
          </w:p>
          <w:p w:rsidR="00BC52A3" w:rsidRPr="00003B04" w:rsidRDefault="00BC52A3" w:rsidP="003B3977">
            <w:pPr>
              <w:rPr>
                <w:sz w:val="20"/>
                <w:szCs w:val="20"/>
                <w:lang w:val="en-US"/>
              </w:rPr>
            </w:pPr>
          </w:p>
        </w:tc>
        <w:tc>
          <w:tcPr>
            <w:tcW w:w="1181" w:type="dxa"/>
            <w:shd w:val="clear" w:color="auto" w:fill="auto"/>
          </w:tcPr>
          <w:p w:rsidR="00C21644" w:rsidRPr="00003B04" w:rsidRDefault="00C21644" w:rsidP="00242AEE">
            <w:pPr>
              <w:jc w:val="center"/>
              <w:rPr>
                <w:sz w:val="20"/>
                <w:szCs w:val="20"/>
                <w:lang w:val="en-US"/>
              </w:rPr>
            </w:pPr>
          </w:p>
          <w:p w:rsidR="00BC52A3" w:rsidRPr="00003B04" w:rsidRDefault="00BC52A3" w:rsidP="00242AEE">
            <w:pPr>
              <w:jc w:val="center"/>
              <w:rPr>
                <w:sz w:val="20"/>
                <w:szCs w:val="20"/>
                <w:lang w:val="en-US"/>
              </w:rPr>
            </w:pPr>
          </w:p>
        </w:tc>
        <w:tc>
          <w:tcPr>
            <w:tcW w:w="4320" w:type="dxa"/>
            <w:shd w:val="clear" w:color="auto" w:fill="auto"/>
          </w:tcPr>
          <w:p w:rsidR="00C21644" w:rsidRPr="00003B04" w:rsidRDefault="005D24CB" w:rsidP="00F05954">
            <w:pPr>
              <w:rPr>
                <w:b/>
                <w:sz w:val="20"/>
                <w:szCs w:val="20"/>
                <w:lang w:val="en-US"/>
              </w:rPr>
            </w:pPr>
            <w:r w:rsidRPr="00003B04">
              <w:rPr>
                <w:b/>
                <w:sz w:val="20"/>
                <w:szCs w:val="20"/>
                <w:lang w:val="en-US"/>
              </w:rPr>
              <w:t>Lanny K. McDonald</w:t>
            </w:r>
          </w:p>
          <w:p w:rsidR="005D24CB" w:rsidRPr="00003B04" w:rsidRDefault="005D24CB" w:rsidP="00F05954">
            <w:pPr>
              <w:rPr>
                <w:sz w:val="20"/>
                <w:szCs w:val="20"/>
                <w:lang w:val="en-US"/>
              </w:rPr>
            </w:pPr>
            <w:r w:rsidRPr="00003B04">
              <w:rPr>
                <w:b/>
                <w:sz w:val="20"/>
                <w:szCs w:val="20"/>
                <w:lang w:val="en-US"/>
              </w:rPr>
              <w:tab/>
            </w:r>
            <w:r w:rsidRPr="00003B04">
              <w:rPr>
                <w:sz w:val="20"/>
                <w:szCs w:val="20"/>
                <w:lang w:val="en-US"/>
              </w:rPr>
              <w:t>John W. McDonald</w:t>
            </w:r>
          </w:p>
          <w:p w:rsidR="005D24CB" w:rsidRPr="00003B04" w:rsidRDefault="005D24CB" w:rsidP="00F05954">
            <w:pPr>
              <w:rPr>
                <w:sz w:val="20"/>
                <w:szCs w:val="20"/>
                <w:lang w:val="en-US"/>
              </w:rPr>
            </w:pPr>
            <w:r w:rsidRPr="00003B04">
              <w:rPr>
                <w:sz w:val="20"/>
                <w:szCs w:val="20"/>
                <w:lang w:val="en-US"/>
              </w:rPr>
              <w:tab/>
              <w:t>McDonald Ross</w:t>
            </w:r>
          </w:p>
          <w:p w:rsidR="005D24CB" w:rsidRPr="00003B04" w:rsidRDefault="005D24CB" w:rsidP="00F05954">
            <w:pPr>
              <w:rPr>
                <w:sz w:val="20"/>
                <w:szCs w:val="20"/>
                <w:lang w:val="en-US"/>
              </w:rPr>
            </w:pPr>
          </w:p>
          <w:p w:rsidR="005D24CB" w:rsidRPr="00003B04" w:rsidRDefault="005D24CB" w:rsidP="00F05954">
            <w:pPr>
              <w:rPr>
                <w:sz w:val="20"/>
                <w:szCs w:val="20"/>
                <w:lang w:val="en-US"/>
              </w:rPr>
            </w:pPr>
            <w:r w:rsidRPr="00003B04">
              <w:rPr>
                <w:sz w:val="20"/>
                <w:szCs w:val="20"/>
                <w:lang w:val="en-US"/>
              </w:rPr>
              <w:tab/>
              <w:t>v. (37438)</w:t>
            </w:r>
          </w:p>
          <w:p w:rsidR="005D24CB" w:rsidRPr="00003B04" w:rsidRDefault="005D24CB" w:rsidP="00F05954">
            <w:pPr>
              <w:rPr>
                <w:sz w:val="20"/>
                <w:szCs w:val="20"/>
                <w:lang w:val="en-US"/>
              </w:rPr>
            </w:pPr>
          </w:p>
          <w:p w:rsidR="005D24CB" w:rsidRPr="00003B04" w:rsidRDefault="005D24CB" w:rsidP="00F05954">
            <w:pPr>
              <w:rPr>
                <w:b/>
                <w:sz w:val="20"/>
                <w:szCs w:val="20"/>
                <w:lang w:val="en-US"/>
              </w:rPr>
            </w:pPr>
            <w:r w:rsidRPr="00003B04">
              <w:rPr>
                <w:b/>
                <w:sz w:val="20"/>
                <w:szCs w:val="20"/>
                <w:lang w:val="en-US"/>
              </w:rPr>
              <w:t>Brookfield Asset Management Inc. et al. (Alta.)</w:t>
            </w:r>
          </w:p>
          <w:p w:rsidR="005D24CB" w:rsidRPr="00003B04" w:rsidRDefault="005D24CB" w:rsidP="00F05954">
            <w:pPr>
              <w:rPr>
                <w:sz w:val="20"/>
                <w:szCs w:val="20"/>
                <w:lang w:val="en-US"/>
              </w:rPr>
            </w:pPr>
            <w:r w:rsidRPr="00003B04">
              <w:rPr>
                <w:sz w:val="20"/>
                <w:szCs w:val="20"/>
                <w:lang w:val="en-US"/>
              </w:rPr>
              <w:tab/>
              <w:t>Howard A. Gorman</w:t>
            </w:r>
          </w:p>
          <w:p w:rsidR="005D24CB" w:rsidRPr="00003B04" w:rsidRDefault="005D24CB" w:rsidP="00F05954">
            <w:pPr>
              <w:rPr>
                <w:sz w:val="20"/>
                <w:szCs w:val="20"/>
                <w:lang w:val="en-US"/>
              </w:rPr>
            </w:pPr>
            <w:r w:rsidRPr="00003B04">
              <w:rPr>
                <w:sz w:val="20"/>
                <w:szCs w:val="20"/>
                <w:lang w:val="en-US"/>
              </w:rPr>
              <w:tab/>
              <w:t>Norton Rose Fulbright Canada LLP</w:t>
            </w:r>
          </w:p>
          <w:p w:rsidR="005D24CB" w:rsidRPr="00003B04" w:rsidRDefault="005D24CB" w:rsidP="00F05954">
            <w:pPr>
              <w:rPr>
                <w:sz w:val="20"/>
                <w:szCs w:val="20"/>
                <w:lang w:val="en-US"/>
              </w:rPr>
            </w:pPr>
          </w:p>
          <w:p w:rsidR="005D24CB" w:rsidRPr="00003B04" w:rsidRDefault="005D24CB" w:rsidP="00F05954">
            <w:pPr>
              <w:rPr>
                <w:sz w:val="20"/>
                <w:szCs w:val="20"/>
                <w:lang w:val="en-US"/>
              </w:rPr>
            </w:pPr>
            <w:r w:rsidRPr="00003B04">
              <w:rPr>
                <w:sz w:val="20"/>
                <w:szCs w:val="20"/>
                <w:lang w:val="en-US"/>
              </w:rPr>
              <w:t>FILING DATE: 03.02.2017</w:t>
            </w:r>
          </w:p>
          <w:p w:rsidR="005D24CB" w:rsidRPr="00003B04" w:rsidRDefault="00604445" w:rsidP="00F05954">
            <w:pPr>
              <w:rPr>
                <w:sz w:val="20"/>
                <w:szCs w:val="20"/>
                <w:lang w:val="en-US"/>
              </w:rPr>
            </w:pPr>
            <w:r>
              <w:rPr>
                <w:sz w:val="20"/>
                <w:szCs w:val="20"/>
                <w:lang w:val="fr-CA"/>
              </w:rPr>
              <w:pict>
                <v:rect id="_x0000_i1030" style="width:108pt;height:1pt" o:hrpct="0" o:hralign="center" o:hrstd="t" o:hrnoshade="t" o:hr="t" fillcolor="black [3213]" stroked="f"/>
              </w:pict>
            </w:r>
          </w:p>
        </w:tc>
      </w:tr>
    </w:tbl>
    <w:p w:rsidR="005D24CB" w:rsidRPr="00003B04" w:rsidRDefault="005D24CB">
      <w:r w:rsidRPr="00003B04">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003B04" w:rsidTr="003B3977">
        <w:tc>
          <w:tcPr>
            <w:tcW w:w="4320" w:type="dxa"/>
            <w:shd w:val="clear" w:color="auto" w:fill="auto"/>
          </w:tcPr>
          <w:p w:rsidR="00C21644" w:rsidRPr="00003B04" w:rsidRDefault="005D24CB" w:rsidP="005F1ED8">
            <w:pPr>
              <w:rPr>
                <w:b/>
                <w:sz w:val="20"/>
                <w:szCs w:val="20"/>
                <w:lang w:val="fr-CA"/>
              </w:rPr>
            </w:pPr>
            <w:r w:rsidRPr="00003B04">
              <w:rPr>
                <w:b/>
                <w:sz w:val="20"/>
                <w:szCs w:val="20"/>
                <w:lang w:val="fr-CA"/>
              </w:rPr>
              <w:lastRenderedPageBreak/>
              <w:t>Helene Carter et al.</w:t>
            </w:r>
          </w:p>
          <w:p w:rsidR="005D24CB" w:rsidRPr="00003B04" w:rsidRDefault="005D24CB" w:rsidP="005F1ED8">
            <w:pPr>
              <w:rPr>
                <w:sz w:val="20"/>
                <w:szCs w:val="20"/>
                <w:lang w:val="fr-CA"/>
              </w:rPr>
            </w:pPr>
            <w:r w:rsidRPr="00003B04">
              <w:rPr>
                <w:sz w:val="20"/>
                <w:szCs w:val="20"/>
                <w:lang w:val="fr-CA"/>
              </w:rPr>
              <w:tab/>
              <w:t xml:space="preserve">Guy J. </w:t>
            </w:r>
            <w:proofErr w:type="spellStart"/>
            <w:r w:rsidRPr="00003B04">
              <w:rPr>
                <w:sz w:val="20"/>
                <w:szCs w:val="20"/>
                <w:lang w:val="fr-CA"/>
              </w:rPr>
              <w:t>Pratte</w:t>
            </w:r>
            <w:proofErr w:type="spellEnd"/>
          </w:p>
          <w:p w:rsidR="005D24CB" w:rsidRPr="00003B04" w:rsidRDefault="005D24CB" w:rsidP="005F1ED8">
            <w:pPr>
              <w:rPr>
                <w:sz w:val="20"/>
                <w:szCs w:val="20"/>
                <w:lang w:val="en-US"/>
              </w:rPr>
            </w:pPr>
            <w:r w:rsidRPr="00003B04">
              <w:rPr>
                <w:sz w:val="20"/>
                <w:szCs w:val="20"/>
                <w:lang w:val="fr-CA"/>
              </w:rPr>
              <w:tab/>
            </w:r>
            <w:r w:rsidRPr="00003B04">
              <w:rPr>
                <w:sz w:val="20"/>
                <w:szCs w:val="20"/>
                <w:lang w:val="en-US"/>
              </w:rPr>
              <w:t>Borden Ladner Gervais LLP</w:t>
            </w:r>
          </w:p>
          <w:p w:rsidR="005D24CB" w:rsidRPr="00003B04" w:rsidRDefault="005D24CB" w:rsidP="005F1ED8">
            <w:pPr>
              <w:rPr>
                <w:sz w:val="20"/>
                <w:szCs w:val="20"/>
                <w:lang w:val="en-US"/>
              </w:rPr>
            </w:pPr>
          </w:p>
          <w:p w:rsidR="005D24CB" w:rsidRPr="00003B04" w:rsidRDefault="005D24CB" w:rsidP="005F1ED8">
            <w:pPr>
              <w:rPr>
                <w:sz w:val="20"/>
                <w:szCs w:val="20"/>
                <w:lang w:val="en-US"/>
              </w:rPr>
            </w:pPr>
            <w:r w:rsidRPr="00003B04">
              <w:rPr>
                <w:sz w:val="20"/>
                <w:szCs w:val="20"/>
                <w:lang w:val="en-US"/>
              </w:rPr>
              <w:tab/>
              <w:t>v. (37435)</w:t>
            </w:r>
          </w:p>
          <w:p w:rsidR="005D24CB" w:rsidRPr="00003B04" w:rsidRDefault="005D24CB" w:rsidP="005F1ED8">
            <w:pPr>
              <w:rPr>
                <w:sz w:val="20"/>
                <w:szCs w:val="20"/>
                <w:lang w:val="en-US"/>
              </w:rPr>
            </w:pPr>
          </w:p>
          <w:p w:rsidR="005D24CB" w:rsidRPr="00003B04" w:rsidRDefault="005D24CB" w:rsidP="005F1ED8">
            <w:pPr>
              <w:rPr>
                <w:b/>
                <w:sz w:val="20"/>
                <w:szCs w:val="20"/>
                <w:lang w:val="en-US"/>
              </w:rPr>
            </w:pPr>
            <w:r w:rsidRPr="00003B04">
              <w:rPr>
                <w:b/>
                <w:sz w:val="20"/>
                <w:szCs w:val="20"/>
                <w:lang w:val="en-US"/>
              </w:rPr>
              <w:t>Intact Insurance Company (Ont.)</w:t>
            </w:r>
          </w:p>
          <w:p w:rsidR="005D24CB" w:rsidRPr="00003B04" w:rsidRDefault="005D24CB" w:rsidP="005F1ED8">
            <w:pPr>
              <w:rPr>
                <w:sz w:val="20"/>
                <w:szCs w:val="20"/>
                <w:lang w:val="en-US"/>
              </w:rPr>
            </w:pPr>
            <w:r w:rsidRPr="00003B04">
              <w:rPr>
                <w:sz w:val="20"/>
                <w:szCs w:val="20"/>
                <w:lang w:val="en-US"/>
              </w:rPr>
              <w:tab/>
              <w:t xml:space="preserve">Anthony J. </w:t>
            </w:r>
            <w:proofErr w:type="spellStart"/>
            <w:r w:rsidRPr="00003B04">
              <w:rPr>
                <w:sz w:val="20"/>
                <w:szCs w:val="20"/>
                <w:lang w:val="en-US"/>
              </w:rPr>
              <w:t>Bedard</w:t>
            </w:r>
            <w:proofErr w:type="spellEnd"/>
            <w:r w:rsidRPr="00003B04">
              <w:rPr>
                <w:sz w:val="20"/>
                <w:szCs w:val="20"/>
                <w:lang w:val="en-US"/>
              </w:rPr>
              <w:t xml:space="preserve"> </w:t>
            </w:r>
          </w:p>
          <w:p w:rsidR="005D24CB" w:rsidRPr="00003B04" w:rsidRDefault="005D24CB" w:rsidP="005F1ED8">
            <w:pPr>
              <w:rPr>
                <w:sz w:val="20"/>
                <w:szCs w:val="20"/>
                <w:lang w:val="en-US"/>
              </w:rPr>
            </w:pPr>
            <w:r w:rsidRPr="00003B04">
              <w:rPr>
                <w:sz w:val="20"/>
                <w:szCs w:val="20"/>
                <w:lang w:val="en-US"/>
              </w:rPr>
              <w:tab/>
            </w:r>
            <w:proofErr w:type="spellStart"/>
            <w:r w:rsidRPr="00003B04">
              <w:rPr>
                <w:sz w:val="20"/>
                <w:szCs w:val="20"/>
                <w:lang w:val="en-US"/>
              </w:rPr>
              <w:t>Lerners</w:t>
            </w:r>
            <w:proofErr w:type="spellEnd"/>
            <w:r w:rsidRPr="00003B04">
              <w:rPr>
                <w:sz w:val="20"/>
                <w:szCs w:val="20"/>
                <w:lang w:val="en-US"/>
              </w:rPr>
              <w:t xml:space="preserve"> LLP</w:t>
            </w:r>
          </w:p>
          <w:p w:rsidR="005D24CB" w:rsidRPr="00003B04" w:rsidRDefault="005D24CB" w:rsidP="005F1ED8">
            <w:pPr>
              <w:rPr>
                <w:sz w:val="20"/>
                <w:szCs w:val="20"/>
                <w:lang w:val="en-US"/>
              </w:rPr>
            </w:pPr>
          </w:p>
          <w:p w:rsidR="005D24CB" w:rsidRPr="00003B04" w:rsidRDefault="005D24CB" w:rsidP="005F1ED8">
            <w:pPr>
              <w:rPr>
                <w:sz w:val="20"/>
                <w:szCs w:val="20"/>
                <w:lang w:val="en-US"/>
              </w:rPr>
            </w:pPr>
            <w:r w:rsidRPr="00003B04">
              <w:rPr>
                <w:sz w:val="20"/>
                <w:szCs w:val="20"/>
                <w:lang w:val="en-US"/>
              </w:rPr>
              <w:t>FILING DATE: 03.02.2017</w:t>
            </w:r>
          </w:p>
          <w:p w:rsidR="005D24CB" w:rsidRPr="00003B04" w:rsidRDefault="00604445" w:rsidP="005F1ED8">
            <w:pPr>
              <w:rPr>
                <w:sz w:val="20"/>
                <w:szCs w:val="20"/>
                <w:lang w:val="fr-CA"/>
              </w:rPr>
            </w:pPr>
            <w:r>
              <w:rPr>
                <w:sz w:val="20"/>
                <w:szCs w:val="20"/>
                <w:lang w:val="fr-CA"/>
              </w:rPr>
              <w:pict>
                <v:rect id="_x0000_i1031" style="width:108pt;height:1pt" o:hrpct="0" o:hralign="center" o:hrstd="t" o:hrnoshade="t" o:hr="t" fillcolor="black [3213]" stroked="f"/>
              </w:pict>
            </w:r>
          </w:p>
          <w:p w:rsidR="005D24CB" w:rsidRPr="00003B04" w:rsidRDefault="005D24CB" w:rsidP="005F1ED8">
            <w:pPr>
              <w:rPr>
                <w:sz w:val="20"/>
                <w:szCs w:val="20"/>
                <w:lang w:val="en-US"/>
              </w:rPr>
            </w:pPr>
          </w:p>
        </w:tc>
        <w:tc>
          <w:tcPr>
            <w:tcW w:w="1181" w:type="dxa"/>
            <w:shd w:val="clear" w:color="auto" w:fill="auto"/>
          </w:tcPr>
          <w:p w:rsidR="00C21644" w:rsidRPr="00003B04" w:rsidRDefault="00C21644" w:rsidP="00242AEE">
            <w:pPr>
              <w:jc w:val="center"/>
              <w:rPr>
                <w:sz w:val="20"/>
                <w:szCs w:val="20"/>
                <w:lang w:val="en-US"/>
              </w:rPr>
            </w:pPr>
          </w:p>
        </w:tc>
        <w:tc>
          <w:tcPr>
            <w:tcW w:w="4320" w:type="dxa"/>
            <w:shd w:val="clear" w:color="auto" w:fill="auto"/>
          </w:tcPr>
          <w:p w:rsidR="00C21644" w:rsidRPr="00003B04" w:rsidRDefault="005D24CB" w:rsidP="005F1ED8">
            <w:pPr>
              <w:rPr>
                <w:b/>
                <w:sz w:val="20"/>
                <w:szCs w:val="20"/>
                <w:lang w:val="en-US"/>
              </w:rPr>
            </w:pPr>
            <w:r w:rsidRPr="00003B04">
              <w:rPr>
                <w:b/>
                <w:sz w:val="20"/>
                <w:szCs w:val="20"/>
                <w:lang w:val="en-US"/>
              </w:rPr>
              <w:t xml:space="preserve">Schwartz </w:t>
            </w:r>
            <w:proofErr w:type="spellStart"/>
            <w:r w:rsidRPr="00003B04">
              <w:rPr>
                <w:b/>
                <w:sz w:val="20"/>
                <w:szCs w:val="20"/>
                <w:lang w:val="en-US"/>
              </w:rPr>
              <w:t>Levitsky</w:t>
            </w:r>
            <w:proofErr w:type="spellEnd"/>
            <w:r w:rsidRPr="00003B04">
              <w:rPr>
                <w:b/>
                <w:sz w:val="20"/>
                <w:szCs w:val="20"/>
                <w:lang w:val="en-US"/>
              </w:rPr>
              <w:t xml:space="preserve"> Feldman LLP</w:t>
            </w:r>
          </w:p>
          <w:p w:rsidR="005D24CB" w:rsidRPr="00003B04" w:rsidRDefault="005D24CB" w:rsidP="005F1ED8">
            <w:pPr>
              <w:rPr>
                <w:sz w:val="20"/>
                <w:szCs w:val="20"/>
                <w:lang w:val="en-US"/>
              </w:rPr>
            </w:pPr>
            <w:r w:rsidRPr="00003B04">
              <w:rPr>
                <w:b/>
                <w:sz w:val="20"/>
                <w:szCs w:val="20"/>
                <w:lang w:val="en-US"/>
              </w:rPr>
              <w:tab/>
            </w:r>
            <w:r w:rsidRPr="00003B04">
              <w:rPr>
                <w:sz w:val="20"/>
                <w:szCs w:val="20"/>
                <w:lang w:val="en-US"/>
              </w:rPr>
              <w:t xml:space="preserve">Alan L.W. </w:t>
            </w:r>
            <w:proofErr w:type="spellStart"/>
            <w:r w:rsidRPr="00003B04">
              <w:rPr>
                <w:sz w:val="20"/>
                <w:szCs w:val="20"/>
                <w:lang w:val="en-US"/>
              </w:rPr>
              <w:t>D’Silva</w:t>
            </w:r>
            <w:proofErr w:type="spellEnd"/>
          </w:p>
          <w:p w:rsidR="005D24CB" w:rsidRPr="00003B04" w:rsidRDefault="005D24CB" w:rsidP="005F1ED8">
            <w:pPr>
              <w:rPr>
                <w:sz w:val="20"/>
                <w:szCs w:val="20"/>
                <w:lang w:val="en-US"/>
              </w:rPr>
            </w:pPr>
            <w:r w:rsidRPr="00003B04">
              <w:rPr>
                <w:sz w:val="20"/>
                <w:szCs w:val="20"/>
                <w:lang w:val="en-US"/>
              </w:rPr>
              <w:tab/>
            </w:r>
            <w:proofErr w:type="spellStart"/>
            <w:r w:rsidRPr="00003B04">
              <w:rPr>
                <w:sz w:val="20"/>
                <w:szCs w:val="20"/>
                <w:lang w:val="en-US"/>
              </w:rPr>
              <w:t>Stikeman</w:t>
            </w:r>
            <w:proofErr w:type="spellEnd"/>
            <w:r w:rsidRPr="00003B04">
              <w:rPr>
                <w:sz w:val="20"/>
                <w:szCs w:val="20"/>
                <w:lang w:val="en-US"/>
              </w:rPr>
              <w:t xml:space="preserve"> Elliott LLP</w:t>
            </w:r>
          </w:p>
          <w:p w:rsidR="005D24CB" w:rsidRPr="00003B04" w:rsidRDefault="005D24CB" w:rsidP="005F1ED8">
            <w:pPr>
              <w:rPr>
                <w:sz w:val="20"/>
                <w:szCs w:val="20"/>
                <w:lang w:val="en-US"/>
              </w:rPr>
            </w:pPr>
          </w:p>
          <w:p w:rsidR="005D24CB" w:rsidRPr="00003B04" w:rsidRDefault="005D24CB" w:rsidP="005F1ED8">
            <w:pPr>
              <w:rPr>
                <w:sz w:val="20"/>
                <w:szCs w:val="20"/>
                <w:lang w:val="en-US"/>
              </w:rPr>
            </w:pPr>
            <w:r w:rsidRPr="00003B04">
              <w:rPr>
                <w:sz w:val="20"/>
                <w:szCs w:val="20"/>
                <w:lang w:val="en-US"/>
              </w:rPr>
              <w:tab/>
              <w:t>v. (37436)</w:t>
            </w:r>
          </w:p>
          <w:p w:rsidR="005D24CB" w:rsidRPr="00003B04" w:rsidRDefault="005D24CB" w:rsidP="005F1ED8">
            <w:pPr>
              <w:rPr>
                <w:sz w:val="20"/>
                <w:szCs w:val="20"/>
                <w:lang w:val="en-US"/>
              </w:rPr>
            </w:pPr>
          </w:p>
          <w:p w:rsidR="005D24CB" w:rsidRPr="00003B04" w:rsidRDefault="005D24CB" w:rsidP="005F1ED8">
            <w:pPr>
              <w:rPr>
                <w:b/>
                <w:sz w:val="20"/>
                <w:szCs w:val="20"/>
                <w:lang w:val="en-US"/>
              </w:rPr>
            </w:pPr>
            <w:r w:rsidRPr="00003B04">
              <w:rPr>
                <w:b/>
                <w:sz w:val="20"/>
                <w:szCs w:val="20"/>
                <w:lang w:val="en-US"/>
              </w:rPr>
              <w:t>Ex</w:t>
            </w:r>
            <w:r w:rsidR="0031699B" w:rsidRPr="00003B04">
              <w:rPr>
                <w:b/>
                <w:sz w:val="20"/>
                <w:szCs w:val="20"/>
                <w:lang w:val="en-US"/>
              </w:rPr>
              <w:t>c</w:t>
            </w:r>
            <w:r w:rsidRPr="00003B04">
              <w:rPr>
                <w:b/>
                <w:sz w:val="20"/>
                <w:szCs w:val="20"/>
                <w:lang w:val="en-US"/>
              </w:rPr>
              <w:t>alibur Special Opportunities LP (Ont.)</w:t>
            </w:r>
          </w:p>
          <w:p w:rsidR="005D24CB" w:rsidRPr="00003B04" w:rsidRDefault="005D24CB" w:rsidP="005F1ED8">
            <w:pPr>
              <w:rPr>
                <w:sz w:val="20"/>
                <w:szCs w:val="20"/>
                <w:lang w:val="en-US"/>
              </w:rPr>
            </w:pPr>
            <w:r w:rsidRPr="00003B04">
              <w:rPr>
                <w:sz w:val="20"/>
                <w:szCs w:val="20"/>
                <w:lang w:val="en-US"/>
              </w:rPr>
              <w:tab/>
              <w:t>Jeff Larry</w:t>
            </w:r>
          </w:p>
          <w:p w:rsidR="005D24CB" w:rsidRPr="00003B04" w:rsidRDefault="005D24CB" w:rsidP="005F1ED8">
            <w:pPr>
              <w:rPr>
                <w:sz w:val="20"/>
                <w:szCs w:val="20"/>
                <w:lang w:val="en-US"/>
              </w:rPr>
            </w:pPr>
            <w:r w:rsidRPr="00003B04">
              <w:rPr>
                <w:sz w:val="20"/>
                <w:szCs w:val="20"/>
                <w:lang w:val="en-US"/>
              </w:rPr>
              <w:tab/>
            </w:r>
            <w:proofErr w:type="spellStart"/>
            <w:r w:rsidRPr="00003B04">
              <w:rPr>
                <w:sz w:val="20"/>
                <w:szCs w:val="20"/>
                <w:lang w:val="en-US"/>
              </w:rPr>
              <w:t>Paliare</w:t>
            </w:r>
            <w:proofErr w:type="spellEnd"/>
            <w:r w:rsidRPr="00003B04">
              <w:rPr>
                <w:sz w:val="20"/>
                <w:szCs w:val="20"/>
                <w:lang w:val="en-US"/>
              </w:rPr>
              <w:t xml:space="preserve">, Roland, Rosenberg, Rothstein </w:t>
            </w:r>
            <w:r w:rsidRPr="00003B04">
              <w:rPr>
                <w:sz w:val="20"/>
                <w:szCs w:val="20"/>
                <w:lang w:val="en-US"/>
              </w:rPr>
              <w:tab/>
              <w:t>LLP</w:t>
            </w:r>
          </w:p>
          <w:p w:rsidR="005D24CB" w:rsidRPr="00003B04" w:rsidRDefault="005D24CB" w:rsidP="005F1ED8">
            <w:pPr>
              <w:rPr>
                <w:sz w:val="20"/>
                <w:szCs w:val="20"/>
                <w:lang w:val="en-US"/>
              </w:rPr>
            </w:pPr>
          </w:p>
          <w:p w:rsidR="005D24CB" w:rsidRPr="00003B04" w:rsidRDefault="005D24CB" w:rsidP="005F1ED8">
            <w:pPr>
              <w:rPr>
                <w:sz w:val="20"/>
                <w:szCs w:val="20"/>
                <w:lang w:val="en-US"/>
              </w:rPr>
            </w:pPr>
            <w:r w:rsidRPr="00003B04">
              <w:rPr>
                <w:sz w:val="20"/>
                <w:szCs w:val="20"/>
                <w:lang w:val="en-US"/>
              </w:rPr>
              <w:t>FILING DATE: 06.02.2017</w:t>
            </w:r>
          </w:p>
          <w:p w:rsidR="005D24CB" w:rsidRPr="00003B04" w:rsidRDefault="00604445" w:rsidP="005F1ED8">
            <w:pPr>
              <w:rPr>
                <w:sz w:val="20"/>
                <w:szCs w:val="20"/>
                <w:lang w:val="fr-CA"/>
              </w:rPr>
            </w:pPr>
            <w:r>
              <w:rPr>
                <w:sz w:val="20"/>
                <w:szCs w:val="20"/>
                <w:lang w:val="fr-CA"/>
              </w:rPr>
              <w:pict>
                <v:rect id="_x0000_i1032" style="width:108pt;height:1pt" o:hrpct="0" o:hralign="center" o:hrstd="t" o:hrnoshade="t" o:hr="t" fillcolor="black [3213]" stroked="f"/>
              </w:pict>
            </w:r>
          </w:p>
          <w:p w:rsidR="005D24CB" w:rsidRPr="00003B04" w:rsidRDefault="005D24CB" w:rsidP="005F1ED8">
            <w:pPr>
              <w:rPr>
                <w:sz w:val="20"/>
                <w:szCs w:val="20"/>
                <w:lang w:val="en-US"/>
              </w:rPr>
            </w:pPr>
          </w:p>
        </w:tc>
      </w:tr>
      <w:tr w:rsidR="005D24CB" w:rsidRPr="00003B04" w:rsidTr="003B3977">
        <w:tc>
          <w:tcPr>
            <w:tcW w:w="4320" w:type="dxa"/>
            <w:shd w:val="clear" w:color="auto" w:fill="auto"/>
          </w:tcPr>
          <w:p w:rsidR="005D24CB" w:rsidRPr="00003B04" w:rsidRDefault="0031699B" w:rsidP="005F1ED8">
            <w:pPr>
              <w:rPr>
                <w:b/>
                <w:sz w:val="20"/>
                <w:szCs w:val="20"/>
                <w:lang w:val="en-US"/>
              </w:rPr>
            </w:pPr>
            <w:r w:rsidRPr="00003B04">
              <w:rPr>
                <w:b/>
                <w:sz w:val="20"/>
                <w:szCs w:val="20"/>
                <w:lang w:val="en-US"/>
              </w:rPr>
              <w:t xml:space="preserve">Shirley A. </w:t>
            </w:r>
            <w:proofErr w:type="spellStart"/>
            <w:r w:rsidRPr="00003B04">
              <w:rPr>
                <w:b/>
                <w:sz w:val="20"/>
                <w:szCs w:val="20"/>
                <w:lang w:val="en-US"/>
              </w:rPr>
              <w:t>Hok</w:t>
            </w:r>
            <w:proofErr w:type="spellEnd"/>
          </w:p>
          <w:p w:rsidR="0031699B" w:rsidRPr="00003B04" w:rsidRDefault="0031699B" w:rsidP="005F1ED8">
            <w:pPr>
              <w:rPr>
                <w:sz w:val="20"/>
                <w:szCs w:val="20"/>
                <w:lang w:val="en-US"/>
              </w:rPr>
            </w:pPr>
            <w:r w:rsidRPr="00003B04">
              <w:rPr>
                <w:b/>
                <w:sz w:val="20"/>
                <w:szCs w:val="20"/>
                <w:lang w:val="en-US"/>
              </w:rPr>
              <w:tab/>
            </w:r>
            <w:r w:rsidRPr="00003B04">
              <w:rPr>
                <w:sz w:val="20"/>
                <w:szCs w:val="20"/>
                <w:lang w:val="en-US"/>
              </w:rPr>
              <w:t xml:space="preserve">Shirley A. </w:t>
            </w:r>
            <w:proofErr w:type="spellStart"/>
            <w:r w:rsidRPr="00003B04">
              <w:rPr>
                <w:sz w:val="20"/>
                <w:szCs w:val="20"/>
                <w:lang w:val="en-US"/>
              </w:rPr>
              <w:t>Hok</w:t>
            </w:r>
            <w:proofErr w:type="spellEnd"/>
          </w:p>
          <w:p w:rsidR="0031699B" w:rsidRPr="00003B04" w:rsidRDefault="0031699B" w:rsidP="005F1ED8">
            <w:pPr>
              <w:rPr>
                <w:sz w:val="20"/>
                <w:szCs w:val="20"/>
                <w:lang w:val="en-US"/>
              </w:rPr>
            </w:pPr>
          </w:p>
          <w:p w:rsidR="0031699B" w:rsidRPr="00003B04" w:rsidRDefault="0031699B" w:rsidP="005F1ED8">
            <w:pPr>
              <w:rPr>
                <w:sz w:val="20"/>
                <w:szCs w:val="20"/>
                <w:lang w:val="en-US"/>
              </w:rPr>
            </w:pPr>
            <w:r w:rsidRPr="00003B04">
              <w:rPr>
                <w:sz w:val="20"/>
                <w:szCs w:val="20"/>
                <w:lang w:val="en-US"/>
              </w:rPr>
              <w:tab/>
              <w:t>v. (37446)</w:t>
            </w:r>
          </w:p>
          <w:p w:rsidR="0031699B" w:rsidRPr="00003B04" w:rsidRDefault="0031699B" w:rsidP="005F1ED8">
            <w:pPr>
              <w:rPr>
                <w:sz w:val="20"/>
                <w:szCs w:val="20"/>
                <w:lang w:val="en-US"/>
              </w:rPr>
            </w:pPr>
          </w:p>
          <w:p w:rsidR="0031699B" w:rsidRPr="00003B04" w:rsidRDefault="0031699B" w:rsidP="005F1ED8">
            <w:pPr>
              <w:rPr>
                <w:b/>
                <w:sz w:val="20"/>
                <w:szCs w:val="20"/>
                <w:lang w:val="en-US"/>
              </w:rPr>
            </w:pPr>
            <w:r w:rsidRPr="00003B04">
              <w:rPr>
                <w:b/>
                <w:sz w:val="20"/>
                <w:szCs w:val="20"/>
                <w:lang w:val="en-US"/>
              </w:rPr>
              <w:t xml:space="preserve">Grande Prairie’s Crown Prosecutors Office of: Steven </w:t>
            </w:r>
            <w:proofErr w:type="spellStart"/>
            <w:r w:rsidRPr="00003B04">
              <w:rPr>
                <w:b/>
                <w:sz w:val="20"/>
                <w:szCs w:val="20"/>
                <w:lang w:val="en-US"/>
              </w:rPr>
              <w:t>Hinkley</w:t>
            </w:r>
            <w:proofErr w:type="spellEnd"/>
            <w:r w:rsidRPr="00003B04">
              <w:rPr>
                <w:b/>
                <w:sz w:val="20"/>
                <w:szCs w:val="20"/>
                <w:lang w:val="en-US"/>
              </w:rPr>
              <w:t xml:space="preserve">, Brenda </w:t>
            </w:r>
            <w:proofErr w:type="spellStart"/>
            <w:r w:rsidRPr="00003B04">
              <w:rPr>
                <w:b/>
                <w:sz w:val="20"/>
                <w:szCs w:val="20"/>
                <w:lang w:val="en-US"/>
              </w:rPr>
              <w:t>Scragg</w:t>
            </w:r>
            <w:proofErr w:type="spellEnd"/>
            <w:r w:rsidRPr="00003B04">
              <w:rPr>
                <w:b/>
                <w:sz w:val="20"/>
                <w:szCs w:val="20"/>
                <w:lang w:val="en-US"/>
              </w:rPr>
              <w:t xml:space="preserve">, Jasmine </w:t>
            </w:r>
            <w:proofErr w:type="spellStart"/>
            <w:r w:rsidRPr="00003B04">
              <w:rPr>
                <w:b/>
                <w:sz w:val="20"/>
                <w:szCs w:val="20"/>
                <w:lang w:val="en-US"/>
              </w:rPr>
              <w:t>Sihra</w:t>
            </w:r>
            <w:proofErr w:type="spellEnd"/>
            <w:r w:rsidRPr="00003B04">
              <w:rPr>
                <w:b/>
                <w:sz w:val="20"/>
                <w:szCs w:val="20"/>
                <w:lang w:val="en-US"/>
              </w:rPr>
              <w:t>, S.W. Davis et al. (Alta.)</w:t>
            </w:r>
          </w:p>
          <w:p w:rsidR="0031699B" w:rsidRPr="00003B04" w:rsidRDefault="0031699B" w:rsidP="005F1ED8">
            <w:pPr>
              <w:rPr>
                <w:sz w:val="20"/>
                <w:szCs w:val="20"/>
                <w:lang w:val="en-US"/>
              </w:rPr>
            </w:pPr>
            <w:r w:rsidRPr="00003B04">
              <w:rPr>
                <w:sz w:val="20"/>
                <w:szCs w:val="20"/>
                <w:lang w:val="en-US"/>
              </w:rPr>
              <w:tab/>
              <w:t xml:space="preserve">John-Marc </w:t>
            </w:r>
            <w:proofErr w:type="spellStart"/>
            <w:r w:rsidRPr="00003B04">
              <w:rPr>
                <w:sz w:val="20"/>
                <w:szCs w:val="20"/>
                <w:lang w:val="en-US"/>
              </w:rPr>
              <w:t>Dubé</w:t>
            </w:r>
            <w:proofErr w:type="spellEnd"/>
          </w:p>
          <w:p w:rsidR="0031699B" w:rsidRPr="00003B04" w:rsidRDefault="0031699B" w:rsidP="005F1ED8">
            <w:pPr>
              <w:rPr>
                <w:sz w:val="20"/>
                <w:szCs w:val="20"/>
                <w:lang w:val="en-US"/>
              </w:rPr>
            </w:pPr>
            <w:r w:rsidRPr="00003B04">
              <w:rPr>
                <w:sz w:val="20"/>
                <w:szCs w:val="20"/>
                <w:lang w:val="en-US"/>
              </w:rPr>
              <w:tab/>
              <w:t>A.G of Alberta</w:t>
            </w:r>
          </w:p>
          <w:p w:rsidR="0031699B" w:rsidRPr="00003B04" w:rsidRDefault="0031699B" w:rsidP="005F1ED8">
            <w:pPr>
              <w:rPr>
                <w:sz w:val="20"/>
                <w:szCs w:val="20"/>
                <w:lang w:val="en-US"/>
              </w:rPr>
            </w:pPr>
          </w:p>
          <w:p w:rsidR="0031699B" w:rsidRPr="00003B04" w:rsidRDefault="0031699B" w:rsidP="005F1ED8">
            <w:pPr>
              <w:rPr>
                <w:sz w:val="20"/>
                <w:szCs w:val="20"/>
                <w:lang w:val="en-US"/>
              </w:rPr>
            </w:pPr>
            <w:r w:rsidRPr="00003B04">
              <w:rPr>
                <w:sz w:val="20"/>
                <w:szCs w:val="20"/>
                <w:lang w:val="en-US"/>
              </w:rPr>
              <w:t>FILING DATE: 25.01.2017</w:t>
            </w:r>
          </w:p>
          <w:p w:rsidR="0031699B" w:rsidRPr="00003B04" w:rsidRDefault="00604445" w:rsidP="005F1ED8">
            <w:pPr>
              <w:rPr>
                <w:sz w:val="20"/>
                <w:szCs w:val="20"/>
                <w:lang w:val="fr-CA"/>
              </w:rPr>
            </w:pPr>
            <w:r>
              <w:rPr>
                <w:sz w:val="20"/>
                <w:szCs w:val="20"/>
                <w:lang w:val="fr-CA"/>
              </w:rPr>
              <w:pict>
                <v:rect id="_x0000_i1033" style="width:108pt;height:1pt" o:hrpct="0" o:hralign="center" o:hrstd="t" o:hrnoshade="t" o:hr="t" fillcolor="black [3213]" stroked="f"/>
              </w:pict>
            </w:r>
          </w:p>
          <w:p w:rsidR="0031699B" w:rsidRPr="00003B04" w:rsidRDefault="0031699B" w:rsidP="005F1ED8">
            <w:pPr>
              <w:rPr>
                <w:sz w:val="20"/>
                <w:szCs w:val="20"/>
                <w:lang w:val="en-US"/>
              </w:rPr>
            </w:pPr>
          </w:p>
        </w:tc>
        <w:tc>
          <w:tcPr>
            <w:tcW w:w="1181" w:type="dxa"/>
            <w:shd w:val="clear" w:color="auto" w:fill="auto"/>
          </w:tcPr>
          <w:p w:rsidR="005D24CB" w:rsidRPr="00003B04" w:rsidRDefault="005D24CB" w:rsidP="00242AEE">
            <w:pPr>
              <w:jc w:val="center"/>
              <w:rPr>
                <w:sz w:val="20"/>
                <w:szCs w:val="20"/>
                <w:lang w:val="en-US"/>
              </w:rPr>
            </w:pPr>
          </w:p>
        </w:tc>
        <w:tc>
          <w:tcPr>
            <w:tcW w:w="4320" w:type="dxa"/>
            <w:shd w:val="clear" w:color="auto" w:fill="auto"/>
          </w:tcPr>
          <w:p w:rsidR="005D24CB" w:rsidRPr="00003B04" w:rsidRDefault="0031699B" w:rsidP="005F1ED8">
            <w:pPr>
              <w:rPr>
                <w:b/>
                <w:sz w:val="20"/>
                <w:szCs w:val="20"/>
                <w:lang w:val="en-US"/>
              </w:rPr>
            </w:pPr>
            <w:r w:rsidRPr="00003B04">
              <w:rPr>
                <w:b/>
                <w:sz w:val="20"/>
                <w:szCs w:val="20"/>
                <w:lang w:val="en-US"/>
              </w:rPr>
              <w:t xml:space="preserve">Robert B. </w:t>
            </w:r>
            <w:proofErr w:type="spellStart"/>
            <w:r w:rsidRPr="00003B04">
              <w:rPr>
                <w:b/>
                <w:sz w:val="20"/>
                <w:szCs w:val="20"/>
                <w:lang w:val="en-US"/>
              </w:rPr>
              <w:t>Shewchuk</w:t>
            </w:r>
            <w:proofErr w:type="spellEnd"/>
          </w:p>
          <w:p w:rsidR="0031699B" w:rsidRPr="00003B04" w:rsidRDefault="0031699B" w:rsidP="005F1ED8">
            <w:pPr>
              <w:rPr>
                <w:sz w:val="20"/>
                <w:szCs w:val="20"/>
                <w:lang w:val="en-US"/>
              </w:rPr>
            </w:pPr>
            <w:r w:rsidRPr="00003B04">
              <w:rPr>
                <w:b/>
                <w:sz w:val="20"/>
                <w:szCs w:val="20"/>
                <w:lang w:val="en-US"/>
              </w:rPr>
              <w:tab/>
            </w:r>
            <w:r w:rsidRPr="00003B04">
              <w:rPr>
                <w:sz w:val="20"/>
                <w:szCs w:val="20"/>
                <w:lang w:val="en-US"/>
              </w:rPr>
              <w:t xml:space="preserve">Joseph </w:t>
            </w:r>
            <w:proofErr w:type="spellStart"/>
            <w:r w:rsidRPr="00003B04">
              <w:rPr>
                <w:sz w:val="20"/>
                <w:szCs w:val="20"/>
                <w:lang w:val="en-US"/>
              </w:rPr>
              <w:t>Groia</w:t>
            </w:r>
            <w:proofErr w:type="spellEnd"/>
          </w:p>
          <w:p w:rsidR="0031699B" w:rsidRPr="00003B04" w:rsidRDefault="0031699B" w:rsidP="005F1ED8">
            <w:pPr>
              <w:rPr>
                <w:sz w:val="20"/>
                <w:szCs w:val="20"/>
                <w:lang w:val="en-US"/>
              </w:rPr>
            </w:pPr>
            <w:r w:rsidRPr="00003B04">
              <w:rPr>
                <w:sz w:val="20"/>
                <w:szCs w:val="20"/>
                <w:lang w:val="en-US"/>
              </w:rPr>
              <w:tab/>
            </w:r>
            <w:proofErr w:type="spellStart"/>
            <w:r w:rsidRPr="00003B04">
              <w:rPr>
                <w:sz w:val="20"/>
                <w:szCs w:val="20"/>
                <w:lang w:val="en-US"/>
              </w:rPr>
              <w:t>Groia</w:t>
            </w:r>
            <w:proofErr w:type="spellEnd"/>
            <w:r w:rsidRPr="00003B04">
              <w:rPr>
                <w:sz w:val="20"/>
                <w:szCs w:val="20"/>
                <w:lang w:val="en-US"/>
              </w:rPr>
              <w:t xml:space="preserve"> &amp; Company</w:t>
            </w:r>
          </w:p>
          <w:p w:rsidR="0031699B" w:rsidRPr="00003B04" w:rsidRDefault="0031699B" w:rsidP="005F1ED8">
            <w:pPr>
              <w:rPr>
                <w:sz w:val="20"/>
                <w:szCs w:val="20"/>
                <w:lang w:val="en-US"/>
              </w:rPr>
            </w:pPr>
          </w:p>
          <w:p w:rsidR="0031699B" w:rsidRPr="00003B04" w:rsidRDefault="0031699B" w:rsidP="005F1ED8">
            <w:pPr>
              <w:rPr>
                <w:sz w:val="20"/>
                <w:szCs w:val="20"/>
                <w:lang w:val="en-US"/>
              </w:rPr>
            </w:pPr>
            <w:r w:rsidRPr="00003B04">
              <w:rPr>
                <w:sz w:val="20"/>
                <w:szCs w:val="20"/>
                <w:lang w:val="en-US"/>
              </w:rPr>
              <w:tab/>
              <w:t>v. (37429)</w:t>
            </w:r>
          </w:p>
          <w:p w:rsidR="0031699B" w:rsidRPr="00003B04" w:rsidRDefault="0031699B" w:rsidP="005F1ED8">
            <w:pPr>
              <w:rPr>
                <w:sz w:val="20"/>
                <w:szCs w:val="20"/>
                <w:lang w:val="en-US"/>
              </w:rPr>
            </w:pPr>
          </w:p>
          <w:p w:rsidR="0031699B" w:rsidRPr="00003B04" w:rsidRDefault="0031699B" w:rsidP="005F1ED8">
            <w:pPr>
              <w:rPr>
                <w:b/>
                <w:sz w:val="20"/>
                <w:szCs w:val="20"/>
                <w:lang w:val="en-US"/>
              </w:rPr>
            </w:pPr>
            <w:r w:rsidRPr="00003B04">
              <w:rPr>
                <w:b/>
                <w:sz w:val="20"/>
                <w:szCs w:val="20"/>
                <w:lang w:val="en-US"/>
              </w:rPr>
              <w:t>Richardson GMP Limited (Ont.)</w:t>
            </w:r>
          </w:p>
          <w:p w:rsidR="0031699B" w:rsidRPr="00003B04" w:rsidRDefault="0031699B" w:rsidP="005F1ED8">
            <w:pPr>
              <w:rPr>
                <w:sz w:val="20"/>
                <w:szCs w:val="20"/>
                <w:lang w:val="en-US"/>
              </w:rPr>
            </w:pPr>
            <w:r w:rsidRPr="00003B04">
              <w:rPr>
                <w:sz w:val="20"/>
                <w:szCs w:val="20"/>
                <w:lang w:val="en-US"/>
              </w:rPr>
              <w:tab/>
              <w:t>Nigel Campbell</w:t>
            </w:r>
          </w:p>
          <w:p w:rsidR="0031699B" w:rsidRPr="00003B04" w:rsidRDefault="0031699B" w:rsidP="005F1ED8">
            <w:pPr>
              <w:rPr>
                <w:sz w:val="20"/>
                <w:szCs w:val="20"/>
                <w:lang w:val="en-US"/>
              </w:rPr>
            </w:pPr>
            <w:r w:rsidRPr="00003B04">
              <w:rPr>
                <w:sz w:val="20"/>
                <w:szCs w:val="20"/>
                <w:lang w:val="en-US"/>
              </w:rPr>
              <w:tab/>
              <w:t xml:space="preserve">Blake, Cassels &amp; </w:t>
            </w:r>
            <w:proofErr w:type="spellStart"/>
            <w:r w:rsidRPr="00003B04">
              <w:rPr>
                <w:sz w:val="20"/>
                <w:szCs w:val="20"/>
                <w:lang w:val="en-US"/>
              </w:rPr>
              <w:t>Graydon</w:t>
            </w:r>
            <w:proofErr w:type="spellEnd"/>
            <w:r w:rsidRPr="00003B04">
              <w:rPr>
                <w:sz w:val="20"/>
                <w:szCs w:val="20"/>
                <w:lang w:val="en-US"/>
              </w:rPr>
              <w:t xml:space="preserve"> LLP</w:t>
            </w:r>
          </w:p>
          <w:p w:rsidR="0031699B" w:rsidRPr="00003B04" w:rsidRDefault="0031699B" w:rsidP="005F1ED8">
            <w:pPr>
              <w:rPr>
                <w:sz w:val="20"/>
                <w:szCs w:val="20"/>
                <w:lang w:val="en-US"/>
              </w:rPr>
            </w:pPr>
          </w:p>
          <w:p w:rsidR="0031699B" w:rsidRPr="00003B04" w:rsidRDefault="0031699B" w:rsidP="005F1ED8">
            <w:pPr>
              <w:rPr>
                <w:sz w:val="20"/>
                <w:szCs w:val="20"/>
                <w:lang w:val="en-US"/>
              </w:rPr>
            </w:pPr>
            <w:r w:rsidRPr="00003B04">
              <w:rPr>
                <w:sz w:val="20"/>
                <w:szCs w:val="20"/>
                <w:lang w:val="en-US"/>
              </w:rPr>
              <w:t>FILING DATE: 31.01.2017</w:t>
            </w:r>
          </w:p>
          <w:p w:rsidR="0031699B" w:rsidRPr="00003B04" w:rsidRDefault="00604445" w:rsidP="005F1ED8">
            <w:pPr>
              <w:rPr>
                <w:sz w:val="20"/>
                <w:szCs w:val="20"/>
                <w:lang w:val="en-US"/>
              </w:rPr>
            </w:pPr>
            <w:r>
              <w:rPr>
                <w:sz w:val="20"/>
                <w:szCs w:val="20"/>
                <w:lang w:val="fr-CA"/>
              </w:rPr>
              <w:pict>
                <v:rect id="_x0000_i1034" style="width:108pt;height:1pt" o:hrpct="0" o:hralign="center" o:hrstd="t" o:hrnoshade="t" o:hr="t" fillcolor="black [3213]" stroked="f"/>
              </w:pict>
            </w:r>
          </w:p>
        </w:tc>
      </w:tr>
      <w:tr w:rsidR="0031699B" w:rsidRPr="00003B04" w:rsidTr="003B3977">
        <w:tc>
          <w:tcPr>
            <w:tcW w:w="4320" w:type="dxa"/>
            <w:shd w:val="clear" w:color="auto" w:fill="auto"/>
          </w:tcPr>
          <w:p w:rsidR="0031699B" w:rsidRPr="00003B04" w:rsidRDefault="00AA4913" w:rsidP="005F1ED8">
            <w:pPr>
              <w:rPr>
                <w:b/>
                <w:sz w:val="20"/>
                <w:szCs w:val="20"/>
                <w:lang w:val="fr-CA"/>
              </w:rPr>
            </w:pPr>
            <w:r w:rsidRPr="00003B04">
              <w:rPr>
                <w:b/>
                <w:sz w:val="20"/>
                <w:szCs w:val="20"/>
                <w:lang w:val="fr-CA"/>
              </w:rPr>
              <w:t>Gui-Ying Wang et autre</w:t>
            </w:r>
          </w:p>
          <w:p w:rsidR="00AA4913" w:rsidRPr="00003B04" w:rsidRDefault="00AA4913" w:rsidP="005F1ED8">
            <w:pPr>
              <w:rPr>
                <w:sz w:val="20"/>
                <w:szCs w:val="20"/>
                <w:lang w:val="fr-CA"/>
              </w:rPr>
            </w:pPr>
            <w:r w:rsidRPr="00003B04">
              <w:rPr>
                <w:sz w:val="20"/>
                <w:szCs w:val="20"/>
                <w:lang w:val="fr-CA"/>
              </w:rPr>
              <w:tab/>
              <w:t>Gui-Ying Wang</w:t>
            </w:r>
          </w:p>
          <w:p w:rsidR="00AA4913" w:rsidRPr="00003B04" w:rsidRDefault="00AA4913" w:rsidP="005F1ED8">
            <w:pPr>
              <w:rPr>
                <w:sz w:val="20"/>
                <w:szCs w:val="20"/>
                <w:lang w:val="fr-CA"/>
              </w:rPr>
            </w:pPr>
          </w:p>
          <w:p w:rsidR="00AA4913" w:rsidRPr="00003B04" w:rsidRDefault="00AA4913" w:rsidP="005F1ED8">
            <w:pPr>
              <w:rPr>
                <w:sz w:val="20"/>
                <w:szCs w:val="20"/>
                <w:lang w:val="fr-CA"/>
              </w:rPr>
            </w:pPr>
            <w:r w:rsidRPr="00003B04">
              <w:rPr>
                <w:sz w:val="20"/>
                <w:szCs w:val="20"/>
                <w:lang w:val="fr-CA"/>
              </w:rPr>
              <w:tab/>
              <w:t>c. (37443)</w:t>
            </w:r>
          </w:p>
          <w:p w:rsidR="00AA4913" w:rsidRPr="00003B04" w:rsidRDefault="00AA4913" w:rsidP="005F1ED8">
            <w:pPr>
              <w:rPr>
                <w:sz w:val="20"/>
                <w:szCs w:val="20"/>
                <w:lang w:val="fr-CA"/>
              </w:rPr>
            </w:pPr>
          </w:p>
          <w:p w:rsidR="00AA4913" w:rsidRPr="00003B04" w:rsidRDefault="00AA4913" w:rsidP="005F1ED8">
            <w:pPr>
              <w:rPr>
                <w:b/>
                <w:sz w:val="20"/>
                <w:szCs w:val="20"/>
                <w:lang w:val="fr-CA"/>
              </w:rPr>
            </w:pPr>
            <w:r w:rsidRPr="00003B04">
              <w:rPr>
                <w:b/>
                <w:sz w:val="20"/>
                <w:szCs w:val="20"/>
                <w:lang w:val="fr-CA"/>
              </w:rPr>
              <w:t xml:space="preserve">Policiers du poste </w:t>
            </w:r>
            <w:proofErr w:type="spellStart"/>
            <w:r w:rsidRPr="00003B04">
              <w:rPr>
                <w:b/>
                <w:sz w:val="20"/>
                <w:szCs w:val="20"/>
                <w:lang w:val="fr-CA"/>
              </w:rPr>
              <w:t>Rouville</w:t>
            </w:r>
            <w:proofErr w:type="spellEnd"/>
            <w:r w:rsidRPr="00003B04">
              <w:rPr>
                <w:b/>
                <w:sz w:val="20"/>
                <w:szCs w:val="20"/>
                <w:lang w:val="fr-CA"/>
              </w:rPr>
              <w:t xml:space="preserve"> et autres (</w:t>
            </w:r>
            <w:proofErr w:type="spellStart"/>
            <w:r w:rsidRPr="00003B04">
              <w:rPr>
                <w:b/>
                <w:sz w:val="20"/>
                <w:szCs w:val="20"/>
                <w:lang w:val="fr-CA"/>
              </w:rPr>
              <w:t>Qc</w:t>
            </w:r>
            <w:proofErr w:type="spellEnd"/>
            <w:r w:rsidRPr="00003B04">
              <w:rPr>
                <w:b/>
                <w:sz w:val="20"/>
                <w:szCs w:val="20"/>
                <w:lang w:val="fr-CA"/>
              </w:rPr>
              <w:t>)</w:t>
            </w:r>
          </w:p>
          <w:p w:rsidR="00AA4913" w:rsidRPr="00003B04" w:rsidRDefault="00AA4913" w:rsidP="005F1ED8">
            <w:pPr>
              <w:rPr>
                <w:sz w:val="20"/>
                <w:szCs w:val="20"/>
                <w:lang w:val="fr-CA"/>
              </w:rPr>
            </w:pPr>
            <w:r w:rsidRPr="00003B04">
              <w:rPr>
                <w:sz w:val="20"/>
                <w:szCs w:val="20"/>
                <w:lang w:val="fr-CA"/>
              </w:rPr>
              <w:tab/>
              <w:t xml:space="preserve">Louis-Paul </w:t>
            </w:r>
            <w:proofErr w:type="spellStart"/>
            <w:r w:rsidRPr="00003B04">
              <w:rPr>
                <w:sz w:val="20"/>
                <w:szCs w:val="20"/>
                <w:lang w:val="fr-CA"/>
              </w:rPr>
              <w:t>Hétu</w:t>
            </w:r>
            <w:proofErr w:type="spellEnd"/>
          </w:p>
          <w:p w:rsidR="00AA4913" w:rsidRPr="00003B04" w:rsidRDefault="00AA4913" w:rsidP="005F1ED8">
            <w:pPr>
              <w:rPr>
                <w:sz w:val="20"/>
                <w:szCs w:val="20"/>
                <w:lang w:val="fr-CA"/>
              </w:rPr>
            </w:pPr>
            <w:r w:rsidRPr="00003B04">
              <w:rPr>
                <w:sz w:val="20"/>
                <w:szCs w:val="20"/>
                <w:lang w:val="fr-CA"/>
              </w:rPr>
              <w:tab/>
              <w:t>P.G. du Québec</w:t>
            </w:r>
          </w:p>
          <w:p w:rsidR="00AA4913" w:rsidRPr="00003B04" w:rsidRDefault="00AA4913" w:rsidP="005F1ED8">
            <w:pPr>
              <w:rPr>
                <w:sz w:val="20"/>
                <w:szCs w:val="20"/>
                <w:lang w:val="fr-CA"/>
              </w:rPr>
            </w:pPr>
          </w:p>
          <w:p w:rsidR="00AA4913" w:rsidRPr="00003B04" w:rsidRDefault="00AA4913" w:rsidP="005F1ED8">
            <w:pPr>
              <w:rPr>
                <w:sz w:val="20"/>
                <w:szCs w:val="20"/>
                <w:lang w:val="fr-CA"/>
              </w:rPr>
            </w:pPr>
            <w:r w:rsidRPr="00003B04">
              <w:rPr>
                <w:sz w:val="20"/>
                <w:szCs w:val="20"/>
                <w:lang w:val="fr-CA"/>
              </w:rPr>
              <w:t>DATE DE PRODUCTION : 01.02.2017</w:t>
            </w:r>
          </w:p>
          <w:p w:rsidR="00AA4913" w:rsidRPr="00003B04" w:rsidRDefault="00604445" w:rsidP="005F1ED8">
            <w:pPr>
              <w:rPr>
                <w:sz w:val="20"/>
                <w:szCs w:val="20"/>
                <w:lang w:val="fr-CA"/>
              </w:rPr>
            </w:pPr>
            <w:r>
              <w:rPr>
                <w:sz w:val="20"/>
                <w:szCs w:val="20"/>
                <w:lang w:val="fr-CA"/>
              </w:rPr>
              <w:pict>
                <v:rect id="_x0000_i1035" style="width:108pt;height:1pt" o:hrpct="0" o:hralign="center" o:hrstd="t" o:hrnoshade="t" o:hr="t" fillcolor="black [3213]" stroked="f"/>
              </w:pict>
            </w:r>
          </w:p>
          <w:p w:rsidR="00AA4913" w:rsidRPr="00003B04" w:rsidRDefault="00AA4913" w:rsidP="005F1ED8">
            <w:pPr>
              <w:rPr>
                <w:sz w:val="20"/>
                <w:szCs w:val="20"/>
                <w:lang w:val="fr-CA"/>
              </w:rPr>
            </w:pPr>
          </w:p>
        </w:tc>
        <w:tc>
          <w:tcPr>
            <w:tcW w:w="1181" w:type="dxa"/>
            <w:shd w:val="clear" w:color="auto" w:fill="auto"/>
          </w:tcPr>
          <w:p w:rsidR="0031699B" w:rsidRPr="00003B04" w:rsidRDefault="0031699B" w:rsidP="00242AEE">
            <w:pPr>
              <w:jc w:val="center"/>
              <w:rPr>
                <w:sz w:val="20"/>
                <w:szCs w:val="20"/>
                <w:lang w:val="fr-CA"/>
              </w:rPr>
            </w:pPr>
          </w:p>
        </w:tc>
        <w:tc>
          <w:tcPr>
            <w:tcW w:w="4320" w:type="dxa"/>
            <w:shd w:val="clear" w:color="auto" w:fill="auto"/>
          </w:tcPr>
          <w:p w:rsidR="0031699B" w:rsidRPr="00003B04" w:rsidRDefault="00046C30" w:rsidP="005F1ED8">
            <w:pPr>
              <w:rPr>
                <w:b/>
                <w:sz w:val="20"/>
                <w:szCs w:val="20"/>
                <w:lang w:val="fr-CA"/>
              </w:rPr>
            </w:pPr>
            <w:r w:rsidRPr="00003B04">
              <w:rPr>
                <w:b/>
                <w:sz w:val="20"/>
                <w:szCs w:val="20"/>
                <w:lang w:val="fr-CA"/>
              </w:rPr>
              <w:t>Deloitte &amp; Touche et al.</w:t>
            </w:r>
          </w:p>
          <w:p w:rsidR="00046C30" w:rsidRPr="00003B04" w:rsidRDefault="00046C30" w:rsidP="005F1ED8">
            <w:pPr>
              <w:rPr>
                <w:sz w:val="20"/>
                <w:szCs w:val="20"/>
                <w:lang w:val="fr-CA"/>
              </w:rPr>
            </w:pPr>
            <w:r w:rsidRPr="00003B04">
              <w:rPr>
                <w:b/>
                <w:sz w:val="20"/>
                <w:szCs w:val="20"/>
                <w:lang w:val="fr-CA"/>
              </w:rPr>
              <w:tab/>
            </w:r>
            <w:proofErr w:type="spellStart"/>
            <w:r w:rsidRPr="00003B04">
              <w:rPr>
                <w:sz w:val="20"/>
                <w:szCs w:val="20"/>
                <w:lang w:val="fr-CA"/>
              </w:rPr>
              <w:t>Robb</w:t>
            </w:r>
            <w:proofErr w:type="spellEnd"/>
            <w:r w:rsidRPr="00003B04">
              <w:rPr>
                <w:sz w:val="20"/>
                <w:szCs w:val="20"/>
                <w:lang w:val="fr-CA"/>
              </w:rPr>
              <w:t xml:space="preserve"> C. </w:t>
            </w:r>
            <w:proofErr w:type="spellStart"/>
            <w:r w:rsidRPr="00003B04">
              <w:rPr>
                <w:sz w:val="20"/>
                <w:szCs w:val="20"/>
                <w:lang w:val="fr-CA"/>
              </w:rPr>
              <w:t>Heintzman</w:t>
            </w:r>
            <w:proofErr w:type="spellEnd"/>
          </w:p>
          <w:p w:rsidR="00046C30" w:rsidRPr="00003B04" w:rsidRDefault="00046C30" w:rsidP="005F1ED8">
            <w:pPr>
              <w:rPr>
                <w:sz w:val="20"/>
                <w:szCs w:val="20"/>
                <w:lang w:val="en-US"/>
              </w:rPr>
            </w:pPr>
            <w:r w:rsidRPr="00003B04">
              <w:rPr>
                <w:sz w:val="20"/>
                <w:szCs w:val="20"/>
                <w:lang w:val="fr-CA"/>
              </w:rPr>
              <w:tab/>
            </w:r>
            <w:proofErr w:type="spellStart"/>
            <w:r w:rsidRPr="00003B04">
              <w:rPr>
                <w:sz w:val="20"/>
                <w:szCs w:val="20"/>
                <w:lang w:val="en-US"/>
              </w:rPr>
              <w:t>Dentons</w:t>
            </w:r>
            <w:proofErr w:type="spellEnd"/>
            <w:r w:rsidRPr="00003B04">
              <w:rPr>
                <w:sz w:val="20"/>
                <w:szCs w:val="20"/>
                <w:lang w:val="en-US"/>
              </w:rPr>
              <w:t xml:space="preserve"> Canada LLP</w:t>
            </w:r>
          </w:p>
          <w:p w:rsidR="00046C30" w:rsidRPr="00003B04" w:rsidRDefault="00046C30" w:rsidP="005F1ED8">
            <w:pPr>
              <w:rPr>
                <w:sz w:val="20"/>
                <w:szCs w:val="20"/>
                <w:lang w:val="en-US"/>
              </w:rPr>
            </w:pPr>
          </w:p>
          <w:p w:rsidR="00046C30" w:rsidRPr="00003B04" w:rsidRDefault="00046C30" w:rsidP="005F1ED8">
            <w:pPr>
              <w:rPr>
                <w:sz w:val="20"/>
                <w:szCs w:val="20"/>
                <w:lang w:val="en-US"/>
              </w:rPr>
            </w:pPr>
            <w:r w:rsidRPr="00003B04">
              <w:rPr>
                <w:sz w:val="20"/>
                <w:szCs w:val="20"/>
                <w:lang w:val="en-US"/>
              </w:rPr>
              <w:tab/>
              <w:t>v. (37434)</w:t>
            </w:r>
          </w:p>
          <w:p w:rsidR="00046C30" w:rsidRPr="00003B04" w:rsidRDefault="00046C30" w:rsidP="005F1ED8">
            <w:pPr>
              <w:rPr>
                <w:sz w:val="20"/>
                <w:szCs w:val="20"/>
                <w:lang w:val="en-US"/>
              </w:rPr>
            </w:pPr>
          </w:p>
          <w:p w:rsidR="00046C30" w:rsidRPr="00003B04" w:rsidRDefault="00046C30" w:rsidP="005F1ED8">
            <w:pPr>
              <w:rPr>
                <w:b/>
                <w:sz w:val="20"/>
                <w:szCs w:val="20"/>
                <w:lang w:val="fr-CA"/>
              </w:rPr>
            </w:pPr>
            <w:r w:rsidRPr="00003B04">
              <w:rPr>
                <w:b/>
                <w:sz w:val="20"/>
                <w:szCs w:val="20"/>
                <w:lang w:val="en-US"/>
              </w:rPr>
              <w:t xml:space="preserve">Canadian Imperial Bank of Commerce et al. </w:t>
            </w:r>
            <w:r w:rsidRPr="00003B04">
              <w:rPr>
                <w:b/>
                <w:sz w:val="20"/>
                <w:szCs w:val="20"/>
                <w:lang w:val="fr-CA"/>
              </w:rPr>
              <w:t>(Ont.)</w:t>
            </w:r>
          </w:p>
          <w:p w:rsidR="00046C30" w:rsidRPr="00003B04" w:rsidRDefault="00046C30" w:rsidP="005F1ED8">
            <w:pPr>
              <w:rPr>
                <w:sz w:val="20"/>
                <w:szCs w:val="20"/>
                <w:lang w:val="fr-CA"/>
              </w:rPr>
            </w:pPr>
            <w:r w:rsidRPr="00003B04">
              <w:rPr>
                <w:sz w:val="20"/>
                <w:szCs w:val="20"/>
                <w:lang w:val="fr-CA"/>
              </w:rPr>
              <w:tab/>
              <w:t xml:space="preserve">Thomas J. </w:t>
            </w:r>
            <w:proofErr w:type="spellStart"/>
            <w:r w:rsidRPr="00003B04">
              <w:rPr>
                <w:sz w:val="20"/>
                <w:szCs w:val="20"/>
                <w:lang w:val="fr-CA"/>
              </w:rPr>
              <w:t>Dunne</w:t>
            </w:r>
            <w:proofErr w:type="spellEnd"/>
            <w:r w:rsidRPr="00003B04">
              <w:rPr>
                <w:sz w:val="20"/>
                <w:szCs w:val="20"/>
                <w:lang w:val="fr-CA"/>
              </w:rPr>
              <w:t>, Q.C.</w:t>
            </w:r>
          </w:p>
          <w:p w:rsidR="00046C30" w:rsidRPr="00003B04" w:rsidRDefault="00046C30" w:rsidP="005F1ED8">
            <w:pPr>
              <w:rPr>
                <w:sz w:val="20"/>
                <w:szCs w:val="20"/>
                <w:lang w:val="en-US"/>
              </w:rPr>
            </w:pPr>
            <w:r w:rsidRPr="00003B04">
              <w:rPr>
                <w:sz w:val="20"/>
                <w:szCs w:val="20"/>
                <w:lang w:val="fr-CA"/>
              </w:rPr>
              <w:tab/>
            </w:r>
            <w:proofErr w:type="spellStart"/>
            <w:r w:rsidRPr="00003B04">
              <w:rPr>
                <w:sz w:val="20"/>
                <w:szCs w:val="20"/>
                <w:lang w:val="en-US"/>
              </w:rPr>
              <w:t>Gowling</w:t>
            </w:r>
            <w:proofErr w:type="spellEnd"/>
            <w:r w:rsidRPr="00003B04">
              <w:rPr>
                <w:sz w:val="20"/>
                <w:szCs w:val="20"/>
                <w:lang w:val="en-US"/>
              </w:rPr>
              <w:t xml:space="preserve"> WLG (Canada) LLP</w:t>
            </w:r>
          </w:p>
          <w:p w:rsidR="00046C30" w:rsidRPr="00003B04" w:rsidRDefault="00046C30" w:rsidP="005F1ED8">
            <w:pPr>
              <w:rPr>
                <w:sz w:val="20"/>
                <w:szCs w:val="20"/>
                <w:lang w:val="en-US"/>
              </w:rPr>
            </w:pPr>
          </w:p>
          <w:p w:rsidR="00046C30" w:rsidRPr="00003B04" w:rsidRDefault="00046C30" w:rsidP="005F1ED8">
            <w:pPr>
              <w:rPr>
                <w:sz w:val="20"/>
                <w:szCs w:val="20"/>
                <w:lang w:val="en-US"/>
              </w:rPr>
            </w:pPr>
            <w:r w:rsidRPr="00003B04">
              <w:rPr>
                <w:sz w:val="20"/>
                <w:szCs w:val="20"/>
                <w:lang w:val="en-US"/>
              </w:rPr>
              <w:t>FILING DATE : 03.02.2017</w:t>
            </w:r>
          </w:p>
          <w:p w:rsidR="00046C30" w:rsidRPr="00003B04" w:rsidRDefault="00604445" w:rsidP="005F1ED8">
            <w:pPr>
              <w:rPr>
                <w:sz w:val="20"/>
                <w:szCs w:val="20"/>
                <w:lang w:val="fr-CA"/>
              </w:rPr>
            </w:pPr>
            <w:r>
              <w:rPr>
                <w:sz w:val="20"/>
                <w:szCs w:val="20"/>
                <w:lang w:val="fr-CA"/>
              </w:rPr>
              <w:pict>
                <v:rect id="_x0000_i1036" style="width:108pt;height:1pt" o:hrpct="0" o:hralign="center" o:hrstd="t" o:hrnoshade="t" o:hr="t" fillcolor="black [3213]" stroked="f"/>
              </w:pict>
            </w:r>
          </w:p>
          <w:p w:rsidR="00046C30" w:rsidRPr="00003B04" w:rsidRDefault="00046C30" w:rsidP="005F1ED8">
            <w:pPr>
              <w:rPr>
                <w:sz w:val="20"/>
                <w:szCs w:val="20"/>
                <w:lang w:val="fr-CA"/>
              </w:rPr>
            </w:pPr>
          </w:p>
        </w:tc>
      </w:tr>
      <w:tr w:rsidR="0031699B" w:rsidRPr="00003B04" w:rsidTr="003B3977">
        <w:tc>
          <w:tcPr>
            <w:tcW w:w="4320" w:type="dxa"/>
            <w:shd w:val="clear" w:color="auto" w:fill="auto"/>
          </w:tcPr>
          <w:p w:rsidR="0031699B" w:rsidRPr="00003B04" w:rsidRDefault="00E6184A" w:rsidP="005F1ED8">
            <w:pPr>
              <w:rPr>
                <w:b/>
                <w:sz w:val="20"/>
                <w:szCs w:val="20"/>
                <w:lang w:val="fr-CA"/>
              </w:rPr>
            </w:pPr>
            <w:r w:rsidRPr="00003B04">
              <w:rPr>
                <w:b/>
                <w:sz w:val="20"/>
                <w:szCs w:val="20"/>
                <w:lang w:val="fr-CA"/>
              </w:rPr>
              <w:t xml:space="preserve">Henry </w:t>
            </w:r>
            <w:proofErr w:type="spellStart"/>
            <w:r w:rsidRPr="00003B04">
              <w:rPr>
                <w:b/>
                <w:sz w:val="20"/>
                <w:szCs w:val="20"/>
                <w:lang w:val="fr-CA"/>
              </w:rPr>
              <w:t>Majebi</w:t>
            </w:r>
            <w:proofErr w:type="spellEnd"/>
            <w:r w:rsidRPr="00003B04">
              <w:rPr>
                <w:b/>
                <w:sz w:val="20"/>
                <w:szCs w:val="20"/>
                <w:lang w:val="fr-CA"/>
              </w:rPr>
              <w:t xml:space="preserve"> et al. </w:t>
            </w:r>
          </w:p>
          <w:p w:rsidR="00E6184A" w:rsidRPr="00003B04" w:rsidRDefault="00E6184A" w:rsidP="005F1ED8">
            <w:pPr>
              <w:rPr>
                <w:sz w:val="20"/>
                <w:szCs w:val="20"/>
                <w:lang w:val="fr-CA"/>
              </w:rPr>
            </w:pPr>
            <w:r w:rsidRPr="00003B04">
              <w:rPr>
                <w:b/>
                <w:sz w:val="20"/>
                <w:szCs w:val="20"/>
                <w:lang w:val="fr-CA"/>
              </w:rPr>
              <w:tab/>
            </w:r>
            <w:r w:rsidRPr="00003B04">
              <w:rPr>
                <w:sz w:val="20"/>
                <w:szCs w:val="20"/>
                <w:lang w:val="fr-CA"/>
              </w:rPr>
              <w:t>Adrienne Smith</w:t>
            </w:r>
          </w:p>
          <w:p w:rsidR="00E6184A" w:rsidRPr="00003B04" w:rsidRDefault="00E6184A" w:rsidP="005F1ED8">
            <w:pPr>
              <w:rPr>
                <w:sz w:val="20"/>
                <w:szCs w:val="20"/>
                <w:lang w:val="en-US"/>
              </w:rPr>
            </w:pPr>
            <w:r w:rsidRPr="00003B04">
              <w:rPr>
                <w:sz w:val="20"/>
                <w:szCs w:val="20"/>
                <w:lang w:val="fr-CA"/>
              </w:rPr>
              <w:tab/>
            </w:r>
            <w:r w:rsidRPr="00003B04">
              <w:rPr>
                <w:sz w:val="20"/>
                <w:szCs w:val="20"/>
                <w:lang w:val="en-US"/>
              </w:rPr>
              <w:t>Jordan Battista LLP</w:t>
            </w:r>
          </w:p>
          <w:p w:rsidR="00E6184A" w:rsidRPr="00003B04" w:rsidRDefault="00E6184A" w:rsidP="005F1ED8">
            <w:pPr>
              <w:rPr>
                <w:sz w:val="20"/>
                <w:szCs w:val="20"/>
                <w:lang w:val="en-US"/>
              </w:rPr>
            </w:pPr>
          </w:p>
          <w:p w:rsidR="00E6184A" w:rsidRPr="00003B04" w:rsidRDefault="00E6184A" w:rsidP="005F1ED8">
            <w:pPr>
              <w:rPr>
                <w:sz w:val="20"/>
                <w:szCs w:val="20"/>
                <w:lang w:val="en-US"/>
              </w:rPr>
            </w:pPr>
            <w:r w:rsidRPr="00003B04">
              <w:rPr>
                <w:sz w:val="20"/>
                <w:szCs w:val="20"/>
                <w:lang w:val="en-US"/>
              </w:rPr>
              <w:tab/>
              <w:t>v. (37437)</w:t>
            </w:r>
          </w:p>
          <w:p w:rsidR="00E6184A" w:rsidRPr="00003B04" w:rsidRDefault="00E6184A" w:rsidP="005F1ED8">
            <w:pPr>
              <w:rPr>
                <w:sz w:val="20"/>
                <w:szCs w:val="20"/>
                <w:lang w:val="en-US"/>
              </w:rPr>
            </w:pPr>
          </w:p>
          <w:p w:rsidR="00E6184A" w:rsidRPr="00003B04" w:rsidRDefault="00E6184A" w:rsidP="005F1ED8">
            <w:pPr>
              <w:rPr>
                <w:b/>
                <w:sz w:val="20"/>
                <w:szCs w:val="20"/>
                <w:lang w:val="en-US"/>
              </w:rPr>
            </w:pPr>
            <w:r w:rsidRPr="00003B04">
              <w:rPr>
                <w:b/>
                <w:sz w:val="20"/>
                <w:szCs w:val="20"/>
                <w:lang w:val="en-US"/>
              </w:rPr>
              <w:t>Minister of Immigration, Refugees and Citizenship Canada (F.C.)</w:t>
            </w:r>
          </w:p>
          <w:p w:rsidR="00E6184A" w:rsidRPr="00003B04" w:rsidRDefault="00E6184A" w:rsidP="005F1ED8">
            <w:pPr>
              <w:rPr>
                <w:sz w:val="20"/>
                <w:szCs w:val="20"/>
                <w:lang w:val="en-US"/>
              </w:rPr>
            </w:pPr>
            <w:r w:rsidRPr="00003B04">
              <w:rPr>
                <w:sz w:val="20"/>
                <w:szCs w:val="20"/>
                <w:lang w:val="en-US"/>
              </w:rPr>
              <w:tab/>
              <w:t>David Knapp</w:t>
            </w:r>
          </w:p>
          <w:p w:rsidR="00E6184A" w:rsidRPr="00003B04" w:rsidRDefault="00E6184A" w:rsidP="005F1ED8">
            <w:pPr>
              <w:rPr>
                <w:sz w:val="20"/>
                <w:szCs w:val="20"/>
                <w:lang w:val="en-US"/>
              </w:rPr>
            </w:pPr>
            <w:r w:rsidRPr="00003B04">
              <w:rPr>
                <w:sz w:val="20"/>
                <w:szCs w:val="20"/>
                <w:lang w:val="en-US"/>
              </w:rPr>
              <w:tab/>
              <w:t>Justice Canada</w:t>
            </w:r>
          </w:p>
          <w:p w:rsidR="00E6184A" w:rsidRPr="00003B04" w:rsidRDefault="00E6184A" w:rsidP="005F1ED8">
            <w:pPr>
              <w:rPr>
                <w:sz w:val="20"/>
                <w:szCs w:val="20"/>
                <w:lang w:val="en-US"/>
              </w:rPr>
            </w:pPr>
          </w:p>
          <w:p w:rsidR="00E6184A" w:rsidRPr="00003B04" w:rsidRDefault="00E6184A" w:rsidP="005F1ED8">
            <w:pPr>
              <w:rPr>
                <w:sz w:val="20"/>
                <w:szCs w:val="20"/>
                <w:lang w:val="en-US"/>
              </w:rPr>
            </w:pPr>
            <w:r w:rsidRPr="00003B04">
              <w:rPr>
                <w:sz w:val="20"/>
                <w:szCs w:val="20"/>
                <w:lang w:val="en-US"/>
              </w:rPr>
              <w:t>FILING DATE: 03.02.2017</w:t>
            </w:r>
          </w:p>
          <w:p w:rsidR="00E6184A" w:rsidRPr="00003B04" w:rsidRDefault="00604445" w:rsidP="005F1ED8">
            <w:pPr>
              <w:rPr>
                <w:sz w:val="20"/>
                <w:szCs w:val="20"/>
                <w:lang w:val="fr-CA"/>
              </w:rPr>
            </w:pPr>
            <w:r>
              <w:rPr>
                <w:sz w:val="20"/>
                <w:szCs w:val="20"/>
                <w:lang w:val="fr-CA"/>
              </w:rPr>
              <w:pict>
                <v:rect id="_x0000_i1037" style="width:108pt;height:1pt" o:hrpct="0" o:hralign="center" o:hrstd="t" o:hrnoshade="t" o:hr="t" fillcolor="black [3213]" stroked="f"/>
              </w:pict>
            </w:r>
          </w:p>
          <w:p w:rsidR="00E6184A" w:rsidRPr="00003B04" w:rsidRDefault="00E6184A" w:rsidP="005F1ED8">
            <w:pPr>
              <w:rPr>
                <w:sz w:val="20"/>
                <w:szCs w:val="20"/>
                <w:lang w:val="en-US"/>
              </w:rPr>
            </w:pPr>
          </w:p>
        </w:tc>
        <w:tc>
          <w:tcPr>
            <w:tcW w:w="1181" w:type="dxa"/>
            <w:shd w:val="clear" w:color="auto" w:fill="auto"/>
          </w:tcPr>
          <w:p w:rsidR="0031699B" w:rsidRPr="00003B04" w:rsidRDefault="0031699B" w:rsidP="00242AEE">
            <w:pPr>
              <w:jc w:val="center"/>
              <w:rPr>
                <w:sz w:val="20"/>
                <w:szCs w:val="20"/>
                <w:lang w:val="en-US"/>
              </w:rPr>
            </w:pPr>
          </w:p>
        </w:tc>
        <w:tc>
          <w:tcPr>
            <w:tcW w:w="4320" w:type="dxa"/>
            <w:shd w:val="clear" w:color="auto" w:fill="auto"/>
          </w:tcPr>
          <w:p w:rsidR="0031699B" w:rsidRPr="00003B04" w:rsidRDefault="0093427F" w:rsidP="005F1ED8">
            <w:pPr>
              <w:rPr>
                <w:b/>
                <w:sz w:val="20"/>
                <w:szCs w:val="20"/>
                <w:lang w:val="en-US"/>
              </w:rPr>
            </w:pPr>
            <w:r w:rsidRPr="00003B04">
              <w:rPr>
                <w:b/>
                <w:sz w:val="20"/>
                <w:szCs w:val="20"/>
                <w:lang w:val="en-US"/>
              </w:rPr>
              <w:t xml:space="preserve">Earl </w:t>
            </w:r>
            <w:proofErr w:type="spellStart"/>
            <w:r w:rsidRPr="00003B04">
              <w:rPr>
                <w:b/>
                <w:sz w:val="20"/>
                <w:szCs w:val="20"/>
                <w:lang w:val="en-US"/>
              </w:rPr>
              <w:t>Binnersley</w:t>
            </w:r>
            <w:proofErr w:type="spellEnd"/>
          </w:p>
          <w:p w:rsidR="0093427F" w:rsidRPr="00003B04" w:rsidRDefault="0093427F" w:rsidP="005F1ED8">
            <w:pPr>
              <w:rPr>
                <w:sz w:val="20"/>
                <w:szCs w:val="20"/>
                <w:lang w:val="en-US"/>
              </w:rPr>
            </w:pPr>
            <w:r w:rsidRPr="00003B04">
              <w:rPr>
                <w:b/>
                <w:sz w:val="20"/>
                <w:szCs w:val="20"/>
                <w:lang w:val="en-US"/>
              </w:rPr>
              <w:tab/>
            </w:r>
            <w:r w:rsidRPr="00003B04">
              <w:rPr>
                <w:sz w:val="20"/>
                <w:szCs w:val="20"/>
                <w:lang w:val="en-US"/>
              </w:rPr>
              <w:t xml:space="preserve">Earl </w:t>
            </w:r>
            <w:proofErr w:type="spellStart"/>
            <w:r w:rsidRPr="00003B04">
              <w:rPr>
                <w:sz w:val="20"/>
                <w:szCs w:val="20"/>
                <w:lang w:val="en-US"/>
              </w:rPr>
              <w:t>Binnersley</w:t>
            </w:r>
            <w:proofErr w:type="spellEnd"/>
          </w:p>
          <w:p w:rsidR="0093427F" w:rsidRPr="00003B04" w:rsidRDefault="0093427F" w:rsidP="005F1ED8">
            <w:pPr>
              <w:rPr>
                <w:sz w:val="20"/>
                <w:szCs w:val="20"/>
                <w:lang w:val="en-US"/>
              </w:rPr>
            </w:pPr>
          </w:p>
          <w:p w:rsidR="0093427F" w:rsidRPr="00003B04" w:rsidRDefault="0093427F" w:rsidP="005F1ED8">
            <w:pPr>
              <w:rPr>
                <w:sz w:val="20"/>
                <w:szCs w:val="20"/>
                <w:lang w:val="en-US"/>
              </w:rPr>
            </w:pPr>
            <w:r w:rsidRPr="00003B04">
              <w:rPr>
                <w:sz w:val="20"/>
                <w:szCs w:val="20"/>
                <w:lang w:val="en-US"/>
              </w:rPr>
              <w:tab/>
              <w:t>v. (37440)</w:t>
            </w:r>
          </w:p>
          <w:p w:rsidR="0093427F" w:rsidRPr="00003B04" w:rsidRDefault="0093427F" w:rsidP="005F1ED8">
            <w:pPr>
              <w:rPr>
                <w:sz w:val="20"/>
                <w:szCs w:val="20"/>
                <w:lang w:val="en-US"/>
              </w:rPr>
            </w:pPr>
          </w:p>
          <w:p w:rsidR="0093427F" w:rsidRPr="00003B04" w:rsidRDefault="0093427F" w:rsidP="005F1ED8">
            <w:pPr>
              <w:rPr>
                <w:b/>
                <w:sz w:val="20"/>
                <w:szCs w:val="20"/>
                <w:lang w:val="fr-CA"/>
              </w:rPr>
            </w:pPr>
            <w:r w:rsidRPr="00003B04">
              <w:rPr>
                <w:b/>
                <w:sz w:val="20"/>
                <w:szCs w:val="20"/>
                <w:lang w:val="fr-CA"/>
              </w:rPr>
              <w:t>BC SPCA et al. (B.C.)</w:t>
            </w:r>
          </w:p>
          <w:p w:rsidR="0093427F" w:rsidRPr="00003B04" w:rsidRDefault="0093427F" w:rsidP="005F1ED8">
            <w:pPr>
              <w:rPr>
                <w:sz w:val="20"/>
                <w:szCs w:val="20"/>
                <w:lang w:val="en-US"/>
              </w:rPr>
            </w:pPr>
            <w:r w:rsidRPr="00003B04">
              <w:rPr>
                <w:b/>
                <w:sz w:val="20"/>
                <w:szCs w:val="20"/>
                <w:lang w:val="fr-CA"/>
              </w:rPr>
              <w:tab/>
            </w:r>
            <w:r w:rsidRPr="00003B04">
              <w:rPr>
                <w:sz w:val="20"/>
                <w:szCs w:val="20"/>
                <w:lang w:val="en-US"/>
              </w:rPr>
              <w:t>Christopher A. Rhone</w:t>
            </w:r>
          </w:p>
          <w:p w:rsidR="0093427F" w:rsidRPr="00003B04" w:rsidRDefault="0093427F" w:rsidP="0093427F">
            <w:pPr>
              <w:rPr>
                <w:sz w:val="20"/>
                <w:szCs w:val="20"/>
                <w:lang w:val="en-US"/>
              </w:rPr>
            </w:pPr>
            <w:r w:rsidRPr="00003B04">
              <w:rPr>
                <w:sz w:val="20"/>
                <w:szCs w:val="20"/>
                <w:lang w:val="en-US"/>
              </w:rPr>
              <w:tab/>
              <w:t xml:space="preserve">Branch, </w:t>
            </w:r>
            <w:proofErr w:type="spellStart"/>
            <w:r w:rsidRPr="00003B04">
              <w:rPr>
                <w:sz w:val="20"/>
                <w:szCs w:val="20"/>
                <w:lang w:val="en-US"/>
              </w:rPr>
              <w:t>MacMaster</w:t>
            </w:r>
            <w:proofErr w:type="spellEnd"/>
          </w:p>
          <w:p w:rsidR="0093427F" w:rsidRPr="00003B04" w:rsidRDefault="0093427F" w:rsidP="0093427F">
            <w:pPr>
              <w:rPr>
                <w:sz w:val="20"/>
                <w:szCs w:val="20"/>
                <w:lang w:val="en-US"/>
              </w:rPr>
            </w:pPr>
          </w:p>
          <w:p w:rsidR="0093427F" w:rsidRPr="00003B04" w:rsidRDefault="0093427F" w:rsidP="0093427F">
            <w:pPr>
              <w:rPr>
                <w:sz w:val="20"/>
                <w:szCs w:val="20"/>
                <w:lang w:val="en-US"/>
              </w:rPr>
            </w:pPr>
            <w:r w:rsidRPr="00003B04">
              <w:rPr>
                <w:sz w:val="20"/>
                <w:szCs w:val="20"/>
                <w:lang w:val="en-US"/>
              </w:rPr>
              <w:t>FILING DATE : 12.09.2016</w:t>
            </w:r>
          </w:p>
          <w:p w:rsidR="0093427F" w:rsidRPr="00003B04" w:rsidRDefault="00604445" w:rsidP="0093427F">
            <w:pPr>
              <w:rPr>
                <w:sz w:val="20"/>
                <w:szCs w:val="20"/>
                <w:lang w:val="fr-CA"/>
              </w:rPr>
            </w:pPr>
            <w:r>
              <w:rPr>
                <w:sz w:val="20"/>
                <w:szCs w:val="20"/>
                <w:lang w:val="fr-CA"/>
              </w:rPr>
              <w:pict>
                <v:rect id="_x0000_i1038" style="width:108pt;height:1pt" o:hrpct="0" o:hralign="center" o:hrstd="t" o:hrnoshade="t" o:hr="t" fillcolor="black [3213]" stroked="f"/>
              </w:pict>
            </w:r>
          </w:p>
        </w:tc>
      </w:tr>
      <w:tr w:rsidR="00046C30" w:rsidRPr="00003B04" w:rsidTr="003B3977">
        <w:tc>
          <w:tcPr>
            <w:tcW w:w="4320" w:type="dxa"/>
            <w:shd w:val="clear" w:color="auto" w:fill="auto"/>
          </w:tcPr>
          <w:p w:rsidR="00046C30" w:rsidRPr="00003B04" w:rsidRDefault="0093427F" w:rsidP="005F1ED8">
            <w:pPr>
              <w:rPr>
                <w:b/>
                <w:sz w:val="20"/>
                <w:szCs w:val="20"/>
                <w:lang w:val="en-US"/>
              </w:rPr>
            </w:pPr>
            <w:proofErr w:type="spellStart"/>
            <w:r w:rsidRPr="00003B04">
              <w:rPr>
                <w:b/>
                <w:sz w:val="20"/>
                <w:szCs w:val="20"/>
                <w:lang w:val="en-US"/>
              </w:rPr>
              <w:lastRenderedPageBreak/>
              <w:t>Abebe</w:t>
            </w:r>
            <w:proofErr w:type="spellEnd"/>
            <w:r w:rsidRPr="00003B04">
              <w:rPr>
                <w:b/>
                <w:sz w:val="20"/>
                <w:szCs w:val="20"/>
                <w:lang w:val="en-US"/>
              </w:rPr>
              <w:t xml:space="preserve"> </w:t>
            </w:r>
            <w:proofErr w:type="spellStart"/>
            <w:r w:rsidRPr="00003B04">
              <w:rPr>
                <w:b/>
                <w:sz w:val="20"/>
                <w:szCs w:val="20"/>
                <w:lang w:val="en-US"/>
              </w:rPr>
              <w:t>Tilahun</w:t>
            </w:r>
            <w:proofErr w:type="spellEnd"/>
          </w:p>
          <w:p w:rsidR="0093427F" w:rsidRPr="00003B04" w:rsidRDefault="0093427F" w:rsidP="005F1ED8">
            <w:pPr>
              <w:rPr>
                <w:sz w:val="20"/>
                <w:szCs w:val="20"/>
                <w:lang w:val="en-US"/>
              </w:rPr>
            </w:pPr>
            <w:r w:rsidRPr="00003B04">
              <w:rPr>
                <w:b/>
                <w:sz w:val="20"/>
                <w:szCs w:val="20"/>
                <w:lang w:val="en-US"/>
              </w:rPr>
              <w:tab/>
            </w:r>
            <w:proofErr w:type="spellStart"/>
            <w:r w:rsidRPr="00003B04">
              <w:rPr>
                <w:sz w:val="20"/>
                <w:szCs w:val="20"/>
                <w:lang w:val="en-US"/>
              </w:rPr>
              <w:t>Abebe</w:t>
            </w:r>
            <w:proofErr w:type="spellEnd"/>
            <w:r w:rsidRPr="00003B04">
              <w:rPr>
                <w:sz w:val="20"/>
                <w:szCs w:val="20"/>
                <w:lang w:val="en-US"/>
              </w:rPr>
              <w:t xml:space="preserve"> </w:t>
            </w:r>
            <w:proofErr w:type="spellStart"/>
            <w:r w:rsidRPr="00003B04">
              <w:rPr>
                <w:sz w:val="20"/>
                <w:szCs w:val="20"/>
                <w:lang w:val="en-US"/>
              </w:rPr>
              <w:t>Tilahun</w:t>
            </w:r>
            <w:proofErr w:type="spellEnd"/>
          </w:p>
          <w:p w:rsidR="0093427F" w:rsidRPr="00003B04" w:rsidRDefault="0093427F" w:rsidP="005F1ED8">
            <w:pPr>
              <w:rPr>
                <w:sz w:val="20"/>
                <w:szCs w:val="20"/>
                <w:lang w:val="en-US"/>
              </w:rPr>
            </w:pPr>
          </w:p>
          <w:p w:rsidR="0093427F" w:rsidRPr="00003B04" w:rsidRDefault="0093427F" w:rsidP="005F1ED8">
            <w:pPr>
              <w:rPr>
                <w:sz w:val="20"/>
                <w:szCs w:val="20"/>
                <w:lang w:val="en-US"/>
              </w:rPr>
            </w:pPr>
            <w:r w:rsidRPr="00003B04">
              <w:rPr>
                <w:sz w:val="20"/>
                <w:szCs w:val="20"/>
                <w:lang w:val="en-US"/>
              </w:rPr>
              <w:tab/>
              <w:t>v. (37448)</w:t>
            </w:r>
          </w:p>
          <w:p w:rsidR="0093427F" w:rsidRPr="00003B04" w:rsidRDefault="0093427F" w:rsidP="005F1ED8">
            <w:pPr>
              <w:rPr>
                <w:sz w:val="20"/>
                <w:szCs w:val="20"/>
                <w:lang w:val="en-US"/>
              </w:rPr>
            </w:pPr>
          </w:p>
          <w:p w:rsidR="0093427F" w:rsidRPr="00003B04" w:rsidRDefault="0093427F" w:rsidP="005F1ED8">
            <w:pPr>
              <w:rPr>
                <w:b/>
                <w:sz w:val="20"/>
                <w:szCs w:val="20"/>
                <w:lang w:val="en-US"/>
              </w:rPr>
            </w:pPr>
            <w:r w:rsidRPr="00003B04">
              <w:rPr>
                <w:b/>
                <w:sz w:val="20"/>
                <w:szCs w:val="20"/>
                <w:lang w:val="en-US"/>
              </w:rPr>
              <w:t>Ministry of Public Safety Canada et al. (Ont.)</w:t>
            </w:r>
          </w:p>
          <w:p w:rsidR="0093427F" w:rsidRPr="00003B04" w:rsidRDefault="0093427F" w:rsidP="005F1ED8">
            <w:pPr>
              <w:rPr>
                <w:sz w:val="20"/>
                <w:szCs w:val="20"/>
                <w:lang w:val="en-US"/>
              </w:rPr>
            </w:pPr>
            <w:r w:rsidRPr="00003B04">
              <w:rPr>
                <w:sz w:val="20"/>
                <w:szCs w:val="20"/>
                <w:lang w:val="en-US"/>
              </w:rPr>
              <w:tab/>
              <w:t>Mathew Johnson</w:t>
            </w:r>
          </w:p>
          <w:p w:rsidR="0093427F" w:rsidRPr="00003B04" w:rsidRDefault="0093427F" w:rsidP="005F1ED8">
            <w:pPr>
              <w:rPr>
                <w:sz w:val="20"/>
                <w:szCs w:val="20"/>
                <w:lang w:val="en-US"/>
              </w:rPr>
            </w:pPr>
            <w:r w:rsidRPr="00003B04">
              <w:rPr>
                <w:sz w:val="20"/>
                <w:szCs w:val="20"/>
                <w:lang w:val="en-US"/>
              </w:rPr>
              <w:tab/>
              <w:t>Department of Justice Canada</w:t>
            </w:r>
          </w:p>
          <w:p w:rsidR="0093427F" w:rsidRPr="00003B04" w:rsidRDefault="0093427F" w:rsidP="005F1ED8">
            <w:pPr>
              <w:rPr>
                <w:sz w:val="20"/>
                <w:szCs w:val="20"/>
                <w:lang w:val="en-US"/>
              </w:rPr>
            </w:pPr>
          </w:p>
          <w:p w:rsidR="0093427F" w:rsidRPr="00003B04" w:rsidRDefault="0093427F" w:rsidP="005F1ED8">
            <w:pPr>
              <w:rPr>
                <w:sz w:val="20"/>
                <w:szCs w:val="20"/>
                <w:lang w:val="en-US"/>
              </w:rPr>
            </w:pPr>
            <w:r w:rsidRPr="00003B04">
              <w:rPr>
                <w:sz w:val="20"/>
                <w:szCs w:val="20"/>
                <w:lang w:val="en-US"/>
              </w:rPr>
              <w:t>FILING DATE: 08.11.2016</w:t>
            </w:r>
          </w:p>
          <w:p w:rsidR="0093427F" w:rsidRPr="00003B04" w:rsidRDefault="00604445" w:rsidP="005F1ED8">
            <w:pPr>
              <w:rPr>
                <w:sz w:val="20"/>
                <w:szCs w:val="20"/>
                <w:lang w:val="fr-CA"/>
              </w:rPr>
            </w:pPr>
            <w:r>
              <w:rPr>
                <w:sz w:val="20"/>
                <w:szCs w:val="20"/>
                <w:lang w:val="fr-CA"/>
              </w:rPr>
              <w:pict>
                <v:rect id="_x0000_i1039" style="width:108pt;height:1pt" o:hrpct="0" o:hralign="center" o:hrstd="t" o:hrnoshade="t" o:hr="t" fillcolor="black [3213]" stroked="f"/>
              </w:pict>
            </w:r>
          </w:p>
          <w:p w:rsidR="0093427F" w:rsidRPr="00003B04" w:rsidRDefault="0093427F" w:rsidP="005F1ED8">
            <w:pPr>
              <w:rPr>
                <w:sz w:val="20"/>
                <w:szCs w:val="20"/>
                <w:lang w:val="en-US"/>
              </w:rPr>
            </w:pPr>
          </w:p>
        </w:tc>
        <w:tc>
          <w:tcPr>
            <w:tcW w:w="1181" w:type="dxa"/>
            <w:shd w:val="clear" w:color="auto" w:fill="auto"/>
          </w:tcPr>
          <w:p w:rsidR="00046C30" w:rsidRPr="00003B04" w:rsidRDefault="00046C30" w:rsidP="00242AEE">
            <w:pPr>
              <w:jc w:val="center"/>
              <w:rPr>
                <w:sz w:val="20"/>
                <w:szCs w:val="20"/>
                <w:lang w:val="en-US"/>
              </w:rPr>
            </w:pPr>
          </w:p>
        </w:tc>
        <w:tc>
          <w:tcPr>
            <w:tcW w:w="4320" w:type="dxa"/>
            <w:shd w:val="clear" w:color="auto" w:fill="auto"/>
          </w:tcPr>
          <w:p w:rsidR="00046C30" w:rsidRPr="00003B04" w:rsidRDefault="00B66A26" w:rsidP="005F1ED8">
            <w:pPr>
              <w:rPr>
                <w:b/>
                <w:sz w:val="20"/>
                <w:szCs w:val="20"/>
                <w:lang w:val="en-US"/>
              </w:rPr>
            </w:pPr>
            <w:r w:rsidRPr="00003B04">
              <w:rPr>
                <w:b/>
                <w:sz w:val="20"/>
                <w:szCs w:val="20"/>
                <w:lang w:val="en-US"/>
              </w:rPr>
              <w:t>Corporation of the City of Thunder Bay</w:t>
            </w:r>
          </w:p>
          <w:p w:rsidR="00B66A26" w:rsidRPr="00003B04" w:rsidRDefault="00B66A26" w:rsidP="005F1ED8">
            <w:pPr>
              <w:rPr>
                <w:sz w:val="20"/>
                <w:szCs w:val="20"/>
                <w:lang w:val="en-US"/>
              </w:rPr>
            </w:pPr>
            <w:r w:rsidRPr="00003B04">
              <w:rPr>
                <w:b/>
                <w:sz w:val="20"/>
                <w:szCs w:val="20"/>
                <w:lang w:val="en-US"/>
              </w:rPr>
              <w:tab/>
            </w:r>
            <w:r w:rsidRPr="00003B04">
              <w:rPr>
                <w:sz w:val="20"/>
                <w:szCs w:val="20"/>
                <w:lang w:val="en-US"/>
              </w:rPr>
              <w:t xml:space="preserve">Allan D. </w:t>
            </w:r>
            <w:proofErr w:type="spellStart"/>
            <w:r w:rsidRPr="00003B04">
              <w:rPr>
                <w:sz w:val="20"/>
                <w:szCs w:val="20"/>
                <w:lang w:val="en-US"/>
              </w:rPr>
              <w:t>McKitrick</w:t>
            </w:r>
            <w:proofErr w:type="spellEnd"/>
          </w:p>
          <w:p w:rsidR="00B66A26" w:rsidRPr="00003B04" w:rsidRDefault="00B66A26" w:rsidP="005F1ED8">
            <w:pPr>
              <w:rPr>
                <w:sz w:val="20"/>
                <w:szCs w:val="20"/>
                <w:lang w:val="en-US"/>
              </w:rPr>
            </w:pPr>
            <w:r w:rsidRPr="00003B04">
              <w:rPr>
                <w:sz w:val="20"/>
                <w:szCs w:val="20"/>
                <w:lang w:val="en-US"/>
              </w:rPr>
              <w:tab/>
            </w:r>
            <w:proofErr w:type="spellStart"/>
            <w:r w:rsidRPr="00003B04">
              <w:rPr>
                <w:sz w:val="20"/>
                <w:szCs w:val="20"/>
                <w:lang w:val="en-US"/>
              </w:rPr>
              <w:t>McKitricks</w:t>
            </w:r>
            <w:proofErr w:type="spellEnd"/>
          </w:p>
          <w:p w:rsidR="00B66A26" w:rsidRPr="00003B04" w:rsidRDefault="00B66A26" w:rsidP="005F1ED8">
            <w:pPr>
              <w:rPr>
                <w:sz w:val="20"/>
                <w:szCs w:val="20"/>
                <w:lang w:val="en-US"/>
              </w:rPr>
            </w:pPr>
          </w:p>
          <w:p w:rsidR="00B66A26" w:rsidRPr="00003B04" w:rsidRDefault="00B66A26" w:rsidP="005F1ED8">
            <w:pPr>
              <w:rPr>
                <w:sz w:val="20"/>
                <w:szCs w:val="20"/>
                <w:lang w:val="en-US"/>
              </w:rPr>
            </w:pPr>
            <w:r w:rsidRPr="00003B04">
              <w:rPr>
                <w:sz w:val="20"/>
                <w:szCs w:val="20"/>
                <w:lang w:val="en-US"/>
              </w:rPr>
              <w:tab/>
              <w:t>v. (37445)</w:t>
            </w:r>
          </w:p>
          <w:p w:rsidR="00B66A26" w:rsidRPr="00003B04" w:rsidRDefault="00B66A26" w:rsidP="005F1ED8">
            <w:pPr>
              <w:rPr>
                <w:sz w:val="20"/>
                <w:szCs w:val="20"/>
                <w:lang w:val="en-US"/>
              </w:rPr>
            </w:pPr>
          </w:p>
          <w:p w:rsidR="00B66A26" w:rsidRPr="00003B04" w:rsidRDefault="00B66A26" w:rsidP="005F1ED8">
            <w:pPr>
              <w:rPr>
                <w:b/>
                <w:sz w:val="20"/>
                <w:szCs w:val="20"/>
                <w:lang w:val="en-US"/>
              </w:rPr>
            </w:pPr>
            <w:r w:rsidRPr="00003B04">
              <w:rPr>
                <w:b/>
                <w:sz w:val="20"/>
                <w:szCs w:val="20"/>
                <w:lang w:val="en-US"/>
              </w:rPr>
              <w:t>Poplar Point First Nation Development Corporation (Ont.)</w:t>
            </w:r>
          </w:p>
          <w:p w:rsidR="00B66A26" w:rsidRPr="00003B04" w:rsidRDefault="00B66A26" w:rsidP="005F1ED8">
            <w:pPr>
              <w:rPr>
                <w:sz w:val="20"/>
                <w:szCs w:val="20"/>
                <w:lang w:val="en-US"/>
              </w:rPr>
            </w:pPr>
            <w:r w:rsidRPr="00003B04">
              <w:rPr>
                <w:sz w:val="20"/>
                <w:szCs w:val="20"/>
                <w:lang w:val="en-US"/>
              </w:rPr>
              <w:tab/>
              <w:t>Rene E. Larson</w:t>
            </w:r>
          </w:p>
          <w:p w:rsidR="00B66A26" w:rsidRPr="00003B04" w:rsidRDefault="00B66A26" w:rsidP="005F1ED8">
            <w:pPr>
              <w:rPr>
                <w:sz w:val="20"/>
                <w:szCs w:val="20"/>
                <w:lang w:val="en-US"/>
              </w:rPr>
            </w:pPr>
            <w:r w:rsidRPr="00003B04">
              <w:rPr>
                <w:sz w:val="20"/>
                <w:szCs w:val="20"/>
                <w:lang w:val="en-US"/>
              </w:rPr>
              <w:tab/>
              <w:t xml:space="preserve">Rene Larson Law Office Professional </w:t>
            </w:r>
            <w:r w:rsidRPr="00003B04">
              <w:rPr>
                <w:sz w:val="20"/>
                <w:szCs w:val="20"/>
                <w:lang w:val="en-US"/>
              </w:rPr>
              <w:tab/>
              <w:t xml:space="preserve">Corporation </w:t>
            </w:r>
          </w:p>
          <w:p w:rsidR="00B66A26" w:rsidRPr="00003B04" w:rsidRDefault="00B66A26" w:rsidP="005F1ED8">
            <w:pPr>
              <w:rPr>
                <w:sz w:val="20"/>
                <w:szCs w:val="20"/>
                <w:lang w:val="en-US"/>
              </w:rPr>
            </w:pPr>
          </w:p>
          <w:p w:rsidR="00B66A26" w:rsidRPr="00003B04" w:rsidRDefault="00B66A26" w:rsidP="005F1ED8">
            <w:pPr>
              <w:rPr>
                <w:sz w:val="20"/>
                <w:szCs w:val="20"/>
                <w:lang w:val="en-US"/>
              </w:rPr>
            </w:pPr>
            <w:r w:rsidRPr="00003B04">
              <w:rPr>
                <w:sz w:val="20"/>
                <w:szCs w:val="20"/>
                <w:lang w:val="en-US"/>
              </w:rPr>
              <w:t>FILING DATE: 09.02.2017</w:t>
            </w:r>
          </w:p>
          <w:p w:rsidR="00B66A26" w:rsidRPr="00003B04" w:rsidRDefault="00604445" w:rsidP="005F1ED8">
            <w:pPr>
              <w:rPr>
                <w:sz w:val="20"/>
                <w:szCs w:val="20"/>
                <w:lang w:val="fr-CA"/>
              </w:rPr>
            </w:pPr>
            <w:r>
              <w:rPr>
                <w:sz w:val="20"/>
                <w:szCs w:val="20"/>
                <w:lang w:val="fr-CA"/>
              </w:rPr>
              <w:pict>
                <v:rect id="_x0000_i1040" style="width:108pt;height:1pt" o:hrpct="0" o:hralign="center" o:hrstd="t" o:hrnoshade="t" o:hr="t" fillcolor="black [3213]" stroked="f"/>
              </w:pict>
            </w:r>
          </w:p>
          <w:p w:rsidR="00B66A26" w:rsidRPr="00003B04" w:rsidRDefault="00B66A26" w:rsidP="005F1ED8">
            <w:pPr>
              <w:rPr>
                <w:sz w:val="20"/>
                <w:szCs w:val="20"/>
                <w:lang w:val="en-US"/>
              </w:rPr>
            </w:pPr>
          </w:p>
        </w:tc>
      </w:tr>
      <w:tr w:rsidR="00046C30" w:rsidRPr="00003B04" w:rsidTr="003B3977">
        <w:tc>
          <w:tcPr>
            <w:tcW w:w="4320" w:type="dxa"/>
            <w:shd w:val="clear" w:color="auto" w:fill="auto"/>
          </w:tcPr>
          <w:p w:rsidR="00367D0C" w:rsidRPr="00003B04" w:rsidRDefault="00367D0C" w:rsidP="00367D0C">
            <w:pPr>
              <w:rPr>
                <w:b/>
                <w:sz w:val="20"/>
                <w:szCs w:val="20"/>
                <w:lang w:val="en-US"/>
              </w:rPr>
            </w:pPr>
            <w:r w:rsidRPr="00003B04">
              <w:rPr>
                <w:b/>
                <w:sz w:val="20"/>
                <w:szCs w:val="20"/>
                <w:lang w:val="en-US"/>
              </w:rPr>
              <w:t xml:space="preserve">John Churchill </w:t>
            </w:r>
          </w:p>
          <w:p w:rsidR="00367D0C" w:rsidRPr="00003B04" w:rsidRDefault="00367D0C" w:rsidP="00367D0C">
            <w:pPr>
              <w:rPr>
                <w:sz w:val="20"/>
                <w:szCs w:val="20"/>
                <w:lang w:val="en-US"/>
              </w:rPr>
            </w:pPr>
            <w:r w:rsidRPr="00003B04">
              <w:rPr>
                <w:b/>
                <w:sz w:val="20"/>
                <w:szCs w:val="20"/>
                <w:lang w:val="en-US"/>
              </w:rPr>
              <w:tab/>
            </w:r>
            <w:r w:rsidRPr="00003B04">
              <w:rPr>
                <w:sz w:val="20"/>
                <w:szCs w:val="20"/>
                <w:lang w:val="en-US"/>
              </w:rPr>
              <w:t>E. Mark Rogers</w:t>
            </w:r>
          </w:p>
          <w:p w:rsidR="00367D0C" w:rsidRPr="00003B04" w:rsidRDefault="00367D0C" w:rsidP="00367D0C">
            <w:pPr>
              <w:rPr>
                <w:sz w:val="20"/>
                <w:szCs w:val="20"/>
                <w:lang w:val="en-US"/>
              </w:rPr>
            </w:pPr>
            <w:r w:rsidRPr="00003B04">
              <w:rPr>
                <w:sz w:val="20"/>
                <w:szCs w:val="20"/>
                <w:lang w:val="en-US"/>
              </w:rPr>
              <w:tab/>
              <w:t xml:space="preserve">Rogers </w:t>
            </w:r>
            <w:proofErr w:type="spellStart"/>
            <w:r w:rsidRPr="00003B04">
              <w:rPr>
                <w:sz w:val="20"/>
                <w:szCs w:val="20"/>
                <w:lang w:val="en-US"/>
              </w:rPr>
              <w:t>Rogers</w:t>
            </w:r>
            <w:proofErr w:type="spellEnd"/>
            <w:r w:rsidRPr="00003B04">
              <w:rPr>
                <w:sz w:val="20"/>
                <w:szCs w:val="20"/>
                <w:lang w:val="en-US"/>
              </w:rPr>
              <w:t xml:space="preserve"> </w:t>
            </w:r>
            <w:proofErr w:type="spellStart"/>
            <w:r w:rsidRPr="00003B04">
              <w:rPr>
                <w:sz w:val="20"/>
                <w:szCs w:val="20"/>
                <w:lang w:val="en-US"/>
              </w:rPr>
              <w:t>Moyse</w:t>
            </w:r>
            <w:proofErr w:type="spellEnd"/>
          </w:p>
          <w:p w:rsidR="00367D0C" w:rsidRPr="00003B04" w:rsidRDefault="00367D0C" w:rsidP="00367D0C">
            <w:pPr>
              <w:rPr>
                <w:sz w:val="20"/>
                <w:szCs w:val="20"/>
                <w:lang w:val="en-US"/>
              </w:rPr>
            </w:pPr>
          </w:p>
          <w:p w:rsidR="00367D0C" w:rsidRPr="00003B04" w:rsidRDefault="00367D0C" w:rsidP="00367D0C">
            <w:pPr>
              <w:rPr>
                <w:sz w:val="20"/>
                <w:szCs w:val="20"/>
                <w:lang w:val="en-US"/>
              </w:rPr>
            </w:pPr>
            <w:r w:rsidRPr="00003B04">
              <w:rPr>
                <w:sz w:val="20"/>
                <w:szCs w:val="20"/>
                <w:lang w:val="en-US"/>
              </w:rPr>
              <w:tab/>
              <w:t>v. (37397)</w:t>
            </w:r>
          </w:p>
          <w:p w:rsidR="00367D0C" w:rsidRPr="00003B04" w:rsidRDefault="00367D0C" w:rsidP="00367D0C">
            <w:pPr>
              <w:rPr>
                <w:sz w:val="20"/>
                <w:szCs w:val="20"/>
                <w:lang w:val="en-US"/>
              </w:rPr>
            </w:pPr>
          </w:p>
          <w:p w:rsidR="00367D0C" w:rsidRPr="00003B04" w:rsidRDefault="00367D0C" w:rsidP="00367D0C">
            <w:pPr>
              <w:rPr>
                <w:b/>
                <w:sz w:val="20"/>
                <w:szCs w:val="20"/>
                <w:lang w:val="en-US"/>
              </w:rPr>
            </w:pPr>
            <w:proofErr w:type="spellStart"/>
            <w:r w:rsidRPr="00003B04">
              <w:rPr>
                <w:b/>
                <w:sz w:val="20"/>
                <w:szCs w:val="20"/>
                <w:lang w:val="en-US"/>
              </w:rPr>
              <w:t>Unifund</w:t>
            </w:r>
            <w:proofErr w:type="spellEnd"/>
            <w:r w:rsidRPr="00003B04">
              <w:rPr>
                <w:b/>
                <w:sz w:val="20"/>
                <w:szCs w:val="20"/>
                <w:lang w:val="en-US"/>
              </w:rPr>
              <w:t xml:space="preserve"> Assurance Company (N.L.)</w:t>
            </w:r>
          </w:p>
          <w:p w:rsidR="00367D0C" w:rsidRPr="00003B04" w:rsidRDefault="00367D0C" w:rsidP="00367D0C">
            <w:pPr>
              <w:rPr>
                <w:sz w:val="20"/>
                <w:szCs w:val="20"/>
                <w:lang w:val="en-US"/>
              </w:rPr>
            </w:pPr>
            <w:r w:rsidRPr="00003B04">
              <w:rPr>
                <w:sz w:val="20"/>
                <w:szCs w:val="20"/>
                <w:lang w:val="en-US"/>
              </w:rPr>
              <w:tab/>
              <w:t>Glen L.C. Noel</w:t>
            </w:r>
          </w:p>
          <w:p w:rsidR="00367D0C" w:rsidRPr="00003B04" w:rsidRDefault="00367D0C" w:rsidP="00367D0C">
            <w:pPr>
              <w:rPr>
                <w:sz w:val="20"/>
                <w:szCs w:val="20"/>
                <w:lang w:val="en-US"/>
              </w:rPr>
            </w:pPr>
            <w:r w:rsidRPr="00003B04">
              <w:rPr>
                <w:sz w:val="20"/>
                <w:szCs w:val="20"/>
                <w:lang w:val="en-US"/>
              </w:rPr>
              <w:tab/>
              <w:t>Cox &amp; Palmer</w:t>
            </w:r>
          </w:p>
          <w:p w:rsidR="00367D0C" w:rsidRPr="00003B04" w:rsidRDefault="00367D0C" w:rsidP="00367D0C">
            <w:pPr>
              <w:rPr>
                <w:sz w:val="20"/>
                <w:szCs w:val="20"/>
                <w:lang w:val="en-US"/>
              </w:rPr>
            </w:pPr>
          </w:p>
          <w:p w:rsidR="00367D0C" w:rsidRPr="00003B04" w:rsidRDefault="00367D0C" w:rsidP="00367D0C">
            <w:pPr>
              <w:rPr>
                <w:sz w:val="20"/>
                <w:szCs w:val="20"/>
                <w:lang w:val="en-US"/>
              </w:rPr>
            </w:pPr>
            <w:r w:rsidRPr="00003B04">
              <w:rPr>
                <w:sz w:val="20"/>
                <w:szCs w:val="20"/>
                <w:lang w:val="en-US"/>
              </w:rPr>
              <w:t>FILING DATE: 14.02.2017</w:t>
            </w:r>
          </w:p>
          <w:p w:rsidR="00B14364" w:rsidRPr="00003B04" w:rsidRDefault="00604445" w:rsidP="00367D0C">
            <w:pPr>
              <w:rPr>
                <w:sz w:val="20"/>
                <w:szCs w:val="20"/>
                <w:lang w:val="fr-CA"/>
              </w:rPr>
            </w:pPr>
            <w:r>
              <w:rPr>
                <w:sz w:val="20"/>
                <w:szCs w:val="20"/>
                <w:lang w:val="fr-CA"/>
              </w:rPr>
              <w:pict>
                <v:rect id="_x0000_i1041" style="width:108pt;height:1pt" o:hrpct="0" o:hralign="center" o:hrstd="t" o:hrnoshade="t" o:hr="t" fillcolor="black [3213]" stroked="f"/>
              </w:pict>
            </w:r>
          </w:p>
          <w:p w:rsidR="00B14364" w:rsidRPr="00003B04" w:rsidRDefault="00B14364" w:rsidP="005F1ED8">
            <w:pPr>
              <w:rPr>
                <w:sz w:val="20"/>
                <w:szCs w:val="20"/>
                <w:lang w:val="en-US"/>
              </w:rPr>
            </w:pPr>
          </w:p>
        </w:tc>
        <w:tc>
          <w:tcPr>
            <w:tcW w:w="1181" w:type="dxa"/>
            <w:shd w:val="clear" w:color="auto" w:fill="auto"/>
          </w:tcPr>
          <w:p w:rsidR="00046C30" w:rsidRPr="00003B04" w:rsidRDefault="00046C30" w:rsidP="00242AEE">
            <w:pPr>
              <w:jc w:val="center"/>
              <w:rPr>
                <w:sz w:val="20"/>
                <w:szCs w:val="20"/>
                <w:lang w:val="en-US"/>
              </w:rPr>
            </w:pPr>
          </w:p>
        </w:tc>
        <w:tc>
          <w:tcPr>
            <w:tcW w:w="4320" w:type="dxa"/>
            <w:shd w:val="clear" w:color="auto" w:fill="auto"/>
          </w:tcPr>
          <w:p w:rsidR="00046C30" w:rsidRPr="00003B04" w:rsidRDefault="00FD0A5A" w:rsidP="005F1ED8">
            <w:pPr>
              <w:rPr>
                <w:b/>
                <w:sz w:val="20"/>
                <w:szCs w:val="20"/>
                <w:lang w:val="en-US"/>
              </w:rPr>
            </w:pPr>
            <w:r w:rsidRPr="00003B04">
              <w:rPr>
                <w:b/>
                <w:sz w:val="20"/>
                <w:szCs w:val="20"/>
                <w:lang w:val="en-US"/>
              </w:rPr>
              <w:t xml:space="preserve">Steven </w:t>
            </w:r>
            <w:proofErr w:type="spellStart"/>
            <w:r w:rsidRPr="00003B04">
              <w:rPr>
                <w:b/>
                <w:sz w:val="20"/>
                <w:szCs w:val="20"/>
                <w:lang w:val="en-US"/>
              </w:rPr>
              <w:t>Nowack</w:t>
            </w:r>
            <w:proofErr w:type="spellEnd"/>
          </w:p>
          <w:p w:rsidR="00FD0A5A" w:rsidRPr="00003B04" w:rsidRDefault="00FD0A5A" w:rsidP="005F1ED8">
            <w:pPr>
              <w:rPr>
                <w:sz w:val="20"/>
                <w:szCs w:val="20"/>
                <w:lang w:val="en-US"/>
              </w:rPr>
            </w:pPr>
            <w:r w:rsidRPr="00003B04">
              <w:rPr>
                <w:b/>
                <w:sz w:val="20"/>
                <w:szCs w:val="20"/>
                <w:lang w:val="en-US"/>
              </w:rPr>
              <w:tab/>
            </w:r>
            <w:r w:rsidRPr="00003B04">
              <w:rPr>
                <w:sz w:val="20"/>
                <w:szCs w:val="20"/>
                <w:lang w:val="en-US"/>
              </w:rPr>
              <w:t xml:space="preserve">Paul </w:t>
            </w:r>
            <w:proofErr w:type="spellStart"/>
            <w:r w:rsidRPr="00003B04">
              <w:rPr>
                <w:sz w:val="20"/>
                <w:szCs w:val="20"/>
                <w:lang w:val="en-US"/>
              </w:rPr>
              <w:t>Slansky</w:t>
            </w:r>
            <w:proofErr w:type="spellEnd"/>
          </w:p>
          <w:p w:rsidR="00FD0A5A" w:rsidRPr="00003B04" w:rsidRDefault="00FD0A5A" w:rsidP="005F1ED8">
            <w:pPr>
              <w:rPr>
                <w:sz w:val="20"/>
                <w:szCs w:val="20"/>
                <w:lang w:val="en-US"/>
              </w:rPr>
            </w:pPr>
            <w:r w:rsidRPr="00003B04">
              <w:rPr>
                <w:sz w:val="20"/>
                <w:szCs w:val="20"/>
                <w:lang w:val="en-US"/>
              </w:rPr>
              <w:tab/>
            </w:r>
            <w:proofErr w:type="spellStart"/>
            <w:r w:rsidRPr="00003B04">
              <w:rPr>
                <w:sz w:val="20"/>
                <w:szCs w:val="20"/>
                <w:lang w:val="en-US"/>
              </w:rPr>
              <w:t>Slansky</w:t>
            </w:r>
            <w:proofErr w:type="spellEnd"/>
            <w:r w:rsidRPr="00003B04">
              <w:rPr>
                <w:sz w:val="20"/>
                <w:szCs w:val="20"/>
                <w:lang w:val="en-US"/>
              </w:rPr>
              <w:t xml:space="preserve"> Law Professional Corporation</w:t>
            </w:r>
          </w:p>
          <w:p w:rsidR="00FD0A5A" w:rsidRPr="00003B04" w:rsidRDefault="00FD0A5A" w:rsidP="005F1ED8">
            <w:pPr>
              <w:rPr>
                <w:sz w:val="20"/>
                <w:szCs w:val="20"/>
                <w:lang w:val="en-US"/>
              </w:rPr>
            </w:pPr>
          </w:p>
          <w:p w:rsidR="00FD0A5A" w:rsidRPr="00003B04" w:rsidRDefault="00FD0A5A" w:rsidP="005F1ED8">
            <w:pPr>
              <w:rPr>
                <w:sz w:val="20"/>
                <w:szCs w:val="20"/>
                <w:lang w:val="fr-CA"/>
              </w:rPr>
            </w:pPr>
            <w:r w:rsidRPr="00003B04">
              <w:rPr>
                <w:sz w:val="20"/>
                <w:szCs w:val="20"/>
                <w:lang w:val="en-US"/>
              </w:rPr>
              <w:tab/>
            </w:r>
            <w:r w:rsidRPr="00003B04">
              <w:rPr>
                <w:sz w:val="20"/>
                <w:szCs w:val="20"/>
                <w:lang w:val="fr-CA"/>
              </w:rPr>
              <w:t>v. (37376)</w:t>
            </w:r>
          </w:p>
          <w:p w:rsidR="00FD0A5A" w:rsidRPr="00003B04" w:rsidRDefault="00FD0A5A" w:rsidP="005F1ED8">
            <w:pPr>
              <w:rPr>
                <w:sz w:val="20"/>
                <w:szCs w:val="20"/>
                <w:lang w:val="fr-CA"/>
              </w:rPr>
            </w:pPr>
          </w:p>
          <w:p w:rsidR="00FD0A5A" w:rsidRPr="00003B04" w:rsidRDefault="00FD0A5A" w:rsidP="005F1ED8">
            <w:pPr>
              <w:rPr>
                <w:b/>
                <w:sz w:val="20"/>
                <w:szCs w:val="20"/>
                <w:lang w:val="fr-CA"/>
              </w:rPr>
            </w:pPr>
            <w:r w:rsidRPr="00003B04">
              <w:rPr>
                <w:b/>
                <w:sz w:val="20"/>
                <w:szCs w:val="20"/>
                <w:lang w:val="fr-CA"/>
              </w:rPr>
              <w:t>2363523 Ontario Inc. (Ont.)</w:t>
            </w:r>
          </w:p>
          <w:p w:rsidR="00FD0A5A" w:rsidRPr="00003B04" w:rsidRDefault="00FD0A5A" w:rsidP="005F1ED8">
            <w:pPr>
              <w:rPr>
                <w:sz w:val="20"/>
                <w:szCs w:val="20"/>
                <w:lang w:val="fr-CA"/>
              </w:rPr>
            </w:pPr>
            <w:r w:rsidRPr="00003B04">
              <w:rPr>
                <w:sz w:val="20"/>
                <w:szCs w:val="20"/>
                <w:lang w:val="fr-CA"/>
              </w:rPr>
              <w:tab/>
              <w:t xml:space="preserve">Norman </w:t>
            </w:r>
            <w:proofErr w:type="spellStart"/>
            <w:r w:rsidRPr="00003B04">
              <w:rPr>
                <w:sz w:val="20"/>
                <w:szCs w:val="20"/>
                <w:lang w:val="fr-CA"/>
              </w:rPr>
              <w:t>Groot</w:t>
            </w:r>
            <w:proofErr w:type="spellEnd"/>
          </w:p>
          <w:p w:rsidR="00FD0A5A" w:rsidRPr="00003B04" w:rsidRDefault="00FD0A5A" w:rsidP="005F1ED8">
            <w:pPr>
              <w:rPr>
                <w:sz w:val="20"/>
                <w:szCs w:val="20"/>
                <w:lang w:val="en-US"/>
              </w:rPr>
            </w:pPr>
            <w:r w:rsidRPr="00003B04">
              <w:rPr>
                <w:sz w:val="20"/>
                <w:szCs w:val="20"/>
                <w:lang w:val="fr-CA"/>
              </w:rPr>
              <w:tab/>
            </w:r>
            <w:r w:rsidRPr="00003B04">
              <w:rPr>
                <w:sz w:val="20"/>
                <w:szCs w:val="20"/>
                <w:lang w:val="en-US"/>
              </w:rPr>
              <w:t>Investigation Counsel PC</w:t>
            </w:r>
          </w:p>
          <w:p w:rsidR="00FD0A5A" w:rsidRPr="00003B04" w:rsidRDefault="00FD0A5A" w:rsidP="005F1ED8">
            <w:pPr>
              <w:rPr>
                <w:sz w:val="20"/>
                <w:szCs w:val="20"/>
                <w:lang w:val="en-US"/>
              </w:rPr>
            </w:pPr>
          </w:p>
          <w:p w:rsidR="00FD0A5A" w:rsidRPr="00003B04" w:rsidRDefault="00FD0A5A" w:rsidP="005F1ED8">
            <w:pPr>
              <w:rPr>
                <w:sz w:val="20"/>
                <w:szCs w:val="20"/>
                <w:lang w:val="en-US"/>
              </w:rPr>
            </w:pPr>
            <w:r w:rsidRPr="00003B04">
              <w:rPr>
                <w:sz w:val="20"/>
                <w:szCs w:val="20"/>
                <w:lang w:val="en-US"/>
              </w:rPr>
              <w:t>FILING DATE: 14.02.2017</w:t>
            </w:r>
          </w:p>
          <w:p w:rsidR="00FD0A5A" w:rsidRPr="00003B04" w:rsidRDefault="00604445" w:rsidP="005F1ED8">
            <w:pPr>
              <w:rPr>
                <w:sz w:val="20"/>
                <w:szCs w:val="20"/>
                <w:lang w:val="fr-CA"/>
              </w:rPr>
            </w:pPr>
            <w:r>
              <w:rPr>
                <w:sz w:val="20"/>
                <w:szCs w:val="20"/>
                <w:lang w:val="fr-CA"/>
              </w:rPr>
              <w:pict>
                <v:rect id="_x0000_i1042" style="width:108pt;height:1pt" o:hrpct="0" o:hralign="center" o:hrstd="t" o:hrnoshade="t" o:hr="t" fillcolor="black [3213]" stroked="f"/>
              </w:pict>
            </w:r>
          </w:p>
          <w:p w:rsidR="00FD0A5A" w:rsidRPr="00003B04" w:rsidRDefault="00FD0A5A" w:rsidP="005F1ED8">
            <w:pPr>
              <w:rPr>
                <w:sz w:val="20"/>
                <w:szCs w:val="20"/>
                <w:lang w:val="en-US"/>
              </w:rPr>
            </w:pPr>
          </w:p>
        </w:tc>
      </w:tr>
      <w:tr w:rsidR="00046C30" w:rsidRPr="00003B04" w:rsidTr="003B3977">
        <w:tc>
          <w:tcPr>
            <w:tcW w:w="4320" w:type="dxa"/>
            <w:shd w:val="clear" w:color="auto" w:fill="auto"/>
          </w:tcPr>
          <w:p w:rsidR="00367D0C" w:rsidRPr="00003B04" w:rsidRDefault="00367D0C" w:rsidP="00367D0C">
            <w:pPr>
              <w:rPr>
                <w:b/>
                <w:sz w:val="20"/>
                <w:szCs w:val="20"/>
                <w:lang w:val="en-US"/>
              </w:rPr>
            </w:pPr>
            <w:r w:rsidRPr="00003B04">
              <w:rPr>
                <w:b/>
                <w:sz w:val="20"/>
                <w:szCs w:val="20"/>
                <w:lang w:val="en-US"/>
              </w:rPr>
              <w:t xml:space="preserve">SEIU-West </w:t>
            </w:r>
          </w:p>
          <w:p w:rsidR="00367D0C" w:rsidRPr="00003B04" w:rsidRDefault="00367D0C" w:rsidP="00367D0C">
            <w:pPr>
              <w:rPr>
                <w:sz w:val="20"/>
                <w:szCs w:val="20"/>
                <w:lang w:val="en-US"/>
              </w:rPr>
            </w:pPr>
            <w:r w:rsidRPr="00003B04">
              <w:rPr>
                <w:b/>
                <w:sz w:val="20"/>
                <w:szCs w:val="20"/>
                <w:lang w:val="en-US"/>
              </w:rPr>
              <w:tab/>
            </w:r>
            <w:r w:rsidRPr="00003B04">
              <w:rPr>
                <w:sz w:val="20"/>
                <w:szCs w:val="20"/>
                <w:lang w:val="en-US"/>
              </w:rPr>
              <w:t xml:space="preserve">Drew S. </w:t>
            </w:r>
            <w:proofErr w:type="spellStart"/>
            <w:r w:rsidRPr="00003B04">
              <w:rPr>
                <w:sz w:val="20"/>
                <w:szCs w:val="20"/>
                <w:lang w:val="en-US"/>
              </w:rPr>
              <w:t>Plaxton</w:t>
            </w:r>
            <w:proofErr w:type="spellEnd"/>
            <w:r w:rsidRPr="00003B04">
              <w:rPr>
                <w:sz w:val="20"/>
                <w:szCs w:val="20"/>
                <w:lang w:val="en-US"/>
              </w:rPr>
              <w:t xml:space="preserve"> Q.C.</w:t>
            </w:r>
          </w:p>
          <w:p w:rsidR="00367D0C" w:rsidRPr="00003B04" w:rsidRDefault="00367D0C" w:rsidP="00367D0C">
            <w:pPr>
              <w:rPr>
                <w:sz w:val="20"/>
                <w:szCs w:val="20"/>
                <w:lang w:val="en-US"/>
              </w:rPr>
            </w:pPr>
            <w:r w:rsidRPr="00003B04">
              <w:rPr>
                <w:sz w:val="20"/>
                <w:szCs w:val="20"/>
                <w:lang w:val="en-US"/>
              </w:rPr>
              <w:tab/>
            </w:r>
            <w:proofErr w:type="spellStart"/>
            <w:r w:rsidRPr="00003B04">
              <w:rPr>
                <w:sz w:val="20"/>
                <w:szCs w:val="20"/>
                <w:lang w:val="en-US"/>
              </w:rPr>
              <w:t>Plaxton</w:t>
            </w:r>
            <w:proofErr w:type="spellEnd"/>
            <w:r w:rsidRPr="00003B04">
              <w:rPr>
                <w:sz w:val="20"/>
                <w:szCs w:val="20"/>
                <w:lang w:val="en-US"/>
              </w:rPr>
              <w:t xml:space="preserve"> Jensen Lawyers</w:t>
            </w:r>
          </w:p>
          <w:p w:rsidR="00367D0C" w:rsidRPr="00003B04" w:rsidRDefault="00367D0C" w:rsidP="00367D0C">
            <w:pPr>
              <w:rPr>
                <w:sz w:val="20"/>
                <w:szCs w:val="20"/>
                <w:lang w:val="en-US"/>
              </w:rPr>
            </w:pPr>
          </w:p>
          <w:p w:rsidR="00367D0C" w:rsidRPr="00003B04" w:rsidRDefault="00367D0C" w:rsidP="00367D0C">
            <w:pPr>
              <w:rPr>
                <w:sz w:val="20"/>
                <w:szCs w:val="20"/>
                <w:lang w:val="en-US"/>
              </w:rPr>
            </w:pPr>
            <w:r w:rsidRPr="00003B04">
              <w:rPr>
                <w:sz w:val="20"/>
                <w:szCs w:val="20"/>
                <w:lang w:val="en-US"/>
              </w:rPr>
              <w:tab/>
              <w:t>v. (37447)</w:t>
            </w:r>
          </w:p>
          <w:p w:rsidR="00367D0C" w:rsidRPr="00003B04" w:rsidRDefault="00367D0C" w:rsidP="00367D0C">
            <w:pPr>
              <w:rPr>
                <w:sz w:val="20"/>
                <w:szCs w:val="20"/>
                <w:lang w:val="en-US"/>
              </w:rPr>
            </w:pPr>
          </w:p>
          <w:p w:rsidR="00367D0C" w:rsidRPr="00003B04" w:rsidRDefault="00367D0C" w:rsidP="00367D0C">
            <w:pPr>
              <w:rPr>
                <w:b/>
                <w:sz w:val="20"/>
                <w:szCs w:val="20"/>
                <w:lang w:val="en-US"/>
              </w:rPr>
            </w:pPr>
            <w:r w:rsidRPr="00003B04">
              <w:rPr>
                <w:b/>
                <w:sz w:val="20"/>
                <w:szCs w:val="20"/>
                <w:lang w:val="en-US"/>
              </w:rPr>
              <w:t>Cypress Regional Health Authority et al. (Sask.)</w:t>
            </w:r>
          </w:p>
          <w:p w:rsidR="00367D0C" w:rsidRPr="00003B04" w:rsidRDefault="00367D0C" w:rsidP="00367D0C">
            <w:pPr>
              <w:rPr>
                <w:sz w:val="20"/>
                <w:szCs w:val="20"/>
                <w:lang w:val="en-US"/>
              </w:rPr>
            </w:pPr>
            <w:r w:rsidRPr="00003B04">
              <w:rPr>
                <w:b/>
                <w:sz w:val="20"/>
                <w:szCs w:val="20"/>
                <w:lang w:val="en-US"/>
              </w:rPr>
              <w:tab/>
            </w:r>
            <w:r w:rsidRPr="00003B04">
              <w:rPr>
                <w:sz w:val="20"/>
                <w:szCs w:val="20"/>
                <w:lang w:val="en-US"/>
              </w:rPr>
              <w:t>Leah Schatz, Q.C.</w:t>
            </w:r>
          </w:p>
          <w:p w:rsidR="00367D0C" w:rsidRPr="00003B04" w:rsidRDefault="00367D0C" w:rsidP="00367D0C">
            <w:pPr>
              <w:rPr>
                <w:sz w:val="20"/>
                <w:szCs w:val="20"/>
                <w:lang w:val="en-US"/>
              </w:rPr>
            </w:pPr>
            <w:r w:rsidRPr="00003B04">
              <w:rPr>
                <w:sz w:val="20"/>
                <w:szCs w:val="20"/>
                <w:lang w:val="en-US"/>
              </w:rPr>
              <w:tab/>
              <w:t xml:space="preserve">MacPherson Leslie &amp; </w:t>
            </w:r>
            <w:proofErr w:type="spellStart"/>
            <w:r w:rsidRPr="00003B04">
              <w:rPr>
                <w:sz w:val="20"/>
                <w:szCs w:val="20"/>
                <w:lang w:val="en-US"/>
              </w:rPr>
              <w:t>Tyerman</w:t>
            </w:r>
            <w:proofErr w:type="spellEnd"/>
            <w:r w:rsidRPr="00003B04">
              <w:rPr>
                <w:sz w:val="20"/>
                <w:szCs w:val="20"/>
                <w:lang w:val="en-US"/>
              </w:rPr>
              <w:t xml:space="preserve"> LLP</w:t>
            </w:r>
          </w:p>
          <w:p w:rsidR="00367D0C" w:rsidRPr="00003B04" w:rsidRDefault="00367D0C" w:rsidP="00367D0C">
            <w:pPr>
              <w:rPr>
                <w:sz w:val="20"/>
                <w:szCs w:val="20"/>
                <w:lang w:val="en-US"/>
              </w:rPr>
            </w:pPr>
          </w:p>
          <w:p w:rsidR="00367D0C" w:rsidRPr="00003B04" w:rsidRDefault="00367D0C" w:rsidP="00367D0C">
            <w:pPr>
              <w:rPr>
                <w:sz w:val="20"/>
                <w:szCs w:val="20"/>
                <w:lang w:val="en-US"/>
              </w:rPr>
            </w:pPr>
            <w:r w:rsidRPr="00003B04">
              <w:rPr>
                <w:sz w:val="20"/>
                <w:szCs w:val="20"/>
                <w:lang w:val="en-US"/>
              </w:rPr>
              <w:t xml:space="preserve">- and between – </w:t>
            </w:r>
          </w:p>
          <w:p w:rsidR="00367D0C" w:rsidRPr="00003B04" w:rsidRDefault="00367D0C" w:rsidP="00367D0C">
            <w:pPr>
              <w:rPr>
                <w:sz w:val="20"/>
                <w:szCs w:val="20"/>
                <w:lang w:val="en-US"/>
              </w:rPr>
            </w:pPr>
          </w:p>
          <w:p w:rsidR="00367D0C" w:rsidRPr="00003B04" w:rsidRDefault="00367D0C" w:rsidP="00367D0C">
            <w:pPr>
              <w:rPr>
                <w:b/>
                <w:sz w:val="20"/>
                <w:szCs w:val="20"/>
                <w:lang w:val="en-US"/>
              </w:rPr>
            </w:pPr>
            <w:r w:rsidRPr="00003B04">
              <w:rPr>
                <w:b/>
                <w:sz w:val="20"/>
                <w:szCs w:val="20"/>
                <w:lang w:val="en-US"/>
              </w:rPr>
              <w:t>Saskatchewan Government and General Employees’ Union</w:t>
            </w:r>
          </w:p>
          <w:p w:rsidR="00367D0C" w:rsidRPr="00003B04" w:rsidRDefault="00367D0C" w:rsidP="00367D0C">
            <w:pPr>
              <w:rPr>
                <w:sz w:val="20"/>
                <w:szCs w:val="20"/>
                <w:lang w:val="en-US"/>
              </w:rPr>
            </w:pPr>
            <w:r w:rsidRPr="00003B04">
              <w:rPr>
                <w:b/>
                <w:sz w:val="20"/>
                <w:szCs w:val="20"/>
                <w:lang w:val="en-US"/>
              </w:rPr>
              <w:tab/>
            </w:r>
            <w:r w:rsidRPr="00003B04">
              <w:rPr>
                <w:sz w:val="20"/>
                <w:szCs w:val="20"/>
                <w:lang w:val="en-US"/>
              </w:rPr>
              <w:t xml:space="preserve">Crystal L. </w:t>
            </w:r>
            <w:proofErr w:type="spellStart"/>
            <w:r w:rsidRPr="00003B04">
              <w:rPr>
                <w:sz w:val="20"/>
                <w:szCs w:val="20"/>
                <w:lang w:val="en-US"/>
              </w:rPr>
              <w:t>Norbeck</w:t>
            </w:r>
            <w:proofErr w:type="spellEnd"/>
          </w:p>
          <w:p w:rsidR="00367D0C" w:rsidRPr="00003B04" w:rsidRDefault="00367D0C" w:rsidP="00367D0C">
            <w:pPr>
              <w:rPr>
                <w:sz w:val="20"/>
                <w:szCs w:val="20"/>
                <w:lang w:val="en-US"/>
              </w:rPr>
            </w:pPr>
            <w:r w:rsidRPr="00003B04">
              <w:rPr>
                <w:sz w:val="20"/>
                <w:szCs w:val="20"/>
                <w:lang w:val="en-US"/>
              </w:rPr>
              <w:tab/>
            </w:r>
            <w:proofErr w:type="spellStart"/>
            <w:r w:rsidRPr="00003B04">
              <w:rPr>
                <w:sz w:val="20"/>
                <w:szCs w:val="20"/>
                <w:lang w:val="en-US"/>
              </w:rPr>
              <w:t>Gerrand</w:t>
            </w:r>
            <w:proofErr w:type="spellEnd"/>
            <w:r w:rsidRPr="00003B04">
              <w:rPr>
                <w:sz w:val="20"/>
                <w:szCs w:val="20"/>
                <w:lang w:val="en-US"/>
              </w:rPr>
              <w:t xml:space="preserve"> </w:t>
            </w:r>
            <w:proofErr w:type="spellStart"/>
            <w:r w:rsidRPr="00003B04">
              <w:rPr>
                <w:sz w:val="20"/>
                <w:szCs w:val="20"/>
                <w:lang w:val="en-US"/>
              </w:rPr>
              <w:t>Rath</w:t>
            </w:r>
            <w:proofErr w:type="spellEnd"/>
            <w:r w:rsidRPr="00003B04">
              <w:rPr>
                <w:sz w:val="20"/>
                <w:szCs w:val="20"/>
                <w:lang w:val="en-US"/>
              </w:rPr>
              <w:t xml:space="preserve"> Johnson</w:t>
            </w:r>
          </w:p>
          <w:p w:rsidR="00367D0C" w:rsidRPr="00003B04" w:rsidRDefault="00367D0C" w:rsidP="00367D0C">
            <w:pPr>
              <w:rPr>
                <w:sz w:val="20"/>
                <w:szCs w:val="20"/>
                <w:lang w:val="en-US"/>
              </w:rPr>
            </w:pPr>
          </w:p>
          <w:p w:rsidR="00367D0C" w:rsidRPr="00003B04" w:rsidRDefault="00367D0C" w:rsidP="00367D0C">
            <w:pPr>
              <w:rPr>
                <w:sz w:val="20"/>
                <w:szCs w:val="20"/>
                <w:lang w:val="en-US"/>
              </w:rPr>
            </w:pPr>
            <w:r w:rsidRPr="00003B04">
              <w:rPr>
                <w:sz w:val="20"/>
                <w:szCs w:val="20"/>
                <w:lang w:val="en-US"/>
              </w:rPr>
              <w:tab/>
              <w:t>v. (37447)</w:t>
            </w:r>
          </w:p>
          <w:p w:rsidR="00367D0C" w:rsidRPr="00003B04" w:rsidRDefault="00367D0C" w:rsidP="00367D0C">
            <w:pPr>
              <w:rPr>
                <w:sz w:val="20"/>
                <w:szCs w:val="20"/>
                <w:lang w:val="en-US"/>
              </w:rPr>
            </w:pPr>
          </w:p>
          <w:p w:rsidR="00367D0C" w:rsidRPr="00003B04" w:rsidRDefault="00367D0C" w:rsidP="00367D0C">
            <w:pPr>
              <w:rPr>
                <w:b/>
                <w:sz w:val="20"/>
                <w:szCs w:val="20"/>
                <w:lang w:val="en-US"/>
              </w:rPr>
            </w:pPr>
            <w:r w:rsidRPr="00003B04">
              <w:rPr>
                <w:b/>
                <w:sz w:val="20"/>
                <w:szCs w:val="20"/>
                <w:lang w:val="en-US"/>
              </w:rPr>
              <w:t>Saskatchewan Health Care Association</w:t>
            </w:r>
            <w:r w:rsidR="000A588A" w:rsidRPr="00003B04">
              <w:rPr>
                <w:b/>
                <w:sz w:val="20"/>
                <w:szCs w:val="20"/>
                <w:lang w:val="en-US"/>
              </w:rPr>
              <w:t xml:space="preserve"> et al.</w:t>
            </w:r>
            <w:r w:rsidRPr="00003B04">
              <w:rPr>
                <w:b/>
                <w:sz w:val="20"/>
                <w:szCs w:val="20"/>
                <w:lang w:val="en-US"/>
              </w:rPr>
              <w:t xml:space="preserve"> (Sask.)</w:t>
            </w:r>
          </w:p>
          <w:p w:rsidR="00367D0C" w:rsidRPr="00003B04" w:rsidRDefault="00367D0C" w:rsidP="00367D0C">
            <w:pPr>
              <w:rPr>
                <w:sz w:val="20"/>
                <w:szCs w:val="20"/>
                <w:lang w:val="en-US"/>
              </w:rPr>
            </w:pPr>
            <w:r w:rsidRPr="00003B04">
              <w:rPr>
                <w:sz w:val="20"/>
                <w:szCs w:val="20"/>
                <w:lang w:val="en-US"/>
              </w:rPr>
              <w:tab/>
              <w:t>Leah Schatz, Q.C.</w:t>
            </w:r>
          </w:p>
          <w:p w:rsidR="00367D0C" w:rsidRPr="00003B04" w:rsidRDefault="00367D0C" w:rsidP="00367D0C">
            <w:pPr>
              <w:rPr>
                <w:sz w:val="20"/>
                <w:szCs w:val="20"/>
                <w:lang w:val="en-US"/>
              </w:rPr>
            </w:pPr>
            <w:r w:rsidRPr="00003B04">
              <w:rPr>
                <w:sz w:val="20"/>
                <w:szCs w:val="20"/>
                <w:lang w:val="en-US"/>
              </w:rPr>
              <w:tab/>
              <w:t xml:space="preserve">MacPherson Leslie &amp; </w:t>
            </w:r>
            <w:proofErr w:type="spellStart"/>
            <w:r w:rsidRPr="00003B04">
              <w:rPr>
                <w:sz w:val="20"/>
                <w:szCs w:val="20"/>
                <w:lang w:val="en-US"/>
              </w:rPr>
              <w:t>Tyerman</w:t>
            </w:r>
            <w:proofErr w:type="spellEnd"/>
            <w:r w:rsidRPr="00003B04">
              <w:rPr>
                <w:sz w:val="20"/>
                <w:szCs w:val="20"/>
                <w:lang w:val="en-US"/>
              </w:rPr>
              <w:t xml:space="preserve"> LLP</w:t>
            </w:r>
          </w:p>
          <w:p w:rsidR="00367D0C" w:rsidRPr="00003B04" w:rsidRDefault="00367D0C" w:rsidP="00367D0C">
            <w:pPr>
              <w:rPr>
                <w:sz w:val="20"/>
                <w:szCs w:val="20"/>
                <w:lang w:val="en-US"/>
              </w:rPr>
            </w:pPr>
          </w:p>
          <w:p w:rsidR="00367D0C" w:rsidRPr="00003B04" w:rsidRDefault="00367D0C" w:rsidP="00367D0C">
            <w:pPr>
              <w:rPr>
                <w:sz w:val="20"/>
                <w:szCs w:val="20"/>
                <w:lang w:val="en-US"/>
              </w:rPr>
            </w:pPr>
            <w:r w:rsidRPr="00003B04">
              <w:rPr>
                <w:sz w:val="20"/>
                <w:szCs w:val="20"/>
                <w:lang w:val="en-US"/>
              </w:rPr>
              <w:t xml:space="preserve">FILING DATE: </w:t>
            </w:r>
            <w:r w:rsidR="000A588A" w:rsidRPr="00003B04">
              <w:rPr>
                <w:sz w:val="20"/>
                <w:szCs w:val="20"/>
                <w:lang w:val="en-US"/>
              </w:rPr>
              <w:t>10.02.2017</w:t>
            </w:r>
          </w:p>
          <w:p w:rsidR="00E226CD" w:rsidRPr="00003B04" w:rsidRDefault="00604445" w:rsidP="005F1ED8">
            <w:pPr>
              <w:rPr>
                <w:sz w:val="20"/>
                <w:szCs w:val="20"/>
                <w:lang w:val="en-US"/>
              </w:rPr>
            </w:pPr>
            <w:r>
              <w:rPr>
                <w:sz w:val="20"/>
                <w:szCs w:val="20"/>
                <w:lang w:val="fr-CA"/>
              </w:rPr>
              <w:pict>
                <v:rect id="_x0000_i1043" style="width:108pt;height:1pt" o:hrpct="0" o:hralign="center" o:hrstd="t" o:hrnoshade="t" o:hr="t" fillcolor="black [3213]" stroked="f"/>
              </w:pict>
            </w:r>
          </w:p>
        </w:tc>
        <w:tc>
          <w:tcPr>
            <w:tcW w:w="1181" w:type="dxa"/>
            <w:shd w:val="clear" w:color="auto" w:fill="auto"/>
          </w:tcPr>
          <w:p w:rsidR="00046C30" w:rsidRPr="00003B04" w:rsidRDefault="00046C30" w:rsidP="00242AEE">
            <w:pPr>
              <w:jc w:val="center"/>
              <w:rPr>
                <w:sz w:val="20"/>
                <w:szCs w:val="20"/>
                <w:lang w:val="en-US"/>
              </w:rPr>
            </w:pPr>
          </w:p>
        </w:tc>
        <w:tc>
          <w:tcPr>
            <w:tcW w:w="4320" w:type="dxa"/>
            <w:shd w:val="clear" w:color="auto" w:fill="auto"/>
          </w:tcPr>
          <w:p w:rsidR="00046C30" w:rsidRPr="00003B04" w:rsidRDefault="00046C30" w:rsidP="00367D0C">
            <w:pPr>
              <w:rPr>
                <w:b/>
                <w:sz w:val="20"/>
                <w:szCs w:val="20"/>
                <w:lang w:val="en-US"/>
              </w:rPr>
            </w:pPr>
          </w:p>
        </w:tc>
      </w:tr>
    </w:tbl>
    <w:p w:rsidR="00C01FCB" w:rsidRPr="00003B04" w:rsidRDefault="00C01FCB" w:rsidP="0095096B">
      <w:pPr>
        <w:tabs>
          <w:tab w:val="right" w:pos="9360"/>
        </w:tabs>
        <w:rPr>
          <w:sz w:val="20"/>
          <w:szCs w:val="20"/>
          <w:lang w:val="en-US"/>
        </w:rPr>
      </w:pPr>
    </w:p>
    <w:p w:rsidR="00242AEE" w:rsidRPr="00003B04" w:rsidRDefault="00242AEE" w:rsidP="0095096B">
      <w:pPr>
        <w:tabs>
          <w:tab w:val="right" w:pos="9360"/>
        </w:tabs>
        <w:rPr>
          <w:sz w:val="20"/>
          <w:szCs w:val="20"/>
          <w:lang w:val="en-US"/>
        </w:rPr>
        <w:sectPr w:rsidR="00242AEE" w:rsidRPr="00003B04" w:rsidSect="00646F25">
          <w:headerReference w:type="default" r:id="rId17"/>
          <w:footerReference w:type="default" r:id="rId18"/>
          <w:headerReference w:type="first" r:id="rId19"/>
          <w:footerReference w:type="first" r:id="rId20"/>
          <w:pgSz w:w="12240" w:h="15840"/>
          <w:pgMar w:top="720" w:right="965" w:bottom="1080" w:left="1656" w:header="706" w:footer="706" w:gutter="0"/>
          <w:pgNumType w:start="30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C3697D" w:rsidTr="00BA6468">
        <w:trPr>
          <w:trHeight w:val="900"/>
        </w:trPr>
        <w:tc>
          <w:tcPr>
            <w:tcW w:w="4200" w:type="dxa"/>
            <w:tcMar>
              <w:left w:w="0" w:type="dxa"/>
              <w:right w:w="0" w:type="dxa"/>
            </w:tcMar>
          </w:tcPr>
          <w:p w:rsidR="002E2327" w:rsidRPr="00003B04" w:rsidRDefault="002E2327" w:rsidP="002E2327">
            <w:pPr>
              <w:keepNext/>
              <w:keepLines/>
              <w:widowControl w:val="0"/>
              <w:rPr>
                <w:b/>
                <w:szCs w:val="24"/>
              </w:rPr>
            </w:pPr>
            <w:r w:rsidRPr="00003B04">
              <w:rPr>
                <w:b/>
                <w:szCs w:val="24"/>
              </w:rPr>
              <w:lastRenderedPageBreak/>
              <w:t>APPLICATIONS FOR LEAVE SUBMITTED TO COURT SINCE LAST ISSUE</w:t>
            </w:r>
          </w:p>
        </w:tc>
        <w:tc>
          <w:tcPr>
            <w:tcW w:w="1200" w:type="dxa"/>
            <w:tcMar>
              <w:left w:w="0" w:type="dxa"/>
              <w:right w:w="0" w:type="dxa"/>
            </w:tcMar>
          </w:tcPr>
          <w:p w:rsidR="002E2327" w:rsidRPr="00003B04" w:rsidRDefault="002E2327" w:rsidP="002E2327">
            <w:pPr>
              <w:keepNext/>
              <w:keepLines/>
              <w:widowControl w:val="0"/>
              <w:jc w:val="center"/>
              <w:rPr>
                <w:b/>
                <w:szCs w:val="24"/>
              </w:rPr>
            </w:pPr>
          </w:p>
          <w:p w:rsidR="001D0D5F" w:rsidRPr="00003B04" w:rsidRDefault="001D0D5F" w:rsidP="002E2327">
            <w:pPr>
              <w:keepNext/>
              <w:keepLines/>
              <w:widowControl w:val="0"/>
              <w:jc w:val="center"/>
              <w:rPr>
                <w:b/>
                <w:szCs w:val="24"/>
              </w:rPr>
            </w:pPr>
          </w:p>
          <w:p w:rsidR="001D0D5F" w:rsidRPr="00003B04" w:rsidRDefault="001D0D5F" w:rsidP="002E2327">
            <w:pPr>
              <w:keepNext/>
              <w:keepLines/>
              <w:widowControl w:val="0"/>
              <w:jc w:val="center"/>
              <w:rPr>
                <w:b/>
                <w:szCs w:val="24"/>
              </w:rPr>
            </w:pPr>
          </w:p>
          <w:p w:rsidR="001D0D5F" w:rsidRPr="00003B04" w:rsidRDefault="001D0D5F" w:rsidP="002E2327">
            <w:pPr>
              <w:keepNext/>
              <w:keepLines/>
              <w:widowControl w:val="0"/>
              <w:jc w:val="center"/>
              <w:rPr>
                <w:b/>
                <w:szCs w:val="24"/>
              </w:rPr>
            </w:pPr>
          </w:p>
        </w:tc>
        <w:tc>
          <w:tcPr>
            <w:tcW w:w="4080" w:type="dxa"/>
            <w:tcMar>
              <w:left w:w="0" w:type="dxa"/>
              <w:right w:w="0" w:type="dxa"/>
            </w:tcMar>
          </w:tcPr>
          <w:p w:rsidR="002E2327" w:rsidRPr="00003B04" w:rsidRDefault="002E2327" w:rsidP="002E2327">
            <w:pPr>
              <w:keepLines/>
              <w:widowControl w:val="0"/>
              <w:rPr>
                <w:szCs w:val="24"/>
                <w:lang w:val="fr-CA"/>
              </w:rPr>
            </w:pPr>
            <w:r w:rsidRPr="00003B04">
              <w:rPr>
                <w:b/>
                <w:szCs w:val="24"/>
                <w:lang w:val="fr-CA"/>
              </w:rPr>
              <w:t>DEMANDES SOUMISES À LA COUR DEPUIS LA DERNIÈRE PARUTION</w:t>
            </w:r>
          </w:p>
          <w:p w:rsidR="002E2327" w:rsidRPr="00003B04"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003B04" w:rsidRDefault="002E2327" w:rsidP="002E2327">
      <w:pPr>
        <w:widowControl w:val="0"/>
        <w:rPr>
          <w:b/>
          <w:sz w:val="20"/>
          <w:szCs w:val="20"/>
          <w:lang w:val="fr-CA"/>
        </w:rPr>
      </w:pPr>
    </w:p>
    <w:p w:rsidR="00CB3520" w:rsidRPr="00003B04" w:rsidRDefault="00581D21" w:rsidP="00CB3520">
      <w:pPr>
        <w:widowControl w:val="0"/>
        <w:rPr>
          <w:b/>
          <w:sz w:val="20"/>
          <w:szCs w:val="20"/>
        </w:rPr>
      </w:pPr>
      <w:r w:rsidRPr="00003B04">
        <w:rPr>
          <w:b/>
          <w:sz w:val="20"/>
          <w:szCs w:val="20"/>
        </w:rPr>
        <w:t>FEBRUARY 20</w:t>
      </w:r>
      <w:r w:rsidR="00CB3520" w:rsidRPr="00003B04">
        <w:rPr>
          <w:b/>
          <w:sz w:val="20"/>
          <w:szCs w:val="20"/>
        </w:rPr>
        <w:t>, 201</w:t>
      </w:r>
      <w:r w:rsidR="00E8544A" w:rsidRPr="00003B04">
        <w:rPr>
          <w:b/>
          <w:sz w:val="20"/>
          <w:szCs w:val="20"/>
        </w:rPr>
        <w:t>7</w:t>
      </w:r>
      <w:r w:rsidR="00CB3520" w:rsidRPr="00003B04">
        <w:rPr>
          <w:b/>
          <w:sz w:val="20"/>
          <w:szCs w:val="20"/>
        </w:rPr>
        <w:t xml:space="preserve"> / LE </w:t>
      </w:r>
      <w:r w:rsidRPr="00003B04">
        <w:rPr>
          <w:b/>
          <w:sz w:val="20"/>
          <w:szCs w:val="20"/>
        </w:rPr>
        <w:t>20 FÉVRIER</w:t>
      </w:r>
      <w:r w:rsidR="00CB3520" w:rsidRPr="00003B04">
        <w:rPr>
          <w:b/>
          <w:sz w:val="20"/>
          <w:szCs w:val="20"/>
        </w:rPr>
        <w:t xml:space="preserve"> 201</w:t>
      </w:r>
      <w:r w:rsidR="00E8544A" w:rsidRPr="00003B04">
        <w:rPr>
          <w:b/>
          <w:sz w:val="20"/>
          <w:szCs w:val="20"/>
        </w:rPr>
        <w:t>7</w:t>
      </w:r>
    </w:p>
    <w:p w:rsidR="00C661B7" w:rsidRPr="00003B04" w:rsidRDefault="00C661B7" w:rsidP="00581D21">
      <w:pPr>
        <w:rPr>
          <w:b/>
          <w:bCs/>
          <w:sz w:val="20"/>
          <w:szCs w:val="20"/>
          <w:lang w:val="fr-CA"/>
        </w:rPr>
      </w:pPr>
    </w:p>
    <w:p w:rsidR="00581D21" w:rsidRPr="00003B04" w:rsidRDefault="00581D21" w:rsidP="00581D21">
      <w:pPr>
        <w:rPr>
          <w:b/>
          <w:bCs/>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581D21" w:rsidRPr="00C3697D" w:rsidTr="00581D21">
        <w:trPr>
          <w:cantSplit/>
        </w:trPr>
        <w:tc>
          <w:tcPr>
            <w:tcW w:w="508" w:type="dxa"/>
          </w:tcPr>
          <w:p w:rsidR="00581D21" w:rsidRPr="00003B04" w:rsidRDefault="00581D21" w:rsidP="00581D21">
            <w:pPr>
              <w:rPr>
                <w:sz w:val="20"/>
                <w:szCs w:val="20"/>
                <w:lang w:val="fr-CA"/>
              </w:rPr>
            </w:pPr>
          </w:p>
        </w:tc>
        <w:tc>
          <w:tcPr>
            <w:tcW w:w="810" w:type="dxa"/>
          </w:tcPr>
          <w:p w:rsidR="00581D21" w:rsidRPr="00003B04" w:rsidRDefault="00581D21" w:rsidP="00581D21">
            <w:pPr>
              <w:rPr>
                <w:sz w:val="20"/>
                <w:szCs w:val="20"/>
                <w:lang w:val="fr-CA"/>
              </w:rPr>
            </w:pPr>
          </w:p>
        </w:tc>
        <w:tc>
          <w:tcPr>
            <w:tcW w:w="8258" w:type="dxa"/>
            <w:gridSpan w:val="3"/>
          </w:tcPr>
          <w:p w:rsidR="00581D21" w:rsidRPr="00003B04" w:rsidRDefault="00581D21" w:rsidP="00581D21">
            <w:pPr>
              <w:jc w:val="center"/>
              <w:rPr>
                <w:b/>
                <w:bCs/>
                <w:sz w:val="20"/>
                <w:szCs w:val="20"/>
              </w:rPr>
            </w:pPr>
            <w:r w:rsidRPr="00003B04">
              <w:rPr>
                <w:b/>
                <w:bCs/>
                <w:sz w:val="20"/>
                <w:szCs w:val="20"/>
              </w:rPr>
              <w:t xml:space="preserve">CORAM:  Chief Justice </w:t>
            </w:r>
            <w:proofErr w:type="spellStart"/>
            <w:r w:rsidRPr="00003B04">
              <w:rPr>
                <w:b/>
                <w:bCs/>
                <w:sz w:val="20"/>
                <w:szCs w:val="20"/>
              </w:rPr>
              <w:t>McLachlin</w:t>
            </w:r>
            <w:proofErr w:type="spellEnd"/>
            <w:r w:rsidRPr="00003B04">
              <w:rPr>
                <w:b/>
                <w:bCs/>
                <w:sz w:val="20"/>
                <w:szCs w:val="20"/>
              </w:rPr>
              <w:t xml:space="preserve"> and Wagner and </w:t>
            </w:r>
            <w:proofErr w:type="spellStart"/>
            <w:r w:rsidRPr="00003B04">
              <w:rPr>
                <w:b/>
                <w:bCs/>
                <w:sz w:val="20"/>
                <w:szCs w:val="20"/>
              </w:rPr>
              <w:t>Gascon</w:t>
            </w:r>
            <w:proofErr w:type="spellEnd"/>
            <w:r w:rsidRPr="00003B04">
              <w:rPr>
                <w:b/>
                <w:bCs/>
                <w:sz w:val="20"/>
                <w:szCs w:val="20"/>
              </w:rPr>
              <w:t xml:space="preserve"> JJ.</w:t>
            </w:r>
          </w:p>
          <w:p w:rsidR="00581D21" w:rsidRPr="00003B04" w:rsidRDefault="00581D21" w:rsidP="00581D21">
            <w:pPr>
              <w:jc w:val="center"/>
              <w:rPr>
                <w:sz w:val="20"/>
                <w:szCs w:val="20"/>
                <w:lang w:val="fr-CA"/>
              </w:rPr>
            </w:pPr>
            <w:r w:rsidRPr="00003B04">
              <w:rPr>
                <w:b/>
                <w:bCs/>
                <w:sz w:val="20"/>
                <w:szCs w:val="20"/>
                <w:lang w:val="fr-CA"/>
              </w:rPr>
              <w:t xml:space="preserve">La juge en chef </w:t>
            </w:r>
            <w:proofErr w:type="spellStart"/>
            <w:r w:rsidRPr="00003B04">
              <w:rPr>
                <w:b/>
                <w:bCs/>
                <w:sz w:val="20"/>
                <w:szCs w:val="20"/>
                <w:lang w:val="fr-CA"/>
              </w:rPr>
              <w:t>McLachlin</w:t>
            </w:r>
            <w:proofErr w:type="spellEnd"/>
            <w:r w:rsidRPr="00003B04">
              <w:rPr>
                <w:b/>
                <w:bCs/>
                <w:sz w:val="20"/>
                <w:szCs w:val="20"/>
                <w:lang w:val="fr-CA"/>
              </w:rPr>
              <w:t xml:space="preserve"> et les juges Wagner et Gascon</w:t>
            </w:r>
          </w:p>
          <w:p w:rsidR="00581D21" w:rsidRPr="00003B04" w:rsidRDefault="00581D21" w:rsidP="00581D21">
            <w:pPr>
              <w:rPr>
                <w:sz w:val="20"/>
                <w:szCs w:val="20"/>
                <w:lang w:val="fr-CA"/>
              </w:rPr>
            </w:pPr>
          </w:p>
        </w:tc>
      </w:tr>
      <w:tr w:rsidR="00581D21" w:rsidRPr="00003B04" w:rsidTr="00581D21">
        <w:trPr>
          <w:cantSplit/>
        </w:trPr>
        <w:tc>
          <w:tcPr>
            <w:tcW w:w="508" w:type="dxa"/>
          </w:tcPr>
          <w:p w:rsidR="00581D21" w:rsidRPr="00003B04" w:rsidRDefault="00581D21" w:rsidP="00581D21">
            <w:pPr>
              <w:rPr>
                <w:sz w:val="20"/>
                <w:szCs w:val="20"/>
              </w:rPr>
            </w:pPr>
            <w:r w:rsidRPr="00003B04">
              <w:rPr>
                <w:sz w:val="20"/>
                <w:szCs w:val="20"/>
              </w:rPr>
              <w:t>1.</w:t>
            </w:r>
          </w:p>
        </w:tc>
        <w:tc>
          <w:tcPr>
            <w:tcW w:w="810" w:type="dxa"/>
          </w:tcPr>
          <w:p w:rsidR="00581D21" w:rsidRPr="00003B04" w:rsidRDefault="00581D21" w:rsidP="00581D21">
            <w:pPr>
              <w:rPr>
                <w:sz w:val="20"/>
                <w:szCs w:val="20"/>
              </w:rPr>
            </w:pPr>
            <w:r w:rsidRPr="00003B04">
              <w:rPr>
                <w:sz w:val="20"/>
                <w:szCs w:val="20"/>
              </w:rPr>
              <w:t>37315</w:t>
            </w:r>
          </w:p>
        </w:tc>
        <w:tc>
          <w:tcPr>
            <w:tcW w:w="4050" w:type="dxa"/>
          </w:tcPr>
          <w:p w:rsidR="00581D21" w:rsidRPr="00003B04" w:rsidRDefault="00581D21" w:rsidP="00581D21">
            <w:pPr>
              <w:pStyle w:val="SCCAppellantInfoAppellantInfo"/>
              <w:rPr>
                <w:sz w:val="20"/>
                <w:szCs w:val="20"/>
              </w:rPr>
            </w:pPr>
            <w:r w:rsidRPr="00003B04">
              <w:rPr>
                <w:sz w:val="20"/>
                <w:szCs w:val="20"/>
              </w:rPr>
              <w:t>Cameron Tyler Lewis McKay</w:t>
            </w:r>
          </w:p>
          <w:p w:rsidR="00581D21" w:rsidRPr="00003B04" w:rsidRDefault="00581D21" w:rsidP="00581D21">
            <w:pPr>
              <w:pStyle w:val="SCCAppellantInfoAppellantInfo"/>
              <w:rPr>
                <w:sz w:val="20"/>
                <w:szCs w:val="20"/>
              </w:rPr>
            </w:pPr>
            <w:r w:rsidRPr="00003B04">
              <w:rPr>
                <w:sz w:val="20"/>
                <w:szCs w:val="20"/>
              </w:rPr>
              <w:t>(B.C.) (Criminal) (By Leave)</w:t>
            </w:r>
          </w:p>
        </w:tc>
        <w:tc>
          <w:tcPr>
            <w:tcW w:w="360" w:type="dxa"/>
          </w:tcPr>
          <w:p w:rsidR="00581D21" w:rsidRPr="00003B04" w:rsidRDefault="00581D21" w:rsidP="00581D21">
            <w:pPr>
              <w:rPr>
                <w:sz w:val="20"/>
                <w:szCs w:val="20"/>
              </w:rPr>
            </w:pPr>
            <w:r w:rsidRPr="00003B04">
              <w:rPr>
                <w:sz w:val="20"/>
                <w:szCs w:val="20"/>
              </w:rPr>
              <w:t>v.</w:t>
            </w:r>
          </w:p>
        </w:tc>
        <w:tc>
          <w:tcPr>
            <w:tcW w:w="3848" w:type="dxa"/>
          </w:tcPr>
          <w:p w:rsidR="00581D21" w:rsidRPr="00003B04" w:rsidRDefault="00581D21" w:rsidP="00581D21">
            <w:pPr>
              <w:pStyle w:val="SCCAppellantInfoAppellantInfo"/>
              <w:rPr>
                <w:sz w:val="20"/>
                <w:szCs w:val="20"/>
              </w:rPr>
            </w:pPr>
            <w:r w:rsidRPr="00003B04">
              <w:rPr>
                <w:sz w:val="20"/>
                <w:szCs w:val="20"/>
              </w:rPr>
              <w:t>Her Majesty the Queen</w:t>
            </w:r>
          </w:p>
        </w:tc>
      </w:tr>
      <w:tr w:rsidR="00581D21" w:rsidRPr="00C3697D" w:rsidTr="00581D21">
        <w:trPr>
          <w:cantSplit/>
        </w:trPr>
        <w:tc>
          <w:tcPr>
            <w:tcW w:w="508" w:type="dxa"/>
          </w:tcPr>
          <w:p w:rsidR="00581D21" w:rsidRPr="00003B04" w:rsidRDefault="00581D21" w:rsidP="00581D21">
            <w:pPr>
              <w:rPr>
                <w:sz w:val="20"/>
                <w:szCs w:val="20"/>
              </w:rPr>
            </w:pPr>
            <w:r w:rsidRPr="00003B04">
              <w:rPr>
                <w:sz w:val="20"/>
                <w:szCs w:val="20"/>
              </w:rPr>
              <w:t>2.</w:t>
            </w:r>
          </w:p>
        </w:tc>
        <w:tc>
          <w:tcPr>
            <w:tcW w:w="810" w:type="dxa"/>
          </w:tcPr>
          <w:p w:rsidR="00581D21" w:rsidRPr="00003B04" w:rsidRDefault="00581D21" w:rsidP="00581D21">
            <w:pPr>
              <w:rPr>
                <w:sz w:val="20"/>
                <w:szCs w:val="20"/>
              </w:rPr>
            </w:pPr>
            <w:r w:rsidRPr="00003B04">
              <w:rPr>
                <w:sz w:val="20"/>
                <w:szCs w:val="20"/>
              </w:rPr>
              <w:t>37344</w:t>
            </w:r>
          </w:p>
        </w:tc>
        <w:tc>
          <w:tcPr>
            <w:tcW w:w="4050" w:type="dxa"/>
          </w:tcPr>
          <w:p w:rsidR="00581D21" w:rsidRPr="00003B04" w:rsidRDefault="00581D21" w:rsidP="00581D21">
            <w:pPr>
              <w:pStyle w:val="SCCAppellantInfoAppellantInfo"/>
              <w:rPr>
                <w:sz w:val="20"/>
                <w:szCs w:val="20"/>
                <w:lang w:val="fr-CA"/>
              </w:rPr>
            </w:pPr>
            <w:r w:rsidRPr="00003B04">
              <w:rPr>
                <w:sz w:val="20"/>
                <w:szCs w:val="20"/>
                <w:lang w:val="fr-CA"/>
              </w:rPr>
              <w:t>Lyse Cinq-Mars, et al.</w:t>
            </w:r>
          </w:p>
          <w:p w:rsidR="00581D21" w:rsidRPr="00003B04" w:rsidRDefault="00581D21" w:rsidP="00581D21">
            <w:pPr>
              <w:pStyle w:val="SCCAppellantInfoAppellantInfo"/>
              <w:rPr>
                <w:sz w:val="20"/>
                <w:szCs w:val="20"/>
              </w:rPr>
            </w:pPr>
            <w:r w:rsidRPr="00003B04">
              <w:rPr>
                <w:sz w:val="20"/>
                <w:szCs w:val="20"/>
              </w:rPr>
              <w:t>(Qc) (</w:t>
            </w:r>
            <w:proofErr w:type="spellStart"/>
            <w:r w:rsidRPr="00003B04">
              <w:rPr>
                <w:sz w:val="20"/>
                <w:szCs w:val="20"/>
              </w:rPr>
              <w:t>Civile</w:t>
            </w:r>
            <w:proofErr w:type="spellEnd"/>
            <w:r w:rsidRPr="00003B04">
              <w:rPr>
                <w:sz w:val="20"/>
                <w:szCs w:val="20"/>
              </w:rPr>
              <w:t>) (</w:t>
            </w:r>
            <w:proofErr w:type="spellStart"/>
            <w:r w:rsidRPr="00003B04">
              <w:rPr>
                <w:sz w:val="20"/>
                <w:szCs w:val="20"/>
              </w:rPr>
              <w:t>Autorisation</w:t>
            </w:r>
            <w:proofErr w:type="spellEnd"/>
            <w:r w:rsidRPr="00003B04">
              <w:rPr>
                <w:sz w:val="20"/>
                <w:szCs w:val="20"/>
              </w:rPr>
              <w:t>)</w:t>
            </w:r>
          </w:p>
        </w:tc>
        <w:tc>
          <w:tcPr>
            <w:tcW w:w="360" w:type="dxa"/>
          </w:tcPr>
          <w:p w:rsidR="00581D21" w:rsidRPr="00003B04" w:rsidRDefault="00581D21" w:rsidP="00581D21">
            <w:pPr>
              <w:rPr>
                <w:sz w:val="20"/>
                <w:szCs w:val="20"/>
              </w:rPr>
            </w:pPr>
            <w:r w:rsidRPr="00003B04">
              <w:rPr>
                <w:sz w:val="20"/>
                <w:szCs w:val="20"/>
              </w:rPr>
              <w:t>c.</w:t>
            </w:r>
          </w:p>
        </w:tc>
        <w:tc>
          <w:tcPr>
            <w:tcW w:w="3848" w:type="dxa"/>
          </w:tcPr>
          <w:p w:rsidR="00581D21" w:rsidRPr="00003B04" w:rsidRDefault="00581D21" w:rsidP="00581D21">
            <w:pPr>
              <w:pStyle w:val="SCCAppellantInfoAppellantInfo"/>
              <w:rPr>
                <w:sz w:val="20"/>
                <w:szCs w:val="20"/>
                <w:lang w:val="fr-CA"/>
              </w:rPr>
            </w:pPr>
            <w:r w:rsidRPr="00003B04">
              <w:rPr>
                <w:sz w:val="20"/>
                <w:szCs w:val="20"/>
                <w:lang w:val="fr-CA"/>
              </w:rPr>
              <w:t>Ville de Montréal, et al.</w:t>
            </w:r>
          </w:p>
        </w:tc>
      </w:tr>
      <w:tr w:rsidR="00581D21" w:rsidRPr="00003B04" w:rsidTr="00581D21">
        <w:trPr>
          <w:cantSplit/>
        </w:trPr>
        <w:tc>
          <w:tcPr>
            <w:tcW w:w="508" w:type="dxa"/>
          </w:tcPr>
          <w:p w:rsidR="00581D21" w:rsidRPr="00003B04" w:rsidRDefault="00581D21" w:rsidP="00581D21">
            <w:pPr>
              <w:rPr>
                <w:sz w:val="20"/>
                <w:szCs w:val="20"/>
              </w:rPr>
            </w:pPr>
            <w:r w:rsidRPr="00003B04">
              <w:rPr>
                <w:sz w:val="20"/>
                <w:szCs w:val="20"/>
              </w:rPr>
              <w:t>3.</w:t>
            </w:r>
          </w:p>
        </w:tc>
        <w:tc>
          <w:tcPr>
            <w:tcW w:w="810" w:type="dxa"/>
          </w:tcPr>
          <w:p w:rsidR="00581D21" w:rsidRPr="00003B04" w:rsidRDefault="00581D21" w:rsidP="00581D21">
            <w:pPr>
              <w:rPr>
                <w:sz w:val="20"/>
                <w:szCs w:val="20"/>
              </w:rPr>
            </w:pPr>
            <w:r w:rsidRPr="00003B04">
              <w:rPr>
                <w:sz w:val="20"/>
                <w:szCs w:val="20"/>
              </w:rPr>
              <w:t>37362</w:t>
            </w:r>
          </w:p>
        </w:tc>
        <w:tc>
          <w:tcPr>
            <w:tcW w:w="4050" w:type="dxa"/>
          </w:tcPr>
          <w:p w:rsidR="00581D21" w:rsidRPr="00003B04" w:rsidRDefault="00581D21" w:rsidP="00581D21">
            <w:pPr>
              <w:pStyle w:val="SCCAppellantInfoAppellantInfo"/>
              <w:rPr>
                <w:sz w:val="20"/>
                <w:szCs w:val="20"/>
                <w:lang w:val="fr-CA"/>
              </w:rPr>
            </w:pPr>
            <w:r w:rsidRPr="00003B04">
              <w:rPr>
                <w:sz w:val="20"/>
                <w:szCs w:val="20"/>
                <w:lang w:val="fr-CA"/>
              </w:rPr>
              <w:t>Fer &amp; Métaux Américains S.E.C</w:t>
            </w:r>
          </w:p>
          <w:p w:rsidR="00581D21" w:rsidRPr="00003B04" w:rsidRDefault="00581D21" w:rsidP="00581D21">
            <w:pPr>
              <w:pStyle w:val="SCCAppellantInfoAppellantInfo"/>
              <w:rPr>
                <w:sz w:val="20"/>
                <w:szCs w:val="20"/>
              </w:rPr>
            </w:pPr>
            <w:r w:rsidRPr="00003B04">
              <w:rPr>
                <w:sz w:val="20"/>
                <w:szCs w:val="20"/>
              </w:rPr>
              <w:t>(Qc) (</w:t>
            </w:r>
            <w:proofErr w:type="spellStart"/>
            <w:r w:rsidRPr="00003B04">
              <w:rPr>
                <w:sz w:val="20"/>
                <w:szCs w:val="20"/>
              </w:rPr>
              <w:t>Civile</w:t>
            </w:r>
            <w:proofErr w:type="spellEnd"/>
            <w:r w:rsidRPr="00003B04">
              <w:rPr>
                <w:sz w:val="20"/>
                <w:szCs w:val="20"/>
              </w:rPr>
              <w:t>) (</w:t>
            </w:r>
            <w:proofErr w:type="spellStart"/>
            <w:r w:rsidRPr="00003B04">
              <w:rPr>
                <w:sz w:val="20"/>
                <w:szCs w:val="20"/>
              </w:rPr>
              <w:t>Autorisation</w:t>
            </w:r>
            <w:proofErr w:type="spellEnd"/>
            <w:r w:rsidRPr="00003B04">
              <w:rPr>
                <w:sz w:val="20"/>
                <w:szCs w:val="20"/>
              </w:rPr>
              <w:t>)</w:t>
            </w:r>
          </w:p>
          <w:p w:rsidR="00581D21" w:rsidRPr="00003B04" w:rsidRDefault="00581D21" w:rsidP="00581D21"/>
        </w:tc>
        <w:tc>
          <w:tcPr>
            <w:tcW w:w="360" w:type="dxa"/>
          </w:tcPr>
          <w:p w:rsidR="00581D21" w:rsidRPr="00003B04" w:rsidRDefault="00581D21" w:rsidP="00581D21">
            <w:pPr>
              <w:rPr>
                <w:sz w:val="20"/>
                <w:szCs w:val="20"/>
              </w:rPr>
            </w:pPr>
            <w:r w:rsidRPr="00003B04">
              <w:rPr>
                <w:sz w:val="20"/>
                <w:szCs w:val="20"/>
              </w:rPr>
              <w:t>c.</w:t>
            </w:r>
          </w:p>
        </w:tc>
        <w:tc>
          <w:tcPr>
            <w:tcW w:w="3848" w:type="dxa"/>
          </w:tcPr>
          <w:p w:rsidR="00581D21" w:rsidRPr="00003B04" w:rsidRDefault="00581D21" w:rsidP="00581D21">
            <w:pPr>
              <w:pStyle w:val="SCCAppellantInfoAppellantInfo"/>
              <w:rPr>
                <w:sz w:val="20"/>
                <w:szCs w:val="20"/>
              </w:rPr>
            </w:pPr>
            <w:proofErr w:type="spellStart"/>
            <w:r w:rsidRPr="00003B04">
              <w:rPr>
                <w:sz w:val="20"/>
                <w:szCs w:val="20"/>
              </w:rPr>
              <w:t>Société</w:t>
            </w:r>
            <w:proofErr w:type="spellEnd"/>
            <w:r w:rsidRPr="00003B04">
              <w:rPr>
                <w:sz w:val="20"/>
                <w:szCs w:val="20"/>
              </w:rPr>
              <w:t xml:space="preserve"> Electrolux Canada</w:t>
            </w:r>
          </w:p>
        </w:tc>
      </w:tr>
      <w:tr w:rsidR="00581D21" w:rsidRPr="00C3697D" w:rsidTr="00581D21">
        <w:trPr>
          <w:cantSplit/>
        </w:trPr>
        <w:tc>
          <w:tcPr>
            <w:tcW w:w="508" w:type="dxa"/>
          </w:tcPr>
          <w:p w:rsidR="00581D21" w:rsidRPr="00003B04" w:rsidRDefault="00581D21" w:rsidP="00581D21">
            <w:pPr>
              <w:rPr>
                <w:sz w:val="20"/>
                <w:szCs w:val="20"/>
              </w:rPr>
            </w:pPr>
          </w:p>
        </w:tc>
        <w:tc>
          <w:tcPr>
            <w:tcW w:w="810" w:type="dxa"/>
          </w:tcPr>
          <w:p w:rsidR="00581D21" w:rsidRPr="00003B04" w:rsidRDefault="00581D21" w:rsidP="00581D21">
            <w:pPr>
              <w:rPr>
                <w:sz w:val="20"/>
                <w:szCs w:val="20"/>
              </w:rPr>
            </w:pPr>
          </w:p>
        </w:tc>
        <w:tc>
          <w:tcPr>
            <w:tcW w:w="8258" w:type="dxa"/>
            <w:gridSpan w:val="3"/>
          </w:tcPr>
          <w:p w:rsidR="00581D21" w:rsidRPr="00003B04" w:rsidRDefault="00581D21" w:rsidP="00581D21">
            <w:pPr>
              <w:jc w:val="center"/>
              <w:rPr>
                <w:b/>
                <w:bCs/>
                <w:sz w:val="20"/>
                <w:szCs w:val="20"/>
                <w:lang w:val="en-US"/>
              </w:rPr>
            </w:pPr>
            <w:r w:rsidRPr="00003B04">
              <w:rPr>
                <w:b/>
                <w:bCs/>
                <w:sz w:val="20"/>
                <w:szCs w:val="20"/>
              </w:rPr>
              <w:t xml:space="preserve">CORAM: </w:t>
            </w:r>
            <w:proofErr w:type="spellStart"/>
            <w:r w:rsidRPr="00003B04">
              <w:rPr>
                <w:b/>
                <w:bCs/>
                <w:sz w:val="20"/>
                <w:szCs w:val="20"/>
              </w:rPr>
              <w:t>Abella</w:t>
            </w:r>
            <w:proofErr w:type="spellEnd"/>
            <w:r w:rsidRPr="00003B04">
              <w:rPr>
                <w:b/>
                <w:bCs/>
                <w:sz w:val="20"/>
                <w:szCs w:val="20"/>
              </w:rPr>
              <w:t xml:space="preserve">, </w:t>
            </w:r>
            <w:proofErr w:type="spellStart"/>
            <w:r w:rsidRPr="00003B04">
              <w:rPr>
                <w:b/>
                <w:bCs/>
                <w:sz w:val="20"/>
                <w:szCs w:val="20"/>
              </w:rPr>
              <w:t>Karakatsanis</w:t>
            </w:r>
            <w:proofErr w:type="spellEnd"/>
            <w:r w:rsidRPr="00003B04">
              <w:rPr>
                <w:b/>
                <w:bCs/>
                <w:sz w:val="20"/>
                <w:szCs w:val="20"/>
              </w:rPr>
              <w:t xml:space="preserve"> and Brown JJ.</w:t>
            </w:r>
          </w:p>
          <w:p w:rsidR="00581D21" w:rsidRPr="00003B04" w:rsidRDefault="00581D21" w:rsidP="00581D21">
            <w:pPr>
              <w:jc w:val="center"/>
              <w:rPr>
                <w:b/>
                <w:bCs/>
                <w:sz w:val="20"/>
                <w:szCs w:val="20"/>
                <w:lang w:val="fr-CA"/>
              </w:rPr>
            </w:pPr>
            <w:r w:rsidRPr="00003B04">
              <w:rPr>
                <w:b/>
                <w:bCs/>
                <w:sz w:val="20"/>
                <w:szCs w:val="20"/>
                <w:lang w:val="fr-CA"/>
              </w:rPr>
              <w:t xml:space="preserve">Les juges Abella, </w:t>
            </w:r>
            <w:proofErr w:type="spellStart"/>
            <w:r w:rsidRPr="00003B04">
              <w:rPr>
                <w:b/>
                <w:bCs/>
                <w:sz w:val="20"/>
                <w:szCs w:val="20"/>
                <w:lang w:val="fr-CA"/>
              </w:rPr>
              <w:t>Karakatsanis</w:t>
            </w:r>
            <w:proofErr w:type="spellEnd"/>
            <w:r w:rsidRPr="00003B04">
              <w:rPr>
                <w:b/>
                <w:bCs/>
                <w:sz w:val="20"/>
                <w:szCs w:val="20"/>
                <w:lang w:val="fr-CA"/>
              </w:rPr>
              <w:t xml:space="preserve"> et Brown</w:t>
            </w:r>
          </w:p>
          <w:p w:rsidR="00581D21" w:rsidRPr="00003B04" w:rsidRDefault="00581D21" w:rsidP="00581D21">
            <w:pPr>
              <w:rPr>
                <w:sz w:val="20"/>
                <w:szCs w:val="20"/>
                <w:lang w:val="fr-CA"/>
              </w:rPr>
            </w:pPr>
          </w:p>
        </w:tc>
      </w:tr>
      <w:tr w:rsidR="00581D21" w:rsidRPr="00003B04" w:rsidTr="00581D21">
        <w:trPr>
          <w:cantSplit/>
        </w:trPr>
        <w:tc>
          <w:tcPr>
            <w:tcW w:w="508" w:type="dxa"/>
          </w:tcPr>
          <w:p w:rsidR="00581D21" w:rsidRPr="00003B04" w:rsidRDefault="00581D21" w:rsidP="00581D21">
            <w:pPr>
              <w:rPr>
                <w:sz w:val="20"/>
                <w:szCs w:val="20"/>
              </w:rPr>
            </w:pPr>
            <w:r w:rsidRPr="00003B04">
              <w:rPr>
                <w:sz w:val="20"/>
                <w:szCs w:val="20"/>
              </w:rPr>
              <w:t>4.</w:t>
            </w:r>
          </w:p>
        </w:tc>
        <w:tc>
          <w:tcPr>
            <w:tcW w:w="810" w:type="dxa"/>
          </w:tcPr>
          <w:p w:rsidR="00581D21" w:rsidRPr="00003B04" w:rsidRDefault="00581D21" w:rsidP="00581D21">
            <w:pPr>
              <w:rPr>
                <w:sz w:val="20"/>
                <w:szCs w:val="20"/>
              </w:rPr>
            </w:pPr>
            <w:r w:rsidRPr="00003B04">
              <w:rPr>
                <w:sz w:val="20"/>
                <w:szCs w:val="20"/>
              </w:rPr>
              <w:t>37297</w:t>
            </w:r>
          </w:p>
        </w:tc>
        <w:tc>
          <w:tcPr>
            <w:tcW w:w="4050" w:type="dxa"/>
          </w:tcPr>
          <w:p w:rsidR="00581D21" w:rsidRPr="00003B04" w:rsidRDefault="00581D21" w:rsidP="00581D21">
            <w:pPr>
              <w:pStyle w:val="SCCAppellantInfoAppellantInfo"/>
              <w:rPr>
                <w:sz w:val="20"/>
                <w:szCs w:val="20"/>
              </w:rPr>
            </w:pPr>
            <w:r w:rsidRPr="00003B04">
              <w:rPr>
                <w:sz w:val="20"/>
                <w:szCs w:val="20"/>
              </w:rPr>
              <w:t>R.G.</w:t>
            </w:r>
          </w:p>
          <w:p w:rsidR="00581D21" w:rsidRPr="00003B04" w:rsidRDefault="00581D21" w:rsidP="00581D21">
            <w:pPr>
              <w:pStyle w:val="SCCAppellantInfoAppellantInfo"/>
              <w:rPr>
                <w:sz w:val="20"/>
                <w:szCs w:val="20"/>
              </w:rPr>
            </w:pPr>
            <w:r w:rsidRPr="00003B04">
              <w:rPr>
                <w:sz w:val="20"/>
                <w:szCs w:val="20"/>
              </w:rPr>
              <w:t>(Ont.) (Criminal) (By Leave)</w:t>
            </w:r>
          </w:p>
        </w:tc>
        <w:tc>
          <w:tcPr>
            <w:tcW w:w="360" w:type="dxa"/>
          </w:tcPr>
          <w:p w:rsidR="00581D21" w:rsidRPr="00003B04" w:rsidRDefault="00581D21" w:rsidP="00581D21">
            <w:pPr>
              <w:rPr>
                <w:sz w:val="20"/>
                <w:szCs w:val="20"/>
              </w:rPr>
            </w:pPr>
            <w:r w:rsidRPr="00003B04">
              <w:rPr>
                <w:sz w:val="20"/>
                <w:szCs w:val="20"/>
              </w:rPr>
              <w:t>v.</w:t>
            </w:r>
          </w:p>
        </w:tc>
        <w:tc>
          <w:tcPr>
            <w:tcW w:w="3848" w:type="dxa"/>
          </w:tcPr>
          <w:p w:rsidR="00581D21" w:rsidRPr="00003B04" w:rsidRDefault="00581D21" w:rsidP="00581D21">
            <w:pPr>
              <w:pStyle w:val="SCCAppellantInfoAppellantInfo"/>
              <w:rPr>
                <w:sz w:val="20"/>
                <w:szCs w:val="20"/>
              </w:rPr>
            </w:pPr>
            <w:r w:rsidRPr="00003B04">
              <w:rPr>
                <w:sz w:val="20"/>
                <w:szCs w:val="20"/>
              </w:rPr>
              <w:t>Her Majesty the Queen</w:t>
            </w:r>
          </w:p>
        </w:tc>
      </w:tr>
      <w:tr w:rsidR="00581D21" w:rsidRPr="00C3697D" w:rsidTr="00581D21">
        <w:trPr>
          <w:cantSplit/>
        </w:trPr>
        <w:tc>
          <w:tcPr>
            <w:tcW w:w="508" w:type="dxa"/>
          </w:tcPr>
          <w:p w:rsidR="00581D21" w:rsidRPr="00003B04" w:rsidRDefault="00581D21" w:rsidP="00581D21">
            <w:pPr>
              <w:rPr>
                <w:sz w:val="20"/>
                <w:szCs w:val="20"/>
              </w:rPr>
            </w:pPr>
            <w:r w:rsidRPr="00003B04">
              <w:rPr>
                <w:sz w:val="20"/>
                <w:szCs w:val="20"/>
              </w:rPr>
              <w:t>5.</w:t>
            </w:r>
          </w:p>
        </w:tc>
        <w:tc>
          <w:tcPr>
            <w:tcW w:w="810" w:type="dxa"/>
          </w:tcPr>
          <w:p w:rsidR="00581D21" w:rsidRPr="00003B04" w:rsidRDefault="00581D21" w:rsidP="00581D21">
            <w:pPr>
              <w:rPr>
                <w:sz w:val="20"/>
                <w:szCs w:val="20"/>
              </w:rPr>
            </w:pPr>
            <w:r w:rsidRPr="00003B04">
              <w:rPr>
                <w:sz w:val="20"/>
                <w:szCs w:val="20"/>
              </w:rPr>
              <w:t>37408</w:t>
            </w:r>
          </w:p>
        </w:tc>
        <w:tc>
          <w:tcPr>
            <w:tcW w:w="4050" w:type="dxa"/>
          </w:tcPr>
          <w:p w:rsidR="00581D21" w:rsidRPr="00003B04" w:rsidRDefault="00581D21" w:rsidP="00581D21">
            <w:pPr>
              <w:pStyle w:val="SCCAppellantInfoAppellantInfo"/>
              <w:rPr>
                <w:sz w:val="20"/>
                <w:szCs w:val="20"/>
                <w:lang w:val="fr-CA"/>
              </w:rPr>
            </w:pPr>
            <w:r w:rsidRPr="00003B04">
              <w:rPr>
                <w:sz w:val="20"/>
                <w:szCs w:val="20"/>
                <w:lang w:val="fr-CA"/>
              </w:rPr>
              <w:t>Gilbert Joseph Raoul Royer, et al.</w:t>
            </w:r>
          </w:p>
          <w:p w:rsidR="00581D21" w:rsidRPr="00003B04" w:rsidRDefault="00581D21" w:rsidP="00581D21">
            <w:pPr>
              <w:pStyle w:val="SCCAppellantInfoAppellantInfo"/>
              <w:rPr>
                <w:sz w:val="20"/>
                <w:szCs w:val="20"/>
              </w:rPr>
            </w:pPr>
            <w:r w:rsidRPr="00003B04">
              <w:rPr>
                <w:sz w:val="20"/>
                <w:szCs w:val="20"/>
              </w:rPr>
              <w:t>(Qc) (</w:t>
            </w:r>
            <w:proofErr w:type="spellStart"/>
            <w:r w:rsidRPr="00003B04">
              <w:rPr>
                <w:sz w:val="20"/>
                <w:szCs w:val="20"/>
              </w:rPr>
              <w:t>Civile</w:t>
            </w:r>
            <w:proofErr w:type="spellEnd"/>
            <w:r w:rsidRPr="00003B04">
              <w:rPr>
                <w:sz w:val="20"/>
                <w:szCs w:val="20"/>
              </w:rPr>
              <w:t>) (</w:t>
            </w:r>
            <w:proofErr w:type="spellStart"/>
            <w:r w:rsidRPr="00003B04">
              <w:rPr>
                <w:sz w:val="20"/>
                <w:szCs w:val="20"/>
              </w:rPr>
              <w:t>Autorisation</w:t>
            </w:r>
            <w:proofErr w:type="spellEnd"/>
            <w:r w:rsidRPr="00003B04">
              <w:rPr>
                <w:sz w:val="20"/>
                <w:szCs w:val="20"/>
              </w:rPr>
              <w:t>)</w:t>
            </w:r>
          </w:p>
        </w:tc>
        <w:tc>
          <w:tcPr>
            <w:tcW w:w="360" w:type="dxa"/>
          </w:tcPr>
          <w:p w:rsidR="00581D21" w:rsidRPr="00003B04" w:rsidRDefault="00581D21" w:rsidP="00581D21">
            <w:pPr>
              <w:rPr>
                <w:sz w:val="20"/>
                <w:szCs w:val="20"/>
              </w:rPr>
            </w:pPr>
            <w:r w:rsidRPr="00003B04">
              <w:rPr>
                <w:sz w:val="20"/>
                <w:szCs w:val="20"/>
              </w:rPr>
              <w:t>c.</w:t>
            </w:r>
          </w:p>
        </w:tc>
        <w:tc>
          <w:tcPr>
            <w:tcW w:w="3848" w:type="dxa"/>
          </w:tcPr>
          <w:p w:rsidR="00581D21" w:rsidRPr="00003B04" w:rsidRDefault="00581D21" w:rsidP="00581D21">
            <w:pPr>
              <w:pStyle w:val="SCCAppellantInfoAppellantInfo"/>
              <w:rPr>
                <w:sz w:val="20"/>
                <w:szCs w:val="20"/>
                <w:lang w:val="fr-CA"/>
              </w:rPr>
            </w:pPr>
            <w:r w:rsidRPr="00003B04">
              <w:rPr>
                <w:sz w:val="20"/>
                <w:szCs w:val="20"/>
                <w:lang w:val="fr-CA"/>
              </w:rPr>
              <w:t>Procureure générale du Québec, et al.</w:t>
            </w:r>
          </w:p>
        </w:tc>
      </w:tr>
      <w:tr w:rsidR="00581D21" w:rsidRPr="00003B04" w:rsidTr="00581D21">
        <w:trPr>
          <w:cantSplit/>
        </w:trPr>
        <w:tc>
          <w:tcPr>
            <w:tcW w:w="508" w:type="dxa"/>
          </w:tcPr>
          <w:p w:rsidR="00581D21" w:rsidRPr="00003B04" w:rsidRDefault="00581D21" w:rsidP="00581D21">
            <w:pPr>
              <w:rPr>
                <w:sz w:val="20"/>
                <w:szCs w:val="20"/>
              </w:rPr>
            </w:pPr>
            <w:r w:rsidRPr="00003B04">
              <w:rPr>
                <w:sz w:val="20"/>
                <w:szCs w:val="20"/>
              </w:rPr>
              <w:t>6.</w:t>
            </w:r>
          </w:p>
        </w:tc>
        <w:tc>
          <w:tcPr>
            <w:tcW w:w="810" w:type="dxa"/>
          </w:tcPr>
          <w:p w:rsidR="00581D21" w:rsidRPr="00003B04" w:rsidRDefault="00581D21" w:rsidP="00581D21">
            <w:pPr>
              <w:rPr>
                <w:sz w:val="20"/>
                <w:szCs w:val="20"/>
              </w:rPr>
            </w:pPr>
            <w:r w:rsidRPr="00003B04">
              <w:rPr>
                <w:sz w:val="20"/>
                <w:szCs w:val="20"/>
              </w:rPr>
              <w:t>37380</w:t>
            </w:r>
          </w:p>
        </w:tc>
        <w:tc>
          <w:tcPr>
            <w:tcW w:w="4050" w:type="dxa"/>
          </w:tcPr>
          <w:p w:rsidR="00581D21" w:rsidRPr="00003B04" w:rsidRDefault="00581D21" w:rsidP="00581D21">
            <w:pPr>
              <w:pStyle w:val="SCCAppellantInfoAppellantInfo"/>
              <w:rPr>
                <w:sz w:val="20"/>
                <w:szCs w:val="20"/>
              </w:rPr>
            </w:pPr>
            <w:r w:rsidRPr="00003B04">
              <w:rPr>
                <w:sz w:val="20"/>
                <w:szCs w:val="20"/>
              </w:rPr>
              <w:t>A.C., et al.</w:t>
            </w:r>
          </w:p>
          <w:p w:rsidR="00581D21" w:rsidRPr="00003B04" w:rsidRDefault="00581D21" w:rsidP="00581D21">
            <w:pPr>
              <w:pStyle w:val="SCCAppellantInfoAppellantInfo"/>
              <w:rPr>
                <w:sz w:val="20"/>
                <w:szCs w:val="20"/>
              </w:rPr>
            </w:pPr>
            <w:r w:rsidRPr="00003B04">
              <w:rPr>
                <w:sz w:val="20"/>
                <w:szCs w:val="20"/>
              </w:rPr>
              <w:t>(Ont.) (Civil) (By Leave)</w:t>
            </w:r>
          </w:p>
        </w:tc>
        <w:tc>
          <w:tcPr>
            <w:tcW w:w="360" w:type="dxa"/>
          </w:tcPr>
          <w:p w:rsidR="00581D21" w:rsidRPr="00003B04" w:rsidRDefault="00581D21" w:rsidP="00581D21">
            <w:pPr>
              <w:rPr>
                <w:sz w:val="20"/>
                <w:szCs w:val="20"/>
              </w:rPr>
            </w:pPr>
            <w:r w:rsidRPr="00003B04">
              <w:rPr>
                <w:sz w:val="20"/>
                <w:szCs w:val="20"/>
              </w:rPr>
              <w:t>v.</w:t>
            </w:r>
          </w:p>
        </w:tc>
        <w:tc>
          <w:tcPr>
            <w:tcW w:w="3848" w:type="dxa"/>
          </w:tcPr>
          <w:p w:rsidR="00581D21" w:rsidRPr="00003B04" w:rsidRDefault="00581D21" w:rsidP="00581D21">
            <w:pPr>
              <w:pStyle w:val="SCCAppellantInfoAppellantInfo"/>
              <w:rPr>
                <w:sz w:val="20"/>
                <w:szCs w:val="20"/>
              </w:rPr>
            </w:pPr>
            <w:r w:rsidRPr="00003B04">
              <w:rPr>
                <w:sz w:val="20"/>
                <w:szCs w:val="20"/>
              </w:rPr>
              <w:t>The Children's Aid Society of Ottawa</w:t>
            </w:r>
          </w:p>
        </w:tc>
      </w:tr>
      <w:tr w:rsidR="00581D21" w:rsidRPr="00003B04" w:rsidTr="00581D21">
        <w:trPr>
          <w:cantSplit/>
        </w:trPr>
        <w:tc>
          <w:tcPr>
            <w:tcW w:w="508" w:type="dxa"/>
          </w:tcPr>
          <w:p w:rsidR="00581D21" w:rsidRPr="00003B04" w:rsidRDefault="00581D21" w:rsidP="00581D21">
            <w:pPr>
              <w:rPr>
                <w:sz w:val="20"/>
                <w:szCs w:val="20"/>
              </w:rPr>
            </w:pPr>
            <w:r w:rsidRPr="00003B04">
              <w:rPr>
                <w:sz w:val="20"/>
                <w:szCs w:val="20"/>
              </w:rPr>
              <w:t>7.</w:t>
            </w:r>
          </w:p>
        </w:tc>
        <w:tc>
          <w:tcPr>
            <w:tcW w:w="810" w:type="dxa"/>
          </w:tcPr>
          <w:p w:rsidR="00581D21" w:rsidRPr="00003B04" w:rsidRDefault="00581D21" w:rsidP="00581D21">
            <w:pPr>
              <w:rPr>
                <w:sz w:val="20"/>
                <w:szCs w:val="20"/>
              </w:rPr>
            </w:pPr>
            <w:r w:rsidRPr="00003B04">
              <w:rPr>
                <w:sz w:val="20"/>
                <w:szCs w:val="20"/>
              </w:rPr>
              <w:t>37327</w:t>
            </w:r>
          </w:p>
        </w:tc>
        <w:tc>
          <w:tcPr>
            <w:tcW w:w="4050" w:type="dxa"/>
          </w:tcPr>
          <w:p w:rsidR="00581D21" w:rsidRPr="00003B04" w:rsidRDefault="00581D21" w:rsidP="00581D21">
            <w:pPr>
              <w:pStyle w:val="SCCAppellantInfoAppellantInfo"/>
              <w:rPr>
                <w:sz w:val="20"/>
                <w:szCs w:val="20"/>
              </w:rPr>
            </w:pPr>
            <w:r w:rsidRPr="00003B04">
              <w:rPr>
                <w:sz w:val="20"/>
                <w:szCs w:val="20"/>
              </w:rPr>
              <w:t>Gary Grant</w:t>
            </w:r>
          </w:p>
          <w:p w:rsidR="00581D21" w:rsidRPr="00003B04" w:rsidRDefault="00581D21" w:rsidP="00581D21">
            <w:pPr>
              <w:pStyle w:val="SCCAppellantInfoAppellantInfo"/>
              <w:rPr>
                <w:sz w:val="20"/>
                <w:szCs w:val="20"/>
              </w:rPr>
            </w:pPr>
            <w:r w:rsidRPr="00003B04">
              <w:rPr>
                <w:sz w:val="20"/>
                <w:szCs w:val="20"/>
              </w:rPr>
              <w:t>(Ont.) (Civil) (By Leave)</w:t>
            </w:r>
          </w:p>
        </w:tc>
        <w:tc>
          <w:tcPr>
            <w:tcW w:w="360" w:type="dxa"/>
          </w:tcPr>
          <w:p w:rsidR="00581D21" w:rsidRPr="00003B04" w:rsidRDefault="00581D21" w:rsidP="00581D21">
            <w:pPr>
              <w:rPr>
                <w:sz w:val="20"/>
                <w:szCs w:val="20"/>
              </w:rPr>
            </w:pPr>
            <w:r w:rsidRPr="00003B04">
              <w:rPr>
                <w:sz w:val="20"/>
                <w:szCs w:val="20"/>
              </w:rPr>
              <w:t>v.</w:t>
            </w:r>
          </w:p>
        </w:tc>
        <w:tc>
          <w:tcPr>
            <w:tcW w:w="3848" w:type="dxa"/>
          </w:tcPr>
          <w:p w:rsidR="00581D21" w:rsidRPr="00003B04" w:rsidRDefault="00581D21" w:rsidP="00581D21">
            <w:pPr>
              <w:pStyle w:val="SCCAppellantInfoAppellantInfo"/>
              <w:rPr>
                <w:sz w:val="20"/>
                <w:szCs w:val="20"/>
              </w:rPr>
            </w:pPr>
            <w:r w:rsidRPr="00003B04">
              <w:rPr>
                <w:sz w:val="20"/>
                <w:szCs w:val="20"/>
              </w:rPr>
              <w:t>Equifax Canada Co., et al.</w:t>
            </w:r>
          </w:p>
        </w:tc>
      </w:tr>
      <w:tr w:rsidR="00581D21" w:rsidRPr="00C3697D" w:rsidTr="00581D21">
        <w:trPr>
          <w:cantSplit/>
        </w:trPr>
        <w:tc>
          <w:tcPr>
            <w:tcW w:w="508" w:type="dxa"/>
          </w:tcPr>
          <w:p w:rsidR="00581D21" w:rsidRPr="00003B04" w:rsidRDefault="00581D21" w:rsidP="00581D21">
            <w:pPr>
              <w:rPr>
                <w:sz w:val="20"/>
                <w:szCs w:val="20"/>
              </w:rPr>
            </w:pPr>
          </w:p>
        </w:tc>
        <w:tc>
          <w:tcPr>
            <w:tcW w:w="810" w:type="dxa"/>
          </w:tcPr>
          <w:p w:rsidR="00581D21" w:rsidRPr="00003B04" w:rsidRDefault="00581D21" w:rsidP="00581D21">
            <w:pPr>
              <w:rPr>
                <w:sz w:val="20"/>
                <w:szCs w:val="20"/>
              </w:rPr>
            </w:pPr>
          </w:p>
        </w:tc>
        <w:tc>
          <w:tcPr>
            <w:tcW w:w="8258" w:type="dxa"/>
            <w:gridSpan w:val="3"/>
          </w:tcPr>
          <w:p w:rsidR="00581D21" w:rsidRPr="00003B04" w:rsidRDefault="00581D21" w:rsidP="00581D21">
            <w:pPr>
              <w:jc w:val="center"/>
              <w:rPr>
                <w:b/>
                <w:bCs/>
                <w:sz w:val="20"/>
                <w:szCs w:val="20"/>
                <w:lang w:val="en-US"/>
              </w:rPr>
            </w:pPr>
            <w:r w:rsidRPr="00003B04">
              <w:rPr>
                <w:b/>
                <w:bCs/>
                <w:sz w:val="20"/>
                <w:szCs w:val="20"/>
              </w:rPr>
              <w:t xml:space="preserve">CORAM: </w:t>
            </w:r>
            <w:proofErr w:type="spellStart"/>
            <w:r w:rsidRPr="00003B04">
              <w:rPr>
                <w:b/>
                <w:bCs/>
                <w:sz w:val="20"/>
                <w:szCs w:val="20"/>
              </w:rPr>
              <w:t>Moldaver</w:t>
            </w:r>
            <w:proofErr w:type="spellEnd"/>
            <w:r w:rsidRPr="00003B04">
              <w:rPr>
                <w:b/>
                <w:bCs/>
                <w:sz w:val="20"/>
                <w:szCs w:val="20"/>
              </w:rPr>
              <w:t xml:space="preserve">, </w:t>
            </w:r>
            <w:proofErr w:type="spellStart"/>
            <w:r w:rsidRPr="00003B04">
              <w:rPr>
                <w:b/>
                <w:bCs/>
                <w:sz w:val="20"/>
                <w:szCs w:val="20"/>
              </w:rPr>
              <w:t>Côté</w:t>
            </w:r>
            <w:proofErr w:type="spellEnd"/>
            <w:r w:rsidRPr="00003B04">
              <w:rPr>
                <w:b/>
                <w:bCs/>
                <w:sz w:val="20"/>
                <w:szCs w:val="20"/>
              </w:rPr>
              <w:t xml:space="preserve"> and Rowe JJ.</w:t>
            </w:r>
          </w:p>
          <w:p w:rsidR="00581D21" w:rsidRPr="00003B04" w:rsidRDefault="00581D21" w:rsidP="00581D21">
            <w:pPr>
              <w:jc w:val="center"/>
              <w:rPr>
                <w:b/>
                <w:bCs/>
                <w:sz w:val="20"/>
                <w:szCs w:val="20"/>
                <w:lang w:val="fr-CA"/>
              </w:rPr>
            </w:pPr>
            <w:r w:rsidRPr="00003B04">
              <w:rPr>
                <w:b/>
                <w:bCs/>
                <w:sz w:val="20"/>
                <w:szCs w:val="20"/>
                <w:lang w:val="fr-CA"/>
              </w:rPr>
              <w:t xml:space="preserve">Les juges </w:t>
            </w:r>
            <w:proofErr w:type="spellStart"/>
            <w:r w:rsidRPr="00003B04">
              <w:rPr>
                <w:b/>
                <w:bCs/>
                <w:sz w:val="20"/>
                <w:szCs w:val="20"/>
                <w:lang w:val="fr-CA"/>
              </w:rPr>
              <w:t>Moldaver</w:t>
            </w:r>
            <w:proofErr w:type="spellEnd"/>
            <w:r w:rsidRPr="00003B04">
              <w:rPr>
                <w:b/>
                <w:bCs/>
                <w:sz w:val="20"/>
                <w:szCs w:val="20"/>
                <w:lang w:val="fr-CA"/>
              </w:rPr>
              <w:t>, Côté et Rowe</w:t>
            </w:r>
          </w:p>
          <w:p w:rsidR="00581D21" w:rsidRPr="00003B04" w:rsidRDefault="00581D21" w:rsidP="00581D21">
            <w:pPr>
              <w:jc w:val="center"/>
              <w:rPr>
                <w:sz w:val="20"/>
                <w:szCs w:val="20"/>
                <w:lang w:val="fr-CA"/>
              </w:rPr>
            </w:pPr>
          </w:p>
        </w:tc>
      </w:tr>
      <w:tr w:rsidR="00581D21" w:rsidRPr="00003B04" w:rsidTr="00581D21">
        <w:trPr>
          <w:cantSplit/>
        </w:trPr>
        <w:tc>
          <w:tcPr>
            <w:tcW w:w="508" w:type="dxa"/>
          </w:tcPr>
          <w:p w:rsidR="00581D21" w:rsidRPr="00003B04" w:rsidRDefault="00581D21" w:rsidP="00581D21">
            <w:pPr>
              <w:rPr>
                <w:sz w:val="20"/>
                <w:szCs w:val="20"/>
              </w:rPr>
            </w:pPr>
            <w:r w:rsidRPr="00003B04">
              <w:rPr>
                <w:sz w:val="20"/>
                <w:szCs w:val="20"/>
              </w:rPr>
              <w:t>8.</w:t>
            </w:r>
          </w:p>
        </w:tc>
        <w:tc>
          <w:tcPr>
            <w:tcW w:w="810" w:type="dxa"/>
          </w:tcPr>
          <w:p w:rsidR="00581D21" w:rsidRPr="00003B04" w:rsidRDefault="00581D21" w:rsidP="00581D21">
            <w:pPr>
              <w:rPr>
                <w:sz w:val="20"/>
                <w:szCs w:val="20"/>
              </w:rPr>
            </w:pPr>
            <w:r w:rsidRPr="00003B04">
              <w:rPr>
                <w:sz w:val="20"/>
                <w:szCs w:val="20"/>
              </w:rPr>
              <w:t>37364</w:t>
            </w:r>
          </w:p>
        </w:tc>
        <w:tc>
          <w:tcPr>
            <w:tcW w:w="4050" w:type="dxa"/>
          </w:tcPr>
          <w:p w:rsidR="00581D21" w:rsidRPr="00003B04" w:rsidRDefault="00581D21" w:rsidP="00581D21">
            <w:pPr>
              <w:pStyle w:val="SCCAppellantInfoAppellantInfo"/>
              <w:rPr>
                <w:sz w:val="20"/>
                <w:szCs w:val="20"/>
              </w:rPr>
            </w:pPr>
            <w:r w:rsidRPr="00003B04">
              <w:rPr>
                <w:sz w:val="20"/>
                <w:szCs w:val="20"/>
              </w:rPr>
              <w:t xml:space="preserve">Dino </w:t>
            </w:r>
            <w:proofErr w:type="spellStart"/>
            <w:r w:rsidRPr="00003B04">
              <w:rPr>
                <w:sz w:val="20"/>
                <w:szCs w:val="20"/>
              </w:rPr>
              <w:t>Orsini</w:t>
            </w:r>
            <w:proofErr w:type="spellEnd"/>
          </w:p>
          <w:p w:rsidR="00581D21" w:rsidRPr="00003B04" w:rsidRDefault="00581D21" w:rsidP="00581D21">
            <w:pPr>
              <w:pStyle w:val="SCCAppellantInfoAppellantInfo"/>
              <w:rPr>
                <w:sz w:val="20"/>
                <w:szCs w:val="20"/>
              </w:rPr>
            </w:pPr>
            <w:r w:rsidRPr="00003B04">
              <w:rPr>
                <w:sz w:val="20"/>
                <w:szCs w:val="20"/>
              </w:rPr>
              <w:t>(Que.) (Civil) (By Leave)</w:t>
            </w:r>
          </w:p>
        </w:tc>
        <w:tc>
          <w:tcPr>
            <w:tcW w:w="360" w:type="dxa"/>
          </w:tcPr>
          <w:p w:rsidR="00581D21" w:rsidRPr="00003B04" w:rsidRDefault="00581D21" w:rsidP="00581D21">
            <w:pPr>
              <w:rPr>
                <w:sz w:val="20"/>
                <w:szCs w:val="20"/>
              </w:rPr>
            </w:pPr>
            <w:r w:rsidRPr="00003B04">
              <w:rPr>
                <w:sz w:val="20"/>
                <w:szCs w:val="20"/>
              </w:rPr>
              <w:t>v.</w:t>
            </w:r>
          </w:p>
        </w:tc>
        <w:tc>
          <w:tcPr>
            <w:tcW w:w="3848" w:type="dxa"/>
          </w:tcPr>
          <w:p w:rsidR="00581D21" w:rsidRPr="00003B04" w:rsidRDefault="00581D21" w:rsidP="00581D21">
            <w:pPr>
              <w:pStyle w:val="SCCAppellantInfoAppellantInfo"/>
              <w:rPr>
                <w:sz w:val="20"/>
                <w:szCs w:val="20"/>
              </w:rPr>
            </w:pPr>
            <w:r w:rsidRPr="00003B04">
              <w:rPr>
                <w:sz w:val="20"/>
                <w:szCs w:val="20"/>
              </w:rPr>
              <w:t>Canada Revenue Agency</w:t>
            </w:r>
          </w:p>
        </w:tc>
      </w:tr>
      <w:tr w:rsidR="00581D21" w:rsidRPr="00003B04" w:rsidTr="00581D21">
        <w:trPr>
          <w:cantSplit/>
        </w:trPr>
        <w:tc>
          <w:tcPr>
            <w:tcW w:w="508" w:type="dxa"/>
          </w:tcPr>
          <w:p w:rsidR="00581D21" w:rsidRPr="00003B04" w:rsidRDefault="00581D21" w:rsidP="00581D21">
            <w:pPr>
              <w:rPr>
                <w:sz w:val="20"/>
                <w:szCs w:val="20"/>
              </w:rPr>
            </w:pPr>
            <w:r w:rsidRPr="00003B04">
              <w:rPr>
                <w:sz w:val="20"/>
                <w:szCs w:val="20"/>
              </w:rPr>
              <w:t>9.</w:t>
            </w:r>
          </w:p>
        </w:tc>
        <w:tc>
          <w:tcPr>
            <w:tcW w:w="810" w:type="dxa"/>
          </w:tcPr>
          <w:p w:rsidR="00581D21" w:rsidRPr="00003B04" w:rsidRDefault="00581D21" w:rsidP="00581D21">
            <w:pPr>
              <w:rPr>
                <w:sz w:val="20"/>
                <w:szCs w:val="20"/>
              </w:rPr>
            </w:pPr>
            <w:r w:rsidRPr="00003B04">
              <w:rPr>
                <w:sz w:val="20"/>
                <w:szCs w:val="20"/>
              </w:rPr>
              <w:t>37208</w:t>
            </w:r>
          </w:p>
        </w:tc>
        <w:tc>
          <w:tcPr>
            <w:tcW w:w="4050" w:type="dxa"/>
          </w:tcPr>
          <w:p w:rsidR="00581D21" w:rsidRPr="00003B04" w:rsidRDefault="00581D21" w:rsidP="00581D21">
            <w:pPr>
              <w:pStyle w:val="SCCAppellantInfoAppellantInfo"/>
              <w:rPr>
                <w:sz w:val="20"/>
                <w:szCs w:val="20"/>
              </w:rPr>
            </w:pPr>
            <w:r w:rsidRPr="00003B04">
              <w:rPr>
                <w:sz w:val="20"/>
                <w:szCs w:val="20"/>
              </w:rPr>
              <w:t>Canadian Human Rights Commission</w:t>
            </w:r>
          </w:p>
          <w:p w:rsidR="00581D21" w:rsidRPr="00003B04" w:rsidRDefault="00581D21" w:rsidP="00581D21">
            <w:pPr>
              <w:pStyle w:val="SCCAppellantInfoAppellantInfo"/>
              <w:rPr>
                <w:sz w:val="20"/>
                <w:szCs w:val="20"/>
              </w:rPr>
            </w:pPr>
            <w:r w:rsidRPr="00003B04">
              <w:rPr>
                <w:sz w:val="20"/>
                <w:szCs w:val="20"/>
              </w:rPr>
              <w:t>(FC) (Civil) (By Leave)</w:t>
            </w:r>
          </w:p>
        </w:tc>
        <w:tc>
          <w:tcPr>
            <w:tcW w:w="360" w:type="dxa"/>
          </w:tcPr>
          <w:p w:rsidR="00581D21" w:rsidRPr="00003B04" w:rsidRDefault="00581D21" w:rsidP="00581D21">
            <w:pPr>
              <w:rPr>
                <w:sz w:val="20"/>
                <w:szCs w:val="20"/>
              </w:rPr>
            </w:pPr>
            <w:r w:rsidRPr="00003B04">
              <w:rPr>
                <w:sz w:val="20"/>
                <w:szCs w:val="20"/>
              </w:rPr>
              <w:t>v.</w:t>
            </w:r>
          </w:p>
        </w:tc>
        <w:tc>
          <w:tcPr>
            <w:tcW w:w="3848" w:type="dxa"/>
          </w:tcPr>
          <w:p w:rsidR="00581D21" w:rsidRPr="00003B04" w:rsidRDefault="00581D21" w:rsidP="00581D21">
            <w:pPr>
              <w:pStyle w:val="SCCAppellantInfoAppellantInfo"/>
              <w:rPr>
                <w:sz w:val="20"/>
                <w:szCs w:val="20"/>
              </w:rPr>
            </w:pPr>
            <w:r w:rsidRPr="00003B04">
              <w:rPr>
                <w:sz w:val="20"/>
                <w:szCs w:val="20"/>
              </w:rPr>
              <w:t>Attorney General of Canada</w:t>
            </w:r>
          </w:p>
        </w:tc>
      </w:tr>
      <w:tr w:rsidR="00581D21" w:rsidRPr="00C3697D" w:rsidTr="00581D21">
        <w:trPr>
          <w:cantSplit/>
        </w:trPr>
        <w:tc>
          <w:tcPr>
            <w:tcW w:w="508" w:type="dxa"/>
          </w:tcPr>
          <w:p w:rsidR="00581D21" w:rsidRPr="00003B04" w:rsidRDefault="00581D21" w:rsidP="00581D21">
            <w:pPr>
              <w:rPr>
                <w:sz w:val="20"/>
                <w:szCs w:val="20"/>
              </w:rPr>
            </w:pPr>
            <w:r w:rsidRPr="00003B04">
              <w:rPr>
                <w:sz w:val="20"/>
                <w:szCs w:val="20"/>
              </w:rPr>
              <w:t>10.</w:t>
            </w:r>
          </w:p>
        </w:tc>
        <w:tc>
          <w:tcPr>
            <w:tcW w:w="810" w:type="dxa"/>
          </w:tcPr>
          <w:p w:rsidR="00581D21" w:rsidRPr="00003B04" w:rsidRDefault="00581D21" w:rsidP="00581D21">
            <w:pPr>
              <w:rPr>
                <w:sz w:val="20"/>
                <w:szCs w:val="20"/>
              </w:rPr>
            </w:pPr>
            <w:r w:rsidRPr="00003B04">
              <w:rPr>
                <w:sz w:val="20"/>
                <w:szCs w:val="20"/>
              </w:rPr>
              <w:t>37350</w:t>
            </w:r>
          </w:p>
        </w:tc>
        <w:tc>
          <w:tcPr>
            <w:tcW w:w="4050" w:type="dxa"/>
          </w:tcPr>
          <w:p w:rsidR="00581D21" w:rsidRPr="00003B04" w:rsidRDefault="00581D21" w:rsidP="00581D21">
            <w:pPr>
              <w:pStyle w:val="SCCAppellantInfoAppellantInfo"/>
              <w:rPr>
                <w:sz w:val="20"/>
                <w:szCs w:val="20"/>
                <w:lang w:val="fr-CA"/>
              </w:rPr>
            </w:pPr>
            <w:r w:rsidRPr="00003B04">
              <w:rPr>
                <w:sz w:val="20"/>
                <w:szCs w:val="20"/>
                <w:lang w:val="fr-CA"/>
              </w:rPr>
              <w:t>Gemma A. Le Bouthillier</w:t>
            </w:r>
          </w:p>
          <w:p w:rsidR="00581D21" w:rsidRPr="00003B04" w:rsidRDefault="00581D21" w:rsidP="00581D21">
            <w:pPr>
              <w:pStyle w:val="SCCAppellantInfoAppellantInfo"/>
              <w:rPr>
                <w:sz w:val="20"/>
                <w:szCs w:val="20"/>
              </w:rPr>
            </w:pPr>
            <w:r w:rsidRPr="00003B04">
              <w:rPr>
                <w:sz w:val="20"/>
                <w:szCs w:val="20"/>
                <w:lang w:val="fr-CA"/>
              </w:rPr>
              <w:t xml:space="preserve">(N.-B.) </w:t>
            </w:r>
            <w:r w:rsidRPr="00003B04">
              <w:rPr>
                <w:sz w:val="20"/>
                <w:szCs w:val="20"/>
              </w:rPr>
              <w:t>(</w:t>
            </w:r>
            <w:proofErr w:type="spellStart"/>
            <w:r w:rsidRPr="00003B04">
              <w:rPr>
                <w:sz w:val="20"/>
                <w:szCs w:val="20"/>
              </w:rPr>
              <w:t>Civile</w:t>
            </w:r>
            <w:proofErr w:type="spellEnd"/>
            <w:r w:rsidRPr="00003B04">
              <w:rPr>
                <w:sz w:val="20"/>
                <w:szCs w:val="20"/>
              </w:rPr>
              <w:t>) (</w:t>
            </w:r>
            <w:proofErr w:type="spellStart"/>
            <w:r w:rsidRPr="00003B04">
              <w:rPr>
                <w:sz w:val="20"/>
                <w:szCs w:val="20"/>
              </w:rPr>
              <w:t>Autorisation</w:t>
            </w:r>
            <w:proofErr w:type="spellEnd"/>
            <w:r w:rsidRPr="00003B04">
              <w:rPr>
                <w:sz w:val="20"/>
                <w:szCs w:val="20"/>
              </w:rPr>
              <w:t>)</w:t>
            </w:r>
          </w:p>
        </w:tc>
        <w:tc>
          <w:tcPr>
            <w:tcW w:w="360" w:type="dxa"/>
          </w:tcPr>
          <w:p w:rsidR="00581D21" w:rsidRPr="00003B04" w:rsidRDefault="00581D21" w:rsidP="00581D21">
            <w:pPr>
              <w:rPr>
                <w:sz w:val="20"/>
                <w:szCs w:val="20"/>
              </w:rPr>
            </w:pPr>
            <w:r w:rsidRPr="00003B04">
              <w:rPr>
                <w:sz w:val="20"/>
                <w:szCs w:val="20"/>
              </w:rPr>
              <w:t>c.</w:t>
            </w:r>
          </w:p>
        </w:tc>
        <w:tc>
          <w:tcPr>
            <w:tcW w:w="3848" w:type="dxa"/>
          </w:tcPr>
          <w:p w:rsidR="00581D21" w:rsidRPr="00003B04" w:rsidRDefault="00581D21" w:rsidP="00581D21">
            <w:pPr>
              <w:pStyle w:val="SCCAppellantInfoAppellantInfo"/>
              <w:rPr>
                <w:sz w:val="20"/>
                <w:szCs w:val="20"/>
                <w:lang w:val="fr-CA"/>
              </w:rPr>
            </w:pPr>
            <w:r w:rsidRPr="00003B04">
              <w:rPr>
                <w:sz w:val="20"/>
                <w:szCs w:val="20"/>
                <w:lang w:val="fr-CA"/>
              </w:rPr>
              <w:t xml:space="preserve">J.M. Bastille </w:t>
            </w:r>
            <w:proofErr w:type="spellStart"/>
            <w:r w:rsidRPr="00003B04">
              <w:rPr>
                <w:sz w:val="20"/>
                <w:szCs w:val="20"/>
                <w:lang w:val="fr-CA"/>
              </w:rPr>
              <w:t>inc.</w:t>
            </w:r>
            <w:proofErr w:type="spellEnd"/>
            <w:r w:rsidRPr="00003B04">
              <w:rPr>
                <w:sz w:val="20"/>
                <w:szCs w:val="20"/>
                <w:lang w:val="fr-CA"/>
              </w:rPr>
              <w:t>, une corporation, et al.</w:t>
            </w:r>
          </w:p>
        </w:tc>
      </w:tr>
    </w:tbl>
    <w:p w:rsidR="00C661B7" w:rsidRPr="00003B04" w:rsidRDefault="00C661B7" w:rsidP="002E2327">
      <w:pPr>
        <w:widowControl w:val="0"/>
        <w:rPr>
          <w:sz w:val="20"/>
          <w:szCs w:val="20"/>
          <w:lang w:val="fr-CA"/>
        </w:rPr>
      </w:pPr>
    </w:p>
    <w:p w:rsidR="00762008" w:rsidRPr="00003B04" w:rsidRDefault="00762008" w:rsidP="002E2327">
      <w:pPr>
        <w:widowControl w:val="0"/>
        <w:rPr>
          <w:sz w:val="20"/>
          <w:szCs w:val="20"/>
          <w:lang w:val="fr-CA"/>
        </w:rPr>
      </w:pPr>
    </w:p>
    <w:p w:rsidR="002E2327" w:rsidRPr="00003B04" w:rsidRDefault="00604445" w:rsidP="002E2327">
      <w:pPr>
        <w:widowControl w:val="0"/>
        <w:rPr>
          <w:sz w:val="20"/>
          <w:szCs w:val="20"/>
        </w:rPr>
      </w:pPr>
      <w:r>
        <w:rPr>
          <w:sz w:val="20"/>
          <w:szCs w:val="20"/>
        </w:rPr>
        <w:pict>
          <v:rect id="_x0000_i1046" style="width:2in;height:1pt" o:hrpct="0" o:hralign="center" o:hrstd="t" o:hrnoshade="t" o:hr="t" fillcolor="black [3213]" stroked="f"/>
        </w:pict>
      </w:r>
    </w:p>
    <w:p w:rsidR="00D94028" w:rsidRPr="00003B04" w:rsidRDefault="00D94028" w:rsidP="002E2327">
      <w:pPr>
        <w:widowControl w:val="0"/>
        <w:rPr>
          <w:sz w:val="20"/>
          <w:szCs w:val="20"/>
        </w:rPr>
      </w:pPr>
    </w:p>
    <w:p w:rsidR="00D94028" w:rsidRPr="00003B04" w:rsidRDefault="00D94028" w:rsidP="002E2327">
      <w:pPr>
        <w:widowControl w:val="0"/>
        <w:rPr>
          <w:sz w:val="20"/>
          <w:szCs w:val="20"/>
        </w:rPr>
      </w:pPr>
    </w:p>
    <w:p w:rsidR="00D94028" w:rsidRPr="00003B04" w:rsidRDefault="00D94028" w:rsidP="002E2327">
      <w:pPr>
        <w:widowControl w:val="0"/>
        <w:rPr>
          <w:sz w:val="20"/>
          <w:szCs w:val="20"/>
        </w:rPr>
      </w:pPr>
    </w:p>
    <w:p w:rsidR="0044776A" w:rsidRPr="00003B04" w:rsidRDefault="0044776A" w:rsidP="002E2327">
      <w:pPr>
        <w:widowControl w:val="0"/>
        <w:spacing w:line="0" w:lineRule="atLeast"/>
        <w:rPr>
          <w:sz w:val="20"/>
          <w:szCs w:val="20"/>
        </w:rPr>
        <w:sectPr w:rsidR="0044776A" w:rsidRPr="00003B04"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C3697D" w:rsidTr="00ED7E83">
        <w:tc>
          <w:tcPr>
            <w:tcW w:w="4200" w:type="dxa"/>
            <w:tcMar>
              <w:left w:w="0" w:type="dxa"/>
              <w:right w:w="0" w:type="dxa"/>
            </w:tcMar>
          </w:tcPr>
          <w:p w:rsidR="008D292F" w:rsidRPr="00003B04" w:rsidRDefault="008D292F" w:rsidP="00ED7E83">
            <w:pPr>
              <w:keepNext/>
              <w:keepLines/>
              <w:jc w:val="both"/>
              <w:rPr>
                <w:b/>
                <w:szCs w:val="24"/>
              </w:rPr>
            </w:pPr>
            <w:bookmarkStart w:id="0" w:name="QuickMark_1"/>
            <w:bookmarkEnd w:id="0"/>
            <w:r w:rsidRPr="00003B04">
              <w:rPr>
                <w:b/>
                <w:szCs w:val="24"/>
              </w:rPr>
              <w:lastRenderedPageBreak/>
              <w:t>JUDGMENTS ON APPLICATIONS</w:t>
            </w:r>
          </w:p>
          <w:p w:rsidR="008D292F" w:rsidRPr="00003B04" w:rsidRDefault="008D292F" w:rsidP="00ED7E83">
            <w:pPr>
              <w:keepNext/>
              <w:keepLines/>
              <w:jc w:val="both"/>
              <w:rPr>
                <w:b/>
                <w:szCs w:val="24"/>
              </w:rPr>
            </w:pPr>
            <w:r w:rsidRPr="00003B04">
              <w:rPr>
                <w:b/>
                <w:szCs w:val="24"/>
              </w:rPr>
              <w:t>FOR LEAVE</w:t>
            </w:r>
          </w:p>
        </w:tc>
        <w:tc>
          <w:tcPr>
            <w:tcW w:w="1200" w:type="dxa"/>
            <w:tcMar>
              <w:left w:w="0" w:type="dxa"/>
              <w:right w:w="0" w:type="dxa"/>
            </w:tcMar>
          </w:tcPr>
          <w:p w:rsidR="008D292F" w:rsidRPr="00003B04" w:rsidRDefault="008D292F" w:rsidP="008D292F">
            <w:pPr>
              <w:keepNext/>
              <w:keepLines/>
              <w:jc w:val="center"/>
              <w:rPr>
                <w:b/>
                <w:szCs w:val="24"/>
              </w:rPr>
            </w:pPr>
          </w:p>
          <w:p w:rsidR="008D292F" w:rsidRPr="00003B04" w:rsidRDefault="008D292F" w:rsidP="008D292F">
            <w:pPr>
              <w:keepNext/>
              <w:keepLines/>
              <w:jc w:val="center"/>
              <w:rPr>
                <w:b/>
                <w:szCs w:val="24"/>
              </w:rPr>
            </w:pPr>
          </w:p>
          <w:p w:rsidR="008D292F" w:rsidRPr="00003B04" w:rsidRDefault="008D292F" w:rsidP="008D292F">
            <w:pPr>
              <w:keepNext/>
              <w:keepLines/>
              <w:jc w:val="center"/>
              <w:rPr>
                <w:b/>
                <w:szCs w:val="24"/>
              </w:rPr>
            </w:pPr>
          </w:p>
        </w:tc>
        <w:tc>
          <w:tcPr>
            <w:tcW w:w="4080" w:type="dxa"/>
            <w:tcMar>
              <w:left w:w="0" w:type="dxa"/>
              <w:right w:w="0" w:type="dxa"/>
            </w:tcMar>
          </w:tcPr>
          <w:p w:rsidR="008D292F" w:rsidRPr="00003B04" w:rsidRDefault="008D292F" w:rsidP="00ED7E83">
            <w:pPr>
              <w:keepNext/>
              <w:keepLines/>
              <w:jc w:val="both"/>
              <w:rPr>
                <w:b/>
                <w:szCs w:val="24"/>
                <w:lang w:val="fr-CA"/>
              </w:rPr>
            </w:pPr>
            <w:r w:rsidRPr="00003B04">
              <w:rPr>
                <w:b/>
                <w:szCs w:val="24"/>
                <w:lang w:val="fr-CA"/>
              </w:rPr>
              <w:t>JUGEMENTS RENDUS SUR LES DEMANDES D’AUTORISATION</w:t>
            </w:r>
          </w:p>
        </w:tc>
      </w:tr>
    </w:tbl>
    <w:p w:rsidR="008D292F" w:rsidRPr="00003B04" w:rsidRDefault="008D292F" w:rsidP="008D292F">
      <w:pPr>
        <w:rPr>
          <w:sz w:val="20"/>
          <w:szCs w:val="20"/>
          <w:lang w:val="fr-CA"/>
        </w:rPr>
      </w:pPr>
    </w:p>
    <w:p w:rsidR="000E2959" w:rsidRPr="00003B04" w:rsidRDefault="00EE4290" w:rsidP="000E2959">
      <w:pPr>
        <w:rPr>
          <w:b/>
          <w:sz w:val="20"/>
          <w:szCs w:val="20"/>
        </w:rPr>
      </w:pPr>
      <w:r w:rsidRPr="00003B04">
        <w:rPr>
          <w:b/>
          <w:sz w:val="20"/>
          <w:szCs w:val="20"/>
        </w:rPr>
        <w:t>FEBRUARY</w:t>
      </w:r>
      <w:r w:rsidR="000E2959" w:rsidRPr="00003B04">
        <w:rPr>
          <w:b/>
          <w:sz w:val="20"/>
          <w:szCs w:val="20"/>
        </w:rPr>
        <w:t xml:space="preserve"> </w:t>
      </w:r>
      <w:r w:rsidRPr="00003B04">
        <w:rPr>
          <w:b/>
          <w:sz w:val="20"/>
          <w:szCs w:val="20"/>
        </w:rPr>
        <w:t>23</w:t>
      </w:r>
      <w:r w:rsidR="000E2959" w:rsidRPr="00003B04">
        <w:rPr>
          <w:b/>
          <w:sz w:val="20"/>
          <w:szCs w:val="20"/>
        </w:rPr>
        <w:t xml:space="preserve">, </w:t>
      </w:r>
      <w:r w:rsidR="0030050B" w:rsidRPr="00003B04">
        <w:rPr>
          <w:b/>
          <w:sz w:val="20"/>
          <w:szCs w:val="20"/>
        </w:rPr>
        <w:t>201</w:t>
      </w:r>
      <w:r w:rsidR="00E8544A" w:rsidRPr="00003B04">
        <w:rPr>
          <w:b/>
          <w:sz w:val="20"/>
          <w:szCs w:val="20"/>
        </w:rPr>
        <w:t>7</w:t>
      </w:r>
      <w:r w:rsidR="000E2959" w:rsidRPr="00003B04">
        <w:rPr>
          <w:b/>
          <w:sz w:val="20"/>
          <w:szCs w:val="20"/>
        </w:rPr>
        <w:t xml:space="preserve"> / LE </w:t>
      </w:r>
      <w:r w:rsidRPr="00003B04">
        <w:rPr>
          <w:b/>
          <w:sz w:val="20"/>
          <w:szCs w:val="20"/>
        </w:rPr>
        <w:t>23 FÉVRIER</w:t>
      </w:r>
      <w:r w:rsidR="000E2959" w:rsidRPr="00003B04">
        <w:rPr>
          <w:b/>
          <w:sz w:val="20"/>
          <w:szCs w:val="20"/>
        </w:rPr>
        <w:t xml:space="preserve"> </w:t>
      </w:r>
      <w:r w:rsidR="0030050B" w:rsidRPr="00003B04">
        <w:rPr>
          <w:b/>
          <w:sz w:val="20"/>
          <w:szCs w:val="20"/>
        </w:rPr>
        <w:t>201</w:t>
      </w:r>
      <w:r w:rsidR="00E8544A" w:rsidRPr="00003B04">
        <w:rPr>
          <w:b/>
          <w:sz w:val="20"/>
          <w:szCs w:val="20"/>
        </w:rPr>
        <w:t>7</w:t>
      </w:r>
    </w:p>
    <w:p w:rsidR="00EE4290" w:rsidRPr="00003B04" w:rsidRDefault="00EE4290" w:rsidP="00EE4290">
      <w:pPr>
        <w:ind w:left="360" w:hanging="360"/>
        <w:jc w:val="both"/>
        <w:rPr>
          <w:sz w:val="20"/>
          <w:lang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EE4290" w:rsidRPr="00003B04" w:rsidTr="00EE4290">
        <w:trPr>
          <w:gridAfter w:val="1"/>
          <w:wAfter w:w="48" w:type="pct"/>
        </w:trPr>
        <w:tc>
          <w:tcPr>
            <w:tcW w:w="538" w:type="pct"/>
          </w:tcPr>
          <w:p w:rsidR="00EE4290" w:rsidRPr="00003B04" w:rsidRDefault="00EE4290" w:rsidP="00EE4290">
            <w:pPr>
              <w:jc w:val="both"/>
              <w:rPr>
                <w:sz w:val="20"/>
              </w:rPr>
            </w:pPr>
            <w:r w:rsidRPr="00003B04">
              <w:rPr>
                <w:rStyle w:val="SCCFileNumberChar"/>
                <w:sz w:val="20"/>
                <w:szCs w:val="20"/>
              </w:rPr>
              <w:t>37256</w:t>
            </w:r>
          </w:p>
        </w:tc>
        <w:tc>
          <w:tcPr>
            <w:tcW w:w="4414" w:type="pct"/>
            <w:gridSpan w:val="3"/>
          </w:tcPr>
          <w:p w:rsidR="00EE4290" w:rsidRPr="00003B04" w:rsidRDefault="00EE4290" w:rsidP="00EE4290">
            <w:pPr>
              <w:pStyle w:val="SCCLsocParty"/>
              <w:jc w:val="both"/>
              <w:rPr>
                <w:b/>
                <w:sz w:val="20"/>
                <w:szCs w:val="20"/>
                <w:lang w:val="en-US"/>
              </w:rPr>
            </w:pPr>
            <w:r w:rsidRPr="00003B04">
              <w:rPr>
                <w:b/>
                <w:sz w:val="20"/>
                <w:szCs w:val="20"/>
                <w:lang w:val="en-US"/>
              </w:rPr>
              <w:t xml:space="preserve">Shaun </w:t>
            </w:r>
            <w:proofErr w:type="spellStart"/>
            <w:r w:rsidRPr="00003B04">
              <w:rPr>
                <w:b/>
                <w:sz w:val="20"/>
                <w:szCs w:val="20"/>
                <w:lang w:val="en-US"/>
              </w:rPr>
              <w:t>Sunduk</w:t>
            </w:r>
            <w:proofErr w:type="spellEnd"/>
            <w:r w:rsidRPr="00003B04">
              <w:rPr>
                <w:b/>
                <w:sz w:val="20"/>
                <w:szCs w:val="20"/>
                <w:lang w:val="en-US"/>
              </w:rPr>
              <w:t xml:space="preserve"> v. Attorney General of Canada on behalf of the United States of America</w:t>
            </w:r>
          </w:p>
          <w:p w:rsidR="00EE4290" w:rsidRPr="00003B04" w:rsidRDefault="00EE4290" w:rsidP="00EE4290">
            <w:pPr>
              <w:jc w:val="both"/>
              <w:rPr>
                <w:sz w:val="20"/>
              </w:rPr>
            </w:pPr>
            <w:r w:rsidRPr="00003B04">
              <w:rPr>
                <w:sz w:val="20"/>
              </w:rPr>
              <w:t>(Man.) (Criminal) (By Leave)</w:t>
            </w:r>
          </w:p>
        </w:tc>
      </w:tr>
      <w:tr w:rsidR="00EE4290" w:rsidRPr="00003B04" w:rsidTr="00EE4290">
        <w:trPr>
          <w:gridAfter w:val="1"/>
          <w:wAfter w:w="48" w:type="pct"/>
        </w:trPr>
        <w:tc>
          <w:tcPr>
            <w:tcW w:w="538" w:type="pct"/>
          </w:tcPr>
          <w:p w:rsidR="00EE4290" w:rsidRPr="00003B04" w:rsidRDefault="00EE4290" w:rsidP="00EE4290">
            <w:pPr>
              <w:jc w:val="both"/>
              <w:rPr>
                <w:rStyle w:val="SCCFileNumberChar"/>
                <w:sz w:val="20"/>
                <w:szCs w:val="20"/>
              </w:rPr>
            </w:pPr>
            <w:r w:rsidRPr="00003B04">
              <w:rPr>
                <w:rStyle w:val="SCCFileNumberChar"/>
                <w:sz w:val="20"/>
                <w:szCs w:val="20"/>
              </w:rPr>
              <w:t>Coram:</w:t>
            </w:r>
          </w:p>
        </w:tc>
        <w:tc>
          <w:tcPr>
            <w:tcW w:w="4414" w:type="pct"/>
            <w:gridSpan w:val="3"/>
          </w:tcPr>
          <w:p w:rsidR="00EE4290" w:rsidRPr="00003B04" w:rsidRDefault="000E7F29" w:rsidP="00EE4290">
            <w:pPr>
              <w:pStyle w:val="SCCLsocParty"/>
              <w:jc w:val="both"/>
              <w:rPr>
                <w:sz w:val="20"/>
                <w:szCs w:val="20"/>
                <w:lang w:val="en-US"/>
              </w:rPr>
            </w:pPr>
            <w:proofErr w:type="spellStart"/>
            <w:r w:rsidRPr="00003B04">
              <w:rPr>
                <w:sz w:val="20"/>
                <w:szCs w:val="20"/>
                <w:lang w:val="en-US"/>
              </w:rPr>
              <w:t>McLachlin</w:t>
            </w:r>
            <w:proofErr w:type="spellEnd"/>
            <w:r w:rsidRPr="00003B04">
              <w:rPr>
                <w:sz w:val="20"/>
                <w:szCs w:val="20"/>
                <w:lang w:val="en-US"/>
              </w:rPr>
              <w:t xml:space="preserve"> C.J. and </w:t>
            </w:r>
            <w:proofErr w:type="spellStart"/>
            <w:r w:rsidRPr="00003B04">
              <w:rPr>
                <w:sz w:val="20"/>
                <w:szCs w:val="20"/>
                <w:lang w:val="en-US"/>
              </w:rPr>
              <w:t>Abella</w:t>
            </w:r>
            <w:proofErr w:type="spellEnd"/>
            <w:r w:rsidRPr="00003B04">
              <w:rPr>
                <w:sz w:val="20"/>
                <w:szCs w:val="20"/>
                <w:lang w:val="en-US"/>
              </w:rPr>
              <w:t xml:space="preserve">, </w:t>
            </w:r>
            <w:proofErr w:type="spellStart"/>
            <w:r w:rsidRPr="00003B04">
              <w:rPr>
                <w:sz w:val="20"/>
                <w:szCs w:val="20"/>
                <w:lang w:val="en-US"/>
              </w:rPr>
              <w:t>Moldaver</w:t>
            </w:r>
            <w:proofErr w:type="spellEnd"/>
            <w:r w:rsidRPr="00003B04">
              <w:rPr>
                <w:sz w:val="20"/>
                <w:szCs w:val="20"/>
                <w:lang w:val="en-US"/>
              </w:rPr>
              <w:t xml:space="preserve">, </w:t>
            </w:r>
            <w:proofErr w:type="spellStart"/>
            <w:r w:rsidRPr="00003B04">
              <w:rPr>
                <w:sz w:val="20"/>
                <w:szCs w:val="20"/>
                <w:lang w:val="en-US"/>
              </w:rPr>
              <w:t>Karakatsanis</w:t>
            </w:r>
            <w:proofErr w:type="spellEnd"/>
            <w:r w:rsidRPr="00003B04">
              <w:rPr>
                <w:sz w:val="20"/>
                <w:szCs w:val="20"/>
                <w:lang w:val="en-US"/>
              </w:rPr>
              <w:t xml:space="preserve">, Wagner, </w:t>
            </w:r>
            <w:proofErr w:type="spellStart"/>
            <w:r w:rsidRPr="00003B04">
              <w:rPr>
                <w:sz w:val="20"/>
                <w:szCs w:val="20"/>
                <w:lang w:val="en-US"/>
              </w:rPr>
              <w:t>Gascon</w:t>
            </w:r>
            <w:proofErr w:type="spellEnd"/>
            <w:r w:rsidRPr="00003B04">
              <w:rPr>
                <w:sz w:val="20"/>
                <w:szCs w:val="20"/>
                <w:lang w:val="en-US"/>
              </w:rPr>
              <w:t xml:space="preserve">, </w:t>
            </w:r>
            <w:proofErr w:type="spellStart"/>
            <w:r w:rsidRPr="00003B04">
              <w:rPr>
                <w:sz w:val="20"/>
                <w:szCs w:val="20"/>
                <w:lang w:val="en-US"/>
              </w:rPr>
              <w:t>Côté</w:t>
            </w:r>
            <w:proofErr w:type="spellEnd"/>
            <w:r w:rsidRPr="00003B04">
              <w:rPr>
                <w:sz w:val="20"/>
                <w:szCs w:val="20"/>
                <w:lang w:val="en-US"/>
              </w:rPr>
              <w:t>, Brown and Rowe JJ.</w:t>
            </w:r>
          </w:p>
          <w:p w:rsidR="000E7F29" w:rsidRPr="00003B04" w:rsidRDefault="000E7F29" w:rsidP="000E7F29">
            <w:pPr>
              <w:rPr>
                <w:lang w:val="en-US"/>
              </w:rPr>
            </w:pPr>
          </w:p>
        </w:tc>
      </w:tr>
      <w:tr w:rsidR="00EE4290" w:rsidRPr="00003B04" w:rsidTr="00EE4290">
        <w:trPr>
          <w:gridAfter w:val="1"/>
          <w:wAfter w:w="48" w:type="pct"/>
        </w:trPr>
        <w:tc>
          <w:tcPr>
            <w:tcW w:w="4952" w:type="pct"/>
            <w:gridSpan w:val="4"/>
          </w:tcPr>
          <w:p w:rsidR="00EE4290" w:rsidRPr="00003B04" w:rsidRDefault="000E7F29" w:rsidP="00EE4290">
            <w:pPr>
              <w:pStyle w:val="SCCLsocParty"/>
              <w:jc w:val="both"/>
              <w:rPr>
                <w:sz w:val="20"/>
                <w:szCs w:val="20"/>
                <w:lang w:val="en-US"/>
              </w:rPr>
            </w:pPr>
            <w:r w:rsidRPr="00003B04">
              <w:rPr>
                <w:sz w:val="20"/>
                <w:szCs w:val="20"/>
                <w:lang w:val="en-US"/>
              </w:rPr>
              <w:t>The application for leave to appeal from the judgment of the</w:t>
            </w:r>
            <w:bookmarkStart w:id="1" w:name="BM_1_"/>
            <w:bookmarkEnd w:id="1"/>
            <w:r w:rsidRPr="00003B04">
              <w:rPr>
                <w:sz w:val="20"/>
                <w:szCs w:val="20"/>
                <w:lang w:val="en-US"/>
              </w:rPr>
              <w:t xml:space="preserve"> Court of Appeal of Manitoba, Number AR14-30-08274, 2016 MBCA 90, dated September 19, 2016, is dismissed.</w:t>
            </w:r>
          </w:p>
          <w:p w:rsidR="000E7F29" w:rsidRPr="00003B04" w:rsidRDefault="000E7F29" w:rsidP="000E7F29">
            <w:pPr>
              <w:rPr>
                <w:lang w:val="en-US"/>
              </w:rPr>
            </w:pPr>
          </w:p>
        </w:tc>
      </w:tr>
      <w:tr w:rsidR="00EE4290" w:rsidRPr="00003B04" w:rsidTr="00EE4290">
        <w:trPr>
          <w:gridAfter w:val="1"/>
          <w:wAfter w:w="48" w:type="pct"/>
        </w:trPr>
        <w:tc>
          <w:tcPr>
            <w:tcW w:w="4952" w:type="pct"/>
            <w:gridSpan w:val="4"/>
          </w:tcPr>
          <w:p w:rsidR="00EE4290" w:rsidRPr="00003B04" w:rsidRDefault="00EE4290" w:rsidP="00EE4290">
            <w:pPr>
              <w:jc w:val="both"/>
              <w:rPr>
                <w:sz w:val="20"/>
              </w:rPr>
            </w:pPr>
            <w:r w:rsidRPr="00003B04">
              <w:rPr>
                <w:i/>
                <w:sz w:val="20"/>
              </w:rPr>
              <w:t>Canadian Charter of Rights and Freedoms</w:t>
            </w:r>
            <w:r w:rsidRPr="00003B04">
              <w:rPr>
                <w:sz w:val="20"/>
              </w:rPr>
              <w:t xml:space="preserve"> – Criminal law – Extradition – Committal – Whether the Court of Appeal erred in: (1) not interfering with the extradition hearing judge’s dismissal of the application</w:t>
            </w:r>
            <w:r w:rsidRPr="00003B04">
              <w:rPr>
                <w:i/>
                <w:iCs/>
                <w:sz w:val="20"/>
              </w:rPr>
              <w:t xml:space="preserve"> </w:t>
            </w:r>
            <w:r w:rsidRPr="00003B04">
              <w:rPr>
                <w:sz w:val="20"/>
              </w:rPr>
              <w:t xml:space="preserve">to adduce expert evidence; (2) concluding that the applicant was not entitled to disclosure of the background of the undercover agent; (3) concluding that “dual criminality” had been established and in failing to consider the impact on the applicant’s rights under ss. 6 and 7 of the </w:t>
            </w:r>
            <w:r w:rsidRPr="00003B04">
              <w:rPr>
                <w:i/>
                <w:iCs/>
                <w:sz w:val="20"/>
              </w:rPr>
              <w:t>Charter</w:t>
            </w:r>
            <w:r w:rsidRPr="00003B04">
              <w:rPr>
                <w:iCs/>
                <w:sz w:val="20"/>
              </w:rPr>
              <w:t>; and (4) </w:t>
            </w:r>
            <w:r w:rsidRPr="00003B04">
              <w:rPr>
                <w:sz w:val="20"/>
              </w:rPr>
              <w:t xml:space="preserve">concluding that there was evidence sufficient to satisfy the test for committal under the </w:t>
            </w:r>
            <w:r w:rsidRPr="00003B04">
              <w:rPr>
                <w:i/>
                <w:iCs/>
                <w:sz w:val="20"/>
              </w:rPr>
              <w:t>Extradition Act</w:t>
            </w:r>
            <w:r w:rsidRPr="00003B04">
              <w:rPr>
                <w:iCs/>
                <w:sz w:val="20"/>
              </w:rPr>
              <w:t>,</w:t>
            </w:r>
            <w:r w:rsidRPr="00003B04">
              <w:rPr>
                <w:sz w:val="20"/>
              </w:rPr>
              <w:t xml:space="preserve"> S.C. 1999, c 18.</w:t>
            </w:r>
          </w:p>
          <w:p w:rsidR="00EE4290" w:rsidRPr="00003B04" w:rsidRDefault="00EE4290" w:rsidP="00EE4290">
            <w:pPr>
              <w:jc w:val="both"/>
              <w:rPr>
                <w:sz w:val="20"/>
              </w:rPr>
            </w:pPr>
          </w:p>
        </w:tc>
      </w:tr>
      <w:tr w:rsidR="00EE4290" w:rsidRPr="00003B04" w:rsidTr="00EE4290">
        <w:trPr>
          <w:gridAfter w:val="1"/>
          <w:wAfter w:w="48" w:type="pct"/>
        </w:trPr>
        <w:tc>
          <w:tcPr>
            <w:tcW w:w="4952" w:type="pct"/>
            <w:gridSpan w:val="4"/>
          </w:tcPr>
          <w:p w:rsidR="00EE4290" w:rsidRPr="00003B04" w:rsidRDefault="00EE4290" w:rsidP="00EE4290">
            <w:pPr>
              <w:jc w:val="both"/>
              <w:rPr>
                <w:sz w:val="20"/>
              </w:rPr>
            </w:pPr>
            <w:r w:rsidRPr="00003B04">
              <w:rPr>
                <w:sz w:val="20"/>
              </w:rPr>
              <w:t xml:space="preserve">Shaun </w:t>
            </w:r>
            <w:proofErr w:type="spellStart"/>
            <w:r w:rsidRPr="00003B04">
              <w:rPr>
                <w:sz w:val="20"/>
              </w:rPr>
              <w:t>Sunduk</w:t>
            </w:r>
            <w:proofErr w:type="spellEnd"/>
            <w:r w:rsidRPr="00003B04">
              <w:rPr>
                <w:sz w:val="20"/>
              </w:rPr>
              <w:t xml:space="preserve"> is sought for extradition by the United States to stand trial with respect to allegations related to certain 2009 drug offences. It is alleged that Mr. </w:t>
            </w:r>
            <w:proofErr w:type="spellStart"/>
            <w:r w:rsidRPr="00003B04">
              <w:rPr>
                <w:sz w:val="20"/>
              </w:rPr>
              <w:t>Sunduk</w:t>
            </w:r>
            <w:proofErr w:type="spellEnd"/>
            <w:r w:rsidRPr="00003B04">
              <w:rPr>
                <w:sz w:val="20"/>
              </w:rPr>
              <w:t xml:space="preserve"> was involved in the cross border trafficking of a controlled substance, being ecstasy, as well as a substance that was held out to be ecstasy.</w:t>
            </w:r>
          </w:p>
          <w:p w:rsidR="00EE4290" w:rsidRPr="00003B04" w:rsidRDefault="00EE4290" w:rsidP="00EE4290">
            <w:pPr>
              <w:jc w:val="both"/>
              <w:rPr>
                <w:sz w:val="20"/>
              </w:rPr>
            </w:pPr>
          </w:p>
        </w:tc>
      </w:tr>
      <w:tr w:rsidR="00EE4290" w:rsidRPr="00003B04" w:rsidTr="00EE4290">
        <w:trPr>
          <w:gridAfter w:val="1"/>
          <w:wAfter w:w="48" w:type="pct"/>
        </w:trPr>
        <w:tc>
          <w:tcPr>
            <w:tcW w:w="4952" w:type="pct"/>
            <w:gridSpan w:val="4"/>
          </w:tcPr>
          <w:p w:rsidR="00EE4290" w:rsidRPr="00003B04" w:rsidRDefault="00EE4290" w:rsidP="00EE4290">
            <w:pPr>
              <w:jc w:val="both"/>
              <w:rPr>
                <w:sz w:val="20"/>
              </w:rPr>
            </w:pPr>
            <w:r w:rsidRPr="00003B04">
              <w:rPr>
                <w:sz w:val="20"/>
              </w:rPr>
              <w:t>The Manitoba Court of Queen’s Bench: dismissed Mr. </w:t>
            </w:r>
            <w:proofErr w:type="spellStart"/>
            <w:r w:rsidRPr="00003B04">
              <w:rPr>
                <w:sz w:val="20"/>
              </w:rPr>
              <w:t>Sunduk’s</w:t>
            </w:r>
            <w:proofErr w:type="spellEnd"/>
            <w:r w:rsidRPr="00003B04">
              <w:rPr>
                <w:sz w:val="20"/>
              </w:rPr>
              <w:t xml:space="preserve"> preliminary motion under s. 24(1) of the</w:t>
            </w:r>
            <w:r w:rsidRPr="00003B04">
              <w:rPr>
                <w:i/>
                <w:sz w:val="20"/>
              </w:rPr>
              <w:t xml:space="preserve"> Charter</w:t>
            </w:r>
            <w:r w:rsidRPr="00003B04">
              <w:rPr>
                <w:sz w:val="20"/>
              </w:rPr>
              <w:t xml:space="preserve"> for additional documentary disclosure; dismissed his application under s. 32 of the </w:t>
            </w:r>
            <w:r w:rsidRPr="00003B04">
              <w:rPr>
                <w:i/>
                <w:sz w:val="20"/>
              </w:rPr>
              <w:t>Extradition Act</w:t>
            </w:r>
            <w:r w:rsidRPr="00003B04">
              <w:rPr>
                <w:sz w:val="20"/>
              </w:rPr>
              <w:t>, SC 1999, c 18, to adduce expert evidence; and ordered the committal of Mr. </w:t>
            </w:r>
            <w:proofErr w:type="spellStart"/>
            <w:r w:rsidRPr="00003B04">
              <w:rPr>
                <w:sz w:val="20"/>
              </w:rPr>
              <w:t>Sunduk</w:t>
            </w:r>
            <w:proofErr w:type="spellEnd"/>
            <w:r w:rsidRPr="00003B04">
              <w:rPr>
                <w:sz w:val="20"/>
              </w:rPr>
              <w:t xml:space="preserve"> into custody to await surrender to the U.S., finding there was evidence sufficient to satisfy the test for committal under the Act. The Minister of Justice ordered Mr. </w:t>
            </w:r>
            <w:proofErr w:type="spellStart"/>
            <w:r w:rsidRPr="00003B04">
              <w:rPr>
                <w:sz w:val="20"/>
              </w:rPr>
              <w:t>Sunduk’s</w:t>
            </w:r>
            <w:proofErr w:type="spellEnd"/>
            <w:r w:rsidRPr="00003B04">
              <w:rPr>
                <w:sz w:val="20"/>
              </w:rPr>
              <w:t xml:space="preserve"> surrender. Mr. </w:t>
            </w:r>
            <w:proofErr w:type="spellStart"/>
            <w:r w:rsidRPr="00003B04">
              <w:rPr>
                <w:sz w:val="20"/>
              </w:rPr>
              <w:t>Sunduk</w:t>
            </w:r>
            <w:proofErr w:type="spellEnd"/>
            <w:r w:rsidRPr="00003B04">
              <w:rPr>
                <w:sz w:val="20"/>
              </w:rPr>
              <w:t xml:space="preserve"> did not bring an application for judicial review in respect of the Minister’s surrender order. The Manitoba Court of Appeal dismissed Mr. </w:t>
            </w:r>
            <w:proofErr w:type="spellStart"/>
            <w:r w:rsidRPr="00003B04">
              <w:rPr>
                <w:sz w:val="20"/>
              </w:rPr>
              <w:t>Sunduk’s</w:t>
            </w:r>
            <w:proofErr w:type="spellEnd"/>
            <w:r w:rsidRPr="00003B04">
              <w:rPr>
                <w:sz w:val="20"/>
              </w:rPr>
              <w:t xml:space="preserve"> appeal from the extradition judge’s order committing him into custody.</w:t>
            </w:r>
          </w:p>
          <w:p w:rsidR="00EE4290" w:rsidRPr="00003B04" w:rsidRDefault="00EE4290" w:rsidP="00EE4290">
            <w:pPr>
              <w:jc w:val="both"/>
              <w:rPr>
                <w:sz w:val="20"/>
              </w:rPr>
            </w:pPr>
          </w:p>
        </w:tc>
      </w:tr>
      <w:tr w:rsidR="00EE4290" w:rsidRPr="00003B04" w:rsidTr="00EE4290">
        <w:tblPrEx>
          <w:tblCellMar>
            <w:bottom w:w="0" w:type="dxa"/>
          </w:tblCellMar>
        </w:tblPrEx>
        <w:tc>
          <w:tcPr>
            <w:tcW w:w="2367" w:type="pct"/>
            <w:gridSpan w:val="2"/>
          </w:tcPr>
          <w:p w:rsidR="00EE4290" w:rsidRPr="00003B04" w:rsidRDefault="00EE4290" w:rsidP="00EE4290">
            <w:pPr>
              <w:jc w:val="both"/>
              <w:rPr>
                <w:sz w:val="20"/>
              </w:rPr>
            </w:pPr>
            <w:r w:rsidRPr="00003B04">
              <w:rPr>
                <w:sz w:val="20"/>
              </w:rPr>
              <w:t>June 14, 2012</w:t>
            </w:r>
          </w:p>
          <w:p w:rsidR="00EE4290" w:rsidRPr="00003B04" w:rsidRDefault="00EE4290" w:rsidP="00EE4290">
            <w:pPr>
              <w:jc w:val="both"/>
              <w:rPr>
                <w:sz w:val="20"/>
              </w:rPr>
            </w:pPr>
            <w:r w:rsidRPr="00003B04">
              <w:rPr>
                <w:sz w:val="20"/>
              </w:rPr>
              <w:t>Court of Queen’s Bench of Manitoba</w:t>
            </w:r>
          </w:p>
          <w:p w:rsidR="00EE4290" w:rsidRPr="00003B04" w:rsidRDefault="00EE4290" w:rsidP="00EE4290">
            <w:pPr>
              <w:jc w:val="both"/>
              <w:rPr>
                <w:sz w:val="20"/>
              </w:rPr>
            </w:pPr>
            <w:r w:rsidRPr="00003B04">
              <w:rPr>
                <w:sz w:val="20"/>
              </w:rPr>
              <w:t>(</w:t>
            </w:r>
            <w:proofErr w:type="spellStart"/>
            <w:r w:rsidRPr="00003B04">
              <w:rPr>
                <w:sz w:val="20"/>
              </w:rPr>
              <w:t>McKelvey</w:t>
            </w:r>
            <w:proofErr w:type="spellEnd"/>
            <w:r w:rsidRPr="00003B04">
              <w:rPr>
                <w:sz w:val="20"/>
              </w:rPr>
              <w:t xml:space="preserve"> J.)</w:t>
            </w:r>
          </w:p>
          <w:p w:rsidR="00EE4290" w:rsidRPr="00003B04" w:rsidRDefault="00604445" w:rsidP="00EE4290">
            <w:pPr>
              <w:jc w:val="both"/>
              <w:rPr>
                <w:sz w:val="20"/>
              </w:rPr>
            </w:pPr>
            <w:hyperlink r:id="rId25" w:history="1">
              <w:r w:rsidR="00EE4290" w:rsidRPr="00003B04">
                <w:rPr>
                  <w:rStyle w:val="Hyperlink"/>
                  <w:sz w:val="20"/>
                </w:rPr>
                <w:t>2012 MBQB 178</w:t>
              </w:r>
            </w:hyperlink>
          </w:p>
          <w:p w:rsidR="00EE4290" w:rsidRPr="00003B04" w:rsidRDefault="00EE4290" w:rsidP="00EE4290">
            <w:pPr>
              <w:jc w:val="both"/>
              <w:rPr>
                <w:sz w:val="20"/>
              </w:rPr>
            </w:pPr>
          </w:p>
        </w:tc>
        <w:tc>
          <w:tcPr>
            <w:tcW w:w="267" w:type="pct"/>
          </w:tcPr>
          <w:p w:rsidR="00EE4290" w:rsidRPr="00003B04" w:rsidRDefault="00EE4290" w:rsidP="00EE4290">
            <w:pPr>
              <w:jc w:val="both"/>
              <w:rPr>
                <w:sz w:val="20"/>
              </w:rPr>
            </w:pPr>
          </w:p>
        </w:tc>
        <w:tc>
          <w:tcPr>
            <w:tcW w:w="2366" w:type="pct"/>
            <w:gridSpan w:val="2"/>
          </w:tcPr>
          <w:p w:rsidR="00EE4290" w:rsidRPr="00003B04" w:rsidRDefault="00EE4290" w:rsidP="00EE4290">
            <w:pPr>
              <w:jc w:val="both"/>
              <w:rPr>
                <w:sz w:val="20"/>
              </w:rPr>
            </w:pPr>
            <w:r w:rsidRPr="00003B04">
              <w:rPr>
                <w:sz w:val="20"/>
              </w:rPr>
              <w:t>Applicant’s motion under s. 24(1) of the</w:t>
            </w:r>
            <w:r w:rsidRPr="00003B04">
              <w:rPr>
                <w:i/>
                <w:sz w:val="20"/>
              </w:rPr>
              <w:t xml:space="preserve"> Canadian Charter of Rights and Freedoms</w:t>
            </w:r>
            <w:r w:rsidRPr="00003B04">
              <w:rPr>
                <w:sz w:val="20"/>
              </w:rPr>
              <w:t xml:space="preserve"> for additional documentary disclosure, dismissed.</w:t>
            </w:r>
          </w:p>
        </w:tc>
      </w:tr>
      <w:tr w:rsidR="00EE4290" w:rsidRPr="00003B04" w:rsidTr="00EE4290">
        <w:tblPrEx>
          <w:tblCellMar>
            <w:bottom w:w="0" w:type="dxa"/>
          </w:tblCellMar>
        </w:tblPrEx>
        <w:tc>
          <w:tcPr>
            <w:tcW w:w="2367" w:type="pct"/>
            <w:gridSpan w:val="2"/>
          </w:tcPr>
          <w:p w:rsidR="00EE4290" w:rsidRPr="00003B04" w:rsidRDefault="00EE4290" w:rsidP="00EE4290">
            <w:pPr>
              <w:jc w:val="both"/>
              <w:rPr>
                <w:sz w:val="20"/>
              </w:rPr>
            </w:pPr>
            <w:r w:rsidRPr="00003B04">
              <w:rPr>
                <w:sz w:val="20"/>
              </w:rPr>
              <w:t>May 1, 2013</w:t>
            </w:r>
          </w:p>
          <w:p w:rsidR="00EE4290" w:rsidRPr="00003B04" w:rsidRDefault="00EE4290" w:rsidP="00EE4290">
            <w:pPr>
              <w:jc w:val="both"/>
              <w:rPr>
                <w:sz w:val="20"/>
              </w:rPr>
            </w:pPr>
            <w:r w:rsidRPr="00003B04">
              <w:rPr>
                <w:sz w:val="20"/>
              </w:rPr>
              <w:t>Court of Queen’s Bench of Manitoba</w:t>
            </w:r>
          </w:p>
          <w:p w:rsidR="00EE4290" w:rsidRPr="00003B04" w:rsidRDefault="00EE4290" w:rsidP="00EE4290">
            <w:pPr>
              <w:jc w:val="both"/>
              <w:rPr>
                <w:sz w:val="20"/>
              </w:rPr>
            </w:pPr>
            <w:r w:rsidRPr="00003B04">
              <w:rPr>
                <w:sz w:val="20"/>
              </w:rPr>
              <w:t>(</w:t>
            </w:r>
            <w:proofErr w:type="spellStart"/>
            <w:r w:rsidRPr="00003B04">
              <w:rPr>
                <w:sz w:val="20"/>
              </w:rPr>
              <w:t>McKelvey</w:t>
            </w:r>
            <w:proofErr w:type="spellEnd"/>
            <w:r w:rsidRPr="00003B04">
              <w:rPr>
                <w:sz w:val="20"/>
              </w:rPr>
              <w:t xml:space="preserve"> J.)</w:t>
            </w:r>
          </w:p>
          <w:p w:rsidR="00EE4290" w:rsidRPr="00003B04" w:rsidRDefault="00604445" w:rsidP="00EE4290">
            <w:pPr>
              <w:jc w:val="both"/>
              <w:rPr>
                <w:sz w:val="20"/>
              </w:rPr>
            </w:pPr>
            <w:hyperlink r:id="rId26" w:history="1">
              <w:r w:rsidR="00EE4290" w:rsidRPr="00003B04">
                <w:rPr>
                  <w:rStyle w:val="Hyperlink"/>
                  <w:sz w:val="20"/>
                </w:rPr>
                <w:t>2013 MBQB 101</w:t>
              </w:r>
            </w:hyperlink>
          </w:p>
          <w:p w:rsidR="00EE4290" w:rsidRPr="00003B04" w:rsidRDefault="00EE4290" w:rsidP="00EE4290">
            <w:pPr>
              <w:jc w:val="both"/>
              <w:rPr>
                <w:sz w:val="20"/>
              </w:rPr>
            </w:pPr>
          </w:p>
        </w:tc>
        <w:tc>
          <w:tcPr>
            <w:tcW w:w="267" w:type="pct"/>
          </w:tcPr>
          <w:p w:rsidR="00EE4290" w:rsidRPr="00003B04" w:rsidRDefault="00EE4290" w:rsidP="00EE4290">
            <w:pPr>
              <w:jc w:val="both"/>
              <w:rPr>
                <w:sz w:val="20"/>
              </w:rPr>
            </w:pPr>
          </w:p>
        </w:tc>
        <w:tc>
          <w:tcPr>
            <w:tcW w:w="2366" w:type="pct"/>
            <w:gridSpan w:val="2"/>
          </w:tcPr>
          <w:p w:rsidR="00EE4290" w:rsidRPr="00003B04" w:rsidRDefault="00EE4290" w:rsidP="00EE4290">
            <w:pPr>
              <w:jc w:val="both"/>
              <w:rPr>
                <w:sz w:val="20"/>
              </w:rPr>
            </w:pPr>
            <w:r w:rsidRPr="00003B04">
              <w:rPr>
                <w:sz w:val="20"/>
              </w:rPr>
              <w:t xml:space="preserve">Applicant’s application under s. 32 of the </w:t>
            </w:r>
            <w:r w:rsidRPr="00003B04">
              <w:rPr>
                <w:i/>
                <w:sz w:val="20"/>
              </w:rPr>
              <w:t>Extradition Act</w:t>
            </w:r>
            <w:r w:rsidRPr="00003B04">
              <w:rPr>
                <w:sz w:val="20"/>
              </w:rPr>
              <w:t>, SC 1999, c 18, to adduce expert evidence, dismissed.</w:t>
            </w:r>
          </w:p>
          <w:p w:rsidR="00EE4290" w:rsidRPr="00003B04" w:rsidRDefault="00EE4290" w:rsidP="00EE4290">
            <w:pPr>
              <w:jc w:val="both"/>
              <w:rPr>
                <w:sz w:val="20"/>
              </w:rPr>
            </w:pPr>
          </w:p>
        </w:tc>
      </w:tr>
      <w:tr w:rsidR="00EE4290" w:rsidRPr="00003B04" w:rsidTr="00EE4290">
        <w:tblPrEx>
          <w:tblCellMar>
            <w:bottom w:w="0" w:type="dxa"/>
          </w:tblCellMar>
        </w:tblPrEx>
        <w:tc>
          <w:tcPr>
            <w:tcW w:w="2367" w:type="pct"/>
            <w:gridSpan w:val="2"/>
          </w:tcPr>
          <w:p w:rsidR="00EE4290" w:rsidRPr="00003B04" w:rsidRDefault="00EE4290" w:rsidP="00EE4290">
            <w:pPr>
              <w:jc w:val="both"/>
              <w:rPr>
                <w:sz w:val="20"/>
              </w:rPr>
            </w:pPr>
            <w:r w:rsidRPr="00003B04">
              <w:rPr>
                <w:sz w:val="20"/>
              </w:rPr>
              <w:t>October 24, 2014</w:t>
            </w:r>
          </w:p>
          <w:p w:rsidR="00EE4290" w:rsidRPr="00003B04" w:rsidRDefault="00EE4290" w:rsidP="00EE4290">
            <w:pPr>
              <w:jc w:val="both"/>
              <w:rPr>
                <w:sz w:val="20"/>
              </w:rPr>
            </w:pPr>
            <w:r w:rsidRPr="00003B04">
              <w:rPr>
                <w:sz w:val="20"/>
              </w:rPr>
              <w:t>Court of Queen’s Bench of Manitoba</w:t>
            </w:r>
          </w:p>
          <w:p w:rsidR="00EE4290" w:rsidRPr="00003B04" w:rsidRDefault="00EE4290" w:rsidP="00EE4290">
            <w:pPr>
              <w:jc w:val="both"/>
              <w:rPr>
                <w:sz w:val="20"/>
              </w:rPr>
            </w:pPr>
            <w:r w:rsidRPr="00003B04">
              <w:rPr>
                <w:sz w:val="20"/>
              </w:rPr>
              <w:t>(</w:t>
            </w:r>
            <w:proofErr w:type="spellStart"/>
            <w:r w:rsidRPr="00003B04">
              <w:rPr>
                <w:sz w:val="20"/>
              </w:rPr>
              <w:t>McKelvey</w:t>
            </w:r>
            <w:proofErr w:type="spellEnd"/>
            <w:r w:rsidRPr="00003B04">
              <w:rPr>
                <w:sz w:val="20"/>
              </w:rPr>
              <w:t xml:space="preserve"> J.)</w:t>
            </w:r>
          </w:p>
          <w:p w:rsidR="00EE4290" w:rsidRPr="00003B04" w:rsidRDefault="00604445" w:rsidP="00EE4290">
            <w:pPr>
              <w:jc w:val="both"/>
              <w:rPr>
                <w:sz w:val="20"/>
              </w:rPr>
            </w:pPr>
            <w:hyperlink r:id="rId27" w:history="1">
              <w:r w:rsidR="00EE4290" w:rsidRPr="00003B04">
                <w:rPr>
                  <w:rStyle w:val="Hyperlink"/>
                  <w:sz w:val="20"/>
                </w:rPr>
                <w:t>2014 MBQB 204</w:t>
              </w:r>
            </w:hyperlink>
          </w:p>
          <w:p w:rsidR="00EE4290" w:rsidRPr="00003B04" w:rsidRDefault="00EE4290" w:rsidP="00EE4290">
            <w:pPr>
              <w:jc w:val="both"/>
              <w:rPr>
                <w:sz w:val="20"/>
              </w:rPr>
            </w:pPr>
          </w:p>
        </w:tc>
        <w:tc>
          <w:tcPr>
            <w:tcW w:w="267" w:type="pct"/>
          </w:tcPr>
          <w:p w:rsidR="00EE4290" w:rsidRPr="00003B04" w:rsidRDefault="00EE4290" w:rsidP="00EE4290">
            <w:pPr>
              <w:jc w:val="both"/>
              <w:rPr>
                <w:sz w:val="20"/>
              </w:rPr>
            </w:pPr>
          </w:p>
        </w:tc>
        <w:tc>
          <w:tcPr>
            <w:tcW w:w="2366" w:type="pct"/>
            <w:gridSpan w:val="2"/>
          </w:tcPr>
          <w:p w:rsidR="00EE4290" w:rsidRPr="00003B04" w:rsidRDefault="00EE4290" w:rsidP="00EE4290">
            <w:pPr>
              <w:jc w:val="both"/>
              <w:rPr>
                <w:sz w:val="20"/>
              </w:rPr>
            </w:pPr>
            <w:r w:rsidRPr="00003B04">
              <w:rPr>
                <w:sz w:val="20"/>
              </w:rPr>
              <w:t>Respondent’s application seeking order for applicant’s committal into custody to await Minister’s surrender decision, granted.</w:t>
            </w:r>
          </w:p>
          <w:p w:rsidR="00EE4290" w:rsidRPr="00003B04" w:rsidRDefault="00EE4290" w:rsidP="00EE4290">
            <w:pPr>
              <w:jc w:val="both"/>
              <w:rPr>
                <w:sz w:val="20"/>
              </w:rPr>
            </w:pPr>
          </w:p>
          <w:p w:rsidR="00EE4290" w:rsidRPr="00003B04" w:rsidRDefault="00EE4290" w:rsidP="00EE4290">
            <w:pPr>
              <w:jc w:val="both"/>
              <w:rPr>
                <w:sz w:val="20"/>
              </w:rPr>
            </w:pPr>
          </w:p>
        </w:tc>
      </w:tr>
      <w:tr w:rsidR="00EE4290" w:rsidRPr="00003B04" w:rsidTr="00EE4290">
        <w:tblPrEx>
          <w:tblCellMar>
            <w:bottom w:w="0" w:type="dxa"/>
          </w:tblCellMar>
        </w:tblPrEx>
        <w:tc>
          <w:tcPr>
            <w:tcW w:w="2367" w:type="pct"/>
            <w:gridSpan w:val="2"/>
          </w:tcPr>
          <w:p w:rsidR="00EE4290" w:rsidRPr="00003B04" w:rsidRDefault="00EE4290" w:rsidP="00EE4290">
            <w:pPr>
              <w:jc w:val="both"/>
              <w:rPr>
                <w:sz w:val="20"/>
              </w:rPr>
            </w:pPr>
            <w:r w:rsidRPr="00003B04">
              <w:rPr>
                <w:sz w:val="20"/>
              </w:rPr>
              <w:t>September 19, 2016</w:t>
            </w:r>
          </w:p>
          <w:p w:rsidR="00EE4290" w:rsidRPr="00003B04" w:rsidRDefault="00EE4290" w:rsidP="00EE4290">
            <w:pPr>
              <w:jc w:val="both"/>
              <w:rPr>
                <w:sz w:val="20"/>
              </w:rPr>
            </w:pPr>
            <w:r w:rsidRPr="00003B04">
              <w:rPr>
                <w:sz w:val="20"/>
              </w:rPr>
              <w:t>Court of Appeal of Manitoba</w:t>
            </w:r>
          </w:p>
          <w:p w:rsidR="00EE4290" w:rsidRPr="00003B04" w:rsidRDefault="00EE4290" w:rsidP="00EE4290">
            <w:pPr>
              <w:jc w:val="both"/>
              <w:rPr>
                <w:sz w:val="20"/>
              </w:rPr>
            </w:pPr>
            <w:r w:rsidRPr="00003B04">
              <w:rPr>
                <w:sz w:val="20"/>
              </w:rPr>
              <w:t xml:space="preserve">(Hamilton, </w:t>
            </w:r>
            <w:proofErr w:type="spellStart"/>
            <w:r w:rsidRPr="00003B04">
              <w:rPr>
                <w:sz w:val="20"/>
              </w:rPr>
              <w:t>MacInnes</w:t>
            </w:r>
            <w:proofErr w:type="spellEnd"/>
            <w:r w:rsidRPr="00003B04">
              <w:rPr>
                <w:sz w:val="20"/>
              </w:rPr>
              <w:t xml:space="preserve"> and </w:t>
            </w:r>
            <w:proofErr w:type="spellStart"/>
            <w:r w:rsidRPr="00003B04">
              <w:rPr>
                <w:sz w:val="20"/>
              </w:rPr>
              <w:t>leMaistre</w:t>
            </w:r>
            <w:proofErr w:type="spellEnd"/>
            <w:r w:rsidRPr="00003B04">
              <w:rPr>
                <w:sz w:val="20"/>
              </w:rPr>
              <w:t xml:space="preserve"> JJ.A.)</w:t>
            </w:r>
          </w:p>
          <w:p w:rsidR="00EE4290" w:rsidRPr="00003B04" w:rsidRDefault="00604445" w:rsidP="00EE4290">
            <w:pPr>
              <w:jc w:val="both"/>
              <w:rPr>
                <w:sz w:val="20"/>
              </w:rPr>
            </w:pPr>
            <w:hyperlink r:id="rId28" w:history="1">
              <w:r w:rsidR="00EE4290" w:rsidRPr="00003B04">
                <w:rPr>
                  <w:rStyle w:val="Hyperlink"/>
                  <w:sz w:val="20"/>
                </w:rPr>
                <w:t>2016 MBCA 90</w:t>
              </w:r>
            </w:hyperlink>
          </w:p>
          <w:p w:rsidR="00EE4290" w:rsidRPr="00003B04" w:rsidRDefault="00EE4290" w:rsidP="00EE4290">
            <w:pPr>
              <w:jc w:val="both"/>
              <w:rPr>
                <w:sz w:val="20"/>
              </w:rPr>
            </w:pPr>
          </w:p>
        </w:tc>
        <w:tc>
          <w:tcPr>
            <w:tcW w:w="267" w:type="pct"/>
          </w:tcPr>
          <w:p w:rsidR="00EE4290" w:rsidRPr="00003B04" w:rsidRDefault="00EE4290" w:rsidP="00EE4290">
            <w:pPr>
              <w:jc w:val="both"/>
              <w:rPr>
                <w:sz w:val="20"/>
              </w:rPr>
            </w:pPr>
          </w:p>
        </w:tc>
        <w:tc>
          <w:tcPr>
            <w:tcW w:w="2366" w:type="pct"/>
            <w:gridSpan w:val="2"/>
          </w:tcPr>
          <w:p w:rsidR="00EE4290" w:rsidRPr="00003B04" w:rsidRDefault="00EE4290" w:rsidP="00EE4290">
            <w:pPr>
              <w:jc w:val="both"/>
              <w:rPr>
                <w:sz w:val="20"/>
              </w:rPr>
            </w:pPr>
            <w:r w:rsidRPr="00003B04">
              <w:rPr>
                <w:sz w:val="20"/>
              </w:rPr>
              <w:t>Applicant’s appeal, dismissed.</w:t>
            </w:r>
          </w:p>
          <w:p w:rsidR="00EE4290" w:rsidRPr="00003B04" w:rsidRDefault="00EE4290" w:rsidP="00EE4290">
            <w:pPr>
              <w:jc w:val="both"/>
              <w:rPr>
                <w:sz w:val="20"/>
              </w:rPr>
            </w:pPr>
          </w:p>
        </w:tc>
      </w:tr>
    </w:tbl>
    <w:p w:rsidR="000E7F29" w:rsidRPr="00003B04" w:rsidRDefault="000E7F29">
      <w:r w:rsidRPr="00003B04">
        <w:br w:type="page"/>
      </w:r>
    </w:p>
    <w:tbl>
      <w:tblPr>
        <w:tblW w:w="5000" w:type="pct"/>
        <w:tblLayout w:type="fixed"/>
        <w:tblCellMar>
          <w:left w:w="0" w:type="dxa"/>
          <w:right w:w="0" w:type="dxa"/>
        </w:tblCellMar>
        <w:tblLook w:val="04A0" w:firstRow="1" w:lastRow="0" w:firstColumn="1" w:lastColumn="0" w:noHBand="0" w:noVBand="1"/>
      </w:tblPr>
      <w:tblGrid>
        <w:gridCol w:w="4553"/>
        <w:gridCol w:w="514"/>
        <w:gridCol w:w="4552"/>
      </w:tblGrid>
      <w:tr w:rsidR="00EE4290" w:rsidRPr="00003B04" w:rsidTr="00EE4290">
        <w:tc>
          <w:tcPr>
            <w:tcW w:w="2367" w:type="pct"/>
          </w:tcPr>
          <w:p w:rsidR="00EE4290" w:rsidRPr="00003B04" w:rsidRDefault="00EE4290" w:rsidP="00EE4290">
            <w:pPr>
              <w:jc w:val="both"/>
              <w:rPr>
                <w:sz w:val="20"/>
              </w:rPr>
            </w:pPr>
            <w:r w:rsidRPr="00003B04">
              <w:rPr>
                <w:sz w:val="20"/>
              </w:rPr>
              <w:lastRenderedPageBreak/>
              <w:t>November 18, 2016</w:t>
            </w:r>
          </w:p>
          <w:p w:rsidR="00EE4290" w:rsidRPr="00003B04" w:rsidRDefault="00EE4290" w:rsidP="00EE4290">
            <w:pPr>
              <w:jc w:val="both"/>
              <w:rPr>
                <w:sz w:val="20"/>
              </w:rPr>
            </w:pPr>
            <w:r w:rsidRPr="00003B04">
              <w:rPr>
                <w:sz w:val="20"/>
              </w:rPr>
              <w:t>Supreme Court of Canada</w:t>
            </w:r>
          </w:p>
        </w:tc>
        <w:tc>
          <w:tcPr>
            <w:tcW w:w="267" w:type="pct"/>
          </w:tcPr>
          <w:p w:rsidR="00EE4290" w:rsidRPr="00003B04" w:rsidRDefault="00EE4290" w:rsidP="00EE4290">
            <w:pPr>
              <w:jc w:val="both"/>
              <w:rPr>
                <w:sz w:val="20"/>
              </w:rPr>
            </w:pPr>
          </w:p>
        </w:tc>
        <w:tc>
          <w:tcPr>
            <w:tcW w:w="2366" w:type="pct"/>
          </w:tcPr>
          <w:p w:rsidR="00EE4290" w:rsidRPr="00003B04" w:rsidRDefault="00EE4290" w:rsidP="00EE4290">
            <w:pPr>
              <w:jc w:val="both"/>
              <w:rPr>
                <w:sz w:val="20"/>
              </w:rPr>
            </w:pPr>
            <w:r w:rsidRPr="00003B04">
              <w:rPr>
                <w:sz w:val="20"/>
              </w:rPr>
              <w:t>Application for leave to appeal, filed.</w:t>
            </w:r>
          </w:p>
          <w:p w:rsidR="00EE4290" w:rsidRPr="00003B04" w:rsidRDefault="00EE4290" w:rsidP="00EE4290">
            <w:pPr>
              <w:jc w:val="both"/>
              <w:rPr>
                <w:sz w:val="20"/>
              </w:rPr>
            </w:pPr>
          </w:p>
        </w:tc>
      </w:tr>
    </w:tbl>
    <w:p w:rsidR="00EE4290" w:rsidRPr="00003B04" w:rsidRDefault="00604445" w:rsidP="00EE4290">
      <w:pPr>
        <w:jc w:val="both"/>
        <w:rPr>
          <w:sz w:val="20"/>
        </w:rPr>
      </w:pPr>
      <w:r>
        <w:rPr>
          <w:sz w:val="20"/>
          <w:szCs w:val="20"/>
        </w:rPr>
        <w:pict>
          <v:rect id="_x0000_i1049" style="width:2in;height:1pt" o:hrpct="0" o:hralign="center" o:hrstd="t" o:hrnoshade="t" o:hr="t" fillcolor="black [3213]" stroked="f"/>
        </w:pict>
      </w:r>
    </w:p>
    <w:p w:rsidR="00EE4290" w:rsidRPr="00003B04" w:rsidRDefault="00EE4290" w:rsidP="00EE4290">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EE4290" w:rsidRPr="00003B04" w:rsidTr="00EE4290">
        <w:trPr>
          <w:gridAfter w:val="1"/>
          <w:wAfter w:w="48" w:type="pct"/>
        </w:trPr>
        <w:tc>
          <w:tcPr>
            <w:tcW w:w="538" w:type="pct"/>
          </w:tcPr>
          <w:p w:rsidR="00EE4290" w:rsidRPr="00003B04" w:rsidRDefault="00EE4290" w:rsidP="00EE4290">
            <w:pPr>
              <w:jc w:val="both"/>
              <w:rPr>
                <w:sz w:val="20"/>
              </w:rPr>
            </w:pPr>
            <w:r w:rsidRPr="00003B04">
              <w:rPr>
                <w:rStyle w:val="SCCFileNumberChar"/>
                <w:sz w:val="20"/>
                <w:szCs w:val="20"/>
              </w:rPr>
              <w:t>37256</w:t>
            </w:r>
          </w:p>
        </w:tc>
        <w:tc>
          <w:tcPr>
            <w:tcW w:w="4414" w:type="pct"/>
            <w:gridSpan w:val="3"/>
          </w:tcPr>
          <w:p w:rsidR="00EE4290" w:rsidRPr="00003B04" w:rsidRDefault="00EE4290" w:rsidP="00EE4290">
            <w:pPr>
              <w:pStyle w:val="SCCLsocParty"/>
              <w:jc w:val="both"/>
              <w:rPr>
                <w:b/>
                <w:sz w:val="20"/>
                <w:szCs w:val="20"/>
              </w:rPr>
            </w:pPr>
            <w:proofErr w:type="spellStart"/>
            <w:r w:rsidRPr="00003B04">
              <w:rPr>
                <w:b/>
                <w:sz w:val="20"/>
                <w:szCs w:val="20"/>
              </w:rPr>
              <w:t>Shaun</w:t>
            </w:r>
            <w:proofErr w:type="spellEnd"/>
            <w:r w:rsidRPr="00003B04">
              <w:rPr>
                <w:b/>
                <w:sz w:val="20"/>
                <w:szCs w:val="20"/>
              </w:rPr>
              <w:t xml:space="preserve"> </w:t>
            </w:r>
            <w:proofErr w:type="spellStart"/>
            <w:r w:rsidRPr="00003B04">
              <w:rPr>
                <w:b/>
                <w:sz w:val="20"/>
                <w:szCs w:val="20"/>
              </w:rPr>
              <w:t>Sunduk</w:t>
            </w:r>
            <w:proofErr w:type="spellEnd"/>
            <w:r w:rsidRPr="00003B04">
              <w:rPr>
                <w:b/>
                <w:sz w:val="20"/>
                <w:szCs w:val="20"/>
              </w:rPr>
              <w:t xml:space="preserve"> c. Procureur général du Canada au nom des États-Unis d’Amérique</w:t>
            </w:r>
          </w:p>
          <w:p w:rsidR="00EE4290" w:rsidRPr="00003B04" w:rsidRDefault="00EE4290" w:rsidP="00EE4290">
            <w:pPr>
              <w:jc w:val="both"/>
              <w:rPr>
                <w:sz w:val="20"/>
              </w:rPr>
            </w:pPr>
            <w:r w:rsidRPr="00003B04">
              <w:rPr>
                <w:sz w:val="20"/>
              </w:rPr>
              <w:t>(Man.) (</w:t>
            </w:r>
            <w:proofErr w:type="spellStart"/>
            <w:r w:rsidRPr="00003B04">
              <w:rPr>
                <w:sz w:val="20"/>
              </w:rPr>
              <w:t>Criminelle</w:t>
            </w:r>
            <w:proofErr w:type="spellEnd"/>
            <w:r w:rsidRPr="00003B04">
              <w:rPr>
                <w:sz w:val="20"/>
              </w:rPr>
              <w:t xml:space="preserve">) (Sur </w:t>
            </w:r>
            <w:proofErr w:type="spellStart"/>
            <w:r w:rsidRPr="00003B04">
              <w:rPr>
                <w:sz w:val="20"/>
              </w:rPr>
              <w:t>autorisation</w:t>
            </w:r>
            <w:proofErr w:type="spellEnd"/>
            <w:r w:rsidRPr="00003B04">
              <w:rPr>
                <w:sz w:val="20"/>
              </w:rPr>
              <w:t>)</w:t>
            </w:r>
          </w:p>
        </w:tc>
      </w:tr>
      <w:tr w:rsidR="00EE4290" w:rsidRPr="00C3697D" w:rsidTr="00EE4290">
        <w:trPr>
          <w:gridAfter w:val="1"/>
          <w:wAfter w:w="48" w:type="pct"/>
        </w:trPr>
        <w:tc>
          <w:tcPr>
            <w:tcW w:w="538" w:type="pct"/>
          </w:tcPr>
          <w:p w:rsidR="00EE4290" w:rsidRPr="00003B04" w:rsidRDefault="00EE4290" w:rsidP="00EE4290">
            <w:pPr>
              <w:jc w:val="both"/>
              <w:rPr>
                <w:rStyle w:val="SCCFileNumberChar"/>
                <w:sz w:val="20"/>
                <w:szCs w:val="20"/>
              </w:rPr>
            </w:pPr>
            <w:r w:rsidRPr="00003B04">
              <w:rPr>
                <w:rStyle w:val="SCCFileNumberChar"/>
                <w:sz w:val="20"/>
                <w:szCs w:val="20"/>
              </w:rPr>
              <w:t>Coram:</w:t>
            </w:r>
          </w:p>
        </w:tc>
        <w:tc>
          <w:tcPr>
            <w:tcW w:w="4414" w:type="pct"/>
            <w:gridSpan w:val="3"/>
          </w:tcPr>
          <w:p w:rsidR="00EE4290" w:rsidRPr="00003B04" w:rsidRDefault="000E7F29" w:rsidP="00EE4290">
            <w:pPr>
              <w:pStyle w:val="SCCLsocParty"/>
              <w:jc w:val="both"/>
              <w:rPr>
                <w:sz w:val="20"/>
                <w:szCs w:val="20"/>
                <w:lang w:val="fr-FR"/>
              </w:rPr>
            </w:pPr>
            <w:r w:rsidRPr="00003B04">
              <w:rPr>
                <w:sz w:val="20"/>
                <w:szCs w:val="20"/>
                <w:lang w:val="fr-FR"/>
              </w:rPr>
              <w:t xml:space="preserve">La juge en chef </w:t>
            </w:r>
            <w:proofErr w:type="spellStart"/>
            <w:r w:rsidRPr="00003B04">
              <w:rPr>
                <w:sz w:val="20"/>
                <w:szCs w:val="20"/>
                <w:lang w:val="fr-FR"/>
              </w:rPr>
              <w:t>McLachlin</w:t>
            </w:r>
            <w:proofErr w:type="spellEnd"/>
            <w:r w:rsidRPr="00003B04">
              <w:rPr>
                <w:sz w:val="20"/>
                <w:szCs w:val="20"/>
                <w:lang w:val="fr-FR"/>
              </w:rPr>
              <w:t xml:space="preserve"> et les juges Abella, </w:t>
            </w:r>
            <w:proofErr w:type="spellStart"/>
            <w:r w:rsidRPr="00003B04">
              <w:rPr>
                <w:sz w:val="20"/>
                <w:szCs w:val="20"/>
                <w:lang w:val="fr-FR"/>
              </w:rPr>
              <w:t>Moldaver</w:t>
            </w:r>
            <w:proofErr w:type="spellEnd"/>
            <w:r w:rsidRPr="00003B04">
              <w:rPr>
                <w:sz w:val="20"/>
                <w:szCs w:val="20"/>
                <w:lang w:val="fr-FR"/>
              </w:rPr>
              <w:t xml:space="preserve">, </w:t>
            </w:r>
            <w:proofErr w:type="spellStart"/>
            <w:r w:rsidRPr="00003B04">
              <w:rPr>
                <w:sz w:val="20"/>
                <w:szCs w:val="20"/>
                <w:lang w:val="fr-FR"/>
              </w:rPr>
              <w:t>Karakatsanis</w:t>
            </w:r>
            <w:proofErr w:type="spellEnd"/>
            <w:r w:rsidRPr="00003B04">
              <w:rPr>
                <w:sz w:val="20"/>
                <w:szCs w:val="20"/>
                <w:lang w:val="fr-FR"/>
              </w:rPr>
              <w:t>, Wagner, Gascon, Côté, Brown et Rowe</w:t>
            </w:r>
          </w:p>
          <w:p w:rsidR="000E7F29" w:rsidRPr="00003B04" w:rsidRDefault="000E7F29" w:rsidP="000E7F29">
            <w:pPr>
              <w:rPr>
                <w:lang w:val="fr-FR"/>
              </w:rPr>
            </w:pPr>
          </w:p>
        </w:tc>
      </w:tr>
      <w:tr w:rsidR="00EE4290" w:rsidRPr="00C3697D" w:rsidTr="00EE4290">
        <w:trPr>
          <w:gridAfter w:val="1"/>
          <w:wAfter w:w="48" w:type="pct"/>
        </w:trPr>
        <w:tc>
          <w:tcPr>
            <w:tcW w:w="4952" w:type="pct"/>
            <w:gridSpan w:val="4"/>
          </w:tcPr>
          <w:p w:rsidR="00EE4290" w:rsidRPr="00003B04" w:rsidRDefault="000E7F29" w:rsidP="00EE4290">
            <w:pPr>
              <w:pStyle w:val="SCCLsocParty"/>
              <w:jc w:val="both"/>
              <w:rPr>
                <w:sz w:val="20"/>
                <w:szCs w:val="20"/>
              </w:rPr>
            </w:pPr>
            <w:r w:rsidRPr="00003B04">
              <w:rPr>
                <w:sz w:val="20"/>
                <w:szCs w:val="20"/>
              </w:rPr>
              <w:t xml:space="preserve">La demande d’autorisation d’appel de l’arrêt de la </w:t>
            </w:r>
            <w:r w:rsidRPr="00003B04">
              <w:rPr>
                <w:sz w:val="20"/>
                <w:szCs w:val="20"/>
                <w:lang w:val="fr-FR"/>
              </w:rPr>
              <w:t>Cour d’appel du Manitoba</w:t>
            </w:r>
            <w:r w:rsidRPr="00003B04">
              <w:rPr>
                <w:sz w:val="20"/>
                <w:szCs w:val="20"/>
              </w:rPr>
              <w:t xml:space="preserve">, numéro </w:t>
            </w:r>
            <w:r w:rsidRPr="00003B04">
              <w:rPr>
                <w:sz w:val="20"/>
                <w:szCs w:val="20"/>
                <w:lang w:val="fr-FR"/>
              </w:rPr>
              <w:t>AR14-30-08274, 2016 MBCA 90</w:t>
            </w:r>
            <w:r w:rsidRPr="00003B04">
              <w:rPr>
                <w:sz w:val="20"/>
                <w:szCs w:val="20"/>
              </w:rPr>
              <w:t xml:space="preserve">, daté du </w:t>
            </w:r>
            <w:r w:rsidRPr="00003B04">
              <w:rPr>
                <w:sz w:val="20"/>
                <w:szCs w:val="20"/>
                <w:lang w:val="fr-FR"/>
              </w:rPr>
              <w:t>19 septembre 2016</w:t>
            </w:r>
            <w:r w:rsidRPr="00003B04">
              <w:rPr>
                <w:sz w:val="20"/>
                <w:szCs w:val="20"/>
              </w:rPr>
              <w:t>, est rejetée.</w:t>
            </w:r>
          </w:p>
          <w:p w:rsidR="000E7F29" w:rsidRPr="00003B04" w:rsidRDefault="000E7F29" w:rsidP="000E7F29">
            <w:pPr>
              <w:rPr>
                <w:lang w:val="fr-CA"/>
              </w:rPr>
            </w:pPr>
          </w:p>
        </w:tc>
      </w:tr>
      <w:tr w:rsidR="00EE4290" w:rsidRPr="00C3697D" w:rsidTr="00EE4290">
        <w:trPr>
          <w:gridAfter w:val="1"/>
          <w:wAfter w:w="48" w:type="pct"/>
        </w:trPr>
        <w:tc>
          <w:tcPr>
            <w:tcW w:w="4952" w:type="pct"/>
            <w:gridSpan w:val="4"/>
          </w:tcPr>
          <w:p w:rsidR="00EE4290" w:rsidRPr="00003B04" w:rsidRDefault="00EE4290" w:rsidP="00EE4290">
            <w:pPr>
              <w:jc w:val="both"/>
              <w:rPr>
                <w:sz w:val="20"/>
                <w:lang w:val="fr-CA"/>
              </w:rPr>
            </w:pPr>
            <w:r w:rsidRPr="00003B04">
              <w:rPr>
                <w:i/>
                <w:sz w:val="20"/>
                <w:lang w:val="fr-CA"/>
              </w:rPr>
              <w:t>Charte canadienne des droits et libertés</w:t>
            </w:r>
            <w:r w:rsidRPr="00003B04">
              <w:rPr>
                <w:sz w:val="20"/>
                <w:lang w:val="fr-CA"/>
              </w:rPr>
              <w:t xml:space="preserve"> – Droit criminel – Extradition – Incarcération – La Cour d’appel a-t-elle commis une erreur en : (1) n’annulant pas le rejet par la juge présidant l’audience d’extradition de la demande en vue d’obtenir l’autorisation de présenter une preuve d’expert; (2) concluant que le demandeur n’avait pas droit à la communication des antécédents de l’agent d’infiltration; (3) concluant qu’il avait été établi que les faits reprochés constituaient une infraction dans les deux pays et en négligeant l’incidence de cette conclusion sur les droits que garantissent au demandeur les art. 6 et 7 de la </w:t>
            </w:r>
            <w:r w:rsidRPr="00003B04">
              <w:rPr>
                <w:i/>
                <w:iCs/>
                <w:sz w:val="20"/>
                <w:lang w:val="fr-CA"/>
              </w:rPr>
              <w:t>Charte</w:t>
            </w:r>
            <w:r w:rsidRPr="00003B04">
              <w:rPr>
                <w:iCs/>
                <w:sz w:val="20"/>
                <w:lang w:val="fr-CA"/>
              </w:rPr>
              <w:t xml:space="preserve">; (4) concluant qu’il y avait une preuve suffisante pour satisfaire au critère d’incarcération prévu à la </w:t>
            </w:r>
            <w:r w:rsidRPr="00003B04">
              <w:rPr>
                <w:i/>
                <w:iCs/>
                <w:sz w:val="20"/>
                <w:lang w:val="fr-CA"/>
              </w:rPr>
              <w:t>Loi sur l’extradition</w:t>
            </w:r>
            <w:r w:rsidRPr="00003B04">
              <w:rPr>
                <w:iCs/>
                <w:sz w:val="20"/>
                <w:lang w:val="fr-CA"/>
              </w:rPr>
              <w:t>,</w:t>
            </w:r>
            <w:r w:rsidRPr="00003B04">
              <w:rPr>
                <w:sz w:val="20"/>
                <w:lang w:val="fr-CA"/>
              </w:rPr>
              <w:t xml:space="preserve"> L.C. 1999, c. 18.</w:t>
            </w:r>
          </w:p>
          <w:p w:rsidR="00EE4290" w:rsidRPr="00003B04" w:rsidRDefault="00EE4290" w:rsidP="00EE4290">
            <w:pPr>
              <w:jc w:val="both"/>
              <w:rPr>
                <w:sz w:val="20"/>
                <w:lang w:val="fr-CA"/>
              </w:rPr>
            </w:pPr>
          </w:p>
        </w:tc>
      </w:tr>
      <w:tr w:rsidR="00EE4290" w:rsidRPr="00C3697D" w:rsidTr="00EE4290">
        <w:trPr>
          <w:gridAfter w:val="1"/>
          <w:wAfter w:w="48" w:type="pct"/>
        </w:trPr>
        <w:tc>
          <w:tcPr>
            <w:tcW w:w="4952" w:type="pct"/>
            <w:gridSpan w:val="4"/>
          </w:tcPr>
          <w:p w:rsidR="00EE4290" w:rsidRPr="00003B04" w:rsidRDefault="00EE4290" w:rsidP="00EE4290">
            <w:pPr>
              <w:jc w:val="both"/>
              <w:rPr>
                <w:sz w:val="20"/>
                <w:lang w:val="fr-CA"/>
              </w:rPr>
            </w:pPr>
            <w:r w:rsidRPr="00003B04">
              <w:rPr>
                <w:sz w:val="20"/>
                <w:lang w:val="fr-CA"/>
              </w:rPr>
              <w:t xml:space="preserve">Les États-Unis sollicitent l’extradition de </w:t>
            </w:r>
            <w:proofErr w:type="spellStart"/>
            <w:r w:rsidRPr="00003B04">
              <w:rPr>
                <w:sz w:val="20"/>
                <w:lang w:val="fr-CA"/>
              </w:rPr>
              <w:t>Shaun</w:t>
            </w:r>
            <w:proofErr w:type="spellEnd"/>
            <w:r w:rsidRPr="00003B04">
              <w:rPr>
                <w:sz w:val="20"/>
                <w:lang w:val="fr-CA"/>
              </w:rPr>
              <w:t xml:space="preserve"> </w:t>
            </w:r>
            <w:proofErr w:type="spellStart"/>
            <w:r w:rsidRPr="00003B04">
              <w:rPr>
                <w:sz w:val="20"/>
                <w:lang w:val="fr-CA"/>
              </w:rPr>
              <w:t>Sunduk</w:t>
            </w:r>
            <w:proofErr w:type="spellEnd"/>
            <w:r w:rsidRPr="00003B04">
              <w:rPr>
                <w:sz w:val="20"/>
                <w:lang w:val="fr-CA"/>
              </w:rPr>
              <w:t xml:space="preserve"> afin de le juger pour des allégations concernant certaines infractions liées aux drogues qui auraient été commises en 2009. On reproche à M. </w:t>
            </w:r>
            <w:proofErr w:type="spellStart"/>
            <w:r w:rsidRPr="00003B04">
              <w:rPr>
                <w:sz w:val="20"/>
                <w:lang w:val="fr-CA"/>
              </w:rPr>
              <w:t>Sunduk</w:t>
            </w:r>
            <w:proofErr w:type="spellEnd"/>
            <w:r w:rsidRPr="00003B04">
              <w:rPr>
                <w:sz w:val="20"/>
                <w:lang w:val="fr-CA"/>
              </w:rPr>
              <w:t xml:space="preserve"> son implication dans le trafic transfrontalier d’une substance désignée, soit l’ecstasy, ainsi que d’une substance tenue pour de l’ecstasy.</w:t>
            </w:r>
          </w:p>
          <w:p w:rsidR="00EE4290" w:rsidRPr="00003B04" w:rsidRDefault="00EE4290" w:rsidP="00EE4290">
            <w:pPr>
              <w:jc w:val="both"/>
              <w:rPr>
                <w:sz w:val="20"/>
                <w:lang w:val="fr-CA"/>
              </w:rPr>
            </w:pPr>
          </w:p>
        </w:tc>
      </w:tr>
      <w:tr w:rsidR="00EE4290" w:rsidRPr="00C3697D" w:rsidTr="00EE4290">
        <w:trPr>
          <w:gridAfter w:val="1"/>
          <w:wAfter w:w="48" w:type="pct"/>
        </w:trPr>
        <w:tc>
          <w:tcPr>
            <w:tcW w:w="4952" w:type="pct"/>
            <w:gridSpan w:val="4"/>
          </w:tcPr>
          <w:p w:rsidR="00EE4290" w:rsidRPr="00003B04" w:rsidRDefault="00EE4290" w:rsidP="00EE4290">
            <w:pPr>
              <w:jc w:val="both"/>
              <w:rPr>
                <w:sz w:val="20"/>
                <w:lang w:val="fr-CA"/>
              </w:rPr>
            </w:pPr>
            <w:r w:rsidRPr="00003B04">
              <w:rPr>
                <w:sz w:val="20"/>
                <w:lang w:val="fr-CA"/>
              </w:rPr>
              <w:t>La Cour du Banc de la Reine du Manitoba a : rejeté la requête préliminaire présentée par M. </w:t>
            </w:r>
            <w:proofErr w:type="spellStart"/>
            <w:r w:rsidRPr="00003B04">
              <w:rPr>
                <w:sz w:val="20"/>
                <w:lang w:val="fr-CA"/>
              </w:rPr>
              <w:t>Sunduk</w:t>
            </w:r>
            <w:proofErr w:type="spellEnd"/>
            <w:r w:rsidRPr="00003B04">
              <w:rPr>
                <w:sz w:val="20"/>
                <w:lang w:val="fr-CA"/>
              </w:rPr>
              <w:t xml:space="preserve"> en vertu du par. 24(1) de la </w:t>
            </w:r>
            <w:r w:rsidRPr="00003B04">
              <w:rPr>
                <w:i/>
                <w:sz w:val="20"/>
                <w:lang w:val="fr-CA"/>
              </w:rPr>
              <w:t>Charte</w:t>
            </w:r>
            <w:r w:rsidRPr="00003B04">
              <w:rPr>
                <w:sz w:val="20"/>
                <w:lang w:val="fr-CA"/>
              </w:rPr>
              <w:t xml:space="preserve"> afin d’obtenir la communication de documents supplémentaires; rejeté sa demande fondée sur l’art. 32 de la </w:t>
            </w:r>
            <w:r w:rsidRPr="00003B04">
              <w:rPr>
                <w:i/>
                <w:iCs/>
                <w:sz w:val="20"/>
                <w:lang w:val="fr-CA"/>
              </w:rPr>
              <w:t>Loi sur l’extradition</w:t>
            </w:r>
            <w:r w:rsidRPr="00003B04">
              <w:rPr>
                <w:sz w:val="20"/>
                <w:lang w:val="fr-CA"/>
              </w:rPr>
              <w:t>, L.C. 1999, c. 18, en vue d’obtenir l’autorisation de présenter une preuve d’expert; ordonné l’incarcération de M. </w:t>
            </w:r>
            <w:proofErr w:type="spellStart"/>
            <w:r w:rsidRPr="00003B04">
              <w:rPr>
                <w:sz w:val="20"/>
                <w:lang w:val="fr-CA"/>
              </w:rPr>
              <w:t>Sunduk</w:t>
            </w:r>
            <w:proofErr w:type="spellEnd"/>
            <w:r w:rsidRPr="00003B04">
              <w:rPr>
                <w:sz w:val="20"/>
                <w:lang w:val="fr-CA"/>
              </w:rPr>
              <w:t xml:space="preserve"> en attendant qu’il soit livré aux autorités américaines, concluant qu’il y avait une preuve suffisante pour satisfaire au critère d’incarcération prévu à la Loi. Le ministère de la Justice a ordonné l’extradition de M. </w:t>
            </w:r>
            <w:proofErr w:type="spellStart"/>
            <w:r w:rsidRPr="00003B04">
              <w:rPr>
                <w:sz w:val="20"/>
                <w:lang w:val="fr-CA"/>
              </w:rPr>
              <w:t>Sunduk</w:t>
            </w:r>
            <w:proofErr w:type="spellEnd"/>
            <w:r w:rsidRPr="00003B04">
              <w:rPr>
                <w:sz w:val="20"/>
                <w:lang w:val="fr-CA"/>
              </w:rPr>
              <w:t>. Ce dernier n’a pas demandé le contrôle judiciaire de l’arrêté d’extradition pris par le ministre. La Cour d’appel du Manitoba a rejeté l’appel interjeté par M. </w:t>
            </w:r>
            <w:proofErr w:type="spellStart"/>
            <w:r w:rsidRPr="00003B04">
              <w:rPr>
                <w:sz w:val="20"/>
                <w:lang w:val="fr-CA"/>
              </w:rPr>
              <w:t>Sunduk</w:t>
            </w:r>
            <w:proofErr w:type="spellEnd"/>
            <w:r w:rsidRPr="00003B04">
              <w:rPr>
                <w:sz w:val="20"/>
                <w:lang w:val="fr-CA"/>
              </w:rPr>
              <w:t xml:space="preserve"> contre l’ordonnance du juge d’extradition qui prévoit son incarcération.</w:t>
            </w:r>
          </w:p>
          <w:p w:rsidR="00EE4290" w:rsidRPr="00003B04" w:rsidRDefault="00EE4290" w:rsidP="00EE4290">
            <w:pPr>
              <w:jc w:val="both"/>
              <w:rPr>
                <w:sz w:val="20"/>
                <w:lang w:val="fr-CA"/>
              </w:rPr>
            </w:pPr>
          </w:p>
        </w:tc>
      </w:tr>
      <w:tr w:rsidR="00EE4290" w:rsidRPr="00C3697D" w:rsidTr="00EE4290">
        <w:tblPrEx>
          <w:tblCellMar>
            <w:bottom w:w="0" w:type="dxa"/>
          </w:tblCellMar>
        </w:tblPrEx>
        <w:tc>
          <w:tcPr>
            <w:tcW w:w="2367" w:type="pct"/>
            <w:gridSpan w:val="2"/>
          </w:tcPr>
          <w:p w:rsidR="00EE4290" w:rsidRPr="00003B04" w:rsidRDefault="00EE4290" w:rsidP="00EE4290">
            <w:pPr>
              <w:jc w:val="both"/>
              <w:rPr>
                <w:sz w:val="20"/>
                <w:lang w:val="fr-CA"/>
              </w:rPr>
            </w:pPr>
            <w:r w:rsidRPr="00003B04">
              <w:rPr>
                <w:sz w:val="20"/>
                <w:lang w:val="fr-CA"/>
              </w:rPr>
              <w:t>14 juin 2012</w:t>
            </w:r>
          </w:p>
          <w:p w:rsidR="00EE4290" w:rsidRPr="00003B04" w:rsidRDefault="00EE4290" w:rsidP="00EE4290">
            <w:pPr>
              <w:jc w:val="both"/>
              <w:rPr>
                <w:sz w:val="20"/>
                <w:lang w:val="fr-CA"/>
              </w:rPr>
            </w:pPr>
            <w:r w:rsidRPr="00003B04">
              <w:rPr>
                <w:sz w:val="20"/>
                <w:lang w:val="fr-CA"/>
              </w:rPr>
              <w:t>Cour du Banc de la Reine du Manitoba</w:t>
            </w:r>
          </w:p>
          <w:p w:rsidR="00EE4290" w:rsidRPr="00003B04" w:rsidRDefault="00EE4290" w:rsidP="00EE4290">
            <w:pPr>
              <w:jc w:val="both"/>
              <w:rPr>
                <w:sz w:val="20"/>
              </w:rPr>
            </w:pPr>
            <w:r w:rsidRPr="00003B04">
              <w:rPr>
                <w:sz w:val="20"/>
              </w:rPr>
              <w:t>(</w:t>
            </w:r>
            <w:proofErr w:type="spellStart"/>
            <w:r w:rsidRPr="00003B04">
              <w:rPr>
                <w:sz w:val="20"/>
              </w:rPr>
              <w:t>Juge</w:t>
            </w:r>
            <w:proofErr w:type="spellEnd"/>
            <w:r w:rsidRPr="00003B04">
              <w:rPr>
                <w:sz w:val="20"/>
              </w:rPr>
              <w:t xml:space="preserve"> </w:t>
            </w:r>
            <w:proofErr w:type="spellStart"/>
            <w:r w:rsidRPr="00003B04">
              <w:rPr>
                <w:sz w:val="20"/>
              </w:rPr>
              <w:t>McKelvey</w:t>
            </w:r>
            <w:proofErr w:type="spellEnd"/>
            <w:r w:rsidRPr="00003B04">
              <w:rPr>
                <w:sz w:val="20"/>
              </w:rPr>
              <w:t>)</w:t>
            </w:r>
          </w:p>
          <w:p w:rsidR="00EE4290" w:rsidRPr="00003B04" w:rsidRDefault="00604445" w:rsidP="00EE4290">
            <w:pPr>
              <w:jc w:val="both"/>
              <w:rPr>
                <w:sz w:val="20"/>
              </w:rPr>
            </w:pPr>
            <w:hyperlink r:id="rId29" w:history="1">
              <w:r w:rsidR="00EE4290" w:rsidRPr="00003B04">
                <w:rPr>
                  <w:rStyle w:val="Hyperlink"/>
                  <w:sz w:val="20"/>
                </w:rPr>
                <w:t>2012 MBQB 178</w:t>
              </w:r>
            </w:hyperlink>
          </w:p>
          <w:p w:rsidR="00EE4290" w:rsidRPr="00003B04" w:rsidRDefault="00EE4290" w:rsidP="00EE4290">
            <w:pPr>
              <w:jc w:val="both"/>
              <w:rPr>
                <w:sz w:val="20"/>
              </w:rPr>
            </w:pPr>
          </w:p>
        </w:tc>
        <w:tc>
          <w:tcPr>
            <w:tcW w:w="267" w:type="pct"/>
          </w:tcPr>
          <w:p w:rsidR="00EE4290" w:rsidRPr="00003B04" w:rsidRDefault="00EE4290" w:rsidP="00EE4290">
            <w:pPr>
              <w:jc w:val="both"/>
              <w:rPr>
                <w:sz w:val="20"/>
              </w:rPr>
            </w:pPr>
          </w:p>
        </w:tc>
        <w:tc>
          <w:tcPr>
            <w:tcW w:w="2366" w:type="pct"/>
            <w:gridSpan w:val="2"/>
          </w:tcPr>
          <w:p w:rsidR="00EE4290" w:rsidRPr="00003B04" w:rsidRDefault="00EE4290" w:rsidP="00EE4290">
            <w:pPr>
              <w:jc w:val="both"/>
              <w:rPr>
                <w:sz w:val="20"/>
                <w:lang w:val="fr-CA"/>
              </w:rPr>
            </w:pPr>
            <w:r w:rsidRPr="00003B04">
              <w:rPr>
                <w:sz w:val="20"/>
                <w:lang w:val="fr-CA"/>
              </w:rPr>
              <w:t xml:space="preserve">Rejet de la requête présentée par le demandeur en vertu du par. 24(1) de la </w:t>
            </w:r>
            <w:r w:rsidRPr="00003B04">
              <w:rPr>
                <w:i/>
                <w:sz w:val="20"/>
                <w:lang w:val="fr-CA"/>
              </w:rPr>
              <w:t>Charte canadienne des droits et libertés</w:t>
            </w:r>
            <w:r w:rsidRPr="00003B04">
              <w:rPr>
                <w:sz w:val="20"/>
                <w:lang w:val="fr-CA"/>
              </w:rPr>
              <w:t xml:space="preserve"> pour obtenir la communication de documents supplémentaires.</w:t>
            </w:r>
          </w:p>
        </w:tc>
      </w:tr>
      <w:tr w:rsidR="00EE4290" w:rsidRPr="00C3697D" w:rsidTr="00EE4290">
        <w:tblPrEx>
          <w:tblCellMar>
            <w:bottom w:w="0" w:type="dxa"/>
          </w:tblCellMar>
        </w:tblPrEx>
        <w:tc>
          <w:tcPr>
            <w:tcW w:w="2367" w:type="pct"/>
            <w:gridSpan w:val="2"/>
          </w:tcPr>
          <w:p w:rsidR="00EE4290" w:rsidRPr="00003B04" w:rsidRDefault="00EE4290" w:rsidP="00EE4290">
            <w:pPr>
              <w:jc w:val="both"/>
              <w:rPr>
                <w:sz w:val="20"/>
                <w:lang w:val="fr-CA"/>
              </w:rPr>
            </w:pPr>
            <w:r w:rsidRPr="00003B04">
              <w:rPr>
                <w:sz w:val="20"/>
                <w:lang w:val="fr-CA"/>
              </w:rPr>
              <w:t>1</w:t>
            </w:r>
            <w:r w:rsidRPr="00003B04">
              <w:rPr>
                <w:sz w:val="20"/>
                <w:vertAlign w:val="superscript"/>
                <w:lang w:val="fr-CA"/>
              </w:rPr>
              <w:t>er</w:t>
            </w:r>
            <w:r w:rsidRPr="00003B04">
              <w:rPr>
                <w:sz w:val="20"/>
                <w:lang w:val="fr-CA"/>
              </w:rPr>
              <w:t xml:space="preserve"> mai 2013</w:t>
            </w:r>
          </w:p>
          <w:p w:rsidR="00EE4290" w:rsidRPr="00003B04" w:rsidRDefault="00EE4290" w:rsidP="00EE4290">
            <w:pPr>
              <w:jc w:val="both"/>
              <w:rPr>
                <w:sz w:val="20"/>
                <w:lang w:val="fr-CA"/>
              </w:rPr>
            </w:pPr>
            <w:r w:rsidRPr="00003B04">
              <w:rPr>
                <w:sz w:val="20"/>
                <w:lang w:val="fr-CA"/>
              </w:rPr>
              <w:t>Cour du Banc de la Reine du Manitoba</w:t>
            </w:r>
          </w:p>
          <w:p w:rsidR="00EE4290" w:rsidRPr="00003B04" w:rsidRDefault="00EE4290" w:rsidP="00EE4290">
            <w:pPr>
              <w:jc w:val="both"/>
              <w:rPr>
                <w:sz w:val="20"/>
                <w:lang w:val="fr-CA"/>
              </w:rPr>
            </w:pPr>
            <w:r w:rsidRPr="00003B04">
              <w:rPr>
                <w:sz w:val="20"/>
                <w:lang w:val="fr-CA"/>
              </w:rPr>
              <w:t xml:space="preserve">(Juge </w:t>
            </w:r>
            <w:proofErr w:type="spellStart"/>
            <w:r w:rsidRPr="00003B04">
              <w:rPr>
                <w:sz w:val="20"/>
                <w:lang w:val="fr-CA"/>
              </w:rPr>
              <w:t>McKelvey</w:t>
            </w:r>
            <w:proofErr w:type="spellEnd"/>
            <w:r w:rsidRPr="00003B04">
              <w:rPr>
                <w:sz w:val="20"/>
                <w:lang w:val="fr-CA"/>
              </w:rPr>
              <w:t>)</w:t>
            </w:r>
          </w:p>
          <w:p w:rsidR="00EE4290" w:rsidRPr="00003B04" w:rsidRDefault="00604445" w:rsidP="00EE4290">
            <w:pPr>
              <w:jc w:val="both"/>
              <w:rPr>
                <w:sz w:val="20"/>
              </w:rPr>
            </w:pPr>
            <w:hyperlink r:id="rId30" w:history="1">
              <w:r w:rsidR="00EE4290" w:rsidRPr="00003B04">
                <w:rPr>
                  <w:rStyle w:val="Hyperlink"/>
                  <w:sz w:val="20"/>
                </w:rPr>
                <w:t>2013 MBQB 101</w:t>
              </w:r>
            </w:hyperlink>
          </w:p>
          <w:p w:rsidR="00EE4290" w:rsidRPr="00003B04" w:rsidRDefault="00EE4290" w:rsidP="00EE4290">
            <w:pPr>
              <w:jc w:val="both"/>
              <w:rPr>
                <w:sz w:val="20"/>
              </w:rPr>
            </w:pPr>
          </w:p>
        </w:tc>
        <w:tc>
          <w:tcPr>
            <w:tcW w:w="267" w:type="pct"/>
          </w:tcPr>
          <w:p w:rsidR="00EE4290" w:rsidRPr="00003B04" w:rsidRDefault="00EE4290" w:rsidP="00EE4290">
            <w:pPr>
              <w:jc w:val="both"/>
              <w:rPr>
                <w:sz w:val="20"/>
              </w:rPr>
            </w:pPr>
          </w:p>
        </w:tc>
        <w:tc>
          <w:tcPr>
            <w:tcW w:w="2366" w:type="pct"/>
            <w:gridSpan w:val="2"/>
          </w:tcPr>
          <w:p w:rsidR="00EE4290" w:rsidRPr="00003B04" w:rsidRDefault="00EE4290" w:rsidP="00EE4290">
            <w:pPr>
              <w:jc w:val="both"/>
              <w:rPr>
                <w:sz w:val="20"/>
                <w:lang w:val="fr-CA"/>
              </w:rPr>
            </w:pPr>
            <w:r w:rsidRPr="00003B04">
              <w:rPr>
                <w:sz w:val="20"/>
                <w:lang w:val="fr-CA"/>
              </w:rPr>
              <w:t xml:space="preserve">Rejet de la demande du demandeur fondée sur l’art. 32 de la  </w:t>
            </w:r>
            <w:r w:rsidRPr="00003B04">
              <w:rPr>
                <w:i/>
                <w:sz w:val="20"/>
                <w:lang w:val="fr-CA"/>
              </w:rPr>
              <w:t>Loi sur l’extradition</w:t>
            </w:r>
            <w:r w:rsidRPr="00003B04">
              <w:rPr>
                <w:sz w:val="20"/>
                <w:lang w:val="fr-CA"/>
              </w:rPr>
              <w:t>, L.C. 1999, c. 18, en vue d’obtenir l’autorisation de présenter une preuve d’expert.</w:t>
            </w:r>
          </w:p>
          <w:p w:rsidR="00EE4290" w:rsidRPr="00003B04" w:rsidRDefault="00EE4290" w:rsidP="00EE4290">
            <w:pPr>
              <w:jc w:val="both"/>
              <w:rPr>
                <w:sz w:val="20"/>
                <w:lang w:val="fr-CA"/>
              </w:rPr>
            </w:pPr>
          </w:p>
        </w:tc>
      </w:tr>
      <w:tr w:rsidR="00EE4290" w:rsidRPr="00C3697D" w:rsidTr="00EE4290">
        <w:tblPrEx>
          <w:tblCellMar>
            <w:bottom w:w="0" w:type="dxa"/>
          </w:tblCellMar>
        </w:tblPrEx>
        <w:tc>
          <w:tcPr>
            <w:tcW w:w="2367" w:type="pct"/>
            <w:gridSpan w:val="2"/>
          </w:tcPr>
          <w:p w:rsidR="00EE4290" w:rsidRPr="00003B04" w:rsidRDefault="00EE4290" w:rsidP="00EE4290">
            <w:pPr>
              <w:jc w:val="both"/>
              <w:rPr>
                <w:sz w:val="20"/>
                <w:lang w:val="fr-CA"/>
              </w:rPr>
            </w:pPr>
            <w:r w:rsidRPr="00003B04">
              <w:rPr>
                <w:sz w:val="20"/>
                <w:lang w:val="fr-CA"/>
              </w:rPr>
              <w:t>24 octobre 2014</w:t>
            </w:r>
          </w:p>
          <w:p w:rsidR="00EE4290" w:rsidRPr="00003B04" w:rsidRDefault="00EE4290" w:rsidP="00EE4290">
            <w:pPr>
              <w:jc w:val="both"/>
              <w:rPr>
                <w:sz w:val="20"/>
                <w:lang w:val="fr-CA"/>
              </w:rPr>
            </w:pPr>
            <w:r w:rsidRPr="00003B04">
              <w:rPr>
                <w:sz w:val="20"/>
                <w:lang w:val="fr-CA"/>
              </w:rPr>
              <w:t>Cour du Banc de la Reine du Manitoba</w:t>
            </w:r>
          </w:p>
          <w:p w:rsidR="00EE4290" w:rsidRPr="00003B04" w:rsidRDefault="00EE4290" w:rsidP="00EE4290">
            <w:pPr>
              <w:jc w:val="both"/>
              <w:rPr>
                <w:sz w:val="20"/>
                <w:lang w:val="fr-CA"/>
              </w:rPr>
            </w:pPr>
            <w:r w:rsidRPr="00003B04">
              <w:rPr>
                <w:sz w:val="20"/>
                <w:lang w:val="fr-CA"/>
              </w:rPr>
              <w:t xml:space="preserve">(Juge </w:t>
            </w:r>
            <w:proofErr w:type="spellStart"/>
            <w:r w:rsidRPr="00003B04">
              <w:rPr>
                <w:sz w:val="20"/>
                <w:lang w:val="fr-CA"/>
              </w:rPr>
              <w:t>McKelvey</w:t>
            </w:r>
            <w:proofErr w:type="spellEnd"/>
            <w:r w:rsidRPr="00003B04">
              <w:rPr>
                <w:sz w:val="20"/>
                <w:lang w:val="fr-CA"/>
              </w:rPr>
              <w:t>)</w:t>
            </w:r>
          </w:p>
          <w:p w:rsidR="00EE4290" w:rsidRPr="00003B04" w:rsidRDefault="00604445" w:rsidP="00EE4290">
            <w:pPr>
              <w:jc w:val="both"/>
              <w:rPr>
                <w:sz w:val="20"/>
              </w:rPr>
            </w:pPr>
            <w:hyperlink r:id="rId31" w:history="1">
              <w:r w:rsidR="00EE4290" w:rsidRPr="00003B04">
                <w:rPr>
                  <w:rStyle w:val="Hyperlink"/>
                  <w:sz w:val="20"/>
                </w:rPr>
                <w:t>2014 MBQB 204</w:t>
              </w:r>
            </w:hyperlink>
          </w:p>
          <w:p w:rsidR="00EE4290" w:rsidRPr="00003B04" w:rsidRDefault="00EE4290" w:rsidP="00EE4290">
            <w:pPr>
              <w:jc w:val="both"/>
              <w:rPr>
                <w:sz w:val="20"/>
              </w:rPr>
            </w:pPr>
          </w:p>
        </w:tc>
        <w:tc>
          <w:tcPr>
            <w:tcW w:w="267" w:type="pct"/>
          </w:tcPr>
          <w:p w:rsidR="00EE4290" w:rsidRPr="00003B04" w:rsidRDefault="00EE4290" w:rsidP="00EE4290">
            <w:pPr>
              <w:jc w:val="both"/>
              <w:rPr>
                <w:sz w:val="20"/>
              </w:rPr>
            </w:pPr>
          </w:p>
        </w:tc>
        <w:tc>
          <w:tcPr>
            <w:tcW w:w="2366" w:type="pct"/>
            <w:gridSpan w:val="2"/>
          </w:tcPr>
          <w:p w:rsidR="00EE4290" w:rsidRPr="00003B04" w:rsidRDefault="00EE4290" w:rsidP="00EE4290">
            <w:pPr>
              <w:jc w:val="both"/>
              <w:rPr>
                <w:sz w:val="20"/>
                <w:lang w:val="fr-CA"/>
              </w:rPr>
            </w:pPr>
            <w:r w:rsidRPr="00003B04">
              <w:rPr>
                <w:sz w:val="20"/>
                <w:lang w:val="fr-CA"/>
              </w:rPr>
              <w:t>Demande présentée par l’intimé pour que la cour ordonne l’incarcération du demandeur en attendant la décision du ministre sur l’extradition, accueillie.</w:t>
            </w:r>
          </w:p>
          <w:p w:rsidR="00EE4290" w:rsidRPr="00003B04" w:rsidRDefault="00EE4290" w:rsidP="00EE4290">
            <w:pPr>
              <w:jc w:val="both"/>
              <w:rPr>
                <w:sz w:val="20"/>
                <w:lang w:val="fr-CA"/>
              </w:rPr>
            </w:pPr>
          </w:p>
          <w:p w:rsidR="00EE4290" w:rsidRPr="00003B04" w:rsidRDefault="00EE4290" w:rsidP="00EE4290">
            <w:pPr>
              <w:jc w:val="both"/>
              <w:rPr>
                <w:sz w:val="20"/>
                <w:lang w:val="fr-CA"/>
              </w:rPr>
            </w:pPr>
          </w:p>
        </w:tc>
      </w:tr>
    </w:tbl>
    <w:p w:rsidR="000E7F29" w:rsidRPr="00003B04" w:rsidRDefault="000E7F29">
      <w:pPr>
        <w:rPr>
          <w:lang w:val="fr-CA"/>
        </w:rPr>
      </w:pPr>
      <w:r w:rsidRPr="00003B04">
        <w:rPr>
          <w:lang w:val="fr-CA"/>
        </w:rPr>
        <w:br w:type="page"/>
      </w:r>
    </w:p>
    <w:tbl>
      <w:tblPr>
        <w:tblW w:w="5000" w:type="pct"/>
        <w:tblLayout w:type="fixed"/>
        <w:tblCellMar>
          <w:left w:w="0" w:type="dxa"/>
          <w:right w:w="0" w:type="dxa"/>
        </w:tblCellMar>
        <w:tblLook w:val="04A0" w:firstRow="1" w:lastRow="0" w:firstColumn="1" w:lastColumn="0" w:noHBand="0" w:noVBand="1"/>
      </w:tblPr>
      <w:tblGrid>
        <w:gridCol w:w="4553"/>
        <w:gridCol w:w="514"/>
        <w:gridCol w:w="4552"/>
      </w:tblGrid>
      <w:tr w:rsidR="00EE4290" w:rsidRPr="00C3697D" w:rsidTr="00EE4290">
        <w:tc>
          <w:tcPr>
            <w:tcW w:w="2367" w:type="pct"/>
          </w:tcPr>
          <w:p w:rsidR="00EE4290" w:rsidRPr="00003B04" w:rsidRDefault="00EE4290" w:rsidP="00EE4290">
            <w:pPr>
              <w:jc w:val="both"/>
              <w:rPr>
                <w:sz w:val="20"/>
                <w:lang w:val="fr-CA"/>
              </w:rPr>
            </w:pPr>
            <w:r w:rsidRPr="00003B04">
              <w:rPr>
                <w:sz w:val="20"/>
                <w:lang w:val="fr-CA"/>
              </w:rPr>
              <w:lastRenderedPageBreak/>
              <w:t>19 septembre 2016</w:t>
            </w:r>
          </w:p>
          <w:p w:rsidR="00EE4290" w:rsidRPr="00003B04" w:rsidRDefault="00EE4290" w:rsidP="00EE4290">
            <w:pPr>
              <w:jc w:val="both"/>
              <w:rPr>
                <w:sz w:val="20"/>
                <w:lang w:val="fr-CA"/>
              </w:rPr>
            </w:pPr>
            <w:r w:rsidRPr="00003B04">
              <w:rPr>
                <w:sz w:val="20"/>
                <w:lang w:val="fr-CA"/>
              </w:rPr>
              <w:t>Cour d’appel du Manitoba</w:t>
            </w:r>
          </w:p>
          <w:p w:rsidR="00EE4290" w:rsidRPr="00003B04" w:rsidRDefault="00EE4290" w:rsidP="00EE4290">
            <w:pPr>
              <w:jc w:val="both"/>
              <w:rPr>
                <w:sz w:val="20"/>
                <w:lang w:val="fr-CA"/>
              </w:rPr>
            </w:pPr>
            <w:r w:rsidRPr="00003B04">
              <w:rPr>
                <w:sz w:val="20"/>
                <w:lang w:val="fr-CA"/>
              </w:rPr>
              <w:t xml:space="preserve">(Juges Hamilton, </w:t>
            </w:r>
            <w:proofErr w:type="spellStart"/>
            <w:r w:rsidRPr="00003B04">
              <w:rPr>
                <w:sz w:val="20"/>
                <w:lang w:val="fr-CA"/>
              </w:rPr>
              <w:t>MacInnes</w:t>
            </w:r>
            <w:proofErr w:type="spellEnd"/>
            <w:r w:rsidRPr="00003B04">
              <w:rPr>
                <w:sz w:val="20"/>
                <w:lang w:val="fr-CA"/>
              </w:rPr>
              <w:t xml:space="preserve"> et </w:t>
            </w:r>
            <w:proofErr w:type="spellStart"/>
            <w:r w:rsidRPr="00003B04">
              <w:rPr>
                <w:sz w:val="20"/>
                <w:lang w:val="fr-CA"/>
              </w:rPr>
              <w:t>leMaistre</w:t>
            </w:r>
            <w:proofErr w:type="spellEnd"/>
            <w:r w:rsidRPr="00003B04">
              <w:rPr>
                <w:sz w:val="20"/>
                <w:lang w:val="fr-CA"/>
              </w:rPr>
              <w:t>)</w:t>
            </w:r>
          </w:p>
          <w:p w:rsidR="00EE4290" w:rsidRPr="00003B04" w:rsidRDefault="00604445" w:rsidP="00EE4290">
            <w:pPr>
              <w:jc w:val="both"/>
              <w:rPr>
                <w:sz w:val="20"/>
                <w:lang w:val="fr-CA"/>
              </w:rPr>
            </w:pPr>
            <w:hyperlink r:id="rId32" w:history="1">
              <w:r w:rsidR="00EE4290" w:rsidRPr="00003B04">
                <w:rPr>
                  <w:rStyle w:val="Hyperlink"/>
                  <w:sz w:val="20"/>
                  <w:lang w:val="fr-CA"/>
                </w:rPr>
                <w:t>2016 MBCA 90</w:t>
              </w:r>
            </w:hyperlink>
          </w:p>
          <w:p w:rsidR="00EE4290" w:rsidRPr="00003B04" w:rsidRDefault="00EE4290" w:rsidP="00EE4290">
            <w:pPr>
              <w:jc w:val="both"/>
              <w:rPr>
                <w:sz w:val="20"/>
                <w:lang w:val="fr-CA"/>
              </w:rPr>
            </w:pPr>
          </w:p>
        </w:tc>
        <w:tc>
          <w:tcPr>
            <w:tcW w:w="267" w:type="pct"/>
          </w:tcPr>
          <w:p w:rsidR="00EE4290" w:rsidRPr="00003B04" w:rsidRDefault="00EE4290" w:rsidP="00EE4290">
            <w:pPr>
              <w:jc w:val="both"/>
              <w:rPr>
                <w:sz w:val="20"/>
                <w:lang w:val="fr-CA"/>
              </w:rPr>
            </w:pPr>
          </w:p>
        </w:tc>
        <w:tc>
          <w:tcPr>
            <w:tcW w:w="2366" w:type="pct"/>
          </w:tcPr>
          <w:p w:rsidR="00EE4290" w:rsidRPr="00003B04" w:rsidRDefault="00EE4290" w:rsidP="00EE4290">
            <w:pPr>
              <w:jc w:val="both"/>
              <w:rPr>
                <w:sz w:val="20"/>
                <w:lang w:val="fr-CA"/>
              </w:rPr>
            </w:pPr>
            <w:r w:rsidRPr="00003B04">
              <w:rPr>
                <w:sz w:val="20"/>
                <w:lang w:val="fr-CA"/>
              </w:rPr>
              <w:t>Rejet de l’appel du demandeur.</w:t>
            </w:r>
          </w:p>
          <w:p w:rsidR="00EE4290" w:rsidRPr="00003B04" w:rsidRDefault="00EE4290" w:rsidP="00EE4290">
            <w:pPr>
              <w:jc w:val="both"/>
              <w:rPr>
                <w:sz w:val="20"/>
                <w:lang w:val="fr-CA"/>
              </w:rPr>
            </w:pPr>
          </w:p>
        </w:tc>
      </w:tr>
      <w:tr w:rsidR="00EE4290" w:rsidRPr="00C3697D" w:rsidTr="00EE4290">
        <w:tc>
          <w:tcPr>
            <w:tcW w:w="2367" w:type="pct"/>
          </w:tcPr>
          <w:p w:rsidR="00EE4290" w:rsidRPr="00003B04" w:rsidRDefault="00EE4290" w:rsidP="00EE4290">
            <w:pPr>
              <w:jc w:val="both"/>
              <w:rPr>
                <w:sz w:val="20"/>
                <w:lang w:val="fr-CA"/>
              </w:rPr>
            </w:pPr>
            <w:r w:rsidRPr="00003B04">
              <w:rPr>
                <w:sz w:val="20"/>
                <w:lang w:val="fr-CA"/>
              </w:rPr>
              <w:t>18 novembre 2016</w:t>
            </w:r>
          </w:p>
          <w:p w:rsidR="00EE4290" w:rsidRPr="00003B04" w:rsidRDefault="00EE4290" w:rsidP="00EE4290">
            <w:pPr>
              <w:jc w:val="both"/>
              <w:rPr>
                <w:sz w:val="20"/>
                <w:lang w:val="fr-CA"/>
              </w:rPr>
            </w:pPr>
            <w:r w:rsidRPr="00003B04">
              <w:rPr>
                <w:sz w:val="20"/>
                <w:lang w:val="fr-CA"/>
              </w:rPr>
              <w:t>Cour suprême du Canada</w:t>
            </w:r>
          </w:p>
        </w:tc>
        <w:tc>
          <w:tcPr>
            <w:tcW w:w="267" w:type="pct"/>
          </w:tcPr>
          <w:p w:rsidR="00EE4290" w:rsidRPr="00003B04" w:rsidRDefault="00EE4290" w:rsidP="00EE4290">
            <w:pPr>
              <w:jc w:val="both"/>
              <w:rPr>
                <w:sz w:val="20"/>
                <w:lang w:val="fr-CA"/>
              </w:rPr>
            </w:pPr>
          </w:p>
        </w:tc>
        <w:tc>
          <w:tcPr>
            <w:tcW w:w="2366" w:type="pct"/>
          </w:tcPr>
          <w:p w:rsidR="00EE4290" w:rsidRPr="00003B04" w:rsidRDefault="00EE4290" w:rsidP="00EE4290">
            <w:pPr>
              <w:jc w:val="both"/>
              <w:rPr>
                <w:sz w:val="20"/>
                <w:lang w:val="fr-CA"/>
              </w:rPr>
            </w:pPr>
            <w:r w:rsidRPr="00003B04">
              <w:rPr>
                <w:sz w:val="20"/>
                <w:lang w:val="fr-CA"/>
              </w:rPr>
              <w:t>Dépôt de la demande d’autorisation d’appel.</w:t>
            </w:r>
          </w:p>
        </w:tc>
      </w:tr>
    </w:tbl>
    <w:p w:rsidR="00EE4290" w:rsidRPr="00003B04" w:rsidRDefault="00604445" w:rsidP="00EE4290">
      <w:pPr>
        <w:jc w:val="both"/>
        <w:rPr>
          <w:sz w:val="20"/>
          <w:lang w:val="fr-CA"/>
        </w:rPr>
      </w:pPr>
      <w:r>
        <w:rPr>
          <w:sz w:val="20"/>
          <w:szCs w:val="20"/>
        </w:rPr>
        <w:pict>
          <v:rect id="_x0000_i1050" style="width:2in;height:1pt" o:hrpct="0" o:hralign="center" o:hrstd="t" o:hrnoshade="t" o:hr="t" fillcolor="black [3213]" stroked="f"/>
        </w:pict>
      </w:r>
    </w:p>
    <w:p w:rsidR="00EE4290" w:rsidRPr="00003B04" w:rsidRDefault="00EE4290" w:rsidP="00EE4290">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E4290" w:rsidRPr="00003B04" w:rsidTr="00EE4290">
        <w:trPr>
          <w:trHeight w:val="432"/>
        </w:trPr>
        <w:tc>
          <w:tcPr>
            <w:tcW w:w="543" w:type="pct"/>
          </w:tcPr>
          <w:p w:rsidR="00EE4290" w:rsidRPr="00003B04" w:rsidRDefault="00EE4290" w:rsidP="00EE4290">
            <w:pPr>
              <w:jc w:val="both"/>
              <w:rPr>
                <w:sz w:val="20"/>
              </w:rPr>
            </w:pPr>
            <w:r w:rsidRPr="00003B04">
              <w:rPr>
                <w:rStyle w:val="SCCFileNumberChar"/>
                <w:sz w:val="20"/>
                <w:szCs w:val="20"/>
              </w:rPr>
              <w:t>37248</w:t>
            </w:r>
          </w:p>
        </w:tc>
        <w:tc>
          <w:tcPr>
            <w:tcW w:w="4457" w:type="pct"/>
            <w:gridSpan w:val="3"/>
          </w:tcPr>
          <w:p w:rsidR="00EE4290" w:rsidRPr="00003B04" w:rsidRDefault="00EE4290" w:rsidP="00767A6B">
            <w:pPr>
              <w:pStyle w:val="SCCLsocParty"/>
              <w:jc w:val="both"/>
              <w:rPr>
                <w:sz w:val="20"/>
              </w:rPr>
            </w:pPr>
            <w:proofErr w:type="spellStart"/>
            <w:r w:rsidRPr="00003B04">
              <w:rPr>
                <w:b/>
                <w:sz w:val="20"/>
                <w:szCs w:val="20"/>
              </w:rPr>
              <w:t>Uber</w:t>
            </w:r>
            <w:proofErr w:type="spellEnd"/>
            <w:r w:rsidRPr="00003B04">
              <w:rPr>
                <w:b/>
                <w:sz w:val="20"/>
                <w:szCs w:val="20"/>
              </w:rPr>
              <w:t xml:space="preserve"> Canada Inc. v. </w:t>
            </w:r>
            <w:r w:rsidR="001B621B" w:rsidRPr="00003B04">
              <w:rPr>
                <w:b/>
                <w:sz w:val="20"/>
                <w:szCs w:val="20"/>
              </w:rPr>
              <w:t>Agence du revenu du Québec</w:t>
            </w:r>
            <w:r w:rsidRPr="00003B04">
              <w:rPr>
                <w:b/>
                <w:sz w:val="20"/>
                <w:szCs w:val="20"/>
              </w:rPr>
              <w:t xml:space="preserve">, Claudine Duval, Maxime </w:t>
            </w:r>
            <w:proofErr w:type="spellStart"/>
            <w:r w:rsidRPr="00003B04">
              <w:rPr>
                <w:b/>
                <w:sz w:val="20"/>
                <w:szCs w:val="20"/>
              </w:rPr>
              <w:t>Éthier</w:t>
            </w:r>
            <w:proofErr w:type="spellEnd"/>
            <w:r w:rsidRPr="00003B04">
              <w:rPr>
                <w:b/>
                <w:sz w:val="20"/>
                <w:szCs w:val="20"/>
              </w:rPr>
              <w:t xml:space="preserve">, Sylvie Robichaud, Sylvain Brassard, René Lévesque, Adil </w:t>
            </w:r>
            <w:proofErr w:type="spellStart"/>
            <w:r w:rsidRPr="00003B04">
              <w:rPr>
                <w:b/>
                <w:sz w:val="20"/>
                <w:szCs w:val="20"/>
              </w:rPr>
              <w:t>Chennaoui</w:t>
            </w:r>
            <w:proofErr w:type="spellEnd"/>
            <w:r w:rsidRPr="00003B04">
              <w:rPr>
                <w:b/>
                <w:sz w:val="20"/>
                <w:szCs w:val="20"/>
              </w:rPr>
              <w:t xml:space="preserve">, Conrad </w:t>
            </w:r>
            <w:proofErr w:type="spellStart"/>
            <w:r w:rsidRPr="00003B04">
              <w:rPr>
                <w:b/>
                <w:sz w:val="20"/>
                <w:szCs w:val="20"/>
              </w:rPr>
              <w:t>Canizalez</w:t>
            </w:r>
            <w:proofErr w:type="spellEnd"/>
            <w:r w:rsidRPr="00003B04">
              <w:rPr>
                <w:b/>
                <w:sz w:val="20"/>
                <w:szCs w:val="20"/>
              </w:rPr>
              <w:t xml:space="preserve">, Claude Hébert, Alexandra-Maude Valade, Marc </w:t>
            </w:r>
            <w:proofErr w:type="spellStart"/>
            <w:r w:rsidRPr="00003B04">
              <w:rPr>
                <w:b/>
                <w:sz w:val="20"/>
                <w:szCs w:val="20"/>
              </w:rPr>
              <w:t>Andé</w:t>
            </w:r>
            <w:proofErr w:type="spellEnd"/>
            <w:r w:rsidRPr="00003B04">
              <w:rPr>
                <w:b/>
                <w:sz w:val="20"/>
                <w:szCs w:val="20"/>
              </w:rPr>
              <w:t xml:space="preserve"> Pelletier</w:t>
            </w:r>
            <w:r w:rsidR="001B621B" w:rsidRPr="00003B04">
              <w:rPr>
                <w:b/>
                <w:sz w:val="20"/>
                <w:szCs w:val="20"/>
              </w:rPr>
              <w:t xml:space="preserve"> and</w:t>
            </w:r>
            <w:r w:rsidRPr="00003B04">
              <w:rPr>
                <w:b/>
                <w:sz w:val="20"/>
                <w:szCs w:val="20"/>
              </w:rPr>
              <w:t xml:space="preserve"> Jean-Paul Braun</w:t>
            </w:r>
            <w:r w:rsidR="00767A6B" w:rsidRPr="00003B04">
              <w:rPr>
                <w:b/>
                <w:sz w:val="20"/>
                <w:szCs w:val="20"/>
              </w:rPr>
              <w:t xml:space="preserve"> </w:t>
            </w:r>
            <w:r w:rsidRPr="00003B04">
              <w:rPr>
                <w:sz w:val="20"/>
              </w:rPr>
              <w:t xml:space="preserve">(Que.) (Civil) (By </w:t>
            </w:r>
            <w:proofErr w:type="spellStart"/>
            <w:r w:rsidRPr="00003B04">
              <w:rPr>
                <w:sz w:val="20"/>
              </w:rPr>
              <w:t>Leave</w:t>
            </w:r>
            <w:proofErr w:type="spellEnd"/>
            <w:r w:rsidRPr="00003B04">
              <w:rPr>
                <w:sz w:val="20"/>
              </w:rPr>
              <w:t>)</w:t>
            </w:r>
          </w:p>
          <w:p w:rsidR="00767A6B" w:rsidRPr="00003B04" w:rsidRDefault="00767A6B" w:rsidP="00767A6B">
            <w:pPr>
              <w:rPr>
                <w:lang w:val="fr-CA"/>
              </w:rPr>
            </w:pPr>
          </w:p>
        </w:tc>
      </w:tr>
      <w:tr w:rsidR="00EE4290" w:rsidRPr="00003B04" w:rsidTr="00EE4290">
        <w:tc>
          <w:tcPr>
            <w:tcW w:w="543" w:type="pct"/>
          </w:tcPr>
          <w:p w:rsidR="00EE4290" w:rsidRPr="00003B04" w:rsidRDefault="00EE4290" w:rsidP="00EE4290">
            <w:pPr>
              <w:jc w:val="both"/>
              <w:rPr>
                <w:rStyle w:val="SCCFileNumberChar"/>
                <w:sz w:val="20"/>
                <w:szCs w:val="20"/>
              </w:rPr>
            </w:pPr>
            <w:r w:rsidRPr="00003B04">
              <w:rPr>
                <w:rStyle w:val="SCCFileNumberChar"/>
                <w:sz w:val="20"/>
                <w:szCs w:val="20"/>
              </w:rPr>
              <w:t>Coram:</w:t>
            </w:r>
          </w:p>
        </w:tc>
        <w:tc>
          <w:tcPr>
            <w:tcW w:w="4457" w:type="pct"/>
            <w:gridSpan w:val="3"/>
          </w:tcPr>
          <w:p w:rsidR="00EE4290" w:rsidRPr="00003B04" w:rsidRDefault="008F5EB8" w:rsidP="00EE4290">
            <w:pPr>
              <w:pStyle w:val="SCCLsocParty"/>
              <w:jc w:val="both"/>
              <w:rPr>
                <w:sz w:val="20"/>
                <w:szCs w:val="20"/>
                <w:lang w:val="en-US"/>
              </w:rPr>
            </w:pPr>
            <w:proofErr w:type="spellStart"/>
            <w:r w:rsidRPr="00003B04">
              <w:rPr>
                <w:sz w:val="20"/>
                <w:szCs w:val="20"/>
                <w:lang w:val="en-US"/>
              </w:rPr>
              <w:t>McLachlin</w:t>
            </w:r>
            <w:proofErr w:type="spellEnd"/>
            <w:r w:rsidRPr="00003B04">
              <w:rPr>
                <w:sz w:val="20"/>
                <w:szCs w:val="20"/>
                <w:lang w:val="en-US"/>
              </w:rPr>
              <w:t xml:space="preserve"> C.J. and </w:t>
            </w:r>
            <w:proofErr w:type="spellStart"/>
            <w:r w:rsidRPr="00003B04">
              <w:rPr>
                <w:sz w:val="20"/>
                <w:szCs w:val="20"/>
                <w:lang w:val="en-US"/>
              </w:rPr>
              <w:t>Abella</w:t>
            </w:r>
            <w:proofErr w:type="spellEnd"/>
            <w:r w:rsidRPr="00003B04">
              <w:rPr>
                <w:sz w:val="20"/>
                <w:szCs w:val="20"/>
                <w:lang w:val="en-US"/>
              </w:rPr>
              <w:t xml:space="preserve">, </w:t>
            </w:r>
            <w:proofErr w:type="spellStart"/>
            <w:r w:rsidRPr="00003B04">
              <w:rPr>
                <w:sz w:val="20"/>
                <w:szCs w:val="20"/>
                <w:lang w:val="en-US"/>
              </w:rPr>
              <w:t>Moldaver</w:t>
            </w:r>
            <w:proofErr w:type="spellEnd"/>
            <w:r w:rsidRPr="00003B04">
              <w:rPr>
                <w:sz w:val="20"/>
                <w:szCs w:val="20"/>
                <w:lang w:val="en-US"/>
              </w:rPr>
              <w:t xml:space="preserve">, </w:t>
            </w:r>
            <w:proofErr w:type="spellStart"/>
            <w:r w:rsidRPr="00003B04">
              <w:rPr>
                <w:sz w:val="20"/>
                <w:szCs w:val="20"/>
                <w:lang w:val="en-US"/>
              </w:rPr>
              <w:t>Karakatsanis</w:t>
            </w:r>
            <w:proofErr w:type="spellEnd"/>
            <w:r w:rsidRPr="00003B04">
              <w:rPr>
                <w:sz w:val="20"/>
                <w:szCs w:val="20"/>
                <w:lang w:val="en-US"/>
              </w:rPr>
              <w:t xml:space="preserve">, Wagner, </w:t>
            </w:r>
            <w:proofErr w:type="spellStart"/>
            <w:r w:rsidRPr="00003B04">
              <w:rPr>
                <w:sz w:val="20"/>
                <w:szCs w:val="20"/>
                <w:lang w:val="en-US"/>
              </w:rPr>
              <w:t>Gascon</w:t>
            </w:r>
            <w:proofErr w:type="spellEnd"/>
            <w:r w:rsidRPr="00003B04">
              <w:rPr>
                <w:sz w:val="20"/>
                <w:szCs w:val="20"/>
                <w:lang w:val="en-US"/>
              </w:rPr>
              <w:t xml:space="preserve">, </w:t>
            </w:r>
            <w:proofErr w:type="spellStart"/>
            <w:r w:rsidRPr="00003B04">
              <w:rPr>
                <w:sz w:val="20"/>
                <w:szCs w:val="20"/>
                <w:lang w:val="en-US"/>
              </w:rPr>
              <w:t>Côté</w:t>
            </w:r>
            <w:proofErr w:type="spellEnd"/>
            <w:r w:rsidRPr="00003B04">
              <w:rPr>
                <w:sz w:val="20"/>
                <w:szCs w:val="20"/>
                <w:lang w:val="en-US"/>
              </w:rPr>
              <w:t>, Brown and Rowe JJ.</w:t>
            </w:r>
          </w:p>
          <w:p w:rsidR="008F5EB8" w:rsidRPr="00003B04" w:rsidRDefault="008F5EB8" w:rsidP="008F5EB8">
            <w:pPr>
              <w:rPr>
                <w:lang w:val="en-US"/>
              </w:rPr>
            </w:pPr>
          </w:p>
        </w:tc>
      </w:tr>
      <w:tr w:rsidR="00EE4290" w:rsidRPr="00003B04" w:rsidTr="00EE4290">
        <w:tc>
          <w:tcPr>
            <w:tcW w:w="5000" w:type="pct"/>
            <w:gridSpan w:val="4"/>
          </w:tcPr>
          <w:p w:rsidR="00EE4290" w:rsidRPr="00003B04" w:rsidRDefault="008F5EB8" w:rsidP="00EE4290">
            <w:pPr>
              <w:pStyle w:val="SCCLsocParty"/>
              <w:jc w:val="both"/>
              <w:rPr>
                <w:sz w:val="20"/>
                <w:szCs w:val="20"/>
                <w:lang w:val="en-US"/>
              </w:rPr>
            </w:pPr>
            <w:r w:rsidRPr="00003B04">
              <w:rPr>
                <w:sz w:val="20"/>
                <w:szCs w:val="20"/>
                <w:lang w:val="en-US"/>
              </w:rPr>
              <w:t>The application for leave to appeal from the judgment of the Court of Appeal of Quebec (Québec), Number 500-10-006170-169, 2016 QCCA 1303, dated August 12, 2016, is dismissed with costs.</w:t>
            </w:r>
          </w:p>
          <w:p w:rsidR="008F5EB8" w:rsidRPr="00003B04" w:rsidRDefault="008F5EB8" w:rsidP="008F5EB8">
            <w:pPr>
              <w:rPr>
                <w:lang w:val="en-US"/>
              </w:rPr>
            </w:pPr>
          </w:p>
        </w:tc>
      </w:tr>
      <w:tr w:rsidR="00EE4290" w:rsidRPr="00003B04" w:rsidTr="00EE4290">
        <w:tc>
          <w:tcPr>
            <w:tcW w:w="5000" w:type="pct"/>
            <w:gridSpan w:val="4"/>
          </w:tcPr>
          <w:p w:rsidR="00EE4290" w:rsidRPr="00003B04" w:rsidRDefault="00EE4290" w:rsidP="00EE4290">
            <w:pPr>
              <w:jc w:val="both"/>
              <w:rPr>
                <w:sz w:val="20"/>
              </w:rPr>
            </w:pPr>
            <w:r w:rsidRPr="00003B04">
              <w:rPr>
                <w:sz w:val="20"/>
              </w:rPr>
              <w:t xml:space="preserve">Taxation – Search and seizure – Judicial Review – Whether an information to obtain a search warrant in relation to allegations of tax evasion or of filing of false statements must include detailed reasonable grounds as to the taxability of the underlying income or supplies, including a description of the legal grounds for which it is believed that the income or supply is taxable – Whether courts below erred by equating allegations of tax noncompliance with reasonable grounds to believe a tax offence was committed – </w:t>
            </w:r>
            <w:r w:rsidRPr="00003B04">
              <w:rPr>
                <w:i/>
                <w:sz w:val="20"/>
              </w:rPr>
              <w:t>Tax Administration Act</w:t>
            </w:r>
            <w:r w:rsidRPr="00003B04">
              <w:rPr>
                <w:sz w:val="20"/>
              </w:rPr>
              <w:t>, RSQ c. A-6.002, s. 40.</w:t>
            </w:r>
          </w:p>
        </w:tc>
      </w:tr>
      <w:tr w:rsidR="00EE4290" w:rsidRPr="00003B04" w:rsidTr="00EE4290">
        <w:tc>
          <w:tcPr>
            <w:tcW w:w="5000" w:type="pct"/>
            <w:gridSpan w:val="4"/>
          </w:tcPr>
          <w:p w:rsidR="00EE4290" w:rsidRPr="00003B04" w:rsidRDefault="00EE4290" w:rsidP="00EE4290">
            <w:pPr>
              <w:jc w:val="both"/>
              <w:rPr>
                <w:sz w:val="20"/>
              </w:rPr>
            </w:pPr>
          </w:p>
        </w:tc>
      </w:tr>
      <w:tr w:rsidR="00EE4290" w:rsidRPr="00003B04" w:rsidTr="00EE4290">
        <w:tc>
          <w:tcPr>
            <w:tcW w:w="5000" w:type="pct"/>
            <w:gridSpan w:val="4"/>
          </w:tcPr>
          <w:p w:rsidR="00EE4290" w:rsidRPr="00003B04" w:rsidRDefault="00EE4290" w:rsidP="00EE4290">
            <w:pPr>
              <w:autoSpaceDE w:val="0"/>
              <w:autoSpaceDN w:val="0"/>
              <w:adjustRightInd w:val="0"/>
              <w:jc w:val="both"/>
              <w:rPr>
                <w:sz w:val="20"/>
              </w:rPr>
            </w:pPr>
            <w:r w:rsidRPr="00003B04">
              <w:rPr>
                <w:sz w:val="20"/>
              </w:rPr>
              <w:t xml:space="preserve">On May 13, 2015, warrants allowing the Respondent </w:t>
            </w:r>
            <w:proofErr w:type="spellStart"/>
            <w:r w:rsidRPr="00003B04">
              <w:rPr>
                <w:sz w:val="20"/>
              </w:rPr>
              <w:t>Revenu</w:t>
            </w:r>
            <w:proofErr w:type="spellEnd"/>
            <w:r w:rsidRPr="00003B04">
              <w:rPr>
                <w:sz w:val="20"/>
              </w:rPr>
              <w:t xml:space="preserve"> Québec to enter and search the Applicant’s premises and seize things found there was issued pursuant to s. 40 of the </w:t>
            </w:r>
            <w:r w:rsidRPr="00003B04">
              <w:rPr>
                <w:i/>
                <w:sz w:val="20"/>
              </w:rPr>
              <w:t>Tax Administration Act</w:t>
            </w:r>
            <w:r w:rsidRPr="00003B04">
              <w:rPr>
                <w:sz w:val="20"/>
              </w:rPr>
              <w:t xml:space="preserve">, RSQ c. A-6.002 on the basis of allegations of tax evasion and the filing of false statements on the part of the Applicant. On the following day, additional search warrants allowing the Respondent to seize the Applicant’s computer equipment were also issued. On June 15, 2015, the Applicant filed a </w:t>
            </w:r>
            <w:r w:rsidRPr="00003B04">
              <w:rPr>
                <w:i/>
                <w:iCs/>
                <w:sz w:val="20"/>
              </w:rPr>
              <w:t>Motion to Introduce Proceedings in Certiorari, for the Return of Seized Things and for Ancillary Relief</w:t>
            </w:r>
            <w:r w:rsidRPr="00003B04">
              <w:rPr>
                <w:iCs/>
                <w:sz w:val="20"/>
              </w:rPr>
              <w:t>,</w:t>
            </w:r>
            <w:r w:rsidRPr="00003B04">
              <w:rPr>
                <w:i/>
                <w:iCs/>
                <w:sz w:val="20"/>
              </w:rPr>
              <w:t xml:space="preserve"> </w:t>
            </w:r>
            <w:r w:rsidRPr="00003B04">
              <w:rPr>
                <w:sz w:val="20"/>
              </w:rPr>
              <w:t>seeking judicial review for purposes of quashing the search warrants and ordering the return of the things seized.</w:t>
            </w:r>
          </w:p>
          <w:p w:rsidR="00EE4290" w:rsidRPr="00003B04" w:rsidRDefault="00EE4290" w:rsidP="00EE4290">
            <w:pPr>
              <w:jc w:val="both"/>
              <w:rPr>
                <w:sz w:val="20"/>
              </w:rPr>
            </w:pPr>
          </w:p>
        </w:tc>
      </w:tr>
      <w:tr w:rsidR="00EE4290" w:rsidRPr="00003B04" w:rsidTr="00EE4290">
        <w:tc>
          <w:tcPr>
            <w:tcW w:w="2427" w:type="pct"/>
            <w:gridSpan w:val="2"/>
          </w:tcPr>
          <w:p w:rsidR="00EE4290" w:rsidRPr="00003B04" w:rsidRDefault="00EE4290" w:rsidP="00EE4290">
            <w:pPr>
              <w:jc w:val="both"/>
              <w:rPr>
                <w:sz w:val="20"/>
              </w:rPr>
            </w:pPr>
            <w:r w:rsidRPr="00003B04">
              <w:rPr>
                <w:sz w:val="20"/>
              </w:rPr>
              <w:t>May 11, 2016</w:t>
            </w:r>
          </w:p>
          <w:p w:rsidR="00EE4290" w:rsidRPr="00003B04" w:rsidRDefault="00EE4290" w:rsidP="00EE4290">
            <w:pPr>
              <w:jc w:val="both"/>
              <w:rPr>
                <w:sz w:val="20"/>
              </w:rPr>
            </w:pPr>
            <w:r w:rsidRPr="00003B04">
              <w:rPr>
                <w:sz w:val="20"/>
              </w:rPr>
              <w:t>Superior Court of Quebec</w:t>
            </w:r>
          </w:p>
          <w:p w:rsidR="00EE4290" w:rsidRPr="00003B04" w:rsidRDefault="00EE4290" w:rsidP="00EE4290">
            <w:pPr>
              <w:jc w:val="both"/>
              <w:rPr>
                <w:sz w:val="20"/>
              </w:rPr>
            </w:pPr>
            <w:r w:rsidRPr="00003B04">
              <w:rPr>
                <w:sz w:val="20"/>
              </w:rPr>
              <w:t>(</w:t>
            </w:r>
            <w:proofErr w:type="spellStart"/>
            <w:r w:rsidRPr="00003B04">
              <w:rPr>
                <w:sz w:val="20"/>
              </w:rPr>
              <w:t>Cournoyer</w:t>
            </w:r>
            <w:proofErr w:type="spellEnd"/>
            <w:r w:rsidRPr="00003B04">
              <w:rPr>
                <w:sz w:val="20"/>
              </w:rPr>
              <w:t xml:space="preserve"> J.)</w:t>
            </w:r>
          </w:p>
          <w:p w:rsidR="00EE4290" w:rsidRPr="00003B04" w:rsidRDefault="00EE4290" w:rsidP="00EE4290">
            <w:pPr>
              <w:jc w:val="both"/>
              <w:rPr>
                <w:sz w:val="20"/>
              </w:rPr>
            </w:pPr>
            <w:r w:rsidRPr="00003B04">
              <w:rPr>
                <w:sz w:val="20"/>
              </w:rPr>
              <w:t>No. 500-36-007668-158</w:t>
            </w:r>
          </w:p>
          <w:p w:rsidR="00EE4290" w:rsidRPr="00003B04" w:rsidRDefault="00604445" w:rsidP="00EE4290">
            <w:pPr>
              <w:jc w:val="both"/>
              <w:rPr>
                <w:sz w:val="20"/>
              </w:rPr>
            </w:pPr>
            <w:hyperlink r:id="rId33" w:history="1">
              <w:r w:rsidR="00EE4290" w:rsidRPr="00003B04">
                <w:rPr>
                  <w:rStyle w:val="Hyperlink"/>
                  <w:sz w:val="20"/>
                </w:rPr>
                <w:t>2016 QCCS 2158</w:t>
              </w:r>
            </w:hyperlink>
          </w:p>
          <w:p w:rsidR="00EE4290" w:rsidRPr="00003B04" w:rsidRDefault="00EE4290" w:rsidP="00EE4290">
            <w:pPr>
              <w:jc w:val="both"/>
              <w:rPr>
                <w:sz w:val="20"/>
              </w:rPr>
            </w:pPr>
          </w:p>
        </w:tc>
        <w:tc>
          <w:tcPr>
            <w:tcW w:w="243" w:type="pct"/>
          </w:tcPr>
          <w:p w:rsidR="00EE4290" w:rsidRPr="00003B04" w:rsidRDefault="00EE4290" w:rsidP="00EE4290">
            <w:pPr>
              <w:jc w:val="both"/>
              <w:rPr>
                <w:sz w:val="20"/>
              </w:rPr>
            </w:pPr>
          </w:p>
        </w:tc>
        <w:tc>
          <w:tcPr>
            <w:tcW w:w="2330" w:type="pct"/>
          </w:tcPr>
          <w:p w:rsidR="00EE4290" w:rsidRPr="00003B04" w:rsidRDefault="00EE4290" w:rsidP="00EE4290">
            <w:pPr>
              <w:jc w:val="both"/>
              <w:rPr>
                <w:sz w:val="20"/>
              </w:rPr>
            </w:pPr>
            <w:r w:rsidRPr="00003B04">
              <w:rPr>
                <w:sz w:val="20"/>
              </w:rPr>
              <w:t>Application for judicial review dismissed.</w:t>
            </w:r>
          </w:p>
          <w:p w:rsidR="00EE4290" w:rsidRPr="00003B04" w:rsidRDefault="00EE4290" w:rsidP="00EE4290">
            <w:pPr>
              <w:jc w:val="both"/>
              <w:rPr>
                <w:sz w:val="20"/>
              </w:rPr>
            </w:pPr>
          </w:p>
        </w:tc>
      </w:tr>
      <w:tr w:rsidR="00EE4290" w:rsidRPr="00003B04" w:rsidTr="00EE4290">
        <w:tc>
          <w:tcPr>
            <w:tcW w:w="2427" w:type="pct"/>
            <w:gridSpan w:val="2"/>
          </w:tcPr>
          <w:p w:rsidR="00EE4290" w:rsidRPr="00003B04" w:rsidRDefault="00EE4290" w:rsidP="00EE4290">
            <w:pPr>
              <w:jc w:val="both"/>
              <w:rPr>
                <w:sz w:val="20"/>
              </w:rPr>
            </w:pPr>
            <w:r w:rsidRPr="00003B04">
              <w:rPr>
                <w:sz w:val="20"/>
              </w:rPr>
              <w:t>August 12, 2016</w:t>
            </w:r>
          </w:p>
          <w:p w:rsidR="00EE4290" w:rsidRPr="00003B04" w:rsidRDefault="00EE4290" w:rsidP="00EE4290">
            <w:pPr>
              <w:jc w:val="both"/>
              <w:rPr>
                <w:sz w:val="20"/>
              </w:rPr>
            </w:pPr>
            <w:r w:rsidRPr="00003B04">
              <w:rPr>
                <w:sz w:val="20"/>
              </w:rPr>
              <w:t>Court of Appeal of Quebec (Québec)</w:t>
            </w:r>
          </w:p>
          <w:p w:rsidR="00EE4290" w:rsidRPr="00003B04" w:rsidRDefault="00EE4290" w:rsidP="00EE4290">
            <w:pPr>
              <w:jc w:val="both"/>
              <w:rPr>
                <w:sz w:val="20"/>
              </w:rPr>
            </w:pPr>
            <w:r w:rsidRPr="00003B04">
              <w:rPr>
                <w:sz w:val="20"/>
              </w:rPr>
              <w:t>(</w:t>
            </w:r>
            <w:proofErr w:type="spellStart"/>
            <w:r w:rsidRPr="00003B04">
              <w:rPr>
                <w:sz w:val="20"/>
              </w:rPr>
              <w:t>Kasirer</w:t>
            </w:r>
            <w:proofErr w:type="spellEnd"/>
            <w:r w:rsidRPr="00003B04">
              <w:rPr>
                <w:sz w:val="20"/>
              </w:rPr>
              <w:t xml:space="preserve"> J.A.)</w:t>
            </w:r>
          </w:p>
          <w:p w:rsidR="00EE4290" w:rsidRPr="00003B04" w:rsidRDefault="00EE4290" w:rsidP="00EE4290">
            <w:pPr>
              <w:jc w:val="both"/>
              <w:rPr>
                <w:sz w:val="20"/>
              </w:rPr>
            </w:pPr>
            <w:r w:rsidRPr="00003B04">
              <w:rPr>
                <w:sz w:val="20"/>
              </w:rPr>
              <w:t>No. 500-10-006170-169</w:t>
            </w:r>
          </w:p>
          <w:p w:rsidR="00EE4290" w:rsidRPr="00003B04" w:rsidRDefault="00604445" w:rsidP="00EE4290">
            <w:pPr>
              <w:jc w:val="both"/>
              <w:rPr>
                <w:sz w:val="20"/>
              </w:rPr>
            </w:pPr>
            <w:hyperlink r:id="rId34" w:history="1">
              <w:r w:rsidR="00EE4290" w:rsidRPr="00003B04">
                <w:rPr>
                  <w:rStyle w:val="Hyperlink"/>
                  <w:sz w:val="20"/>
                </w:rPr>
                <w:t>2016 QCCA 1303</w:t>
              </w:r>
            </w:hyperlink>
          </w:p>
          <w:p w:rsidR="00EE4290" w:rsidRPr="00003B04" w:rsidRDefault="00EE4290" w:rsidP="00EE4290">
            <w:pPr>
              <w:jc w:val="both"/>
              <w:rPr>
                <w:sz w:val="20"/>
              </w:rPr>
            </w:pPr>
          </w:p>
        </w:tc>
        <w:tc>
          <w:tcPr>
            <w:tcW w:w="243" w:type="pct"/>
          </w:tcPr>
          <w:p w:rsidR="00EE4290" w:rsidRPr="00003B04" w:rsidRDefault="00EE4290" w:rsidP="00EE4290">
            <w:pPr>
              <w:jc w:val="both"/>
              <w:rPr>
                <w:sz w:val="20"/>
              </w:rPr>
            </w:pPr>
          </w:p>
        </w:tc>
        <w:tc>
          <w:tcPr>
            <w:tcW w:w="2330" w:type="pct"/>
          </w:tcPr>
          <w:p w:rsidR="00EE4290" w:rsidRPr="00003B04" w:rsidRDefault="00EE4290" w:rsidP="00EE4290">
            <w:pPr>
              <w:jc w:val="both"/>
              <w:rPr>
                <w:sz w:val="20"/>
              </w:rPr>
            </w:pPr>
            <w:r w:rsidRPr="00003B04">
              <w:rPr>
                <w:sz w:val="20"/>
              </w:rPr>
              <w:t>Leave to appeal refused.</w:t>
            </w:r>
          </w:p>
          <w:p w:rsidR="00EE4290" w:rsidRPr="00003B04" w:rsidRDefault="00EE4290" w:rsidP="00EE4290">
            <w:pPr>
              <w:jc w:val="both"/>
              <w:rPr>
                <w:sz w:val="20"/>
              </w:rPr>
            </w:pPr>
          </w:p>
          <w:p w:rsidR="00EE4290" w:rsidRPr="00003B04" w:rsidRDefault="00EE4290" w:rsidP="00EE4290">
            <w:pPr>
              <w:jc w:val="both"/>
              <w:rPr>
                <w:sz w:val="20"/>
              </w:rPr>
            </w:pPr>
          </w:p>
        </w:tc>
      </w:tr>
      <w:tr w:rsidR="00EE4290" w:rsidRPr="00003B04" w:rsidTr="00EE4290">
        <w:tc>
          <w:tcPr>
            <w:tcW w:w="2427" w:type="pct"/>
            <w:gridSpan w:val="2"/>
          </w:tcPr>
          <w:p w:rsidR="00EE4290" w:rsidRPr="00003B04" w:rsidRDefault="00EE4290" w:rsidP="00EE4290">
            <w:pPr>
              <w:jc w:val="both"/>
              <w:rPr>
                <w:sz w:val="20"/>
              </w:rPr>
            </w:pPr>
            <w:r w:rsidRPr="00003B04">
              <w:rPr>
                <w:sz w:val="20"/>
              </w:rPr>
              <w:t>October 11, 2016</w:t>
            </w:r>
          </w:p>
          <w:p w:rsidR="00EE4290" w:rsidRPr="00003B04" w:rsidRDefault="00EE4290" w:rsidP="00EE4290">
            <w:pPr>
              <w:jc w:val="both"/>
              <w:rPr>
                <w:sz w:val="20"/>
              </w:rPr>
            </w:pPr>
            <w:r w:rsidRPr="00003B04">
              <w:rPr>
                <w:sz w:val="20"/>
              </w:rPr>
              <w:t>Supreme Court of Canada</w:t>
            </w:r>
          </w:p>
        </w:tc>
        <w:tc>
          <w:tcPr>
            <w:tcW w:w="243" w:type="pct"/>
          </w:tcPr>
          <w:p w:rsidR="00EE4290" w:rsidRPr="00003B04" w:rsidRDefault="00EE4290" w:rsidP="00EE4290">
            <w:pPr>
              <w:jc w:val="both"/>
              <w:rPr>
                <w:sz w:val="20"/>
              </w:rPr>
            </w:pPr>
          </w:p>
        </w:tc>
        <w:tc>
          <w:tcPr>
            <w:tcW w:w="2330" w:type="pct"/>
          </w:tcPr>
          <w:p w:rsidR="00EE4290" w:rsidRPr="00003B04" w:rsidRDefault="00EE4290" w:rsidP="00EE4290">
            <w:pPr>
              <w:jc w:val="both"/>
              <w:rPr>
                <w:sz w:val="20"/>
              </w:rPr>
            </w:pPr>
            <w:r w:rsidRPr="00003B04">
              <w:rPr>
                <w:sz w:val="20"/>
              </w:rPr>
              <w:t>Application for leave to appeal filed.</w:t>
            </w:r>
          </w:p>
          <w:p w:rsidR="00EE4290" w:rsidRPr="00003B04" w:rsidRDefault="00EE4290" w:rsidP="00EE4290">
            <w:pPr>
              <w:jc w:val="both"/>
              <w:rPr>
                <w:sz w:val="20"/>
              </w:rPr>
            </w:pPr>
          </w:p>
        </w:tc>
      </w:tr>
    </w:tbl>
    <w:p w:rsidR="00EE4290" w:rsidRPr="00003B04" w:rsidRDefault="00604445" w:rsidP="00EE4290">
      <w:pPr>
        <w:jc w:val="both"/>
        <w:rPr>
          <w:sz w:val="20"/>
        </w:rPr>
      </w:pPr>
      <w:r>
        <w:rPr>
          <w:sz w:val="20"/>
          <w:szCs w:val="20"/>
        </w:rPr>
        <w:pict>
          <v:rect id="_x0000_i1051" style="width:2in;height:1pt" o:hrpct="0" o:hralign="center" o:hrstd="t" o:hrnoshade="t" o:hr="t" fillcolor="black [3213]" stroked="f"/>
        </w:pict>
      </w:r>
    </w:p>
    <w:p w:rsidR="00EE4290" w:rsidRPr="00003B04" w:rsidRDefault="00EE4290" w:rsidP="00EE429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E4290" w:rsidRPr="00003B04" w:rsidTr="00EE4290">
        <w:tc>
          <w:tcPr>
            <w:tcW w:w="543" w:type="pct"/>
          </w:tcPr>
          <w:p w:rsidR="00EE4290" w:rsidRPr="00003B04" w:rsidRDefault="00EE4290" w:rsidP="00EE4290">
            <w:pPr>
              <w:jc w:val="both"/>
              <w:rPr>
                <w:sz w:val="20"/>
                <w:lang w:val="fr-CA"/>
              </w:rPr>
            </w:pPr>
            <w:r w:rsidRPr="00003B04">
              <w:rPr>
                <w:rStyle w:val="SCCFileNumberChar"/>
                <w:sz w:val="20"/>
                <w:szCs w:val="20"/>
                <w:lang w:val="fr-CA"/>
              </w:rPr>
              <w:lastRenderedPageBreak/>
              <w:t>37248</w:t>
            </w:r>
          </w:p>
        </w:tc>
        <w:tc>
          <w:tcPr>
            <w:tcW w:w="4457" w:type="pct"/>
            <w:gridSpan w:val="3"/>
          </w:tcPr>
          <w:p w:rsidR="00EE4290" w:rsidRPr="00003B04" w:rsidRDefault="00EE4290" w:rsidP="00767A6B">
            <w:pPr>
              <w:pStyle w:val="SCCLsocParty"/>
              <w:jc w:val="both"/>
              <w:rPr>
                <w:sz w:val="20"/>
              </w:rPr>
            </w:pPr>
            <w:proofErr w:type="spellStart"/>
            <w:r w:rsidRPr="00003B04">
              <w:rPr>
                <w:b/>
                <w:sz w:val="20"/>
                <w:szCs w:val="20"/>
              </w:rPr>
              <w:t>Uber</w:t>
            </w:r>
            <w:proofErr w:type="spellEnd"/>
            <w:r w:rsidRPr="00003B04">
              <w:rPr>
                <w:b/>
                <w:sz w:val="20"/>
                <w:szCs w:val="20"/>
              </w:rPr>
              <w:t xml:space="preserve"> Canada Inc. c. </w:t>
            </w:r>
            <w:r w:rsidR="001B621B" w:rsidRPr="00003B04">
              <w:rPr>
                <w:b/>
                <w:sz w:val="20"/>
                <w:szCs w:val="20"/>
              </w:rPr>
              <w:t>Agence du revenu du Québec</w:t>
            </w:r>
            <w:r w:rsidRPr="00003B04">
              <w:rPr>
                <w:b/>
                <w:sz w:val="20"/>
                <w:szCs w:val="20"/>
              </w:rPr>
              <w:t xml:space="preserve">, Claudine Duval, Maxime </w:t>
            </w:r>
            <w:proofErr w:type="spellStart"/>
            <w:r w:rsidRPr="00003B04">
              <w:rPr>
                <w:b/>
                <w:sz w:val="20"/>
                <w:szCs w:val="20"/>
              </w:rPr>
              <w:t>Éthier</w:t>
            </w:r>
            <w:proofErr w:type="spellEnd"/>
            <w:r w:rsidRPr="00003B04">
              <w:rPr>
                <w:b/>
                <w:sz w:val="20"/>
                <w:szCs w:val="20"/>
              </w:rPr>
              <w:t xml:space="preserve">, Sylvie Robichaud, Sylvain Brassard, René Lévesque, Adil </w:t>
            </w:r>
            <w:proofErr w:type="spellStart"/>
            <w:r w:rsidRPr="00003B04">
              <w:rPr>
                <w:b/>
                <w:sz w:val="20"/>
                <w:szCs w:val="20"/>
              </w:rPr>
              <w:t>Chennaoui</w:t>
            </w:r>
            <w:proofErr w:type="spellEnd"/>
            <w:r w:rsidRPr="00003B04">
              <w:rPr>
                <w:b/>
                <w:sz w:val="20"/>
                <w:szCs w:val="20"/>
              </w:rPr>
              <w:t xml:space="preserve">, Conrad </w:t>
            </w:r>
            <w:proofErr w:type="spellStart"/>
            <w:r w:rsidRPr="00003B04">
              <w:rPr>
                <w:b/>
                <w:sz w:val="20"/>
                <w:szCs w:val="20"/>
              </w:rPr>
              <w:t>Canizalez</w:t>
            </w:r>
            <w:proofErr w:type="spellEnd"/>
            <w:r w:rsidRPr="00003B04">
              <w:rPr>
                <w:b/>
                <w:sz w:val="20"/>
                <w:szCs w:val="20"/>
              </w:rPr>
              <w:t>, Claude Hébert, Alexandra-Maude Valade, Marc André Pelletier</w:t>
            </w:r>
            <w:r w:rsidR="001B621B" w:rsidRPr="00003B04">
              <w:rPr>
                <w:b/>
                <w:sz w:val="20"/>
                <w:szCs w:val="20"/>
              </w:rPr>
              <w:t xml:space="preserve"> et</w:t>
            </w:r>
            <w:r w:rsidRPr="00003B04">
              <w:rPr>
                <w:b/>
                <w:sz w:val="20"/>
                <w:szCs w:val="20"/>
              </w:rPr>
              <w:t xml:space="preserve"> Jean-Paul Braun</w:t>
            </w:r>
            <w:r w:rsidR="00767A6B" w:rsidRPr="00003B04">
              <w:rPr>
                <w:b/>
                <w:sz w:val="20"/>
                <w:szCs w:val="20"/>
              </w:rPr>
              <w:t xml:space="preserve"> </w:t>
            </w:r>
            <w:r w:rsidRPr="00003B04">
              <w:rPr>
                <w:sz w:val="20"/>
              </w:rPr>
              <w:t>(</w:t>
            </w:r>
            <w:proofErr w:type="spellStart"/>
            <w:r w:rsidRPr="00003B04">
              <w:rPr>
                <w:sz w:val="20"/>
              </w:rPr>
              <w:t>Qué</w:t>
            </w:r>
            <w:proofErr w:type="spellEnd"/>
            <w:r w:rsidRPr="00003B04">
              <w:rPr>
                <w:sz w:val="20"/>
              </w:rPr>
              <w:t>.) (Civile) (Sur autorisation)</w:t>
            </w:r>
          </w:p>
          <w:p w:rsidR="00767A6B" w:rsidRPr="00003B04" w:rsidRDefault="00767A6B" w:rsidP="00767A6B">
            <w:pPr>
              <w:rPr>
                <w:lang w:val="fr-CA"/>
              </w:rPr>
            </w:pPr>
          </w:p>
        </w:tc>
      </w:tr>
      <w:tr w:rsidR="00EE4290" w:rsidRPr="00C3697D" w:rsidTr="00EE4290">
        <w:tc>
          <w:tcPr>
            <w:tcW w:w="543" w:type="pct"/>
          </w:tcPr>
          <w:p w:rsidR="00EE4290" w:rsidRPr="00003B04" w:rsidRDefault="00EE4290" w:rsidP="00EE4290">
            <w:pPr>
              <w:jc w:val="both"/>
              <w:rPr>
                <w:rStyle w:val="SCCFileNumberChar"/>
                <w:sz w:val="20"/>
                <w:szCs w:val="20"/>
                <w:lang w:val="fr-CA"/>
              </w:rPr>
            </w:pPr>
            <w:r w:rsidRPr="00003B04">
              <w:rPr>
                <w:rStyle w:val="SCCFileNumberChar"/>
                <w:sz w:val="20"/>
                <w:szCs w:val="20"/>
                <w:lang w:val="fr-CA"/>
              </w:rPr>
              <w:t>Coram :</w:t>
            </w:r>
          </w:p>
        </w:tc>
        <w:tc>
          <w:tcPr>
            <w:tcW w:w="4457" w:type="pct"/>
            <w:gridSpan w:val="3"/>
          </w:tcPr>
          <w:p w:rsidR="00EE4290" w:rsidRPr="00003B04" w:rsidRDefault="008F5EB8" w:rsidP="00EE4290">
            <w:pPr>
              <w:pStyle w:val="SCCLsocParty"/>
              <w:jc w:val="both"/>
              <w:rPr>
                <w:sz w:val="20"/>
                <w:szCs w:val="20"/>
                <w:lang w:val="fr-FR"/>
              </w:rPr>
            </w:pPr>
            <w:r w:rsidRPr="00003B04">
              <w:rPr>
                <w:sz w:val="20"/>
                <w:szCs w:val="20"/>
                <w:lang w:val="fr-FR"/>
              </w:rPr>
              <w:t xml:space="preserve">La juge en chef </w:t>
            </w:r>
            <w:proofErr w:type="spellStart"/>
            <w:r w:rsidRPr="00003B04">
              <w:rPr>
                <w:sz w:val="20"/>
                <w:szCs w:val="20"/>
                <w:lang w:val="fr-FR"/>
              </w:rPr>
              <w:t>McLachlin</w:t>
            </w:r>
            <w:proofErr w:type="spellEnd"/>
            <w:r w:rsidRPr="00003B04">
              <w:rPr>
                <w:sz w:val="20"/>
                <w:szCs w:val="20"/>
                <w:lang w:val="fr-FR"/>
              </w:rPr>
              <w:t xml:space="preserve"> et les juges Abella, </w:t>
            </w:r>
            <w:proofErr w:type="spellStart"/>
            <w:r w:rsidRPr="00003B04">
              <w:rPr>
                <w:sz w:val="20"/>
                <w:szCs w:val="20"/>
                <w:lang w:val="fr-FR"/>
              </w:rPr>
              <w:t>Moldaver</w:t>
            </w:r>
            <w:proofErr w:type="spellEnd"/>
            <w:r w:rsidRPr="00003B04">
              <w:rPr>
                <w:sz w:val="20"/>
                <w:szCs w:val="20"/>
                <w:lang w:val="fr-FR"/>
              </w:rPr>
              <w:t xml:space="preserve">, </w:t>
            </w:r>
            <w:proofErr w:type="spellStart"/>
            <w:r w:rsidRPr="00003B04">
              <w:rPr>
                <w:sz w:val="20"/>
                <w:szCs w:val="20"/>
                <w:lang w:val="fr-FR"/>
              </w:rPr>
              <w:t>Karakatsanis</w:t>
            </w:r>
            <w:proofErr w:type="spellEnd"/>
            <w:r w:rsidRPr="00003B04">
              <w:rPr>
                <w:sz w:val="20"/>
                <w:szCs w:val="20"/>
                <w:lang w:val="fr-FR"/>
              </w:rPr>
              <w:t>, Wagner, Gascon, Côté, Brown et Rowe</w:t>
            </w:r>
          </w:p>
          <w:p w:rsidR="008F5EB8" w:rsidRPr="00003B04" w:rsidRDefault="008F5EB8" w:rsidP="008F5EB8">
            <w:pPr>
              <w:rPr>
                <w:lang w:val="fr-FR"/>
              </w:rPr>
            </w:pPr>
          </w:p>
        </w:tc>
      </w:tr>
      <w:tr w:rsidR="00EE4290" w:rsidRPr="00C3697D" w:rsidTr="00EE4290">
        <w:tc>
          <w:tcPr>
            <w:tcW w:w="5000" w:type="pct"/>
            <w:gridSpan w:val="4"/>
          </w:tcPr>
          <w:p w:rsidR="00EE4290" w:rsidRPr="00003B04" w:rsidRDefault="008F5EB8" w:rsidP="00EE4290">
            <w:pPr>
              <w:pStyle w:val="SCCLsocParty"/>
              <w:jc w:val="both"/>
              <w:rPr>
                <w:sz w:val="20"/>
                <w:szCs w:val="20"/>
              </w:rPr>
            </w:pPr>
            <w:r w:rsidRPr="00003B04">
              <w:rPr>
                <w:sz w:val="20"/>
                <w:szCs w:val="20"/>
              </w:rPr>
              <w:t xml:space="preserve">La demande d’autorisation d’appel de l’arrêt de la </w:t>
            </w:r>
            <w:r w:rsidRPr="00003B04">
              <w:rPr>
                <w:sz w:val="20"/>
                <w:szCs w:val="20"/>
                <w:lang w:val="fr-FR"/>
              </w:rPr>
              <w:t>Cour d’appel du Québec (Québec)</w:t>
            </w:r>
            <w:r w:rsidRPr="00003B04">
              <w:rPr>
                <w:sz w:val="20"/>
                <w:szCs w:val="20"/>
              </w:rPr>
              <w:t xml:space="preserve">, numéro </w:t>
            </w:r>
            <w:r w:rsidRPr="00003B04">
              <w:rPr>
                <w:sz w:val="20"/>
                <w:szCs w:val="20"/>
                <w:lang w:val="fr-FR"/>
              </w:rPr>
              <w:t>500-10-006170-169</w:t>
            </w:r>
            <w:r w:rsidRPr="00003B04">
              <w:rPr>
                <w:sz w:val="20"/>
                <w:szCs w:val="20"/>
              </w:rPr>
              <w:t xml:space="preserve">, </w:t>
            </w:r>
            <w:r w:rsidRPr="00003B04">
              <w:rPr>
                <w:sz w:val="20"/>
                <w:szCs w:val="20"/>
                <w:lang w:val="fr-FR"/>
              </w:rPr>
              <w:t xml:space="preserve">2016 QCCA 1303, </w:t>
            </w:r>
            <w:r w:rsidRPr="00003B04">
              <w:rPr>
                <w:sz w:val="20"/>
                <w:szCs w:val="20"/>
              </w:rPr>
              <w:t xml:space="preserve">daté du </w:t>
            </w:r>
            <w:r w:rsidRPr="00003B04">
              <w:rPr>
                <w:sz w:val="20"/>
                <w:szCs w:val="20"/>
                <w:lang w:val="fr-FR"/>
              </w:rPr>
              <w:t>12 août 2016</w:t>
            </w:r>
            <w:r w:rsidRPr="00003B04">
              <w:rPr>
                <w:sz w:val="20"/>
                <w:szCs w:val="20"/>
              </w:rPr>
              <w:t>, est rejetée avec dépens.</w:t>
            </w:r>
          </w:p>
          <w:p w:rsidR="008F5EB8" w:rsidRPr="00003B04" w:rsidRDefault="008F5EB8" w:rsidP="008F5EB8">
            <w:pPr>
              <w:rPr>
                <w:lang w:val="fr-CA"/>
              </w:rPr>
            </w:pPr>
          </w:p>
        </w:tc>
      </w:tr>
      <w:tr w:rsidR="00EE4290" w:rsidRPr="00C3697D" w:rsidTr="00EE4290">
        <w:tc>
          <w:tcPr>
            <w:tcW w:w="5000" w:type="pct"/>
            <w:gridSpan w:val="4"/>
          </w:tcPr>
          <w:p w:rsidR="00EE4290" w:rsidRPr="00003B04" w:rsidRDefault="00EE4290" w:rsidP="00EE4290">
            <w:pPr>
              <w:jc w:val="both"/>
              <w:rPr>
                <w:sz w:val="20"/>
                <w:lang w:val="fr-CA"/>
              </w:rPr>
            </w:pPr>
            <w:r w:rsidRPr="00003B04">
              <w:rPr>
                <w:sz w:val="20"/>
                <w:lang w:val="fr-CA"/>
              </w:rPr>
              <w:t xml:space="preserve">Droit fiscal – Fouilles, perquisitions et saisies – Contrôle judiciaire – Une dénonciation pour obtenir un mandat de perquisition en lien avec des allégations d’évasion fiscale ou de production de fausses déclarations </w:t>
            </w:r>
            <w:proofErr w:type="spellStart"/>
            <w:r w:rsidRPr="00003B04">
              <w:rPr>
                <w:sz w:val="20"/>
                <w:lang w:val="fr-CA"/>
              </w:rPr>
              <w:t>doit-elle</w:t>
            </w:r>
            <w:proofErr w:type="spellEnd"/>
            <w:r w:rsidRPr="00003B04">
              <w:rPr>
                <w:sz w:val="20"/>
                <w:lang w:val="fr-CA"/>
              </w:rPr>
              <w:t xml:space="preserve"> inclure des motifs raisonnables détaillés quant au caractère imposable ou taxable du revenu ou des fournitures sous-jacents, y compris une description des motifs juridiques pour lesquels on croit que le revenu ou la fourniture est imposable ou taxable? – Les juridictions inférieures </w:t>
            </w:r>
            <w:proofErr w:type="spellStart"/>
            <w:r w:rsidRPr="00003B04">
              <w:rPr>
                <w:sz w:val="20"/>
                <w:lang w:val="fr-CA"/>
              </w:rPr>
              <w:t>ont-elles</w:t>
            </w:r>
            <w:proofErr w:type="spellEnd"/>
            <w:r w:rsidRPr="00003B04">
              <w:rPr>
                <w:sz w:val="20"/>
                <w:lang w:val="fr-CA"/>
              </w:rPr>
              <w:t xml:space="preserve"> eu tort d’assimiler les allégations de non-conformité aux lois fiscales aux motifs raisonnables de croire qu’une infraction fiscale avait été commise? – </w:t>
            </w:r>
            <w:r w:rsidRPr="00003B04">
              <w:rPr>
                <w:i/>
                <w:sz w:val="20"/>
                <w:lang w:val="fr-CA"/>
              </w:rPr>
              <w:t>Loi sur l’administration fiscale</w:t>
            </w:r>
            <w:r w:rsidRPr="00003B04">
              <w:rPr>
                <w:sz w:val="20"/>
                <w:lang w:val="fr-CA"/>
              </w:rPr>
              <w:t>, L.R.Q. c. A-6.002, art. 40.</w:t>
            </w:r>
          </w:p>
        </w:tc>
      </w:tr>
      <w:tr w:rsidR="00EE4290" w:rsidRPr="00C3697D" w:rsidTr="00EE4290">
        <w:tc>
          <w:tcPr>
            <w:tcW w:w="5000" w:type="pct"/>
            <w:gridSpan w:val="4"/>
          </w:tcPr>
          <w:p w:rsidR="00EE4290" w:rsidRPr="00003B04" w:rsidRDefault="00EE4290" w:rsidP="00EE4290">
            <w:pPr>
              <w:jc w:val="both"/>
              <w:rPr>
                <w:sz w:val="20"/>
                <w:lang w:val="fr-CA"/>
              </w:rPr>
            </w:pPr>
          </w:p>
        </w:tc>
      </w:tr>
      <w:tr w:rsidR="00EE4290" w:rsidRPr="00C3697D" w:rsidTr="00EE4290">
        <w:tc>
          <w:tcPr>
            <w:tcW w:w="5000" w:type="pct"/>
            <w:gridSpan w:val="4"/>
          </w:tcPr>
          <w:p w:rsidR="00EE4290" w:rsidRPr="00003B04" w:rsidRDefault="00EE4290" w:rsidP="00EE4290">
            <w:pPr>
              <w:autoSpaceDE w:val="0"/>
              <w:autoSpaceDN w:val="0"/>
              <w:adjustRightInd w:val="0"/>
              <w:jc w:val="both"/>
              <w:rPr>
                <w:sz w:val="20"/>
                <w:lang w:val="fr-CA"/>
              </w:rPr>
            </w:pPr>
            <w:r w:rsidRPr="00003B04">
              <w:rPr>
                <w:sz w:val="20"/>
                <w:lang w:val="fr-CA"/>
              </w:rPr>
              <w:t xml:space="preserve">Le 13 mai 2015, des mandats autorisant l’intimé, Revenu Québec, à s’introduire et à perquisitionner dans les locaux de la demanderesse et à saisir les choses qui y sont trouvées ont été délivrés en application de l’art. 40 de la </w:t>
            </w:r>
            <w:r w:rsidRPr="00003B04">
              <w:rPr>
                <w:i/>
                <w:sz w:val="20"/>
                <w:lang w:val="fr-CA"/>
              </w:rPr>
              <w:t>Loi sur l’administration fiscale</w:t>
            </w:r>
            <w:r w:rsidRPr="00003B04">
              <w:rPr>
                <w:sz w:val="20"/>
                <w:lang w:val="fr-CA"/>
              </w:rPr>
              <w:t>, L.R.Q. ch. A-6.002 sur le fondement d’allégations d’évasion fiscale et de production de fausses déclarations de la part de la demanderesse. Le lendemain, des mandats de perquisition additionnels autorisant l’intimé à saisir le matériel informatique de la demanderesse ont également été délivrés. Le 15 juin 2015, la demanderesse a déposé une [</w:t>
            </w:r>
            <w:r w:rsidRPr="00003B04">
              <w:rPr>
                <w:smallCaps/>
                <w:sz w:val="20"/>
                <w:lang w:val="fr-CA"/>
              </w:rPr>
              <w:t>traduction</w:t>
            </w:r>
            <w:r w:rsidRPr="00003B04">
              <w:rPr>
                <w:sz w:val="20"/>
                <w:lang w:val="fr-CA"/>
              </w:rPr>
              <w:t xml:space="preserve">] </w:t>
            </w:r>
            <w:r w:rsidRPr="00003B04">
              <w:rPr>
                <w:i/>
                <w:sz w:val="20"/>
                <w:lang w:val="fr-CA"/>
              </w:rPr>
              <w:t xml:space="preserve">Requête introductive d’instance en </w:t>
            </w:r>
            <w:proofErr w:type="spellStart"/>
            <w:r w:rsidRPr="00003B04">
              <w:rPr>
                <w:i/>
                <w:sz w:val="20"/>
                <w:lang w:val="fr-CA"/>
              </w:rPr>
              <w:t>certiorari</w:t>
            </w:r>
            <w:proofErr w:type="spellEnd"/>
            <w:r w:rsidRPr="00003B04">
              <w:rPr>
                <w:i/>
                <w:sz w:val="20"/>
                <w:lang w:val="fr-CA"/>
              </w:rPr>
              <w:t>, pour le retour de choses saisies et pour réparation accessoire</w:t>
            </w:r>
            <w:r w:rsidRPr="00003B04">
              <w:rPr>
                <w:sz w:val="20"/>
                <w:lang w:val="fr-CA"/>
              </w:rPr>
              <w:t xml:space="preserve"> dans le but d’obtenir le contrôle judiciaire aux fins d’annuler les mandats de perquisition et d’ordonner le retour des choses saisies.</w:t>
            </w:r>
          </w:p>
          <w:p w:rsidR="00EE4290" w:rsidRPr="00003B04" w:rsidRDefault="00EE4290" w:rsidP="00EE4290">
            <w:pPr>
              <w:jc w:val="both"/>
              <w:rPr>
                <w:sz w:val="20"/>
                <w:lang w:val="fr-CA"/>
              </w:rPr>
            </w:pPr>
          </w:p>
        </w:tc>
      </w:tr>
      <w:tr w:rsidR="00EE4290" w:rsidRPr="00C3697D" w:rsidTr="00EE4290">
        <w:tc>
          <w:tcPr>
            <w:tcW w:w="2427" w:type="pct"/>
            <w:gridSpan w:val="2"/>
          </w:tcPr>
          <w:p w:rsidR="00EE4290" w:rsidRPr="00003B04" w:rsidRDefault="00EE4290" w:rsidP="00EE4290">
            <w:pPr>
              <w:jc w:val="both"/>
              <w:rPr>
                <w:sz w:val="20"/>
                <w:lang w:val="fr-CA"/>
              </w:rPr>
            </w:pPr>
            <w:r w:rsidRPr="00003B04">
              <w:rPr>
                <w:sz w:val="20"/>
                <w:lang w:val="fr-CA"/>
              </w:rPr>
              <w:t>11 mai 2016</w:t>
            </w:r>
          </w:p>
          <w:p w:rsidR="00EE4290" w:rsidRPr="00003B04" w:rsidRDefault="00EE4290" w:rsidP="00EE4290">
            <w:pPr>
              <w:jc w:val="both"/>
              <w:rPr>
                <w:sz w:val="20"/>
                <w:lang w:val="fr-CA"/>
              </w:rPr>
            </w:pPr>
            <w:r w:rsidRPr="00003B04">
              <w:rPr>
                <w:sz w:val="20"/>
                <w:lang w:val="fr-CA"/>
              </w:rPr>
              <w:t>Cour supérieure du Québec</w:t>
            </w:r>
          </w:p>
          <w:p w:rsidR="00EE4290" w:rsidRPr="00003B04" w:rsidRDefault="00EE4290" w:rsidP="00EE4290">
            <w:pPr>
              <w:jc w:val="both"/>
              <w:rPr>
                <w:sz w:val="20"/>
                <w:lang w:val="fr-CA"/>
              </w:rPr>
            </w:pPr>
            <w:r w:rsidRPr="00003B04">
              <w:rPr>
                <w:sz w:val="20"/>
                <w:lang w:val="fr-CA"/>
              </w:rPr>
              <w:t xml:space="preserve">(Juge </w:t>
            </w:r>
            <w:proofErr w:type="spellStart"/>
            <w:r w:rsidRPr="00003B04">
              <w:rPr>
                <w:sz w:val="20"/>
                <w:lang w:val="fr-CA"/>
              </w:rPr>
              <w:t>Cournoyer</w:t>
            </w:r>
            <w:proofErr w:type="spellEnd"/>
            <w:r w:rsidRPr="00003B04">
              <w:rPr>
                <w:sz w:val="20"/>
                <w:lang w:val="fr-CA"/>
              </w:rPr>
              <w:t>)</w:t>
            </w:r>
          </w:p>
          <w:p w:rsidR="00EE4290" w:rsidRPr="00003B04" w:rsidRDefault="00EE4290" w:rsidP="00EE4290">
            <w:pPr>
              <w:jc w:val="both"/>
              <w:rPr>
                <w:sz w:val="20"/>
                <w:lang w:val="fr-CA"/>
              </w:rPr>
            </w:pPr>
            <w:r w:rsidRPr="00003B04">
              <w:rPr>
                <w:sz w:val="20"/>
                <w:lang w:val="fr-CA"/>
              </w:rPr>
              <w:t>N</w:t>
            </w:r>
            <w:r w:rsidRPr="00003B04">
              <w:rPr>
                <w:sz w:val="20"/>
                <w:vertAlign w:val="superscript"/>
                <w:lang w:val="fr-CA"/>
              </w:rPr>
              <w:t>o</w:t>
            </w:r>
            <w:r w:rsidRPr="00003B04">
              <w:rPr>
                <w:sz w:val="20"/>
                <w:lang w:val="fr-CA"/>
              </w:rPr>
              <w:t xml:space="preserve"> 500-36-007668-158</w:t>
            </w:r>
          </w:p>
          <w:p w:rsidR="00EE4290" w:rsidRPr="00003B04" w:rsidRDefault="00604445" w:rsidP="00EE4290">
            <w:pPr>
              <w:jc w:val="both"/>
              <w:rPr>
                <w:sz w:val="20"/>
                <w:lang w:val="fr-CA"/>
              </w:rPr>
            </w:pPr>
            <w:hyperlink r:id="rId35" w:history="1">
              <w:r w:rsidR="00EE4290" w:rsidRPr="00003B04">
                <w:rPr>
                  <w:rStyle w:val="Hyperlink"/>
                  <w:sz w:val="20"/>
                  <w:lang w:val="fr-CA"/>
                </w:rPr>
                <w:t>2016 QCCS 2158</w:t>
              </w:r>
            </w:hyperlink>
          </w:p>
          <w:p w:rsidR="00EE4290" w:rsidRPr="00003B04" w:rsidRDefault="00EE4290" w:rsidP="00EE4290">
            <w:pPr>
              <w:jc w:val="both"/>
              <w:rPr>
                <w:sz w:val="20"/>
                <w:lang w:val="fr-CA"/>
              </w:rPr>
            </w:pPr>
          </w:p>
        </w:tc>
        <w:tc>
          <w:tcPr>
            <w:tcW w:w="243" w:type="pct"/>
          </w:tcPr>
          <w:p w:rsidR="00EE4290" w:rsidRPr="00003B04" w:rsidRDefault="00EE4290" w:rsidP="00EE4290">
            <w:pPr>
              <w:jc w:val="both"/>
              <w:rPr>
                <w:sz w:val="20"/>
                <w:lang w:val="fr-CA"/>
              </w:rPr>
            </w:pPr>
          </w:p>
        </w:tc>
        <w:tc>
          <w:tcPr>
            <w:tcW w:w="2330" w:type="pct"/>
          </w:tcPr>
          <w:p w:rsidR="00EE4290" w:rsidRPr="00003B04" w:rsidRDefault="00EE4290" w:rsidP="00EE4290">
            <w:pPr>
              <w:jc w:val="both"/>
              <w:rPr>
                <w:sz w:val="20"/>
                <w:lang w:val="fr-CA"/>
              </w:rPr>
            </w:pPr>
            <w:r w:rsidRPr="00003B04">
              <w:rPr>
                <w:sz w:val="20"/>
                <w:lang w:val="fr-CA"/>
              </w:rPr>
              <w:t>Rejet de la demande de contrôle judiciaire.</w:t>
            </w:r>
          </w:p>
          <w:p w:rsidR="00EE4290" w:rsidRPr="00003B04" w:rsidRDefault="00EE4290" w:rsidP="00EE4290">
            <w:pPr>
              <w:jc w:val="both"/>
              <w:rPr>
                <w:sz w:val="20"/>
                <w:lang w:val="fr-CA"/>
              </w:rPr>
            </w:pPr>
          </w:p>
        </w:tc>
      </w:tr>
      <w:tr w:rsidR="00EE4290" w:rsidRPr="00C3697D" w:rsidTr="00EE4290">
        <w:tc>
          <w:tcPr>
            <w:tcW w:w="2427" w:type="pct"/>
            <w:gridSpan w:val="2"/>
          </w:tcPr>
          <w:p w:rsidR="00EE4290" w:rsidRPr="00003B04" w:rsidRDefault="00EE4290" w:rsidP="00EE4290">
            <w:pPr>
              <w:jc w:val="both"/>
              <w:rPr>
                <w:sz w:val="20"/>
                <w:lang w:val="fr-CA"/>
              </w:rPr>
            </w:pPr>
            <w:r w:rsidRPr="00003B04">
              <w:rPr>
                <w:sz w:val="20"/>
                <w:lang w:val="fr-CA"/>
              </w:rPr>
              <w:t>12 août 2016</w:t>
            </w:r>
          </w:p>
          <w:p w:rsidR="00EE4290" w:rsidRPr="00003B04" w:rsidRDefault="00EE4290" w:rsidP="00EE4290">
            <w:pPr>
              <w:jc w:val="both"/>
              <w:rPr>
                <w:sz w:val="20"/>
                <w:lang w:val="fr-CA"/>
              </w:rPr>
            </w:pPr>
            <w:r w:rsidRPr="00003B04">
              <w:rPr>
                <w:sz w:val="20"/>
                <w:lang w:val="fr-CA"/>
              </w:rPr>
              <w:t>Cour d’appel du Québec (Québec)</w:t>
            </w:r>
          </w:p>
          <w:p w:rsidR="00EE4290" w:rsidRPr="00003B04" w:rsidRDefault="00EE4290" w:rsidP="00EE4290">
            <w:pPr>
              <w:jc w:val="both"/>
              <w:rPr>
                <w:sz w:val="20"/>
                <w:lang w:val="fr-CA"/>
              </w:rPr>
            </w:pPr>
            <w:r w:rsidRPr="00003B04">
              <w:rPr>
                <w:sz w:val="20"/>
                <w:lang w:val="fr-CA"/>
              </w:rPr>
              <w:t xml:space="preserve">(Juge </w:t>
            </w:r>
            <w:proofErr w:type="spellStart"/>
            <w:r w:rsidRPr="00003B04">
              <w:rPr>
                <w:sz w:val="20"/>
                <w:lang w:val="fr-CA"/>
              </w:rPr>
              <w:t>Kasirer</w:t>
            </w:r>
            <w:proofErr w:type="spellEnd"/>
            <w:r w:rsidRPr="00003B04">
              <w:rPr>
                <w:sz w:val="20"/>
                <w:lang w:val="fr-CA"/>
              </w:rPr>
              <w:t>)</w:t>
            </w:r>
          </w:p>
          <w:p w:rsidR="00EE4290" w:rsidRPr="00003B04" w:rsidRDefault="00EE4290" w:rsidP="00EE4290">
            <w:pPr>
              <w:jc w:val="both"/>
              <w:rPr>
                <w:sz w:val="20"/>
                <w:lang w:val="fr-CA"/>
              </w:rPr>
            </w:pPr>
            <w:r w:rsidRPr="00003B04">
              <w:rPr>
                <w:sz w:val="20"/>
                <w:lang w:val="fr-CA"/>
              </w:rPr>
              <w:t>N</w:t>
            </w:r>
            <w:r w:rsidRPr="00003B04">
              <w:rPr>
                <w:sz w:val="20"/>
                <w:vertAlign w:val="superscript"/>
                <w:lang w:val="fr-CA"/>
              </w:rPr>
              <w:t>o</w:t>
            </w:r>
            <w:r w:rsidRPr="00003B04">
              <w:rPr>
                <w:sz w:val="20"/>
                <w:lang w:val="fr-CA"/>
              </w:rPr>
              <w:t xml:space="preserve"> 500-10-006170-169</w:t>
            </w:r>
          </w:p>
          <w:p w:rsidR="00EE4290" w:rsidRPr="00003B04" w:rsidRDefault="00604445" w:rsidP="00EE4290">
            <w:pPr>
              <w:jc w:val="both"/>
              <w:rPr>
                <w:sz w:val="20"/>
                <w:lang w:val="fr-CA"/>
              </w:rPr>
            </w:pPr>
            <w:hyperlink r:id="rId36" w:history="1">
              <w:r w:rsidR="00EE4290" w:rsidRPr="00003B04">
                <w:rPr>
                  <w:rStyle w:val="Hyperlink"/>
                  <w:sz w:val="20"/>
                  <w:lang w:val="fr-CA"/>
                </w:rPr>
                <w:t>2016 QCCA 1303</w:t>
              </w:r>
            </w:hyperlink>
          </w:p>
          <w:p w:rsidR="00EE4290" w:rsidRPr="00003B04" w:rsidRDefault="00EE4290" w:rsidP="00EE4290">
            <w:pPr>
              <w:jc w:val="both"/>
              <w:rPr>
                <w:sz w:val="20"/>
                <w:lang w:val="fr-CA"/>
              </w:rPr>
            </w:pPr>
          </w:p>
        </w:tc>
        <w:tc>
          <w:tcPr>
            <w:tcW w:w="243" w:type="pct"/>
          </w:tcPr>
          <w:p w:rsidR="00EE4290" w:rsidRPr="00003B04" w:rsidRDefault="00EE4290" w:rsidP="00EE4290">
            <w:pPr>
              <w:jc w:val="both"/>
              <w:rPr>
                <w:sz w:val="20"/>
                <w:lang w:val="fr-CA"/>
              </w:rPr>
            </w:pPr>
          </w:p>
        </w:tc>
        <w:tc>
          <w:tcPr>
            <w:tcW w:w="2330" w:type="pct"/>
          </w:tcPr>
          <w:p w:rsidR="00EE4290" w:rsidRPr="00003B04" w:rsidRDefault="00EE4290" w:rsidP="00EE4290">
            <w:pPr>
              <w:jc w:val="both"/>
              <w:rPr>
                <w:sz w:val="20"/>
                <w:lang w:val="fr-CA"/>
              </w:rPr>
            </w:pPr>
            <w:r w:rsidRPr="00003B04">
              <w:rPr>
                <w:sz w:val="20"/>
                <w:lang w:val="fr-CA"/>
              </w:rPr>
              <w:t>Refus de la permission d’en appeler.</w:t>
            </w:r>
          </w:p>
          <w:p w:rsidR="00EE4290" w:rsidRPr="00003B04" w:rsidRDefault="00EE4290" w:rsidP="00EE4290">
            <w:pPr>
              <w:jc w:val="both"/>
              <w:rPr>
                <w:sz w:val="20"/>
                <w:lang w:val="fr-CA"/>
              </w:rPr>
            </w:pPr>
          </w:p>
          <w:p w:rsidR="00EE4290" w:rsidRPr="00003B04" w:rsidRDefault="00EE4290" w:rsidP="00EE4290">
            <w:pPr>
              <w:jc w:val="both"/>
              <w:rPr>
                <w:sz w:val="20"/>
                <w:lang w:val="fr-CA"/>
              </w:rPr>
            </w:pPr>
          </w:p>
        </w:tc>
      </w:tr>
      <w:tr w:rsidR="00EE4290" w:rsidRPr="00C3697D" w:rsidTr="00EE4290">
        <w:tc>
          <w:tcPr>
            <w:tcW w:w="2427" w:type="pct"/>
            <w:gridSpan w:val="2"/>
          </w:tcPr>
          <w:p w:rsidR="00EE4290" w:rsidRPr="00003B04" w:rsidRDefault="00EE4290" w:rsidP="00EE4290">
            <w:pPr>
              <w:jc w:val="both"/>
              <w:rPr>
                <w:sz w:val="20"/>
                <w:lang w:val="fr-CA"/>
              </w:rPr>
            </w:pPr>
            <w:r w:rsidRPr="00003B04">
              <w:rPr>
                <w:sz w:val="20"/>
                <w:lang w:val="fr-CA"/>
              </w:rPr>
              <w:t>11 octobre 2016</w:t>
            </w:r>
          </w:p>
          <w:p w:rsidR="00EE4290" w:rsidRPr="00003B04" w:rsidRDefault="00EE4290" w:rsidP="00EE4290">
            <w:pPr>
              <w:jc w:val="both"/>
              <w:rPr>
                <w:sz w:val="20"/>
                <w:lang w:val="fr-CA"/>
              </w:rPr>
            </w:pPr>
            <w:r w:rsidRPr="00003B04">
              <w:rPr>
                <w:sz w:val="20"/>
                <w:lang w:val="fr-CA"/>
              </w:rPr>
              <w:t>Cour suprême du Canada</w:t>
            </w:r>
          </w:p>
        </w:tc>
        <w:tc>
          <w:tcPr>
            <w:tcW w:w="243" w:type="pct"/>
          </w:tcPr>
          <w:p w:rsidR="00EE4290" w:rsidRPr="00003B04" w:rsidRDefault="00EE4290" w:rsidP="00EE4290">
            <w:pPr>
              <w:jc w:val="both"/>
              <w:rPr>
                <w:sz w:val="20"/>
                <w:lang w:val="fr-CA"/>
              </w:rPr>
            </w:pPr>
          </w:p>
        </w:tc>
        <w:tc>
          <w:tcPr>
            <w:tcW w:w="2330" w:type="pct"/>
          </w:tcPr>
          <w:p w:rsidR="00EE4290" w:rsidRPr="00003B04" w:rsidRDefault="00EE4290" w:rsidP="00EE4290">
            <w:pPr>
              <w:jc w:val="both"/>
              <w:rPr>
                <w:sz w:val="20"/>
                <w:lang w:val="fr-CA"/>
              </w:rPr>
            </w:pPr>
            <w:r w:rsidRPr="00003B04">
              <w:rPr>
                <w:sz w:val="20"/>
                <w:lang w:val="fr-CA"/>
              </w:rPr>
              <w:t>Dépôt de la demande d’autorisation d’appel.</w:t>
            </w:r>
          </w:p>
          <w:p w:rsidR="00EE4290" w:rsidRPr="00003B04" w:rsidRDefault="00EE4290" w:rsidP="00EE4290">
            <w:pPr>
              <w:jc w:val="both"/>
              <w:rPr>
                <w:sz w:val="20"/>
                <w:lang w:val="fr-CA"/>
              </w:rPr>
            </w:pPr>
          </w:p>
        </w:tc>
      </w:tr>
    </w:tbl>
    <w:p w:rsidR="00EE4290" w:rsidRPr="00003B04" w:rsidRDefault="00604445" w:rsidP="00EE4290">
      <w:pPr>
        <w:jc w:val="both"/>
        <w:rPr>
          <w:sz w:val="20"/>
          <w:lang w:val="fr-CA"/>
        </w:rPr>
      </w:pPr>
      <w:r>
        <w:rPr>
          <w:sz w:val="20"/>
          <w:szCs w:val="20"/>
        </w:rPr>
        <w:pict>
          <v:rect id="_x0000_i1052" style="width:2in;height:1pt" o:hrpct="0" o:hralign="center" o:hrstd="t" o:hrnoshade="t" o:hr="t" fillcolor="black [3213]" stroked="f"/>
        </w:pict>
      </w:r>
    </w:p>
    <w:p w:rsidR="00EE4290" w:rsidRPr="00003B04" w:rsidRDefault="00EE4290" w:rsidP="00EE4290">
      <w:pPr>
        <w:ind w:left="360" w:hanging="360"/>
        <w:jc w:val="both"/>
        <w:rPr>
          <w:sz w:val="20"/>
          <w:lang w:val="fr-CA" w:eastAsia="en-CA"/>
        </w:rPr>
      </w:pPr>
    </w:p>
    <w:p w:rsidR="008F5EB8" w:rsidRPr="00003B04" w:rsidRDefault="008F5EB8">
      <w:r w:rsidRPr="00003B04">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E4290" w:rsidRPr="00003B04" w:rsidTr="00EE4290">
        <w:tc>
          <w:tcPr>
            <w:tcW w:w="543" w:type="pct"/>
          </w:tcPr>
          <w:p w:rsidR="00EE4290" w:rsidRPr="00003B04" w:rsidRDefault="00EE4290" w:rsidP="00EE4290">
            <w:pPr>
              <w:jc w:val="both"/>
              <w:rPr>
                <w:sz w:val="20"/>
              </w:rPr>
            </w:pPr>
            <w:r w:rsidRPr="00003B04">
              <w:rPr>
                <w:rStyle w:val="SCCFileNumberChar"/>
                <w:sz w:val="20"/>
                <w:szCs w:val="20"/>
              </w:rPr>
              <w:lastRenderedPageBreak/>
              <w:t>37222</w:t>
            </w:r>
          </w:p>
        </w:tc>
        <w:tc>
          <w:tcPr>
            <w:tcW w:w="4457" w:type="pct"/>
            <w:gridSpan w:val="3"/>
          </w:tcPr>
          <w:p w:rsidR="00EE4290" w:rsidRPr="00003B04" w:rsidRDefault="00EE4290" w:rsidP="00767A6B">
            <w:pPr>
              <w:pStyle w:val="SCCLsocParty"/>
              <w:jc w:val="both"/>
              <w:rPr>
                <w:sz w:val="20"/>
                <w:lang w:val="en-US"/>
              </w:rPr>
            </w:pPr>
            <w:proofErr w:type="spellStart"/>
            <w:r w:rsidRPr="00003B04">
              <w:rPr>
                <w:b/>
                <w:sz w:val="20"/>
                <w:szCs w:val="20"/>
                <w:lang w:val="en-US"/>
              </w:rPr>
              <w:t>Dioguardi</w:t>
            </w:r>
            <w:proofErr w:type="spellEnd"/>
            <w:r w:rsidRPr="00003B04">
              <w:rPr>
                <w:b/>
                <w:sz w:val="20"/>
                <w:szCs w:val="20"/>
                <w:lang w:val="en-US"/>
              </w:rPr>
              <w:t xml:space="preserve"> Tax Law, Phillippe Joseph Mario </w:t>
            </w:r>
            <w:proofErr w:type="spellStart"/>
            <w:r w:rsidRPr="00003B04">
              <w:rPr>
                <w:b/>
                <w:sz w:val="20"/>
                <w:szCs w:val="20"/>
                <w:lang w:val="en-US"/>
              </w:rPr>
              <w:t>Dioguardi</w:t>
            </w:r>
            <w:proofErr w:type="spellEnd"/>
            <w:r w:rsidRPr="00003B04">
              <w:rPr>
                <w:b/>
                <w:sz w:val="20"/>
                <w:szCs w:val="20"/>
                <w:lang w:val="en-US"/>
              </w:rPr>
              <w:t xml:space="preserve"> and Paul </w:t>
            </w:r>
            <w:proofErr w:type="spellStart"/>
            <w:r w:rsidRPr="00003B04">
              <w:rPr>
                <w:b/>
                <w:sz w:val="20"/>
                <w:szCs w:val="20"/>
                <w:lang w:val="en-US"/>
              </w:rPr>
              <w:t>Dioguardi</w:t>
            </w:r>
            <w:proofErr w:type="spellEnd"/>
            <w:r w:rsidRPr="00003B04">
              <w:rPr>
                <w:b/>
                <w:sz w:val="20"/>
                <w:szCs w:val="20"/>
                <w:lang w:val="en-US"/>
              </w:rPr>
              <w:t xml:space="preserve"> v. Law Society of Upper Canada, Attorney General of Ontario</w:t>
            </w:r>
            <w:r w:rsidR="00767A6B" w:rsidRPr="00003B04">
              <w:rPr>
                <w:b/>
                <w:sz w:val="20"/>
                <w:szCs w:val="20"/>
                <w:lang w:val="en-US"/>
              </w:rPr>
              <w:t xml:space="preserve"> </w:t>
            </w:r>
            <w:r w:rsidRPr="00003B04">
              <w:rPr>
                <w:sz w:val="20"/>
                <w:lang w:val="en-US"/>
              </w:rPr>
              <w:t>(Ont.) (Civil) (By Leave)</w:t>
            </w:r>
          </w:p>
          <w:p w:rsidR="00767A6B" w:rsidRPr="00003B04" w:rsidRDefault="00767A6B" w:rsidP="00767A6B">
            <w:pPr>
              <w:rPr>
                <w:lang w:val="en-US"/>
              </w:rPr>
            </w:pPr>
          </w:p>
        </w:tc>
      </w:tr>
      <w:tr w:rsidR="00D310D9" w:rsidRPr="00003B04" w:rsidTr="00EE4290">
        <w:tc>
          <w:tcPr>
            <w:tcW w:w="543" w:type="pct"/>
          </w:tcPr>
          <w:p w:rsidR="00D310D9" w:rsidRPr="00003B04" w:rsidRDefault="00D310D9" w:rsidP="00EE4290">
            <w:pPr>
              <w:jc w:val="both"/>
              <w:rPr>
                <w:rStyle w:val="SCCFileNumberChar"/>
                <w:sz w:val="20"/>
                <w:szCs w:val="20"/>
              </w:rPr>
            </w:pPr>
            <w:r w:rsidRPr="00003B04">
              <w:rPr>
                <w:rStyle w:val="SCCFileNumberChar"/>
                <w:sz w:val="20"/>
                <w:szCs w:val="20"/>
              </w:rPr>
              <w:t>Coram:</w:t>
            </w:r>
          </w:p>
        </w:tc>
        <w:tc>
          <w:tcPr>
            <w:tcW w:w="4457" w:type="pct"/>
            <w:gridSpan w:val="3"/>
          </w:tcPr>
          <w:p w:rsidR="00D310D9" w:rsidRPr="00003B04" w:rsidRDefault="000E7F29" w:rsidP="00D310D9">
            <w:pPr>
              <w:pStyle w:val="SCCLsocParty"/>
              <w:tabs>
                <w:tab w:val="left" w:pos="1008"/>
              </w:tabs>
              <w:jc w:val="both"/>
              <w:rPr>
                <w:sz w:val="20"/>
                <w:szCs w:val="20"/>
                <w:lang w:val="en-US"/>
              </w:rPr>
            </w:pPr>
            <w:proofErr w:type="spellStart"/>
            <w:r w:rsidRPr="00003B04">
              <w:rPr>
                <w:sz w:val="20"/>
                <w:szCs w:val="20"/>
                <w:lang w:val="en-US"/>
              </w:rPr>
              <w:t>McLachlin</w:t>
            </w:r>
            <w:proofErr w:type="spellEnd"/>
            <w:r w:rsidRPr="00003B04">
              <w:rPr>
                <w:sz w:val="20"/>
                <w:szCs w:val="20"/>
                <w:lang w:val="en-US"/>
              </w:rPr>
              <w:t xml:space="preserve"> C.J. and </w:t>
            </w:r>
            <w:proofErr w:type="spellStart"/>
            <w:r w:rsidRPr="00003B04">
              <w:rPr>
                <w:sz w:val="20"/>
                <w:szCs w:val="20"/>
                <w:lang w:val="en-US"/>
              </w:rPr>
              <w:t>Abella</w:t>
            </w:r>
            <w:proofErr w:type="spellEnd"/>
            <w:r w:rsidRPr="00003B04">
              <w:rPr>
                <w:sz w:val="20"/>
                <w:szCs w:val="20"/>
                <w:lang w:val="en-US"/>
              </w:rPr>
              <w:t xml:space="preserve">, </w:t>
            </w:r>
            <w:proofErr w:type="spellStart"/>
            <w:r w:rsidRPr="00003B04">
              <w:rPr>
                <w:sz w:val="20"/>
                <w:szCs w:val="20"/>
                <w:lang w:val="en-US"/>
              </w:rPr>
              <w:t>Moldaver</w:t>
            </w:r>
            <w:proofErr w:type="spellEnd"/>
            <w:r w:rsidRPr="00003B04">
              <w:rPr>
                <w:sz w:val="20"/>
                <w:szCs w:val="20"/>
                <w:lang w:val="en-US"/>
              </w:rPr>
              <w:t xml:space="preserve">, </w:t>
            </w:r>
            <w:proofErr w:type="spellStart"/>
            <w:r w:rsidRPr="00003B04">
              <w:rPr>
                <w:sz w:val="20"/>
                <w:szCs w:val="20"/>
                <w:lang w:val="en-US"/>
              </w:rPr>
              <w:t>Karakatsanis</w:t>
            </w:r>
            <w:proofErr w:type="spellEnd"/>
            <w:r w:rsidRPr="00003B04">
              <w:rPr>
                <w:sz w:val="20"/>
                <w:szCs w:val="20"/>
                <w:lang w:val="en-US"/>
              </w:rPr>
              <w:t xml:space="preserve">, Wagner, </w:t>
            </w:r>
            <w:proofErr w:type="spellStart"/>
            <w:r w:rsidRPr="00003B04">
              <w:rPr>
                <w:sz w:val="20"/>
                <w:szCs w:val="20"/>
                <w:lang w:val="en-US"/>
              </w:rPr>
              <w:t>Gascon</w:t>
            </w:r>
            <w:proofErr w:type="spellEnd"/>
            <w:r w:rsidRPr="00003B04">
              <w:rPr>
                <w:sz w:val="20"/>
                <w:szCs w:val="20"/>
                <w:lang w:val="en-US"/>
              </w:rPr>
              <w:t xml:space="preserve">, </w:t>
            </w:r>
            <w:proofErr w:type="spellStart"/>
            <w:r w:rsidRPr="00003B04">
              <w:rPr>
                <w:sz w:val="20"/>
                <w:szCs w:val="20"/>
                <w:lang w:val="en-US"/>
              </w:rPr>
              <w:t>Côté</w:t>
            </w:r>
            <w:proofErr w:type="spellEnd"/>
            <w:r w:rsidRPr="00003B04">
              <w:rPr>
                <w:sz w:val="20"/>
                <w:szCs w:val="20"/>
                <w:lang w:val="en-US"/>
              </w:rPr>
              <w:t>, Brown and Rowe JJ.</w:t>
            </w:r>
          </w:p>
          <w:p w:rsidR="000E7F29" w:rsidRPr="00003B04" w:rsidRDefault="000E7F29" w:rsidP="000E7F29">
            <w:pPr>
              <w:rPr>
                <w:lang w:val="en-US"/>
              </w:rPr>
            </w:pPr>
          </w:p>
        </w:tc>
      </w:tr>
      <w:tr w:rsidR="00D310D9" w:rsidRPr="00003B04" w:rsidTr="00D310D9">
        <w:tc>
          <w:tcPr>
            <w:tcW w:w="5000" w:type="pct"/>
            <w:gridSpan w:val="4"/>
          </w:tcPr>
          <w:p w:rsidR="00D310D9" w:rsidRPr="00003B04" w:rsidRDefault="000E7F29" w:rsidP="000E7F29">
            <w:pPr>
              <w:pStyle w:val="SCCLsocParty"/>
              <w:jc w:val="both"/>
              <w:rPr>
                <w:sz w:val="20"/>
                <w:szCs w:val="20"/>
                <w:lang w:val="en-US"/>
              </w:rPr>
            </w:pPr>
            <w:r w:rsidRPr="00003B04">
              <w:rPr>
                <w:sz w:val="20"/>
                <w:szCs w:val="20"/>
                <w:lang w:val="en-US"/>
              </w:rPr>
              <w:t>The application for leave to appeal from the judgment of the Court of Appeal for Ontario, Number C60739, 2016 ONCA 531, dated July 5, 2016, is dismissed with costs.</w:t>
            </w:r>
          </w:p>
          <w:p w:rsidR="000E7F29" w:rsidRPr="00003B04" w:rsidRDefault="000E7F29" w:rsidP="000E7F29">
            <w:pPr>
              <w:rPr>
                <w:lang w:val="en-US"/>
              </w:rPr>
            </w:pPr>
          </w:p>
        </w:tc>
      </w:tr>
      <w:tr w:rsidR="00EE4290" w:rsidRPr="00003B04" w:rsidTr="00EE4290">
        <w:tc>
          <w:tcPr>
            <w:tcW w:w="5000" w:type="pct"/>
            <w:gridSpan w:val="4"/>
          </w:tcPr>
          <w:p w:rsidR="00EE4290" w:rsidRPr="00003B04" w:rsidRDefault="00EE4290" w:rsidP="00EE4290">
            <w:pPr>
              <w:jc w:val="both"/>
              <w:rPr>
                <w:sz w:val="20"/>
              </w:rPr>
            </w:pPr>
            <w:r w:rsidRPr="00003B04">
              <w:rPr>
                <w:i/>
                <w:sz w:val="20"/>
              </w:rPr>
              <w:t>Charter of Rights and Freedoms</w:t>
            </w:r>
            <w:r w:rsidRPr="00003B04">
              <w:rPr>
                <w:sz w:val="20"/>
              </w:rPr>
              <w:t xml:space="preserve"> </w:t>
            </w:r>
            <w:r w:rsidRPr="00003B04">
              <w:rPr>
                <w:rStyle w:val="italic1"/>
                <w:color w:val="000000"/>
                <w:sz w:val="20"/>
              </w:rPr>
              <w:t>—</w:t>
            </w:r>
            <w:r w:rsidRPr="00003B04">
              <w:rPr>
                <w:sz w:val="20"/>
              </w:rPr>
              <w:t xml:space="preserve"> Constitutional law </w:t>
            </w:r>
            <w:r w:rsidRPr="00003B04">
              <w:rPr>
                <w:rStyle w:val="italic1"/>
                <w:color w:val="000000"/>
                <w:sz w:val="20"/>
              </w:rPr>
              <w:t>—</w:t>
            </w:r>
            <w:r w:rsidRPr="00003B04">
              <w:rPr>
                <w:sz w:val="20"/>
              </w:rPr>
              <w:t xml:space="preserve"> Administrative law </w:t>
            </w:r>
            <w:r w:rsidRPr="00003B04">
              <w:rPr>
                <w:rStyle w:val="italic1"/>
                <w:color w:val="000000"/>
                <w:sz w:val="20"/>
              </w:rPr>
              <w:t>—</w:t>
            </w:r>
            <w:r w:rsidRPr="00003B04">
              <w:rPr>
                <w:sz w:val="20"/>
              </w:rPr>
              <w:t xml:space="preserve"> Jurisdiction </w:t>
            </w:r>
            <w:r w:rsidRPr="00003B04">
              <w:rPr>
                <w:rStyle w:val="italic1"/>
                <w:color w:val="000000"/>
                <w:sz w:val="20"/>
              </w:rPr>
              <w:t>—</w:t>
            </w:r>
            <w:r w:rsidRPr="00003B04">
              <w:rPr>
                <w:i/>
                <w:sz w:val="20"/>
              </w:rPr>
              <w:t xml:space="preserve"> </w:t>
            </w:r>
            <w:r w:rsidRPr="00003B04">
              <w:rPr>
                <w:sz w:val="20"/>
              </w:rPr>
              <w:t xml:space="preserve">Courts </w:t>
            </w:r>
            <w:r w:rsidRPr="00003B04">
              <w:rPr>
                <w:rStyle w:val="italic1"/>
                <w:color w:val="000000"/>
                <w:sz w:val="20"/>
              </w:rPr>
              <w:t>—</w:t>
            </w:r>
            <w:r w:rsidRPr="00003B04">
              <w:rPr>
                <w:sz w:val="20"/>
              </w:rPr>
              <w:t xml:space="preserve"> Administrative tribunals </w:t>
            </w:r>
            <w:r w:rsidRPr="00003B04">
              <w:rPr>
                <w:rStyle w:val="italic1"/>
                <w:color w:val="000000"/>
                <w:sz w:val="20"/>
              </w:rPr>
              <w:t xml:space="preserve">— Solicitor-client privilege — Law Society Tribunal’s jurisdiction to decide constitutional questions — Superior Court’s residual jurisdiction in respect of injunctive relief and direct constitutional challenges — </w:t>
            </w:r>
            <w:r w:rsidRPr="00003B04">
              <w:rPr>
                <w:sz w:val="20"/>
              </w:rPr>
              <w:t xml:space="preserve">Constitutionality of legislated intrusions on solicitor-client privilege </w:t>
            </w:r>
            <w:r w:rsidRPr="00003B04">
              <w:rPr>
                <w:rStyle w:val="italic1"/>
                <w:color w:val="000000"/>
                <w:sz w:val="20"/>
              </w:rPr>
              <w:t>— Duty</w:t>
            </w:r>
            <w:r w:rsidRPr="00003B04">
              <w:rPr>
                <w:sz w:val="20"/>
              </w:rPr>
              <w:t xml:space="preserve"> to facilitate ability of lawyers’ clients to assert solicitor-client privilege </w:t>
            </w:r>
            <w:r w:rsidRPr="00003B04">
              <w:rPr>
                <w:rStyle w:val="italic1"/>
                <w:color w:val="000000"/>
                <w:sz w:val="20"/>
              </w:rPr>
              <w:t xml:space="preserve">— </w:t>
            </w:r>
            <w:r w:rsidRPr="00003B04">
              <w:rPr>
                <w:sz w:val="20"/>
              </w:rPr>
              <w:t xml:space="preserve">Whether lawyers and the Law Society should act as surrogate of client for purposes of protecting solicitor-client privilege </w:t>
            </w:r>
            <w:r w:rsidRPr="00003B04">
              <w:rPr>
                <w:rStyle w:val="italic1"/>
                <w:color w:val="000000"/>
                <w:sz w:val="20"/>
              </w:rPr>
              <w:t xml:space="preserve">— </w:t>
            </w:r>
            <w:r w:rsidRPr="00003B04">
              <w:rPr>
                <w:sz w:val="20"/>
              </w:rPr>
              <w:t xml:space="preserve">Whether it is procedurally absurd to require clients to assert privilege at an administrative tribunal, as opposed to the Superior Court of Justice, at a stage when there is no administrative tribunal in existence and when the administrative tribunal does not have the jurisdiction to strike out the impugned legislative scheme </w:t>
            </w:r>
            <w:r w:rsidRPr="00003B04">
              <w:rPr>
                <w:rStyle w:val="italic1"/>
                <w:color w:val="000000"/>
                <w:sz w:val="20"/>
              </w:rPr>
              <w:t xml:space="preserve">— </w:t>
            </w:r>
            <w:r w:rsidRPr="00003B04">
              <w:rPr>
                <w:sz w:val="20"/>
              </w:rPr>
              <w:t>Whether to uphold legislative scheme requiring a client to protect solicitor-client privilege when client does not know privilege is at risk?</w:t>
            </w:r>
          </w:p>
        </w:tc>
      </w:tr>
      <w:tr w:rsidR="00EE4290" w:rsidRPr="00003B04" w:rsidTr="00EE4290">
        <w:tc>
          <w:tcPr>
            <w:tcW w:w="5000" w:type="pct"/>
            <w:gridSpan w:val="4"/>
          </w:tcPr>
          <w:p w:rsidR="00EE4290" w:rsidRPr="00003B04" w:rsidRDefault="00EE4290" w:rsidP="00EE4290">
            <w:pPr>
              <w:jc w:val="both"/>
              <w:rPr>
                <w:sz w:val="20"/>
              </w:rPr>
            </w:pPr>
          </w:p>
        </w:tc>
      </w:tr>
      <w:tr w:rsidR="00EE4290" w:rsidRPr="00003B04" w:rsidTr="00EE4290">
        <w:tc>
          <w:tcPr>
            <w:tcW w:w="5000" w:type="pct"/>
            <w:gridSpan w:val="4"/>
          </w:tcPr>
          <w:p w:rsidR="00EE4290" w:rsidRPr="00003B04" w:rsidRDefault="00EE4290" w:rsidP="00EE4290">
            <w:pPr>
              <w:jc w:val="both"/>
              <w:rPr>
                <w:sz w:val="20"/>
              </w:rPr>
            </w:pPr>
            <w:r w:rsidRPr="00003B04">
              <w:rPr>
                <w:sz w:val="20"/>
              </w:rPr>
              <w:t xml:space="preserve">The Law Society of Upper Canada commenced an investigation into complaints by clients of the applicants. The applicants were required to produce client files containing solicitor-client privileged information. They applied to the Superior Court for orders and declarations that the </w:t>
            </w:r>
            <w:r w:rsidRPr="00003B04">
              <w:rPr>
                <w:i/>
                <w:sz w:val="20"/>
              </w:rPr>
              <w:t>Law Society Act</w:t>
            </w:r>
            <w:r w:rsidRPr="00003B04">
              <w:rPr>
                <w:sz w:val="20"/>
              </w:rPr>
              <w:t xml:space="preserve">, R.S.O. 1990, c. L-8, and the Law Society’s </w:t>
            </w:r>
            <w:r w:rsidRPr="00003B04">
              <w:rPr>
                <w:i/>
                <w:iCs/>
                <w:sz w:val="20"/>
              </w:rPr>
              <w:t>Rules of Practice</w:t>
            </w:r>
            <w:r w:rsidRPr="00003B04">
              <w:rPr>
                <w:iCs/>
                <w:sz w:val="20"/>
              </w:rPr>
              <w:t xml:space="preserve"> are</w:t>
            </w:r>
            <w:r w:rsidRPr="00003B04">
              <w:rPr>
                <w:sz w:val="20"/>
              </w:rPr>
              <w:t xml:space="preserve"> unconstitutional. In part, they argued that the Law Society’s processes fail to adequately warn clients who complain to the Law Society that the Law Society may compel the production of solicitor-client privileged documents that may become part of a public record in a disciplinary hearing. They applied for public interest standing to pursue arguments that the </w:t>
            </w:r>
            <w:r w:rsidRPr="00003B04">
              <w:rPr>
                <w:i/>
                <w:sz w:val="20"/>
              </w:rPr>
              <w:t>Law Society Act</w:t>
            </w:r>
            <w:r w:rsidRPr="00003B04">
              <w:rPr>
                <w:sz w:val="20"/>
              </w:rPr>
              <w:t xml:space="preserve"> and the </w:t>
            </w:r>
            <w:r w:rsidRPr="00003B04">
              <w:rPr>
                <w:i/>
                <w:iCs/>
                <w:sz w:val="20"/>
              </w:rPr>
              <w:t>Rules of Practice</w:t>
            </w:r>
            <w:r w:rsidRPr="00003B04">
              <w:rPr>
                <w:sz w:val="20"/>
              </w:rPr>
              <w:t xml:space="preserve"> are unconstitutional and breach the </w:t>
            </w:r>
            <w:r w:rsidRPr="00003B04">
              <w:rPr>
                <w:i/>
                <w:sz w:val="20"/>
              </w:rPr>
              <w:t>Charter of Rights and Freedoms</w:t>
            </w:r>
            <w:r w:rsidRPr="00003B04">
              <w:rPr>
                <w:sz w:val="20"/>
              </w:rPr>
              <w:t>.</w:t>
            </w:r>
          </w:p>
          <w:p w:rsidR="00EE4290" w:rsidRPr="00003B04" w:rsidRDefault="00EE4290" w:rsidP="00EE4290">
            <w:pPr>
              <w:jc w:val="both"/>
              <w:rPr>
                <w:sz w:val="20"/>
              </w:rPr>
            </w:pPr>
          </w:p>
        </w:tc>
      </w:tr>
      <w:tr w:rsidR="00EE4290" w:rsidRPr="00003B04" w:rsidTr="00EE4290">
        <w:tc>
          <w:tcPr>
            <w:tcW w:w="2427" w:type="pct"/>
            <w:gridSpan w:val="2"/>
          </w:tcPr>
          <w:p w:rsidR="00EE4290" w:rsidRPr="00003B04" w:rsidRDefault="00EE4290" w:rsidP="00EE4290">
            <w:pPr>
              <w:jc w:val="both"/>
              <w:rPr>
                <w:sz w:val="20"/>
              </w:rPr>
            </w:pPr>
            <w:r w:rsidRPr="00003B04">
              <w:rPr>
                <w:sz w:val="20"/>
              </w:rPr>
              <w:t>June 9, 2015</w:t>
            </w:r>
          </w:p>
          <w:p w:rsidR="00EE4290" w:rsidRPr="00003B04" w:rsidRDefault="00EE4290" w:rsidP="00EE4290">
            <w:pPr>
              <w:jc w:val="both"/>
              <w:rPr>
                <w:sz w:val="20"/>
              </w:rPr>
            </w:pPr>
            <w:r w:rsidRPr="00003B04">
              <w:rPr>
                <w:sz w:val="20"/>
              </w:rPr>
              <w:t>Ontario Superior Court of Justice</w:t>
            </w:r>
          </w:p>
          <w:p w:rsidR="00EE4290" w:rsidRPr="00003B04" w:rsidRDefault="00EE4290" w:rsidP="00EE4290">
            <w:pPr>
              <w:jc w:val="both"/>
              <w:rPr>
                <w:sz w:val="20"/>
              </w:rPr>
            </w:pPr>
            <w:r w:rsidRPr="00003B04">
              <w:rPr>
                <w:sz w:val="20"/>
              </w:rPr>
              <w:t>(</w:t>
            </w:r>
            <w:proofErr w:type="spellStart"/>
            <w:r w:rsidRPr="00003B04">
              <w:rPr>
                <w:sz w:val="20"/>
              </w:rPr>
              <w:t>Belobaba</w:t>
            </w:r>
            <w:proofErr w:type="spellEnd"/>
            <w:r w:rsidRPr="00003B04">
              <w:rPr>
                <w:sz w:val="20"/>
              </w:rPr>
              <w:t xml:space="preserve"> J.)</w:t>
            </w:r>
          </w:p>
          <w:p w:rsidR="00EE4290" w:rsidRPr="00003B04" w:rsidRDefault="00604445" w:rsidP="00EE4290">
            <w:pPr>
              <w:jc w:val="both"/>
              <w:rPr>
                <w:sz w:val="20"/>
              </w:rPr>
            </w:pPr>
            <w:hyperlink r:id="rId37" w:history="1">
              <w:r w:rsidR="00EE4290" w:rsidRPr="00003B04">
                <w:rPr>
                  <w:rStyle w:val="Hyperlink"/>
                  <w:sz w:val="20"/>
                </w:rPr>
                <w:t>2015 ONSC 3430</w:t>
              </w:r>
            </w:hyperlink>
          </w:p>
          <w:p w:rsidR="00EE4290" w:rsidRPr="00003B04" w:rsidRDefault="00EE4290" w:rsidP="00EE4290">
            <w:pPr>
              <w:jc w:val="both"/>
              <w:rPr>
                <w:sz w:val="20"/>
              </w:rPr>
            </w:pPr>
          </w:p>
        </w:tc>
        <w:tc>
          <w:tcPr>
            <w:tcW w:w="243" w:type="pct"/>
          </w:tcPr>
          <w:p w:rsidR="00EE4290" w:rsidRPr="00003B04" w:rsidRDefault="00EE4290" w:rsidP="00EE4290">
            <w:pPr>
              <w:jc w:val="both"/>
              <w:rPr>
                <w:sz w:val="20"/>
              </w:rPr>
            </w:pPr>
          </w:p>
        </w:tc>
        <w:tc>
          <w:tcPr>
            <w:tcW w:w="2330" w:type="pct"/>
          </w:tcPr>
          <w:p w:rsidR="00EE4290" w:rsidRPr="00003B04" w:rsidRDefault="00EE4290" w:rsidP="00EE4290">
            <w:pPr>
              <w:jc w:val="both"/>
              <w:rPr>
                <w:sz w:val="20"/>
              </w:rPr>
            </w:pPr>
            <w:r w:rsidRPr="00003B04">
              <w:rPr>
                <w:sz w:val="20"/>
              </w:rPr>
              <w:t>Application dismissed</w:t>
            </w:r>
          </w:p>
          <w:p w:rsidR="00EE4290" w:rsidRPr="00003B04" w:rsidRDefault="00EE4290" w:rsidP="00EE4290">
            <w:pPr>
              <w:jc w:val="both"/>
              <w:rPr>
                <w:sz w:val="20"/>
              </w:rPr>
            </w:pPr>
          </w:p>
        </w:tc>
      </w:tr>
      <w:tr w:rsidR="00EE4290" w:rsidRPr="00003B04" w:rsidTr="00EE4290">
        <w:tc>
          <w:tcPr>
            <w:tcW w:w="2427" w:type="pct"/>
            <w:gridSpan w:val="2"/>
          </w:tcPr>
          <w:p w:rsidR="00EE4290" w:rsidRPr="00003B04" w:rsidRDefault="00EE4290" w:rsidP="00EE4290">
            <w:pPr>
              <w:jc w:val="both"/>
              <w:rPr>
                <w:sz w:val="20"/>
              </w:rPr>
            </w:pPr>
            <w:r w:rsidRPr="00003B04">
              <w:rPr>
                <w:sz w:val="20"/>
              </w:rPr>
              <w:t>July 5, 2016</w:t>
            </w:r>
          </w:p>
          <w:p w:rsidR="00EE4290" w:rsidRPr="00003B04" w:rsidRDefault="00EE4290" w:rsidP="00EE4290">
            <w:pPr>
              <w:jc w:val="both"/>
              <w:rPr>
                <w:sz w:val="20"/>
              </w:rPr>
            </w:pPr>
            <w:r w:rsidRPr="00003B04">
              <w:rPr>
                <w:sz w:val="20"/>
              </w:rPr>
              <w:t>Court of Appeal for Ontario</w:t>
            </w:r>
          </w:p>
          <w:p w:rsidR="00EE4290" w:rsidRPr="00003B04" w:rsidRDefault="00EE4290" w:rsidP="00EE4290">
            <w:pPr>
              <w:jc w:val="both"/>
              <w:rPr>
                <w:sz w:val="20"/>
              </w:rPr>
            </w:pPr>
            <w:r w:rsidRPr="00003B04">
              <w:rPr>
                <w:sz w:val="20"/>
              </w:rPr>
              <w:t xml:space="preserve">(MacPherson, Simmons, </w:t>
            </w:r>
            <w:proofErr w:type="spellStart"/>
            <w:r w:rsidRPr="00003B04">
              <w:rPr>
                <w:sz w:val="20"/>
              </w:rPr>
              <w:t>Lauwers</w:t>
            </w:r>
            <w:proofErr w:type="spellEnd"/>
            <w:r w:rsidRPr="00003B04">
              <w:rPr>
                <w:sz w:val="20"/>
              </w:rPr>
              <w:t xml:space="preserve"> JJ.A.)</w:t>
            </w:r>
          </w:p>
          <w:p w:rsidR="00EE4290" w:rsidRPr="00003B04" w:rsidRDefault="00EE4290" w:rsidP="00EE4290">
            <w:pPr>
              <w:jc w:val="both"/>
              <w:rPr>
                <w:sz w:val="20"/>
              </w:rPr>
            </w:pPr>
            <w:r w:rsidRPr="00003B04">
              <w:rPr>
                <w:sz w:val="20"/>
              </w:rPr>
              <w:t xml:space="preserve">C60739; </w:t>
            </w:r>
            <w:hyperlink r:id="rId38" w:history="1">
              <w:r w:rsidRPr="00003B04">
                <w:rPr>
                  <w:rStyle w:val="Hyperlink"/>
                  <w:sz w:val="20"/>
                </w:rPr>
                <w:t>2016 ONCA 531</w:t>
              </w:r>
            </w:hyperlink>
          </w:p>
          <w:p w:rsidR="00EE4290" w:rsidRPr="00003B04" w:rsidRDefault="00EE4290" w:rsidP="00EE4290">
            <w:pPr>
              <w:jc w:val="both"/>
              <w:rPr>
                <w:sz w:val="20"/>
              </w:rPr>
            </w:pPr>
          </w:p>
        </w:tc>
        <w:tc>
          <w:tcPr>
            <w:tcW w:w="243" w:type="pct"/>
          </w:tcPr>
          <w:p w:rsidR="00EE4290" w:rsidRPr="00003B04" w:rsidRDefault="00EE4290" w:rsidP="00EE4290">
            <w:pPr>
              <w:jc w:val="both"/>
              <w:rPr>
                <w:sz w:val="20"/>
              </w:rPr>
            </w:pPr>
          </w:p>
        </w:tc>
        <w:tc>
          <w:tcPr>
            <w:tcW w:w="2330" w:type="pct"/>
          </w:tcPr>
          <w:p w:rsidR="00EE4290" w:rsidRPr="00003B04" w:rsidRDefault="00EE4290" w:rsidP="00EE4290">
            <w:pPr>
              <w:jc w:val="both"/>
              <w:rPr>
                <w:sz w:val="20"/>
              </w:rPr>
            </w:pPr>
            <w:r w:rsidRPr="00003B04">
              <w:rPr>
                <w:sz w:val="20"/>
              </w:rPr>
              <w:t>Appeal dismissed</w:t>
            </w:r>
          </w:p>
          <w:p w:rsidR="00EE4290" w:rsidRPr="00003B04" w:rsidRDefault="00EE4290" w:rsidP="00EE4290">
            <w:pPr>
              <w:jc w:val="both"/>
              <w:rPr>
                <w:sz w:val="20"/>
              </w:rPr>
            </w:pPr>
          </w:p>
        </w:tc>
      </w:tr>
      <w:tr w:rsidR="00EE4290" w:rsidRPr="00003B04" w:rsidTr="00EE4290">
        <w:tc>
          <w:tcPr>
            <w:tcW w:w="2427" w:type="pct"/>
            <w:gridSpan w:val="2"/>
          </w:tcPr>
          <w:p w:rsidR="00EE4290" w:rsidRPr="00003B04" w:rsidRDefault="00EE4290" w:rsidP="00EE4290">
            <w:pPr>
              <w:jc w:val="both"/>
              <w:rPr>
                <w:sz w:val="20"/>
              </w:rPr>
            </w:pPr>
            <w:r w:rsidRPr="00003B04">
              <w:rPr>
                <w:sz w:val="20"/>
              </w:rPr>
              <w:t>September 29, 2016</w:t>
            </w:r>
          </w:p>
          <w:p w:rsidR="00EE4290" w:rsidRPr="00003B04" w:rsidRDefault="00EE4290" w:rsidP="00EE4290">
            <w:pPr>
              <w:jc w:val="both"/>
              <w:rPr>
                <w:sz w:val="20"/>
              </w:rPr>
            </w:pPr>
            <w:r w:rsidRPr="00003B04">
              <w:rPr>
                <w:sz w:val="20"/>
              </w:rPr>
              <w:t>Supreme Court of Canada</w:t>
            </w:r>
          </w:p>
        </w:tc>
        <w:tc>
          <w:tcPr>
            <w:tcW w:w="243" w:type="pct"/>
          </w:tcPr>
          <w:p w:rsidR="00EE4290" w:rsidRPr="00003B04" w:rsidRDefault="00EE4290" w:rsidP="00EE4290">
            <w:pPr>
              <w:jc w:val="both"/>
              <w:rPr>
                <w:sz w:val="20"/>
              </w:rPr>
            </w:pPr>
          </w:p>
        </w:tc>
        <w:tc>
          <w:tcPr>
            <w:tcW w:w="2330" w:type="pct"/>
          </w:tcPr>
          <w:p w:rsidR="00EE4290" w:rsidRPr="00003B04" w:rsidRDefault="00EE4290" w:rsidP="00EE4290">
            <w:pPr>
              <w:jc w:val="both"/>
              <w:rPr>
                <w:sz w:val="20"/>
              </w:rPr>
            </w:pPr>
            <w:r w:rsidRPr="00003B04">
              <w:rPr>
                <w:sz w:val="20"/>
              </w:rPr>
              <w:t>Application for leave to appeal filed</w:t>
            </w:r>
          </w:p>
          <w:p w:rsidR="00EE4290" w:rsidRPr="00003B04" w:rsidRDefault="00EE4290" w:rsidP="00EE4290">
            <w:pPr>
              <w:jc w:val="both"/>
              <w:rPr>
                <w:sz w:val="20"/>
              </w:rPr>
            </w:pPr>
          </w:p>
        </w:tc>
      </w:tr>
    </w:tbl>
    <w:p w:rsidR="00EE4290" w:rsidRPr="00003B04" w:rsidRDefault="00604445" w:rsidP="00EE4290">
      <w:pPr>
        <w:jc w:val="both"/>
        <w:rPr>
          <w:sz w:val="20"/>
        </w:rPr>
      </w:pPr>
      <w:r>
        <w:rPr>
          <w:sz w:val="20"/>
          <w:szCs w:val="20"/>
        </w:rPr>
        <w:pict>
          <v:rect id="_x0000_i1053" style="width:2in;height:1pt" o:hrpct="0" o:hralign="center" o:hrstd="t" o:hrnoshade="t" o:hr="t" fillcolor="black [3213]" stroked="f"/>
        </w:pict>
      </w:r>
    </w:p>
    <w:p w:rsidR="00EE4290" w:rsidRPr="00003B04" w:rsidRDefault="00EE4290" w:rsidP="00EE4290">
      <w:pPr>
        <w:jc w:val="both"/>
        <w:rPr>
          <w:sz w:val="20"/>
        </w:rPr>
      </w:pPr>
    </w:p>
    <w:p w:rsidR="008F5EB8" w:rsidRPr="00003B04" w:rsidRDefault="008F5EB8">
      <w:r w:rsidRPr="00003B04">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E4290" w:rsidRPr="00003B04" w:rsidTr="00EE4290">
        <w:tc>
          <w:tcPr>
            <w:tcW w:w="543" w:type="pct"/>
          </w:tcPr>
          <w:p w:rsidR="00EE4290" w:rsidRPr="00003B04" w:rsidRDefault="00EE4290" w:rsidP="00EE4290">
            <w:pPr>
              <w:jc w:val="both"/>
              <w:rPr>
                <w:sz w:val="20"/>
                <w:lang w:val="fr-CA"/>
              </w:rPr>
            </w:pPr>
            <w:r w:rsidRPr="00003B04">
              <w:rPr>
                <w:rStyle w:val="SCCFileNumberChar"/>
                <w:sz w:val="20"/>
                <w:szCs w:val="20"/>
                <w:lang w:val="fr-CA"/>
              </w:rPr>
              <w:lastRenderedPageBreak/>
              <w:t>37222</w:t>
            </w:r>
          </w:p>
        </w:tc>
        <w:tc>
          <w:tcPr>
            <w:tcW w:w="4457" w:type="pct"/>
            <w:gridSpan w:val="3"/>
          </w:tcPr>
          <w:p w:rsidR="00EE4290" w:rsidRPr="00003B04" w:rsidRDefault="00EE4290" w:rsidP="00767A6B">
            <w:pPr>
              <w:pStyle w:val="SCCLsocParty"/>
              <w:jc w:val="both"/>
              <w:rPr>
                <w:sz w:val="20"/>
              </w:rPr>
            </w:pPr>
            <w:proofErr w:type="spellStart"/>
            <w:r w:rsidRPr="00003B04">
              <w:rPr>
                <w:b/>
                <w:sz w:val="20"/>
                <w:szCs w:val="20"/>
              </w:rPr>
              <w:t>Dioguardi</w:t>
            </w:r>
            <w:proofErr w:type="spellEnd"/>
            <w:r w:rsidRPr="00003B04">
              <w:rPr>
                <w:b/>
                <w:sz w:val="20"/>
                <w:szCs w:val="20"/>
              </w:rPr>
              <w:t xml:space="preserve"> </w:t>
            </w:r>
            <w:proofErr w:type="spellStart"/>
            <w:r w:rsidRPr="00003B04">
              <w:rPr>
                <w:b/>
                <w:sz w:val="20"/>
                <w:szCs w:val="20"/>
              </w:rPr>
              <w:t>Tax</w:t>
            </w:r>
            <w:proofErr w:type="spellEnd"/>
            <w:r w:rsidRPr="00003B04">
              <w:rPr>
                <w:b/>
                <w:sz w:val="20"/>
                <w:szCs w:val="20"/>
              </w:rPr>
              <w:t xml:space="preserve"> Law, </w:t>
            </w:r>
            <w:proofErr w:type="spellStart"/>
            <w:r w:rsidRPr="00003B04">
              <w:rPr>
                <w:b/>
                <w:sz w:val="20"/>
                <w:szCs w:val="20"/>
              </w:rPr>
              <w:t>Phillippe</w:t>
            </w:r>
            <w:proofErr w:type="spellEnd"/>
            <w:r w:rsidRPr="00003B04">
              <w:rPr>
                <w:b/>
                <w:sz w:val="20"/>
                <w:szCs w:val="20"/>
              </w:rPr>
              <w:t xml:space="preserve"> Joseph Mario </w:t>
            </w:r>
            <w:proofErr w:type="spellStart"/>
            <w:r w:rsidRPr="00003B04">
              <w:rPr>
                <w:b/>
                <w:sz w:val="20"/>
                <w:szCs w:val="20"/>
              </w:rPr>
              <w:t>Dioguardi</w:t>
            </w:r>
            <w:proofErr w:type="spellEnd"/>
            <w:r w:rsidRPr="00003B04">
              <w:rPr>
                <w:b/>
                <w:sz w:val="20"/>
                <w:szCs w:val="20"/>
              </w:rPr>
              <w:t xml:space="preserve"> et Paul </w:t>
            </w:r>
            <w:proofErr w:type="spellStart"/>
            <w:r w:rsidRPr="00003B04">
              <w:rPr>
                <w:b/>
                <w:sz w:val="20"/>
                <w:szCs w:val="20"/>
              </w:rPr>
              <w:t>Dioguardi</w:t>
            </w:r>
            <w:proofErr w:type="spellEnd"/>
            <w:r w:rsidRPr="00003B04">
              <w:rPr>
                <w:b/>
                <w:sz w:val="20"/>
                <w:szCs w:val="20"/>
              </w:rPr>
              <w:t xml:space="preserve"> c. Barreau du Haut-Canada</w:t>
            </w:r>
            <w:r w:rsidR="001B621B" w:rsidRPr="00003B04">
              <w:rPr>
                <w:b/>
                <w:sz w:val="20"/>
                <w:szCs w:val="20"/>
              </w:rPr>
              <w:t xml:space="preserve"> et</w:t>
            </w:r>
            <w:r w:rsidRPr="00003B04">
              <w:rPr>
                <w:b/>
                <w:sz w:val="20"/>
                <w:szCs w:val="20"/>
              </w:rPr>
              <w:t xml:space="preserve"> </w:t>
            </w:r>
            <w:r w:rsidR="001B621B" w:rsidRPr="00003B04">
              <w:rPr>
                <w:b/>
                <w:sz w:val="20"/>
                <w:szCs w:val="20"/>
              </w:rPr>
              <w:t>P</w:t>
            </w:r>
            <w:r w:rsidRPr="00003B04">
              <w:rPr>
                <w:b/>
                <w:sz w:val="20"/>
                <w:szCs w:val="20"/>
              </w:rPr>
              <w:t>rocureur général de l’Ontario</w:t>
            </w:r>
            <w:r w:rsidR="00767A6B" w:rsidRPr="00003B04">
              <w:rPr>
                <w:b/>
                <w:sz w:val="20"/>
                <w:szCs w:val="20"/>
              </w:rPr>
              <w:t xml:space="preserve"> </w:t>
            </w:r>
            <w:r w:rsidRPr="00003B04">
              <w:rPr>
                <w:sz w:val="20"/>
              </w:rPr>
              <w:t>(Ont.) (Civile) (Sur autorisation)</w:t>
            </w:r>
          </w:p>
          <w:p w:rsidR="00767A6B" w:rsidRPr="00003B04" w:rsidRDefault="00767A6B" w:rsidP="00767A6B">
            <w:pPr>
              <w:rPr>
                <w:lang w:val="fr-CA"/>
              </w:rPr>
            </w:pPr>
          </w:p>
        </w:tc>
      </w:tr>
      <w:tr w:rsidR="00D310D9" w:rsidRPr="00C3697D" w:rsidTr="00EE4290">
        <w:tc>
          <w:tcPr>
            <w:tcW w:w="543" w:type="pct"/>
          </w:tcPr>
          <w:p w:rsidR="00D310D9" w:rsidRPr="00003B04" w:rsidRDefault="00D310D9" w:rsidP="00EE4290">
            <w:pPr>
              <w:jc w:val="both"/>
              <w:rPr>
                <w:rStyle w:val="SCCFileNumberChar"/>
                <w:sz w:val="20"/>
                <w:szCs w:val="20"/>
                <w:lang w:val="fr-CA"/>
              </w:rPr>
            </w:pPr>
            <w:r w:rsidRPr="00003B04">
              <w:rPr>
                <w:rStyle w:val="SCCFileNumberChar"/>
                <w:sz w:val="20"/>
                <w:szCs w:val="20"/>
                <w:lang w:val="fr-CA"/>
              </w:rPr>
              <w:t>Coram :</w:t>
            </w:r>
          </w:p>
        </w:tc>
        <w:tc>
          <w:tcPr>
            <w:tcW w:w="4457" w:type="pct"/>
            <w:gridSpan w:val="3"/>
          </w:tcPr>
          <w:p w:rsidR="00D310D9" w:rsidRPr="00003B04" w:rsidRDefault="000E7F29" w:rsidP="00EE4290">
            <w:pPr>
              <w:pStyle w:val="SCCLsocParty"/>
              <w:jc w:val="both"/>
              <w:rPr>
                <w:sz w:val="20"/>
                <w:szCs w:val="20"/>
                <w:lang w:val="fr-FR"/>
              </w:rPr>
            </w:pPr>
            <w:r w:rsidRPr="00003B04">
              <w:rPr>
                <w:sz w:val="20"/>
                <w:szCs w:val="20"/>
                <w:lang w:val="fr-FR"/>
              </w:rPr>
              <w:t xml:space="preserve">La juge en chef </w:t>
            </w:r>
            <w:proofErr w:type="spellStart"/>
            <w:r w:rsidRPr="00003B04">
              <w:rPr>
                <w:sz w:val="20"/>
                <w:szCs w:val="20"/>
                <w:lang w:val="fr-FR"/>
              </w:rPr>
              <w:t>McLachlin</w:t>
            </w:r>
            <w:proofErr w:type="spellEnd"/>
            <w:r w:rsidRPr="00003B04">
              <w:rPr>
                <w:sz w:val="20"/>
                <w:szCs w:val="20"/>
                <w:lang w:val="fr-FR"/>
              </w:rPr>
              <w:t xml:space="preserve"> et les juges Abella, </w:t>
            </w:r>
            <w:proofErr w:type="spellStart"/>
            <w:r w:rsidRPr="00003B04">
              <w:rPr>
                <w:sz w:val="20"/>
                <w:szCs w:val="20"/>
                <w:lang w:val="fr-FR"/>
              </w:rPr>
              <w:t>Moldaver</w:t>
            </w:r>
            <w:proofErr w:type="spellEnd"/>
            <w:r w:rsidRPr="00003B04">
              <w:rPr>
                <w:sz w:val="20"/>
                <w:szCs w:val="20"/>
                <w:lang w:val="fr-FR"/>
              </w:rPr>
              <w:t xml:space="preserve">, </w:t>
            </w:r>
            <w:proofErr w:type="spellStart"/>
            <w:r w:rsidRPr="00003B04">
              <w:rPr>
                <w:sz w:val="20"/>
                <w:szCs w:val="20"/>
                <w:lang w:val="fr-FR"/>
              </w:rPr>
              <w:t>Karakatsanis</w:t>
            </w:r>
            <w:proofErr w:type="spellEnd"/>
            <w:r w:rsidRPr="00003B04">
              <w:rPr>
                <w:sz w:val="20"/>
                <w:szCs w:val="20"/>
                <w:lang w:val="fr-FR"/>
              </w:rPr>
              <w:t>, Wagner, Gascon, Côté, Brown et Rowe</w:t>
            </w:r>
          </w:p>
          <w:p w:rsidR="000E7F29" w:rsidRPr="00003B04" w:rsidRDefault="000E7F29" w:rsidP="000E7F29">
            <w:pPr>
              <w:rPr>
                <w:lang w:val="fr-FR"/>
              </w:rPr>
            </w:pPr>
          </w:p>
        </w:tc>
      </w:tr>
      <w:tr w:rsidR="00D310D9" w:rsidRPr="00C3697D" w:rsidTr="00D310D9">
        <w:tc>
          <w:tcPr>
            <w:tcW w:w="5000" w:type="pct"/>
            <w:gridSpan w:val="4"/>
          </w:tcPr>
          <w:p w:rsidR="00D310D9" w:rsidRPr="00003B04" w:rsidRDefault="000E7F29" w:rsidP="00EE4290">
            <w:pPr>
              <w:pStyle w:val="SCCLsocParty"/>
              <w:jc w:val="both"/>
              <w:rPr>
                <w:sz w:val="20"/>
                <w:szCs w:val="20"/>
              </w:rPr>
            </w:pPr>
            <w:r w:rsidRPr="00003B04">
              <w:rPr>
                <w:sz w:val="20"/>
                <w:szCs w:val="20"/>
              </w:rPr>
              <w:t xml:space="preserve">La demande d’autorisation d’appel de l’arrêt de la </w:t>
            </w:r>
            <w:r w:rsidRPr="00003B04">
              <w:rPr>
                <w:sz w:val="20"/>
                <w:szCs w:val="20"/>
                <w:lang w:val="fr-FR"/>
              </w:rPr>
              <w:t>Cour d’appel de l’Ontario</w:t>
            </w:r>
            <w:r w:rsidRPr="00003B04">
              <w:rPr>
                <w:sz w:val="20"/>
                <w:szCs w:val="20"/>
              </w:rPr>
              <w:t xml:space="preserve">, numéro </w:t>
            </w:r>
            <w:r w:rsidRPr="00003B04">
              <w:rPr>
                <w:sz w:val="20"/>
                <w:szCs w:val="20"/>
                <w:lang w:val="fr-FR"/>
              </w:rPr>
              <w:t>C60739, 2016 ONCA 531</w:t>
            </w:r>
            <w:r w:rsidRPr="00003B04">
              <w:rPr>
                <w:sz w:val="20"/>
                <w:szCs w:val="20"/>
              </w:rPr>
              <w:t xml:space="preserve">, daté du </w:t>
            </w:r>
            <w:r w:rsidRPr="00003B04">
              <w:rPr>
                <w:sz w:val="20"/>
                <w:szCs w:val="20"/>
                <w:lang w:val="fr-FR"/>
              </w:rPr>
              <w:t>5 juillet 2016</w:t>
            </w:r>
            <w:r w:rsidRPr="00003B04">
              <w:rPr>
                <w:sz w:val="20"/>
                <w:szCs w:val="20"/>
              </w:rPr>
              <w:t>, est rejetée avec dépens.</w:t>
            </w:r>
          </w:p>
          <w:p w:rsidR="000E7F29" w:rsidRPr="00003B04" w:rsidRDefault="000E7F29" w:rsidP="000E7F29">
            <w:pPr>
              <w:rPr>
                <w:lang w:val="fr-CA"/>
              </w:rPr>
            </w:pPr>
          </w:p>
        </w:tc>
      </w:tr>
      <w:tr w:rsidR="00EE4290" w:rsidRPr="00C3697D" w:rsidTr="00EE4290">
        <w:tc>
          <w:tcPr>
            <w:tcW w:w="5000" w:type="pct"/>
            <w:gridSpan w:val="4"/>
          </w:tcPr>
          <w:p w:rsidR="00EE4290" w:rsidRPr="00003B04" w:rsidRDefault="00EE4290" w:rsidP="00EE4290">
            <w:pPr>
              <w:jc w:val="both"/>
              <w:rPr>
                <w:sz w:val="20"/>
                <w:lang w:val="fr-CA"/>
              </w:rPr>
            </w:pPr>
            <w:r w:rsidRPr="00003B04">
              <w:rPr>
                <w:i/>
                <w:sz w:val="20"/>
                <w:lang w:val="fr-CA"/>
              </w:rPr>
              <w:t xml:space="preserve">Charte des droits et libertés </w:t>
            </w:r>
            <w:r w:rsidRPr="00003B04">
              <w:rPr>
                <w:rStyle w:val="italic1"/>
                <w:color w:val="000000"/>
                <w:sz w:val="20"/>
                <w:lang w:val="fr-CA"/>
              </w:rPr>
              <w:t>—</w:t>
            </w:r>
            <w:r w:rsidRPr="00003B04">
              <w:rPr>
                <w:sz w:val="20"/>
                <w:lang w:val="fr-CA"/>
              </w:rPr>
              <w:t xml:space="preserve"> Droit constitutionnel </w:t>
            </w:r>
            <w:r w:rsidRPr="00003B04">
              <w:rPr>
                <w:rStyle w:val="italic1"/>
                <w:color w:val="000000"/>
                <w:sz w:val="20"/>
                <w:lang w:val="fr-CA"/>
              </w:rPr>
              <w:t>—</w:t>
            </w:r>
            <w:r w:rsidRPr="00003B04">
              <w:rPr>
                <w:sz w:val="20"/>
                <w:lang w:val="fr-CA"/>
              </w:rPr>
              <w:t xml:space="preserve"> Droit administratif </w:t>
            </w:r>
            <w:r w:rsidRPr="00003B04">
              <w:rPr>
                <w:rStyle w:val="italic1"/>
                <w:color w:val="000000"/>
                <w:sz w:val="20"/>
                <w:lang w:val="fr-CA"/>
              </w:rPr>
              <w:t>—</w:t>
            </w:r>
            <w:r w:rsidRPr="00003B04">
              <w:rPr>
                <w:sz w:val="20"/>
                <w:lang w:val="fr-CA"/>
              </w:rPr>
              <w:t xml:space="preserve"> Compétence </w:t>
            </w:r>
            <w:r w:rsidRPr="00003B04">
              <w:rPr>
                <w:rStyle w:val="italic1"/>
                <w:color w:val="000000"/>
                <w:sz w:val="20"/>
                <w:lang w:val="fr-CA"/>
              </w:rPr>
              <w:t>—</w:t>
            </w:r>
            <w:r w:rsidRPr="00003B04">
              <w:rPr>
                <w:sz w:val="20"/>
                <w:lang w:val="fr-CA"/>
              </w:rPr>
              <w:t xml:space="preserve"> Tribunaux </w:t>
            </w:r>
            <w:r w:rsidRPr="00003B04">
              <w:rPr>
                <w:rStyle w:val="italic1"/>
                <w:color w:val="000000"/>
                <w:sz w:val="20"/>
                <w:lang w:val="fr-CA"/>
              </w:rPr>
              <w:t>—</w:t>
            </w:r>
            <w:r w:rsidRPr="00003B04">
              <w:rPr>
                <w:sz w:val="20"/>
                <w:lang w:val="fr-CA"/>
              </w:rPr>
              <w:t xml:space="preserve"> Tribunaux administratifs </w:t>
            </w:r>
            <w:r w:rsidRPr="00003B04">
              <w:rPr>
                <w:rStyle w:val="italic1"/>
                <w:color w:val="000000"/>
                <w:sz w:val="20"/>
                <w:lang w:val="fr-CA"/>
              </w:rPr>
              <w:t>— Secret professionnel de l’avocat — Compétence du tribunal administratif du Barreau pour trancher des questions constitutionnelles — Compétence résiduelle de la Cour supérieure à l’égard des injonctions et des contestations constitutionnelles directes —</w:t>
            </w:r>
            <w:r w:rsidRPr="00003B04">
              <w:rPr>
                <w:sz w:val="20"/>
                <w:lang w:val="fr-CA"/>
              </w:rPr>
              <w:t xml:space="preserve"> Constitutionnalité des ingérences législatives à l’égard du secret professionnel de l’avocat </w:t>
            </w:r>
            <w:r w:rsidRPr="00003B04">
              <w:rPr>
                <w:rStyle w:val="italic1"/>
                <w:color w:val="000000"/>
                <w:sz w:val="20"/>
                <w:lang w:val="fr-CA"/>
              </w:rPr>
              <w:t>— Obligation de faciliter la capacité des clients des avocats d’invoquer le secret professionnel de l’avocat —</w:t>
            </w:r>
            <w:r w:rsidRPr="00003B04">
              <w:rPr>
                <w:sz w:val="20"/>
                <w:lang w:val="fr-CA"/>
              </w:rPr>
              <w:t xml:space="preserve"> Les avocats et le Barreau doivent-ils agir à la place du client aux fins de protéger le secret professionnel de l’avocat? </w:t>
            </w:r>
            <w:r w:rsidRPr="00003B04">
              <w:rPr>
                <w:rStyle w:val="italic1"/>
                <w:color w:val="000000"/>
                <w:sz w:val="20"/>
                <w:lang w:val="fr-CA"/>
              </w:rPr>
              <w:t>—</w:t>
            </w:r>
            <w:r w:rsidRPr="00003B04">
              <w:rPr>
                <w:sz w:val="20"/>
                <w:lang w:val="fr-CA"/>
              </w:rPr>
              <w:t xml:space="preserve"> Est-il absurde, sur le plan de la procédure, d’obliger les clients à invoquer le secret professionnel de l’avocat devant un tribunal administratif, par opposition à la Cour supérieure de justice, à une étape où il n’existe aucun tribunal administratif et où le tribunal administratif n’a pas compétence pour radier le régime législatif contesté? </w:t>
            </w:r>
            <w:r w:rsidRPr="00003B04">
              <w:rPr>
                <w:rStyle w:val="italic1"/>
                <w:color w:val="000000"/>
                <w:sz w:val="20"/>
                <w:lang w:val="fr-CA"/>
              </w:rPr>
              <w:t>—</w:t>
            </w:r>
            <w:r w:rsidRPr="00003B04">
              <w:rPr>
                <w:sz w:val="20"/>
                <w:lang w:val="fr-CA"/>
              </w:rPr>
              <w:t xml:space="preserve"> Y </w:t>
            </w:r>
            <w:proofErr w:type="spellStart"/>
            <w:r w:rsidRPr="00003B04">
              <w:rPr>
                <w:sz w:val="20"/>
                <w:lang w:val="fr-CA"/>
              </w:rPr>
              <w:t>a-t-il</w:t>
            </w:r>
            <w:proofErr w:type="spellEnd"/>
            <w:r w:rsidRPr="00003B04">
              <w:rPr>
                <w:sz w:val="20"/>
                <w:lang w:val="fr-CA"/>
              </w:rPr>
              <w:t xml:space="preserve"> lieu de maintenir un régime législatif qui oblige un client de protéger le secret professionnel de l’avocat lorsque le client ignore que ce privilège est en péril?</w:t>
            </w:r>
          </w:p>
        </w:tc>
      </w:tr>
      <w:tr w:rsidR="00EE4290" w:rsidRPr="00C3697D" w:rsidTr="00EE4290">
        <w:tc>
          <w:tcPr>
            <w:tcW w:w="5000" w:type="pct"/>
            <w:gridSpan w:val="4"/>
          </w:tcPr>
          <w:p w:rsidR="00EE4290" w:rsidRPr="00003B04" w:rsidRDefault="00EE4290" w:rsidP="00EE4290">
            <w:pPr>
              <w:jc w:val="both"/>
              <w:rPr>
                <w:sz w:val="20"/>
                <w:lang w:val="fr-CA"/>
              </w:rPr>
            </w:pPr>
          </w:p>
        </w:tc>
      </w:tr>
      <w:tr w:rsidR="00EE4290" w:rsidRPr="00C3697D" w:rsidTr="00EE4290">
        <w:tc>
          <w:tcPr>
            <w:tcW w:w="5000" w:type="pct"/>
            <w:gridSpan w:val="4"/>
          </w:tcPr>
          <w:p w:rsidR="00EE4290" w:rsidRPr="00003B04" w:rsidRDefault="00EE4290" w:rsidP="00EE4290">
            <w:pPr>
              <w:jc w:val="both"/>
              <w:rPr>
                <w:sz w:val="20"/>
                <w:lang w:val="fr-CA"/>
              </w:rPr>
            </w:pPr>
            <w:r w:rsidRPr="00003B04">
              <w:rPr>
                <w:sz w:val="20"/>
                <w:lang w:val="fr-CA"/>
              </w:rPr>
              <w:t xml:space="preserve">Le Barreau du Haut-Canada a entrepris une enquête sur des plaintes de clients des demandeurs. Les demandeurs ont été obligés de produire des dossiers de clients renfermant des renseignements protégés par le secret professionnel de l’avocat. Ils ont demandé à la Cour supérieure de rendre des ordonnances et un jugement déclarant que </w:t>
            </w:r>
            <w:r w:rsidRPr="00003B04">
              <w:rPr>
                <w:i/>
                <w:sz w:val="20"/>
                <w:lang w:val="fr-CA"/>
              </w:rPr>
              <w:t>Loi sur le Barreau</w:t>
            </w:r>
            <w:r w:rsidRPr="00003B04">
              <w:rPr>
                <w:sz w:val="20"/>
                <w:lang w:val="fr-CA"/>
              </w:rPr>
              <w:t>, L.R.O. 1990, ch. L-8, et les</w:t>
            </w:r>
            <w:r w:rsidRPr="00003B04">
              <w:rPr>
                <w:i/>
                <w:iCs/>
                <w:sz w:val="20"/>
                <w:lang w:val="fr-CA"/>
              </w:rPr>
              <w:t xml:space="preserve"> Règles de pratique </w:t>
            </w:r>
            <w:r w:rsidRPr="00003B04">
              <w:rPr>
                <w:iCs/>
                <w:sz w:val="20"/>
                <w:lang w:val="fr-CA"/>
              </w:rPr>
              <w:t xml:space="preserve">du Barreau sont inconstitutionnelles. Ils ont notamment plaidé que les procédures du Barreau ne mettaient pas adéquatement en garde les clients qui portaient plainte au Barreau que celui-ci pouvait obliger la production de documents protégés par le secret professionnel de l’avocat qui étaient susceptibles d’être rendus public dans le cadre d’une audience disciplinaire. Ils ont présenté une demande pour se voir reconnaître la qualité pour agir dans l’intérêt public afin faire valoir des arguments que </w:t>
            </w:r>
            <w:r w:rsidRPr="00003B04">
              <w:rPr>
                <w:i/>
                <w:sz w:val="20"/>
                <w:lang w:val="fr-CA"/>
              </w:rPr>
              <w:t>Loi sur le Barreau</w:t>
            </w:r>
            <w:r w:rsidRPr="00003B04">
              <w:rPr>
                <w:sz w:val="20"/>
                <w:lang w:val="fr-CA"/>
              </w:rPr>
              <w:t xml:space="preserve"> et les</w:t>
            </w:r>
            <w:r w:rsidRPr="00003B04">
              <w:rPr>
                <w:i/>
                <w:iCs/>
                <w:sz w:val="20"/>
                <w:lang w:val="fr-CA"/>
              </w:rPr>
              <w:t xml:space="preserve"> Règles de pratique </w:t>
            </w:r>
            <w:r w:rsidRPr="00003B04">
              <w:rPr>
                <w:iCs/>
                <w:sz w:val="20"/>
                <w:lang w:val="fr-CA"/>
              </w:rPr>
              <w:t>sont inconstitutionnelles et violent la</w:t>
            </w:r>
            <w:r w:rsidRPr="00003B04">
              <w:rPr>
                <w:sz w:val="20"/>
                <w:lang w:val="fr-CA"/>
              </w:rPr>
              <w:t xml:space="preserve"> </w:t>
            </w:r>
            <w:r w:rsidRPr="00003B04">
              <w:rPr>
                <w:i/>
                <w:sz w:val="20"/>
                <w:lang w:val="fr-CA"/>
              </w:rPr>
              <w:t>Charte des droits et libertés</w:t>
            </w:r>
            <w:r w:rsidRPr="00003B04">
              <w:rPr>
                <w:sz w:val="20"/>
                <w:lang w:val="fr-CA"/>
              </w:rPr>
              <w:t xml:space="preserve">. </w:t>
            </w:r>
          </w:p>
          <w:p w:rsidR="00EE4290" w:rsidRPr="00003B04" w:rsidRDefault="00EE4290" w:rsidP="00EE4290">
            <w:pPr>
              <w:jc w:val="both"/>
              <w:rPr>
                <w:sz w:val="20"/>
                <w:lang w:val="fr-CA"/>
              </w:rPr>
            </w:pPr>
          </w:p>
        </w:tc>
      </w:tr>
      <w:tr w:rsidR="00EE4290" w:rsidRPr="00003B04" w:rsidTr="00EE4290">
        <w:tc>
          <w:tcPr>
            <w:tcW w:w="2427" w:type="pct"/>
            <w:gridSpan w:val="2"/>
          </w:tcPr>
          <w:p w:rsidR="00EE4290" w:rsidRPr="00003B04" w:rsidRDefault="00EE4290" w:rsidP="00EE4290">
            <w:pPr>
              <w:jc w:val="both"/>
              <w:rPr>
                <w:sz w:val="20"/>
                <w:lang w:val="fr-CA"/>
              </w:rPr>
            </w:pPr>
            <w:r w:rsidRPr="00003B04">
              <w:rPr>
                <w:sz w:val="20"/>
                <w:lang w:val="fr-CA"/>
              </w:rPr>
              <w:t>9 juin 2015</w:t>
            </w:r>
          </w:p>
          <w:p w:rsidR="00EE4290" w:rsidRPr="00003B04" w:rsidRDefault="00EE4290" w:rsidP="00EE4290">
            <w:pPr>
              <w:jc w:val="both"/>
              <w:rPr>
                <w:sz w:val="20"/>
                <w:lang w:val="fr-CA"/>
              </w:rPr>
            </w:pPr>
            <w:r w:rsidRPr="00003B04">
              <w:rPr>
                <w:sz w:val="20"/>
                <w:lang w:val="fr-CA"/>
              </w:rPr>
              <w:t>Cour supérieure de justice de l’Ontario</w:t>
            </w:r>
          </w:p>
          <w:p w:rsidR="00EE4290" w:rsidRPr="00003B04" w:rsidRDefault="00EE4290" w:rsidP="00EE4290">
            <w:pPr>
              <w:jc w:val="both"/>
              <w:rPr>
                <w:sz w:val="20"/>
                <w:lang w:val="fr-CA"/>
              </w:rPr>
            </w:pPr>
            <w:r w:rsidRPr="00003B04">
              <w:rPr>
                <w:sz w:val="20"/>
                <w:lang w:val="fr-CA"/>
              </w:rPr>
              <w:t xml:space="preserve">(Juge </w:t>
            </w:r>
            <w:proofErr w:type="spellStart"/>
            <w:r w:rsidRPr="00003B04">
              <w:rPr>
                <w:sz w:val="20"/>
                <w:lang w:val="fr-CA"/>
              </w:rPr>
              <w:t>Belobaba</w:t>
            </w:r>
            <w:proofErr w:type="spellEnd"/>
            <w:r w:rsidRPr="00003B04">
              <w:rPr>
                <w:sz w:val="20"/>
                <w:lang w:val="fr-CA"/>
              </w:rPr>
              <w:t>)</w:t>
            </w:r>
          </w:p>
          <w:p w:rsidR="00EE4290" w:rsidRPr="00003B04" w:rsidRDefault="00604445" w:rsidP="00EE4290">
            <w:pPr>
              <w:jc w:val="both"/>
              <w:rPr>
                <w:sz w:val="20"/>
                <w:lang w:val="fr-CA"/>
              </w:rPr>
            </w:pPr>
            <w:hyperlink r:id="rId39" w:history="1">
              <w:r w:rsidR="00EE4290" w:rsidRPr="00003B04">
                <w:rPr>
                  <w:rStyle w:val="Hyperlink"/>
                  <w:sz w:val="20"/>
                  <w:lang w:val="fr-CA"/>
                </w:rPr>
                <w:t>2015 ONSC 3430</w:t>
              </w:r>
            </w:hyperlink>
          </w:p>
          <w:p w:rsidR="00EE4290" w:rsidRPr="00003B04" w:rsidRDefault="00EE4290" w:rsidP="00EE4290">
            <w:pPr>
              <w:jc w:val="both"/>
              <w:rPr>
                <w:sz w:val="20"/>
                <w:lang w:val="fr-CA"/>
              </w:rPr>
            </w:pPr>
          </w:p>
        </w:tc>
        <w:tc>
          <w:tcPr>
            <w:tcW w:w="243" w:type="pct"/>
          </w:tcPr>
          <w:p w:rsidR="00EE4290" w:rsidRPr="00003B04" w:rsidRDefault="00EE4290" w:rsidP="00EE4290">
            <w:pPr>
              <w:jc w:val="both"/>
              <w:rPr>
                <w:sz w:val="20"/>
                <w:lang w:val="fr-CA"/>
              </w:rPr>
            </w:pPr>
          </w:p>
        </w:tc>
        <w:tc>
          <w:tcPr>
            <w:tcW w:w="2330" w:type="pct"/>
          </w:tcPr>
          <w:p w:rsidR="00EE4290" w:rsidRPr="00003B04" w:rsidRDefault="00EE4290" w:rsidP="00EE4290">
            <w:pPr>
              <w:jc w:val="both"/>
              <w:rPr>
                <w:sz w:val="20"/>
                <w:lang w:val="fr-CA"/>
              </w:rPr>
            </w:pPr>
            <w:r w:rsidRPr="00003B04">
              <w:rPr>
                <w:sz w:val="20"/>
                <w:lang w:val="fr-CA"/>
              </w:rPr>
              <w:t>Rejet de la demande</w:t>
            </w:r>
          </w:p>
          <w:p w:rsidR="00EE4290" w:rsidRPr="00003B04" w:rsidRDefault="00EE4290" w:rsidP="00EE4290">
            <w:pPr>
              <w:jc w:val="both"/>
              <w:rPr>
                <w:sz w:val="20"/>
                <w:lang w:val="fr-CA"/>
              </w:rPr>
            </w:pPr>
          </w:p>
        </w:tc>
      </w:tr>
      <w:tr w:rsidR="00EE4290" w:rsidRPr="00003B04" w:rsidTr="00EE4290">
        <w:tc>
          <w:tcPr>
            <w:tcW w:w="2427" w:type="pct"/>
            <w:gridSpan w:val="2"/>
          </w:tcPr>
          <w:p w:rsidR="00EE4290" w:rsidRPr="00003B04" w:rsidRDefault="00EE4290" w:rsidP="00EE4290">
            <w:pPr>
              <w:jc w:val="both"/>
              <w:rPr>
                <w:sz w:val="20"/>
                <w:lang w:val="fr-CA"/>
              </w:rPr>
            </w:pPr>
            <w:r w:rsidRPr="00003B04">
              <w:rPr>
                <w:sz w:val="20"/>
                <w:lang w:val="fr-CA"/>
              </w:rPr>
              <w:t>5 juillet 2016</w:t>
            </w:r>
          </w:p>
          <w:p w:rsidR="00EE4290" w:rsidRPr="00003B04" w:rsidRDefault="00EE4290" w:rsidP="00EE4290">
            <w:pPr>
              <w:jc w:val="both"/>
              <w:rPr>
                <w:sz w:val="20"/>
                <w:lang w:val="fr-CA"/>
              </w:rPr>
            </w:pPr>
            <w:r w:rsidRPr="00003B04">
              <w:rPr>
                <w:sz w:val="20"/>
                <w:lang w:val="fr-CA"/>
              </w:rPr>
              <w:t>Cour d’appel de l’Ontario</w:t>
            </w:r>
          </w:p>
          <w:p w:rsidR="00EE4290" w:rsidRPr="00003B04" w:rsidRDefault="00EE4290" w:rsidP="00EE4290">
            <w:pPr>
              <w:jc w:val="both"/>
              <w:rPr>
                <w:sz w:val="20"/>
                <w:lang w:val="fr-CA"/>
              </w:rPr>
            </w:pPr>
            <w:r w:rsidRPr="00003B04">
              <w:rPr>
                <w:sz w:val="20"/>
                <w:lang w:val="fr-CA"/>
              </w:rPr>
              <w:t xml:space="preserve">(Juges </w:t>
            </w:r>
            <w:proofErr w:type="spellStart"/>
            <w:r w:rsidRPr="00003B04">
              <w:rPr>
                <w:sz w:val="20"/>
                <w:lang w:val="fr-CA"/>
              </w:rPr>
              <w:t>MacPherson</w:t>
            </w:r>
            <w:proofErr w:type="spellEnd"/>
            <w:r w:rsidRPr="00003B04">
              <w:rPr>
                <w:sz w:val="20"/>
                <w:lang w:val="fr-CA"/>
              </w:rPr>
              <w:t xml:space="preserve">, Simmons et </w:t>
            </w:r>
            <w:proofErr w:type="spellStart"/>
            <w:r w:rsidRPr="00003B04">
              <w:rPr>
                <w:sz w:val="20"/>
                <w:lang w:val="fr-CA"/>
              </w:rPr>
              <w:t>Lauwers</w:t>
            </w:r>
            <w:proofErr w:type="spellEnd"/>
            <w:r w:rsidRPr="00003B04">
              <w:rPr>
                <w:sz w:val="20"/>
                <w:lang w:val="fr-CA"/>
              </w:rPr>
              <w:t>)</w:t>
            </w:r>
          </w:p>
          <w:p w:rsidR="00EE4290" w:rsidRPr="00003B04" w:rsidRDefault="00EE4290" w:rsidP="00EE4290">
            <w:pPr>
              <w:jc w:val="both"/>
              <w:rPr>
                <w:sz w:val="20"/>
                <w:lang w:val="fr-CA"/>
              </w:rPr>
            </w:pPr>
            <w:r w:rsidRPr="00003B04">
              <w:rPr>
                <w:sz w:val="20"/>
                <w:lang w:val="fr-CA"/>
              </w:rPr>
              <w:t xml:space="preserve">C60739; </w:t>
            </w:r>
            <w:hyperlink r:id="rId40" w:history="1">
              <w:r w:rsidRPr="00003B04">
                <w:rPr>
                  <w:rStyle w:val="Hyperlink"/>
                  <w:sz w:val="20"/>
                  <w:lang w:val="fr-CA"/>
                </w:rPr>
                <w:t>2016 ONCA 531</w:t>
              </w:r>
            </w:hyperlink>
          </w:p>
          <w:p w:rsidR="00EE4290" w:rsidRPr="00003B04" w:rsidRDefault="00EE4290" w:rsidP="00EE4290">
            <w:pPr>
              <w:jc w:val="both"/>
              <w:rPr>
                <w:sz w:val="20"/>
                <w:lang w:val="fr-CA"/>
              </w:rPr>
            </w:pPr>
          </w:p>
        </w:tc>
        <w:tc>
          <w:tcPr>
            <w:tcW w:w="243" w:type="pct"/>
          </w:tcPr>
          <w:p w:rsidR="00EE4290" w:rsidRPr="00003B04" w:rsidRDefault="00EE4290" w:rsidP="00EE4290">
            <w:pPr>
              <w:jc w:val="both"/>
              <w:rPr>
                <w:sz w:val="20"/>
                <w:lang w:val="fr-CA"/>
              </w:rPr>
            </w:pPr>
          </w:p>
        </w:tc>
        <w:tc>
          <w:tcPr>
            <w:tcW w:w="2330" w:type="pct"/>
          </w:tcPr>
          <w:p w:rsidR="00EE4290" w:rsidRPr="00003B04" w:rsidRDefault="00EE4290" w:rsidP="00EE4290">
            <w:pPr>
              <w:jc w:val="both"/>
              <w:rPr>
                <w:sz w:val="20"/>
                <w:lang w:val="fr-CA"/>
              </w:rPr>
            </w:pPr>
            <w:r w:rsidRPr="00003B04">
              <w:rPr>
                <w:sz w:val="20"/>
                <w:lang w:val="fr-CA"/>
              </w:rPr>
              <w:t>Rejet de l’appel</w:t>
            </w:r>
          </w:p>
          <w:p w:rsidR="00EE4290" w:rsidRPr="00003B04" w:rsidRDefault="00EE4290" w:rsidP="00EE4290">
            <w:pPr>
              <w:jc w:val="both"/>
              <w:rPr>
                <w:sz w:val="20"/>
                <w:lang w:val="fr-CA"/>
              </w:rPr>
            </w:pPr>
          </w:p>
        </w:tc>
      </w:tr>
      <w:tr w:rsidR="00EE4290" w:rsidRPr="00C3697D" w:rsidTr="00EE4290">
        <w:tc>
          <w:tcPr>
            <w:tcW w:w="2427" w:type="pct"/>
            <w:gridSpan w:val="2"/>
          </w:tcPr>
          <w:p w:rsidR="00EE4290" w:rsidRPr="00003B04" w:rsidRDefault="00EE4290" w:rsidP="00EE4290">
            <w:pPr>
              <w:jc w:val="both"/>
              <w:rPr>
                <w:sz w:val="20"/>
                <w:lang w:val="fr-CA"/>
              </w:rPr>
            </w:pPr>
            <w:r w:rsidRPr="00003B04">
              <w:rPr>
                <w:sz w:val="20"/>
                <w:lang w:val="fr-CA"/>
              </w:rPr>
              <w:t>29 septembre 2016</w:t>
            </w:r>
          </w:p>
          <w:p w:rsidR="00EE4290" w:rsidRPr="00003B04" w:rsidRDefault="00EE4290" w:rsidP="00EE4290">
            <w:pPr>
              <w:jc w:val="both"/>
              <w:rPr>
                <w:sz w:val="20"/>
                <w:lang w:val="fr-CA"/>
              </w:rPr>
            </w:pPr>
            <w:r w:rsidRPr="00003B04">
              <w:rPr>
                <w:sz w:val="20"/>
                <w:lang w:val="fr-CA"/>
              </w:rPr>
              <w:t>Cour suprême du Canada</w:t>
            </w:r>
          </w:p>
        </w:tc>
        <w:tc>
          <w:tcPr>
            <w:tcW w:w="243" w:type="pct"/>
          </w:tcPr>
          <w:p w:rsidR="00EE4290" w:rsidRPr="00003B04" w:rsidRDefault="00EE4290" w:rsidP="00EE4290">
            <w:pPr>
              <w:jc w:val="both"/>
              <w:rPr>
                <w:sz w:val="20"/>
                <w:lang w:val="fr-CA"/>
              </w:rPr>
            </w:pPr>
          </w:p>
        </w:tc>
        <w:tc>
          <w:tcPr>
            <w:tcW w:w="2330" w:type="pct"/>
          </w:tcPr>
          <w:p w:rsidR="00EE4290" w:rsidRPr="00003B04" w:rsidRDefault="00EE4290" w:rsidP="00EE4290">
            <w:pPr>
              <w:jc w:val="both"/>
              <w:rPr>
                <w:sz w:val="20"/>
                <w:lang w:val="fr-CA"/>
              </w:rPr>
            </w:pPr>
            <w:r w:rsidRPr="00003B04">
              <w:rPr>
                <w:sz w:val="20"/>
                <w:lang w:val="fr-CA"/>
              </w:rPr>
              <w:t>Dépôt de la demande d’autorisation d’appel</w:t>
            </w:r>
          </w:p>
          <w:p w:rsidR="00EE4290" w:rsidRPr="00003B04" w:rsidRDefault="00EE4290" w:rsidP="00EE4290">
            <w:pPr>
              <w:jc w:val="both"/>
              <w:rPr>
                <w:sz w:val="20"/>
                <w:lang w:val="fr-CA"/>
              </w:rPr>
            </w:pPr>
          </w:p>
        </w:tc>
      </w:tr>
    </w:tbl>
    <w:p w:rsidR="00EE4290" w:rsidRPr="00003B04" w:rsidRDefault="00604445" w:rsidP="00EE4290">
      <w:pPr>
        <w:jc w:val="both"/>
        <w:rPr>
          <w:sz w:val="20"/>
          <w:lang w:val="fr-CA"/>
        </w:rPr>
      </w:pPr>
      <w:r>
        <w:rPr>
          <w:sz w:val="20"/>
          <w:szCs w:val="20"/>
        </w:rPr>
        <w:pict>
          <v:rect id="_x0000_i1054" style="width:2in;height:1pt" o:hrpct="0" o:hralign="center" o:hrstd="t" o:hrnoshade="t" o:hr="t" fillcolor="black [3213]" stroked="f"/>
        </w:pict>
      </w:r>
    </w:p>
    <w:p w:rsidR="00EE4290" w:rsidRPr="00003B04" w:rsidRDefault="00EE4290" w:rsidP="00EE4290">
      <w:pPr>
        <w:ind w:left="360" w:hanging="360"/>
        <w:jc w:val="both"/>
        <w:rPr>
          <w:sz w:val="20"/>
          <w:lang w:val="fr-CA" w:eastAsia="en-CA"/>
        </w:rPr>
      </w:pPr>
    </w:p>
    <w:p w:rsidR="008F5EB8" w:rsidRPr="00003B04" w:rsidRDefault="008F5EB8">
      <w:r w:rsidRPr="00003B04">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E4290" w:rsidRPr="00003B04" w:rsidTr="00EE4290">
        <w:tc>
          <w:tcPr>
            <w:tcW w:w="543" w:type="pct"/>
          </w:tcPr>
          <w:p w:rsidR="00EE4290" w:rsidRPr="00003B04" w:rsidRDefault="00EE4290" w:rsidP="00EE4290">
            <w:pPr>
              <w:jc w:val="both"/>
              <w:rPr>
                <w:sz w:val="20"/>
              </w:rPr>
            </w:pPr>
            <w:r w:rsidRPr="00003B04">
              <w:rPr>
                <w:rStyle w:val="SCCFileNumberChar"/>
                <w:sz w:val="20"/>
                <w:szCs w:val="20"/>
              </w:rPr>
              <w:lastRenderedPageBreak/>
              <w:t>37267</w:t>
            </w:r>
          </w:p>
        </w:tc>
        <w:tc>
          <w:tcPr>
            <w:tcW w:w="4457" w:type="pct"/>
            <w:gridSpan w:val="3"/>
          </w:tcPr>
          <w:p w:rsidR="00EE4290" w:rsidRPr="00003B04" w:rsidRDefault="00EE4290" w:rsidP="001B621B">
            <w:pPr>
              <w:pStyle w:val="SCCLsocParty"/>
              <w:jc w:val="both"/>
              <w:rPr>
                <w:sz w:val="20"/>
                <w:lang w:val="en-US"/>
              </w:rPr>
            </w:pPr>
            <w:r w:rsidRPr="00003B04">
              <w:rPr>
                <w:b/>
                <w:sz w:val="20"/>
                <w:szCs w:val="20"/>
                <w:lang w:val="en-CA"/>
              </w:rPr>
              <w:t>L.C.</w:t>
            </w:r>
            <w:r w:rsidR="001B621B" w:rsidRPr="00003B04">
              <w:rPr>
                <w:b/>
                <w:sz w:val="20"/>
                <w:szCs w:val="20"/>
                <w:lang w:val="en-CA"/>
              </w:rPr>
              <w:t xml:space="preserve"> and</w:t>
            </w:r>
            <w:r w:rsidRPr="00003B04">
              <w:rPr>
                <w:b/>
                <w:sz w:val="20"/>
                <w:szCs w:val="20"/>
                <w:lang w:val="en-CA"/>
              </w:rPr>
              <w:t xml:space="preserve"> J.C. v. Director of Youth Protection for Les Centres </w:t>
            </w:r>
            <w:proofErr w:type="spellStart"/>
            <w:r w:rsidRPr="00003B04">
              <w:rPr>
                <w:b/>
                <w:sz w:val="20"/>
                <w:szCs w:val="20"/>
                <w:lang w:val="en-CA"/>
              </w:rPr>
              <w:t>jeunesse</w:t>
            </w:r>
            <w:proofErr w:type="spellEnd"/>
            <w:r w:rsidRPr="00003B04">
              <w:rPr>
                <w:b/>
                <w:sz w:val="20"/>
                <w:szCs w:val="20"/>
                <w:lang w:val="en-CA"/>
              </w:rPr>
              <w:t xml:space="preserve"> de </w:t>
            </w:r>
            <w:proofErr w:type="spellStart"/>
            <w:r w:rsidRPr="00003B04">
              <w:rPr>
                <w:b/>
                <w:sz w:val="20"/>
                <w:szCs w:val="20"/>
                <w:lang w:val="en-CA"/>
              </w:rPr>
              <w:t>l’Outaouais</w:t>
            </w:r>
            <w:proofErr w:type="spellEnd"/>
            <w:r w:rsidR="00767A6B" w:rsidRPr="00003B04">
              <w:rPr>
                <w:b/>
                <w:sz w:val="20"/>
                <w:szCs w:val="20"/>
                <w:lang w:val="en-CA"/>
              </w:rPr>
              <w:t xml:space="preserve"> </w:t>
            </w:r>
            <w:r w:rsidRPr="00003B04">
              <w:rPr>
                <w:b/>
                <w:sz w:val="20"/>
                <w:szCs w:val="20"/>
                <w:lang w:val="en-CA"/>
              </w:rPr>
              <w:t>- and -</w:t>
            </w:r>
            <w:r w:rsidR="00767A6B" w:rsidRPr="00003B04">
              <w:rPr>
                <w:b/>
                <w:sz w:val="20"/>
                <w:szCs w:val="20"/>
                <w:lang w:val="en-CA"/>
              </w:rPr>
              <w:t xml:space="preserve"> </w:t>
            </w:r>
            <w:r w:rsidRPr="00003B04">
              <w:rPr>
                <w:b/>
                <w:sz w:val="20"/>
                <w:szCs w:val="20"/>
                <w:lang w:val="en-CA"/>
              </w:rPr>
              <w:t>Attorney General of Quebec</w:t>
            </w:r>
            <w:r w:rsidR="00767A6B" w:rsidRPr="00003B04">
              <w:rPr>
                <w:b/>
                <w:sz w:val="20"/>
                <w:szCs w:val="20"/>
                <w:lang w:val="en-CA"/>
              </w:rPr>
              <w:t xml:space="preserve"> </w:t>
            </w:r>
            <w:r w:rsidRPr="00003B04">
              <w:rPr>
                <w:sz w:val="20"/>
                <w:lang w:val="en-US"/>
              </w:rPr>
              <w:t>(Que.) (Civil) (By Leave)</w:t>
            </w:r>
          </w:p>
        </w:tc>
      </w:tr>
      <w:tr w:rsidR="00D310D9" w:rsidRPr="00003B04" w:rsidTr="00EE4290">
        <w:tc>
          <w:tcPr>
            <w:tcW w:w="543" w:type="pct"/>
          </w:tcPr>
          <w:p w:rsidR="00D310D9" w:rsidRPr="00003B04" w:rsidRDefault="00D310D9" w:rsidP="00EE4290">
            <w:pPr>
              <w:jc w:val="both"/>
              <w:rPr>
                <w:rStyle w:val="SCCFileNumberChar"/>
                <w:sz w:val="20"/>
                <w:szCs w:val="20"/>
              </w:rPr>
            </w:pPr>
            <w:r w:rsidRPr="00003B04">
              <w:rPr>
                <w:rStyle w:val="SCCFileNumberChar"/>
                <w:sz w:val="20"/>
                <w:szCs w:val="20"/>
              </w:rPr>
              <w:t>Coram:</w:t>
            </w:r>
          </w:p>
        </w:tc>
        <w:tc>
          <w:tcPr>
            <w:tcW w:w="4457" w:type="pct"/>
            <w:gridSpan w:val="3"/>
          </w:tcPr>
          <w:p w:rsidR="00D310D9" w:rsidRPr="00003B04" w:rsidRDefault="000E7F29" w:rsidP="00EE4290">
            <w:pPr>
              <w:pStyle w:val="SCCLsocParty"/>
              <w:jc w:val="both"/>
              <w:rPr>
                <w:rFonts w:eastAsiaTheme="minorEastAsia"/>
                <w:sz w:val="20"/>
                <w:szCs w:val="20"/>
                <w:lang w:val="en-US"/>
              </w:rPr>
            </w:pPr>
            <w:proofErr w:type="spellStart"/>
            <w:r w:rsidRPr="00003B04">
              <w:rPr>
                <w:rFonts w:eastAsiaTheme="minorEastAsia"/>
                <w:sz w:val="20"/>
                <w:szCs w:val="20"/>
                <w:lang w:val="en-US"/>
              </w:rPr>
              <w:t>McLachlin</w:t>
            </w:r>
            <w:proofErr w:type="spellEnd"/>
            <w:r w:rsidRPr="00003B04">
              <w:rPr>
                <w:rFonts w:eastAsiaTheme="minorEastAsia"/>
                <w:sz w:val="20"/>
                <w:szCs w:val="20"/>
                <w:lang w:val="en-US"/>
              </w:rPr>
              <w:t xml:space="preserve"> C.J. and </w:t>
            </w:r>
            <w:proofErr w:type="spellStart"/>
            <w:r w:rsidRPr="00003B04">
              <w:rPr>
                <w:rFonts w:eastAsiaTheme="minorEastAsia"/>
                <w:sz w:val="20"/>
                <w:szCs w:val="20"/>
                <w:lang w:val="en-US"/>
              </w:rPr>
              <w:t>Abella</w:t>
            </w:r>
            <w:proofErr w:type="spellEnd"/>
            <w:r w:rsidRPr="00003B04">
              <w:rPr>
                <w:rFonts w:eastAsiaTheme="minorEastAsia"/>
                <w:sz w:val="20"/>
                <w:szCs w:val="20"/>
                <w:lang w:val="en-US"/>
              </w:rPr>
              <w:t xml:space="preserve">, </w:t>
            </w:r>
            <w:proofErr w:type="spellStart"/>
            <w:r w:rsidRPr="00003B04">
              <w:rPr>
                <w:rFonts w:eastAsiaTheme="minorEastAsia"/>
                <w:sz w:val="20"/>
                <w:szCs w:val="20"/>
                <w:lang w:val="en-US"/>
              </w:rPr>
              <w:t>Moldaver</w:t>
            </w:r>
            <w:proofErr w:type="spellEnd"/>
            <w:r w:rsidRPr="00003B04">
              <w:rPr>
                <w:rFonts w:eastAsiaTheme="minorEastAsia"/>
                <w:sz w:val="20"/>
                <w:szCs w:val="20"/>
                <w:lang w:val="en-US"/>
              </w:rPr>
              <w:t xml:space="preserve">, </w:t>
            </w:r>
            <w:proofErr w:type="spellStart"/>
            <w:r w:rsidRPr="00003B04">
              <w:rPr>
                <w:rFonts w:eastAsiaTheme="minorEastAsia"/>
                <w:sz w:val="20"/>
                <w:szCs w:val="20"/>
                <w:lang w:val="en-US"/>
              </w:rPr>
              <w:t>Karakatsanis</w:t>
            </w:r>
            <w:proofErr w:type="spellEnd"/>
            <w:r w:rsidRPr="00003B04">
              <w:rPr>
                <w:rFonts w:eastAsiaTheme="minorEastAsia"/>
                <w:sz w:val="20"/>
                <w:szCs w:val="20"/>
                <w:lang w:val="en-US"/>
              </w:rPr>
              <w:t xml:space="preserve">, Wagner, </w:t>
            </w:r>
            <w:proofErr w:type="spellStart"/>
            <w:r w:rsidRPr="00003B04">
              <w:rPr>
                <w:rFonts w:eastAsiaTheme="minorEastAsia"/>
                <w:sz w:val="20"/>
                <w:szCs w:val="20"/>
                <w:lang w:val="en-US"/>
              </w:rPr>
              <w:t>Gascon</w:t>
            </w:r>
            <w:proofErr w:type="spellEnd"/>
            <w:r w:rsidRPr="00003B04">
              <w:rPr>
                <w:rFonts w:eastAsiaTheme="minorEastAsia"/>
                <w:sz w:val="20"/>
                <w:szCs w:val="20"/>
                <w:lang w:val="en-US"/>
              </w:rPr>
              <w:t xml:space="preserve">, </w:t>
            </w:r>
            <w:proofErr w:type="spellStart"/>
            <w:r w:rsidRPr="00003B04">
              <w:rPr>
                <w:rFonts w:eastAsiaTheme="minorEastAsia"/>
                <w:sz w:val="20"/>
                <w:szCs w:val="20"/>
                <w:lang w:val="en-US"/>
              </w:rPr>
              <w:t>Côté</w:t>
            </w:r>
            <w:proofErr w:type="spellEnd"/>
            <w:r w:rsidRPr="00003B04">
              <w:rPr>
                <w:rFonts w:eastAsiaTheme="minorEastAsia"/>
                <w:sz w:val="20"/>
                <w:szCs w:val="20"/>
                <w:lang w:val="en-US"/>
              </w:rPr>
              <w:t>, Brown and Rowe JJ.</w:t>
            </w:r>
          </w:p>
          <w:p w:rsidR="000E7F29" w:rsidRPr="00003B04" w:rsidRDefault="000E7F29" w:rsidP="000E7F29">
            <w:pPr>
              <w:rPr>
                <w:lang w:val="en-US"/>
              </w:rPr>
            </w:pPr>
          </w:p>
        </w:tc>
      </w:tr>
      <w:tr w:rsidR="00D310D9" w:rsidRPr="00003B04" w:rsidTr="00D310D9">
        <w:tc>
          <w:tcPr>
            <w:tcW w:w="5000" w:type="pct"/>
            <w:gridSpan w:val="4"/>
          </w:tcPr>
          <w:p w:rsidR="00D310D9" w:rsidRPr="00003B04" w:rsidRDefault="000E7F29" w:rsidP="00EE4290">
            <w:pPr>
              <w:pStyle w:val="SCCLsocParty"/>
              <w:jc w:val="both"/>
              <w:rPr>
                <w:sz w:val="20"/>
                <w:szCs w:val="20"/>
                <w:lang w:val="en-CA"/>
              </w:rPr>
            </w:pPr>
            <w:r w:rsidRPr="00003B04">
              <w:rPr>
                <w:sz w:val="20"/>
                <w:szCs w:val="20"/>
                <w:lang w:val="en-CA"/>
              </w:rPr>
              <w:t>The application for leave to appeal from the judgment of the Court of Appeal of Quebec (Montréal), Number 500-09-026060-160, 2016 QCCA 1409, dated August 29, 2016, is dismissed without costs.</w:t>
            </w:r>
          </w:p>
          <w:p w:rsidR="000E7F29" w:rsidRPr="00003B04" w:rsidRDefault="000E7F29" w:rsidP="000E7F29"/>
        </w:tc>
      </w:tr>
      <w:tr w:rsidR="00EE4290" w:rsidRPr="00003B04" w:rsidTr="00EE4290">
        <w:tc>
          <w:tcPr>
            <w:tcW w:w="5000" w:type="pct"/>
            <w:gridSpan w:val="4"/>
          </w:tcPr>
          <w:p w:rsidR="00EE4290" w:rsidRPr="00003B04" w:rsidRDefault="00EE4290" w:rsidP="00EE4290">
            <w:pPr>
              <w:jc w:val="both"/>
              <w:rPr>
                <w:sz w:val="20"/>
              </w:rPr>
            </w:pPr>
            <w:r w:rsidRPr="00003B04">
              <w:rPr>
                <w:i/>
                <w:sz w:val="20"/>
              </w:rPr>
              <w:t xml:space="preserve">Charter </w:t>
            </w:r>
            <w:r w:rsidRPr="00003B04">
              <w:rPr>
                <w:sz w:val="20"/>
              </w:rPr>
              <w:t xml:space="preserve">– Civil liability – Damages – Youth protection – Immunity – Disclosure of information – Interpretation of s. 35 of </w:t>
            </w:r>
            <w:r w:rsidRPr="00003B04">
              <w:rPr>
                <w:i/>
                <w:sz w:val="20"/>
              </w:rPr>
              <w:t>Youth Protection Act</w:t>
            </w:r>
            <w:r w:rsidRPr="00003B04">
              <w:rPr>
                <w:sz w:val="20"/>
              </w:rPr>
              <w:t>, R.S.Q. c. P</w:t>
            </w:r>
            <w:r w:rsidRPr="00003B04">
              <w:rPr>
                <w:sz w:val="20"/>
              </w:rPr>
              <w:noBreakHyphen/>
              <w:t xml:space="preserve">34.1 – Whether s. 35 of </w:t>
            </w:r>
            <w:r w:rsidRPr="00003B04">
              <w:rPr>
                <w:i/>
                <w:sz w:val="20"/>
              </w:rPr>
              <w:t>Youth Protection Act</w:t>
            </w:r>
            <w:r w:rsidRPr="00003B04">
              <w:rPr>
                <w:sz w:val="20"/>
              </w:rPr>
              <w:t xml:space="preserve">, by taking away applicants’ right to sue respondent, infringes fundamental rights provided for in s. 7 of </w:t>
            </w:r>
            <w:r w:rsidRPr="00003B04">
              <w:rPr>
                <w:i/>
                <w:sz w:val="20"/>
              </w:rPr>
              <w:t>Canadian Charter of Rights and Freedoms</w:t>
            </w:r>
            <w:r w:rsidRPr="00003B04">
              <w:rPr>
                <w:sz w:val="20"/>
              </w:rPr>
              <w:t xml:space="preserve"> and ss. 4, 6 and 7 of </w:t>
            </w:r>
            <w:r w:rsidRPr="00003B04">
              <w:rPr>
                <w:i/>
                <w:sz w:val="20"/>
              </w:rPr>
              <w:t>Charter of human rights and freedoms</w:t>
            </w:r>
            <w:r w:rsidRPr="00003B04">
              <w:rPr>
                <w:sz w:val="20"/>
              </w:rPr>
              <w:t xml:space="preserve"> – If so, whether s. 35 can be declared of no force or effect or inapplicable because its infringements cannot be justified in free and democratic society.</w:t>
            </w:r>
          </w:p>
          <w:p w:rsidR="00EE4290" w:rsidRPr="00003B04" w:rsidRDefault="00EE4290" w:rsidP="00EE4290">
            <w:pPr>
              <w:jc w:val="both"/>
              <w:rPr>
                <w:sz w:val="20"/>
              </w:rPr>
            </w:pPr>
          </w:p>
        </w:tc>
      </w:tr>
      <w:tr w:rsidR="00EE4290" w:rsidRPr="00003B04" w:rsidTr="00EE4290">
        <w:tc>
          <w:tcPr>
            <w:tcW w:w="5000" w:type="pct"/>
            <w:gridSpan w:val="4"/>
          </w:tcPr>
          <w:p w:rsidR="00EE4290" w:rsidRPr="00003B04" w:rsidRDefault="00EE4290" w:rsidP="00EE4290">
            <w:pPr>
              <w:jc w:val="both"/>
              <w:rPr>
                <w:sz w:val="20"/>
              </w:rPr>
            </w:pPr>
            <w:r w:rsidRPr="00003B04">
              <w:rPr>
                <w:sz w:val="20"/>
              </w:rPr>
              <w:t xml:space="preserve">The applicants brought an action in damages against the Direction de la protection de la </w:t>
            </w:r>
            <w:proofErr w:type="spellStart"/>
            <w:r w:rsidRPr="00003B04">
              <w:rPr>
                <w:sz w:val="20"/>
              </w:rPr>
              <w:t>jeunesse</w:t>
            </w:r>
            <w:proofErr w:type="spellEnd"/>
            <w:r w:rsidRPr="00003B04">
              <w:rPr>
                <w:sz w:val="20"/>
              </w:rPr>
              <w:t xml:space="preserve"> (DPJ) following the accidental disclosure of information about them. Because of the relative immunity granted by s. 35 of the </w:t>
            </w:r>
            <w:r w:rsidRPr="00003B04">
              <w:rPr>
                <w:i/>
                <w:sz w:val="20"/>
              </w:rPr>
              <w:t>Youth Protection Act</w:t>
            </w:r>
            <w:r w:rsidRPr="00003B04">
              <w:rPr>
                <w:sz w:val="20"/>
              </w:rPr>
              <w:t xml:space="preserve">, the Superior Court allowed the DPJ’s application to dismiss. The Court of Appeal affirmed the trial decision by allowing a motion to dismiss the appeal. </w:t>
            </w:r>
          </w:p>
        </w:tc>
      </w:tr>
      <w:tr w:rsidR="00EE4290" w:rsidRPr="00003B04" w:rsidTr="00EE4290">
        <w:tc>
          <w:tcPr>
            <w:tcW w:w="5000" w:type="pct"/>
            <w:gridSpan w:val="4"/>
          </w:tcPr>
          <w:p w:rsidR="00EE4290" w:rsidRPr="00003B04" w:rsidRDefault="00EE4290" w:rsidP="00EE4290">
            <w:pPr>
              <w:jc w:val="both"/>
              <w:rPr>
                <w:sz w:val="20"/>
              </w:rPr>
            </w:pPr>
          </w:p>
        </w:tc>
      </w:tr>
      <w:tr w:rsidR="00EE4290" w:rsidRPr="00003B04" w:rsidTr="00EE4290">
        <w:tc>
          <w:tcPr>
            <w:tcW w:w="2427" w:type="pct"/>
            <w:gridSpan w:val="2"/>
          </w:tcPr>
          <w:p w:rsidR="00EE4290" w:rsidRPr="00003B04" w:rsidRDefault="00EE4290" w:rsidP="00EE4290">
            <w:pPr>
              <w:jc w:val="both"/>
              <w:rPr>
                <w:sz w:val="20"/>
              </w:rPr>
            </w:pPr>
            <w:r w:rsidRPr="00003B04">
              <w:rPr>
                <w:sz w:val="20"/>
              </w:rPr>
              <w:t>May 17, 2016</w:t>
            </w:r>
          </w:p>
          <w:p w:rsidR="00EE4290" w:rsidRPr="00003B04" w:rsidRDefault="00EE4290" w:rsidP="00EE4290">
            <w:pPr>
              <w:jc w:val="both"/>
              <w:rPr>
                <w:sz w:val="20"/>
              </w:rPr>
            </w:pPr>
            <w:r w:rsidRPr="00003B04">
              <w:rPr>
                <w:sz w:val="20"/>
              </w:rPr>
              <w:t>Quebec Superior Court</w:t>
            </w:r>
          </w:p>
          <w:p w:rsidR="00EE4290" w:rsidRPr="00003B04" w:rsidRDefault="00EE4290" w:rsidP="00EE4290">
            <w:pPr>
              <w:jc w:val="both"/>
              <w:rPr>
                <w:sz w:val="20"/>
              </w:rPr>
            </w:pPr>
            <w:r w:rsidRPr="00003B04">
              <w:rPr>
                <w:sz w:val="20"/>
              </w:rPr>
              <w:t>(</w:t>
            </w:r>
            <w:proofErr w:type="spellStart"/>
            <w:r w:rsidRPr="00003B04">
              <w:rPr>
                <w:sz w:val="20"/>
              </w:rPr>
              <w:t>Dallaire</w:t>
            </w:r>
            <w:proofErr w:type="spellEnd"/>
            <w:r w:rsidRPr="00003B04">
              <w:rPr>
                <w:sz w:val="20"/>
              </w:rPr>
              <w:t xml:space="preserve"> J.)</w:t>
            </w:r>
          </w:p>
          <w:p w:rsidR="00EE4290" w:rsidRPr="00003B04" w:rsidRDefault="00EE4290" w:rsidP="00EE4290">
            <w:pPr>
              <w:jc w:val="both"/>
              <w:rPr>
                <w:sz w:val="20"/>
              </w:rPr>
            </w:pPr>
            <w:r w:rsidRPr="00003B04">
              <w:rPr>
                <w:sz w:val="20"/>
              </w:rPr>
              <w:t>2016 QCCS 4494</w:t>
            </w:r>
          </w:p>
          <w:p w:rsidR="00EE4290" w:rsidRPr="00003B04" w:rsidRDefault="00EE4290" w:rsidP="00EE4290">
            <w:pPr>
              <w:jc w:val="both"/>
              <w:rPr>
                <w:sz w:val="20"/>
              </w:rPr>
            </w:pPr>
          </w:p>
        </w:tc>
        <w:tc>
          <w:tcPr>
            <w:tcW w:w="243" w:type="pct"/>
          </w:tcPr>
          <w:p w:rsidR="00EE4290" w:rsidRPr="00003B04" w:rsidRDefault="00EE4290" w:rsidP="00EE4290">
            <w:pPr>
              <w:jc w:val="both"/>
              <w:rPr>
                <w:sz w:val="20"/>
              </w:rPr>
            </w:pPr>
          </w:p>
        </w:tc>
        <w:tc>
          <w:tcPr>
            <w:tcW w:w="2330" w:type="pct"/>
          </w:tcPr>
          <w:p w:rsidR="00EE4290" w:rsidRPr="00003B04" w:rsidRDefault="00EE4290" w:rsidP="00EE4290">
            <w:pPr>
              <w:jc w:val="both"/>
              <w:rPr>
                <w:sz w:val="20"/>
              </w:rPr>
            </w:pPr>
            <w:r w:rsidRPr="00003B04">
              <w:rPr>
                <w:sz w:val="20"/>
              </w:rPr>
              <w:t>Application to dismiss allowed</w:t>
            </w:r>
          </w:p>
          <w:p w:rsidR="00EE4290" w:rsidRPr="00003B04" w:rsidRDefault="00EE4290" w:rsidP="00EE4290">
            <w:pPr>
              <w:jc w:val="both"/>
              <w:rPr>
                <w:sz w:val="20"/>
              </w:rPr>
            </w:pPr>
          </w:p>
        </w:tc>
      </w:tr>
      <w:tr w:rsidR="00EE4290" w:rsidRPr="00003B04" w:rsidTr="00EE4290">
        <w:tc>
          <w:tcPr>
            <w:tcW w:w="2427" w:type="pct"/>
            <w:gridSpan w:val="2"/>
          </w:tcPr>
          <w:p w:rsidR="00EE4290" w:rsidRPr="00003B04" w:rsidRDefault="00EE4290" w:rsidP="00EE4290">
            <w:pPr>
              <w:jc w:val="both"/>
              <w:rPr>
                <w:sz w:val="20"/>
              </w:rPr>
            </w:pPr>
            <w:r w:rsidRPr="00003B04">
              <w:rPr>
                <w:sz w:val="20"/>
              </w:rPr>
              <w:t>August 29, 2016</w:t>
            </w:r>
          </w:p>
          <w:p w:rsidR="00EE4290" w:rsidRPr="00003B04" w:rsidRDefault="00EE4290" w:rsidP="00EE4290">
            <w:pPr>
              <w:jc w:val="both"/>
              <w:rPr>
                <w:sz w:val="20"/>
              </w:rPr>
            </w:pPr>
            <w:r w:rsidRPr="00003B04">
              <w:rPr>
                <w:sz w:val="20"/>
              </w:rPr>
              <w:t>Quebec Court of Appeal (Montréal)</w:t>
            </w:r>
          </w:p>
          <w:p w:rsidR="00EE4290" w:rsidRPr="00003B04" w:rsidRDefault="00EE4290" w:rsidP="00EE4290">
            <w:pPr>
              <w:jc w:val="both"/>
              <w:rPr>
                <w:sz w:val="20"/>
                <w:lang w:val="fr-CA"/>
              </w:rPr>
            </w:pPr>
            <w:r w:rsidRPr="00003B04">
              <w:rPr>
                <w:sz w:val="20"/>
                <w:lang w:val="fr-CA"/>
              </w:rPr>
              <w:t xml:space="preserve">(Morissette, Gagnon and </w:t>
            </w:r>
            <w:proofErr w:type="spellStart"/>
            <w:r w:rsidRPr="00003B04">
              <w:rPr>
                <w:sz w:val="20"/>
                <w:lang w:val="fr-CA"/>
              </w:rPr>
              <w:t>Hogue</w:t>
            </w:r>
            <w:proofErr w:type="spellEnd"/>
            <w:r w:rsidRPr="00003B04">
              <w:rPr>
                <w:sz w:val="20"/>
                <w:lang w:val="fr-CA"/>
              </w:rPr>
              <w:t xml:space="preserve"> JJ.A.)</w:t>
            </w:r>
          </w:p>
          <w:p w:rsidR="00EE4290" w:rsidRPr="00003B04" w:rsidRDefault="00EE4290" w:rsidP="00EE4290">
            <w:pPr>
              <w:jc w:val="both"/>
              <w:rPr>
                <w:sz w:val="20"/>
              </w:rPr>
            </w:pPr>
            <w:r w:rsidRPr="00003B04">
              <w:rPr>
                <w:sz w:val="20"/>
              </w:rPr>
              <w:t>2016 QCCA 1409</w:t>
            </w:r>
          </w:p>
          <w:p w:rsidR="00EE4290" w:rsidRPr="00003B04" w:rsidRDefault="00EE4290" w:rsidP="00EE4290">
            <w:pPr>
              <w:jc w:val="both"/>
              <w:rPr>
                <w:sz w:val="20"/>
              </w:rPr>
            </w:pPr>
          </w:p>
        </w:tc>
        <w:tc>
          <w:tcPr>
            <w:tcW w:w="243" w:type="pct"/>
          </w:tcPr>
          <w:p w:rsidR="00EE4290" w:rsidRPr="00003B04" w:rsidRDefault="00EE4290" w:rsidP="00EE4290">
            <w:pPr>
              <w:jc w:val="both"/>
              <w:rPr>
                <w:sz w:val="20"/>
              </w:rPr>
            </w:pPr>
          </w:p>
        </w:tc>
        <w:tc>
          <w:tcPr>
            <w:tcW w:w="2330" w:type="pct"/>
          </w:tcPr>
          <w:p w:rsidR="00EE4290" w:rsidRPr="00003B04" w:rsidRDefault="00EE4290" w:rsidP="00EE4290">
            <w:pPr>
              <w:jc w:val="both"/>
              <w:rPr>
                <w:sz w:val="20"/>
              </w:rPr>
            </w:pPr>
            <w:r w:rsidRPr="00003B04">
              <w:rPr>
                <w:sz w:val="20"/>
              </w:rPr>
              <w:t>Motion to dismiss appeal allowed</w:t>
            </w:r>
          </w:p>
          <w:p w:rsidR="00EE4290" w:rsidRPr="00003B04" w:rsidRDefault="00EE4290" w:rsidP="00EE4290">
            <w:pPr>
              <w:jc w:val="both"/>
              <w:rPr>
                <w:sz w:val="20"/>
              </w:rPr>
            </w:pPr>
          </w:p>
        </w:tc>
      </w:tr>
      <w:tr w:rsidR="00EE4290" w:rsidRPr="00003B04" w:rsidTr="00EE4290">
        <w:tc>
          <w:tcPr>
            <w:tcW w:w="2427" w:type="pct"/>
            <w:gridSpan w:val="2"/>
          </w:tcPr>
          <w:p w:rsidR="00EE4290" w:rsidRPr="00003B04" w:rsidRDefault="00EE4290" w:rsidP="00EE4290">
            <w:pPr>
              <w:jc w:val="both"/>
              <w:rPr>
                <w:sz w:val="20"/>
              </w:rPr>
            </w:pPr>
            <w:r w:rsidRPr="00003B04">
              <w:rPr>
                <w:sz w:val="20"/>
              </w:rPr>
              <w:t>October 25, 2016</w:t>
            </w:r>
          </w:p>
          <w:p w:rsidR="00EE4290" w:rsidRPr="00003B04" w:rsidRDefault="00EE4290" w:rsidP="00EE4290">
            <w:pPr>
              <w:jc w:val="both"/>
              <w:rPr>
                <w:sz w:val="20"/>
              </w:rPr>
            </w:pPr>
            <w:r w:rsidRPr="00003B04">
              <w:rPr>
                <w:sz w:val="20"/>
              </w:rPr>
              <w:t>Supreme Court of Canada</w:t>
            </w:r>
          </w:p>
        </w:tc>
        <w:tc>
          <w:tcPr>
            <w:tcW w:w="243" w:type="pct"/>
          </w:tcPr>
          <w:p w:rsidR="00EE4290" w:rsidRPr="00003B04" w:rsidRDefault="00EE4290" w:rsidP="00EE4290">
            <w:pPr>
              <w:jc w:val="both"/>
              <w:rPr>
                <w:sz w:val="20"/>
              </w:rPr>
            </w:pPr>
          </w:p>
        </w:tc>
        <w:tc>
          <w:tcPr>
            <w:tcW w:w="2330" w:type="pct"/>
          </w:tcPr>
          <w:p w:rsidR="00EE4290" w:rsidRPr="00003B04" w:rsidRDefault="00EE4290" w:rsidP="00EE4290">
            <w:pPr>
              <w:jc w:val="both"/>
              <w:rPr>
                <w:sz w:val="20"/>
              </w:rPr>
            </w:pPr>
            <w:r w:rsidRPr="00003B04">
              <w:rPr>
                <w:sz w:val="20"/>
              </w:rPr>
              <w:t>Application for leave to appeal filed</w:t>
            </w:r>
          </w:p>
        </w:tc>
      </w:tr>
    </w:tbl>
    <w:p w:rsidR="00EE4290" w:rsidRPr="00003B04" w:rsidRDefault="00604445" w:rsidP="00EE4290">
      <w:pPr>
        <w:jc w:val="both"/>
        <w:rPr>
          <w:sz w:val="20"/>
        </w:rPr>
      </w:pPr>
      <w:r>
        <w:rPr>
          <w:sz w:val="20"/>
          <w:szCs w:val="20"/>
        </w:rPr>
        <w:pict>
          <v:rect id="_x0000_i1055" style="width:2in;height:1pt" o:hrpct="0" o:hralign="center" o:hrstd="t" o:hrnoshade="t" o:hr="t" fillcolor="black [3213]" stroked="f"/>
        </w:pict>
      </w:r>
    </w:p>
    <w:p w:rsidR="00EE4290" w:rsidRPr="00003B04" w:rsidRDefault="00EE4290" w:rsidP="00EE429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E4290" w:rsidRPr="00C3697D" w:rsidTr="00EE4290">
        <w:tc>
          <w:tcPr>
            <w:tcW w:w="543" w:type="pct"/>
          </w:tcPr>
          <w:p w:rsidR="00EE4290" w:rsidRPr="00003B04" w:rsidRDefault="00EE4290" w:rsidP="00EE4290">
            <w:pPr>
              <w:jc w:val="both"/>
              <w:rPr>
                <w:sz w:val="20"/>
              </w:rPr>
            </w:pPr>
            <w:r w:rsidRPr="00003B04">
              <w:rPr>
                <w:rStyle w:val="SCCFileNumberChar"/>
                <w:sz w:val="20"/>
                <w:szCs w:val="20"/>
              </w:rPr>
              <w:t>37267</w:t>
            </w:r>
          </w:p>
        </w:tc>
        <w:tc>
          <w:tcPr>
            <w:tcW w:w="4457" w:type="pct"/>
            <w:gridSpan w:val="3"/>
          </w:tcPr>
          <w:p w:rsidR="00EE4290" w:rsidRPr="00003B04" w:rsidRDefault="00EE4290" w:rsidP="001B621B">
            <w:pPr>
              <w:pStyle w:val="SCCLsocParty"/>
              <w:jc w:val="both"/>
              <w:rPr>
                <w:sz w:val="20"/>
              </w:rPr>
            </w:pPr>
            <w:r w:rsidRPr="00003B04">
              <w:rPr>
                <w:b/>
                <w:sz w:val="20"/>
                <w:szCs w:val="20"/>
              </w:rPr>
              <w:t>L.C.</w:t>
            </w:r>
            <w:r w:rsidR="001B621B" w:rsidRPr="00003B04">
              <w:rPr>
                <w:b/>
                <w:sz w:val="20"/>
                <w:szCs w:val="20"/>
              </w:rPr>
              <w:t xml:space="preserve"> et</w:t>
            </w:r>
            <w:r w:rsidRPr="00003B04">
              <w:rPr>
                <w:b/>
                <w:sz w:val="20"/>
                <w:szCs w:val="20"/>
              </w:rPr>
              <w:t xml:space="preserve"> J.C. c. Directrice de la protection de la jeunesse pour les centres jeunesse de l’Outaouais</w:t>
            </w:r>
            <w:r w:rsidR="00767A6B" w:rsidRPr="00003B04">
              <w:rPr>
                <w:b/>
                <w:sz w:val="20"/>
                <w:szCs w:val="20"/>
              </w:rPr>
              <w:t xml:space="preserve"> </w:t>
            </w:r>
            <w:r w:rsidRPr="00003B04">
              <w:rPr>
                <w:b/>
                <w:sz w:val="20"/>
                <w:szCs w:val="20"/>
              </w:rPr>
              <w:t>- et -</w:t>
            </w:r>
            <w:r w:rsidR="00767A6B" w:rsidRPr="00003B04">
              <w:rPr>
                <w:sz w:val="20"/>
                <w:szCs w:val="20"/>
              </w:rPr>
              <w:t xml:space="preserve"> </w:t>
            </w:r>
            <w:r w:rsidRPr="00003B04">
              <w:rPr>
                <w:b/>
                <w:sz w:val="20"/>
                <w:szCs w:val="20"/>
              </w:rPr>
              <w:t>Procureure générale du Québec</w:t>
            </w:r>
            <w:r w:rsidR="00767A6B" w:rsidRPr="00003B04">
              <w:rPr>
                <w:b/>
                <w:sz w:val="20"/>
                <w:szCs w:val="20"/>
              </w:rPr>
              <w:t xml:space="preserve"> </w:t>
            </w:r>
            <w:r w:rsidRPr="00003B04">
              <w:rPr>
                <w:sz w:val="20"/>
              </w:rPr>
              <w:t>(</w:t>
            </w:r>
            <w:proofErr w:type="spellStart"/>
            <w:r w:rsidRPr="00003B04">
              <w:rPr>
                <w:sz w:val="20"/>
              </w:rPr>
              <w:t>Qc</w:t>
            </w:r>
            <w:proofErr w:type="spellEnd"/>
            <w:r w:rsidRPr="00003B04">
              <w:rPr>
                <w:sz w:val="20"/>
              </w:rPr>
              <w:t>) (Civile) (Autorisation)</w:t>
            </w:r>
          </w:p>
        </w:tc>
      </w:tr>
      <w:tr w:rsidR="00D310D9" w:rsidRPr="00C3697D" w:rsidTr="00EE4290">
        <w:tc>
          <w:tcPr>
            <w:tcW w:w="543" w:type="pct"/>
          </w:tcPr>
          <w:p w:rsidR="00D310D9" w:rsidRPr="00003B04" w:rsidRDefault="00D310D9" w:rsidP="00EE4290">
            <w:pPr>
              <w:jc w:val="both"/>
              <w:rPr>
                <w:rStyle w:val="SCCFileNumberChar"/>
                <w:sz w:val="20"/>
                <w:szCs w:val="20"/>
              </w:rPr>
            </w:pPr>
            <w:r w:rsidRPr="00003B04">
              <w:rPr>
                <w:rStyle w:val="SCCFileNumberChar"/>
                <w:sz w:val="20"/>
                <w:szCs w:val="20"/>
              </w:rPr>
              <w:t>Coram:</w:t>
            </w:r>
          </w:p>
        </w:tc>
        <w:tc>
          <w:tcPr>
            <w:tcW w:w="4457" w:type="pct"/>
            <w:gridSpan w:val="3"/>
          </w:tcPr>
          <w:p w:rsidR="00D310D9" w:rsidRPr="00003B04" w:rsidRDefault="000E7F29" w:rsidP="00EE4290">
            <w:pPr>
              <w:pStyle w:val="SCCLsocParty"/>
              <w:jc w:val="both"/>
              <w:rPr>
                <w:rFonts w:eastAsiaTheme="minorEastAsia"/>
                <w:sz w:val="20"/>
                <w:szCs w:val="20"/>
              </w:rPr>
            </w:pPr>
            <w:r w:rsidRPr="00003B04">
              <w:rPr>
                <w:rFonts w:eastAsiaTheme="minorEastAsia"/>
                <w:sz w:val="20"/>
                <w:szCs w:val="20"/>
                <w:lang w:val="fr-FR"/>
              </w:rPr>
              <w:t xml:space="preserve">La juge en chef </w:t>
            </w:r>
            <w:proofErr w:type="spellStart"/>
            <w:r w:rsidRPr="00003B04">
              <w:rPr>
                <w:rFonts w:eastAsiaTheme="minorEastAsia"/>
                <w:sz w:val="20"/>
                <w:szCs w:val="20"/>
                <w:lang w:val="fr-FR"/>
              </w:rPr>
              <w:t>McLachlin</w:t>
            </w:r>
            <w:proofErr w:type="spellEnd"/>
            <w:r w:rsidRPr="00003B04">
              <w:rPr>
                <w:rFonts w:eastAsiaTheme="minorEastAsia"/>
                <w:sz w:val="20"/>
                <w:szCs w:val="20"/>
                <w:lang w:val="fr-FR"/>
              </w:rPr>
              <w:t xml:space="preserve"> et les juges Abella, </w:t>
            </w:r>
            <w:proofErr w:type="spellStart"/>
            <w:r w:rsidRPr="00003B04">
              <w:rPr>
                <w:rFonts w:eastAsiaTheme="minorEastAsia"/>
                <w:sz w:val="20"/>
                <w:szCs w:val="20"/>
              </w:rPr>
              <w:t>Moldaver</w:t>
            </w:r>
            <w:proofErr w:type="spellEnd"/>
            <w:r w:rsidRPr="00003B04">
              <w:rPr>
                <w:rFonts w:eastAsiaTheme="minorEastAsia"/>
                <w:sz w:val="20"/>
                <w:szCs w:val="20"/>
              </w:rPr>
              <w:t xml:space="preserve">, </w:t>
            </w:r>
            <w:proofErr w:type="spellStart"/>
            <w:r w:rsidRPr="00003B04">
              <w:rPr>
                <w:rFonts w:eastAsiaTheme="minorEastAsia"/>
                <w:sz w:val="20"/>
                <w:szCs w:val="20"/>
              </w:rPr>
              <w:t>Karakatsanis</w:t>
            </w:r>
            <w:proofErr w:type="spellEnd"/>
            <w:r w:rsidRPr="00003B04">
              <w:rPr>
                <w:rFonts w:eastAsiaTheme="minorEastAsia"/>
                <w:sz w:val="20"/>
                <w:szCs w:val="20"/>
              </w:rPr>
              <w:t>, Wagner, Gascon, Côté, Brown et Rowe</w:t>
            </w:r>
          </w:p>
          <w:p w:rsidR="000E7F29" w:rsidRPr="00003B04" w:rsidRDefault="000E7F29" w:rsidP="000E7F29">
            <w:pPr>
              <w:rPr>
                <w:lang w:val="fr-CA"/>
              </w:rPr>
            </w:pPr>
          </w:p>
        </w:tc>
      </w:tr>
      <w:tr w:rsidR="00D310D9" w:rsidRPr="00C3697D" w:rsidTr="00D310D9">
        <w:tc>
          <w:tcPr>
            <w:tcW w:w="5000" w:type="pct"/>
            <w:gridSpan w:val="4"/>
          </w:tcPr>
          <w:p w:rsidR="00D310D9" w:rsidRPr="00003B04" w:rsidRDefault="000E7F29" w:rsidP="00EE4290">
            <w:pPr>
              <w:pStyle w:val="SCCLsocParty"/>
              <w:jc w:val="both"/>
              <w:rPr>
                <w:sz w:val="20"/>
                <w:szCs w:val="20"/>
              </w:rPr>
            </w:pPr>
            <w:r w:rsidRPr="00003B04">
              <w:rPr>
                <w:sz w:val="20"/>
                <w:szCs w:val="20"/>
              </w:rPr>
              <w:t>La demande d’autorisation d’appel de l’arrêt de la Cour d’appel du Québec (Montréal), numéro 500-09-026060-160, 2016 QCCA 1409, daté du 29 août 2016, est rejetée sans dépens.</w:t>
            </w:r>
          </w:p>
          <w:p w:rsidR="000E7F29" w:rsidRPr="00003B04" w:rsidRDefault="000E7F29" w:rsidP="000E7F29">
            <w:pPr>
              <w:rPr>
                <w:lang w:val="fr-CA"/>
              </w:rPr>
            </w:pPr>
          </w:p>
        </w:tc>
      </w:tr>
      <w:tr w:rsidR="00EE4290" w:rsidRPr="00C3697D" w:rsidTr="00EE4290">
        <w:tc>
          <w:tcPr>
            <w:tcW w:w="5000" w:type="pct"/>
            <w:gridSpan w:val="4"/>
          </w:tcPr>
          <w:p w:rsidR="00EE4290" w:rsidRPr="00003B04" w:rsidRDefault="00EE4290" w:rsidP="00EE4290">
            <w:pPr>
              <w:jc w:val="both"/>
              <w:rPr>
                <w:sz w:val="20"/>
                <w:lang w:val="fr-CA"/>
              </w:rPr>
            </w:pPr>
            <w:r w:rsidRPr="00003B04">
              <w:rPr>
                <w:i/>
                <w:sz w:val="20"/>
                <w:lang w:val="fr-CA"/>
              </w:rPr>
              <w:t xml:space="preserve">Charte </w:t>
            </w:r>
            <w:r w:rsidRPr="00003B04">
              <w:rPr>
                <w:sz w:val="20"/>
                <w:lang w:val="fr-CA"/>
              </w:rPr>
              <w:t xml:space="preserve">– Responsabilité civile – Dommages-intérêts – Protection de la jeunesse – Immunité – Divulgation d’informations – Interprétation de l’art. 35 de la </w:t>
            </w:r>
            <w:r w:rsidRPr="00003B04">
              <w:rPr>
                <w:i/>
                <w:sz w:val="20"/>
                <w:lang w:val="fr-CA"/>
              </w:rPr>
              <w:t>Loi sur la protection de la jeunesse</w:t>
            </w:r>
            <w:r w:rsidRPr="00003B04">
              <w:rPr>
                <w:sz w:val="20"/>
                <w:lang w:val="fr-CA"/>
              </w:rPr>
              <w:t xml:space="preserve">, L.R.Q. ch. P-34.1 – En retirant aux demanderesses leur droit de poursuivre l’intimée, l’article 35 de la </w:t>
            </w:r>
            <w:r w:rsidRPr="00003B04">
              <w:rPr>
                <w:i/>
                <w:sz w:val="20"/>
                <w:lang w:val="fr-CA"/>
              </w:rPr>
              <w:t>Loi sur la protection de la jeunesse</w:t>
            </w:r>
            <w:r w:rsidRPr="00003B04">
              <w:rPr>
                <w:sz w:val="20"/>
                <w:lang w:val="fr-CA"/>
              </w:rPr>
              <w:t xml:space="preserve"> porte-t-il atteinte aux droits fondamentaux prévus à l’art. 7 de la </w:t>
            </w:r>
            <w:r w:rsidRPr="00003B04">
              <w:rPr>
                <w:i/>
                <w:sz w:val="20"/>
                <w:lang w:val="fr-CA"/>
              </w:rPr>
              <w:t>Charte canadienne des droits et libertés de la personne</w:t>
            </w:r>
            <w:r w:rsidRPr="00003B04">
              <w:rPr>
                <w:sz w:val="20"/>
                <w:lang w:val="fr-CA"/>
              </w:rPr>
              <w:t xml:space="preserve"> et aux articles 4, 6 et 7 de la </w:t>
            </w:r>
            <w:r w:rsidRPr="00003B04">
              <w:rPr>
                <w:i/>
                <w:sz w:val="20"/>
                <w:lang w:val="fr-CA"/>
              </w:rPr>
              <w:t>Charte des droits et libertés de la personne</w:t>
            </w:r>
            <w:r w:rsidRPr="00003B04">
              <w:rPr>
                <w:sz w:val="20"/>
                <w:lang w:val="fr-CA"/>
              </w:rPr>
              <w:t>? – Le cas échéant, l’art. 35 peut-il être déclaré inopérant ou inapplicable parce que ses atteintes seraient injustifiées dans une société libre et démocratique?</w:t>
            </w:r>
          </w:p>
          <w:p w:rsidR="00EE4290" w:rsidRPr="00003B04" w:rsidRDefault="00EE4290" w:rsidP="00EE4290">
            <w:pPr>
              <w:jc w:val="both"/>
              <w:rPr>
                <w:sz w:val="20"/>
                <w:lang w:val="fr-CA"/>
              </w:rPr>
            </w:pPr>
          </w:p>
        </w:tc>
      </w:tr>
      <w:tr w:rsidR="00EE4290" w:rsidRPr="00C3697D" w:rsidTr="00EE4290">
        <w:tc>
          <w:tcPr>
            <w:tcW w:w="5000" w:type="pct"/>
            <w:gridSpan w:val="4"/>
          </w:tcPr>
          <w:p w:rsidR="00EE4290" w:rsidRPr="00003B04" w:rsidRDefault="00EE4290" w:rsidP="00EE4290">
            <w:pPr>
              <w:jc w:val="both"/>
              <w:rPr>
                <w:sz w:val="20"/>
                <w:lang w:val="fr-CA"/>
              </w:rPr>
            </w:pPr>
            <w:r w:rsidRPr="00003B04">
              <w:rPr>
                <w:sz w:val="20"/>
                <w:lang w:val="fr-CA"/>
              </w:rPr>
              <w:lastRenderedPageBreak/>
              <w:t xml:space="preserve">Les demanderesses ont intenté une action en dommages-intérêts contre la Direction de la protection de la jeunesse (DPJ) en raison de la divulgation accidentelle d’information les concernant. Considérant l’immunité relative prévue à l’art. 35 de la </w:t>
            </w:r>
            <w:r w:rsidRPr="00003B04">
              <w:rPr>
                <w:i/>
                <w:sz w:val="20"/>
                <w:lang w:val="fr-CA"/>
              </w:rPr>
              <w:t>Loi sur la protection de la jeunesse</w:t>
            </w:r>
            <w:r w:rsidRPr="00003B04">
              <w:rPr>
                <w:sz w:val="20"/>
                <w:lang w:val="fr-CA"/>
              </w:rPr>
              <w:t xml:space="preserve">, la Cour supérieure a accueilli la demande en irrecevabilité présentée par la DPJ. La Cour d’appel a confirmé la décision de première instance en faisant droit à une requête en rejet d’appel. </w:t>
            </w:r>
          </w:p>
        </w:tc>
      </w:tr>
      <w:tr w:rsidR="00EE4290" w:rsidRPr="00C3697D" w:rsidTr="00EE4290">
        <w:tc>
          <w:tcPr>
            <w:tcW w:w="5000" w:type="pct"/>
            <w:gridSpan w:val="4"/>
          </w:tcPr>
          <w:p w:rsidR="00EE4290" w:rsidRPr="00003B04" w:rsidRDefault="00EE4290" w:rsidP="00EE4290">
            <w:pPr>
              <w:jc w:val="both"/>
              <w:rPr>
                <w:sz w:val="20"/>
                <w:lang w:val="fr-CA"/>
              </w:rPr>
            </w:pPr>
          </w:p>
        </w:tc>
      </w:tr>
      <w:tr w:rsidR="00EE4290" w:rsidRPr="00C3697D" w:rsidTr="00EE4290">
        <w:tc>
          <w:tcPr>
            <w:tcW w:w="2427" w:type="pct"/>
            <w:gridSpan w:val="2"/>
          </w:tcPr>
          <w:p w:rsidR="00EE4290" w:rsidRPr="00003B04" w:rsidRDefault="00EE4290" w:rsidP="00EE4290">
            <w:pPr>
              <w:jc w:val="both"/>
              <w:rPr>
                <w:sz w:val="20"/>
                <w:lang w:val="fr-CA"/>
              </w:rPr>
            </w:pPr>
            <w:r w:rsidRPr="00003B04">
              <w:rPr>
                <w:sz w:val="20"/>
                <w:lang w:val="fr-CA"/>
              </w:rPr>
              <w:t>Le 17 mai 2016</w:t>
            </w:r>
          </w:p>
          <w:p w:rsidR="00EE4290" w:rsidRPr="00003B04" w:rsidRDefault="00EE4290" w:rsidP="00EE4290">
            <w:pPr>
              <w:jc w:val="both"/>
              <w:rPr>
                <w:sz w:val="20"/>
                <w:lang w:val="fr-CA"/>
              </w:rPr>
            </w:pPr>
            <w:r w:rsidRPr="00003B04">
              <w:rPr>
                <w:sz w:val="20"/>
                <w:lang w:val="fr-CA"/>
              </w:rPr>
              <w:t>Cour supérieure du Québec</w:t>
            </w:r>
          </w:p>
          <w:p w:rsidR="00EE4290" w:rsidRPr="00003B04" w:rsidRDefault="00EE4290" w:rsidP="00EE4290">
            <w:pPr>
              <w:jc w:val="both"/>
              <w:rPr>
                <w:sz w:val="20"/>
              </w:rPr>
            </w:pPr>
            <w:r w:rsidRPr="00003B04">
              <w:rPr>
                <w:sz w:val="20"/>
              </w:rPr>
              <w:t xml:space="preserve">(Le </w:t>
            </w:r>
            <w:proofErr w:type="spellStart"/>
            <w:r w:rsidRPr="00003B04">
              <w:rPr>
                <w:sz w:val="20"/>
              </w:rPr>
              <w:t>juge</w:t>
            </w:r>
            <w:proofErr w:type="spellEnd"/>
            <w:r w:rsidRPr="00003B04">
              <w:rPr>
                <w:sz w:val="20"/>
              </w:rPr>
              <w:t xml:space="preserve"> </w:t>
            </w:r>
            <w:proofErr w:type="spellStart"/>
            <w:r w:rsidRPr="00003B04">
              <w:rPr>
                <w:sz w:val="20"/>
              </w:rPr>
              <w:t>Dallaire</w:t>
            </w:r>
            <w:proofErr w:type="spellEnd"/>
            <w:r w:rsidRPr="00003B04">
              <w:rPr>
                <w:sz w:val="20"/>
              </w:rPr>
              <w:t>)</w:t>
            </w:r>
          </w:p>
          <w:p w:rsidR="00EE4290" w:rsidRPr="00003B04" w:rsidRDefault="00EE4290" w:rsidP="00EE4290">
            <w:pPr>
              <w:jc w:val="both"/>
              <w:rPr>
                <w:sz w:val="20"/>
              </w:rPr>
            </w:pPr>
            <w:r w:rsidRPr="00003B04">
              <w:rPr>
                <w:sz w:val="20"/>
              </w:rPr>
              <w:t>2016 QCCS 4494</w:t>
            </w:r>
          </w:p>
          <w:p w:rsidR="00EE4290" w:rsidRPr="00003B04" w:rsidRDefault="00EE4290" w:rsidP="00EE4290">
            <w:pPr>
              <w:jc w:val="both"/>
              <w:rPr>
                <w:sz w:val="20"/>
              </w:rPr>
            </w:pPr>
          </w:p>
        </w:tc>
        <w:tc>
          <w:tcPr>
            <w:tcW w:w="243" w:type="pct"/>
          </w:tcPr>
          <w:p w:rsidR="00EE4290" w:rsidRPr="00003B04" w:rsidRDefault="00EE4290" w:rsidP="00EE4290">
            <w:pPr>
              <w:jc w:val="both"/>
              <w:rPr>
                <w:sz w:val="20"/>
              </w:rPr>
            </w:pPr>
          </w:p>
        </w:tc>
        <w:tc>
          <w:tcPr>
            <w:tcW w:w="2330" w:type="pct"/>
          </w:tcPr>
          <w:p w:rsidR="00EE4290" w:rsidRPr="00003B04" w:rsidRDefault="00EE4290" w:rsidP="00EE4290">
            <w:pPr>
              <w:jc w:val="both"/>
              <w:rPr>
                <w:sz w:val="20"/>
                <w:lang w:val="fr-CA"/>
              </w:rPr>
            </w:pPr>
            <w:r w:rsidRPr="00003B04">
              <w:rPr>
                <w:sz w:val="20"/>
                <w:lang w:val="fr-CA"/>
              </w:rPr>
              <w:t>Demande en irrecevabilité et en rejet accueillie</w:t>
            </w:r>
          </w:p>
          <w:p w:rsidR="00EE4290" w:rsidRPr="00003B04" w:rsidRDefault="00EE4290" w:rsidP="00EE4290">
            <w:pPr>
              <w:jc w:val="both"/>
              <w:rPr>
                <w:sz w:val="20"/>
                <w:lang w:val="fr-CA"/>
              </w:rPr>
            </w:pPr>
          </w:p>
        </w:tc>
      </w:tr>
      <w:tr w:rsidR="00EE4290" w:rsidRPr="00003B04" w:rsidTr="00EE4290">
        <w:tc>
          <w:tcPr>
            <w:tcW w:w="2427" w:type="pct"/>
            <w:gridSpan w:val="2"/>
          </w:tcPr>
          <w:p w:rsidR="00EE4290" w:rsidRPr="00003B04" w:rsidRDefault="00EE4290" w:rsidP="00EE4290">
            <w:pPr>
              <w:jc w:val="both"/>
              <w:rPr>
                <w:sz w:val="20"/>
                <w:lang w:val="fr-CA"/>
              </w:rPr>
            </w:pPr>
            <w:r w:rsidRPr="00003B04">
              <w:rPr>
                <w:sz w:val="20"/>
                <w:lang w:val="fr-CA"/>
              </w:rPr>
              <w:t>Le 29 août 2016</w:t>
            </w:r>
          </w:p>
          <w:p w:rsidR="00EE4290" w:rsidRPr="00003B04" w:rsidRDefault="00EE4290" w:rsidP="00EE4290">
            <w:pPr>
              <w:jc w:val="both"/>
              <w:rPr>
                <w:sz w:val="20"/>
                <w:lang w:val="fr-CA"/>
              </w:rPr>
            </w:pPr>
            <w:r w:rsidRPr="00003B04">
              <w:rPr>
                <w:sz w:val="20"/>
                <w:lang w:val="fr-CA"/>
              </w:rPr>
              <w:t>Cour d’appel du Québec (Montréal)</w:t>
            </w:r>
          </w:p>
          <w:p w:rsidR="00EE4290" w:rsidRPr="00003B04" w:rsidRDefault="00EE4290" w:rsidP="00EE4290">
            <w:pPr>
              <w:jc w:val="both"/>
              <w:rPr>
                <w:sz w:val="20"/>
                <w:lang w:val="fr-CA"/>
              </w:rPr>
            </w:pPr>
            <w:r w:rsidRPr="00003B04">
              <w:rPr>
                <w:sz w:val="20"/>
                <w:lang w:val="fr-CA"/>
              </w:rPr>
              <w:t xml:space="preserve">(Les juges Morissette, Gagnon et </w:t>
            </w:r>
            <w:proofErr w:type="spellStart"/>
            <w:r w:rsidRPr="00003B04">
              <w:rPr>
                <w:sz w:val="20"/>
                <w:lang w:val="fr-CA"/>
              </w:rPr>
              <w:t>Hogue</w:t>
            </w:r>
            <w:proofErr w:type="spellEnd"/>
            <w:r w:rsidRPr="00003B04">
              <w:rPr>
                <w:sz w:val="20"/>
                <w:lang w:val="fr-CA"/>
              </w:rPr>
              <w:t>)</w:t>
            </w:r>
          </w:p>
          <w:p w:rsidR="00EE4290" w:rsidRPr="00003B04" w:rsidRDefault="00EE4290" w:rsidP="00EE4290">
            <w:pPr>
              <w:jc w:val="both"/>
              <w:rPr>
                <w:sz w:val="20"/>
              </w:rPr>
            </w:pPr>
            <w:r w:rsidRPr="00003B04">
              <w:rPr>
                <w:sz w:val="20"/>
              </w:rPr>
              <w:t>2016 QCCA 1409</w:t>
            </w:r>
          </w:p>
          <w:p w:rsidR="00EE4290" w:rsidRPr="00003B04" w:rsidRDefault="00EE4290" w:rsidP="00EE4290">
            <w:pPr>
              <w:jc w:val="both"/>
              <w:rPr>
                <w:sz w:val="20"/>
              </w:rPr>
            </w:pPr>
          </w:p>
        </w:tc>
        <w:tc>
          <w:tcPr>
            <w:tcW w:w="243" w:type="pct"/>
          </w:tcPr>
          <w:p w:rsidR="00EE4290" w:rsidRPr="00003B04" w:rsidRDefault="00EE4290" w:rsidP="00EE4290">
            <w:pPr>
              <w:jc w:val="both"/>
              <w:rPr>
                <w:sz w:val="20"/>
              </w:rPr>
            </w:pPr>
          </w:p>
        </w:tc>
        <w:tc>
          <w:tcPr>
            <w:tcW w:w="2330" w:type="pct"/>
          </w:tcPr>
          <w:p w:rsidR="00EE4290" w:rsidRPr="00003B04" w:rsidRDefault="00EE4290" w:rsidP="00EE4290">
            <w:pPr>
              <w:jc w:val="both"/>
              <w:rPr>
                <w:sz w:val="20"/>
              </w:rPr>
            </w:pPr>
            <w:proofErr w:type="spellStart"/>
            <w:r w:rsidRPr="00003B04">
              <w:rPr>
                <w:sz w:val="20"/>
              </w:rPr>
              <w:t>Requête</w:t>
            </w:r>
            <w:proofErr w:type="spellEnd"/>
            <w:r w:rsidRPr="00003B04">
              <w:rPr>
                <w:sz w:val="20"/>
              </w:rPr>
              <w:t xml:space="preserve"> </w:t>
            </w:r>
            <w:proofErr w:type="spellStart"/>
            <w:r w:rsidRPr="00003B04">
              <w:rPr>
                <w:sz w:val="20"/>
              </w:rPr>
              <w:t>en</w:t>
            </w:r>
            <w:proofErr w:type="spellEnd"/>
            <w:r w:rsidRPr="00003B04">
              <w:rPr>
                <w:sz w:val="20"/>
              </w:rPr>
              <w:t xml:space="preserve"> </w:t>
            </w:r>
            <w:proofErr w:type="spellStart"/>
            <w:r w:rsidRPr="00003B04">
              <w:rPr>
                <w:sz w:val="20"/>
              </w:rPr>
              <w:t>rejet</w:t>
            </w:r>
            <w:proofErr w:type="spellEnd"/>
            <w:r w:rsidRPr="00003B04">
              <w:rPr>
                <w:sz w:val="20"/>
              </w:rPr>
              <w:t xml:space="preserve"> </w:t>
            </w:r>
            <w:proofErr w:type="spellStart"/>
            <w:r w:rsidRPr="00003B04">
              <w:rPr>
                <w:sz w:val="20"/>
              </w:rPr>
              <w:t>d’appel</w:t>
            </w:r>
            <w:proofErr w:type="spellEnd"/>
            <w:r w:rsidRPr="00003B04">
              <w:rPr>
                <w:sz w:val="20"/>
              </w:rPr>
              <w:t xml:space="preserve"> </w:t>
            </w:r>
            <w:proofErr w:type="spellStart"/>
            <w:r w:rsidRPr="00003B04">
              <w:rPr>
                <w:sz w:val="20"/>
              </w:rPr>
              <w:t>accueillie</w:t>
            </w:r>
            <w:proofErr w:type="spellEnd"/>
          </w:p>
          <w:p w:rsidR="00EE4290" w:rsidRPr="00003B04" w:rsidRDefault="00EE4290" w:rsidP="00EE4290">
            <w:pPr>
              <w:jc w:val="both"/>
              <w:rPr>
                <w:sz w:val="20"/>
              </w:rPr>
            </w:pPr>
          </w:p>
        </w:tc>
      </w:tr>
      <w:tr w:rsidR="00EE4290" w:rsidRPr="00003B04" w:rsidTr="00EE4290">
        <w:tc>
          <w:tcPr>
            <w:tcW w:w="2427" w:type="pct"/>
            <w:gridSpan w:val="2"/>
          </w:tcPr>
          <w:p w:rsidR="00EE4290" w:rsidRPr="00003B04" w:rsidRDefault="00EE4290" w:rsidP="00EE4290">
            <w:pPr>
              <w:jc w:val="both"/>
              <w:rPr>
                <w:sz w:val="20"/>
                <w:lang w:val="fr-CA"/>
              </w:rPr>
            </w:pPr>
            <w:r w:rsidRPr="00003B04">
              <w:rPr>
                <w:sz w:val="20"/>
                <w:lang w:val="fr-CA"/>
              </w:rPr>
              <w:t>Le 25 octobre 2016</w:t>
            </w:r>
          </w:p>
          <w:p w:rsidR="00EE4290" w:rsidRPr="00003B04" w:rsidRDefault="00EE4290" w:rsidP="00EE4290">
            <w:pPr>
              <w:jc w:val="both"/>
              <w:rPr>
                <w:sz w:val="20"/>
                <w:lang w:val="fr-CA"/>
              </w:rPr>
            </w:pPr>
            <w:r w:rsidRPr="00003B04">
              <w:rPr>
                <w:sz w:val="20"/>
                <w:lang w:val="fr-CA"/>
              </w:rPr>
              <w:t>Cour suprême du Canada</w:t>
            </w:r>
          </w:p>
        </w:tc>
        <w:tc>
          <w:tcPr>
            <w:tcW w:w="243" w:type="pct"/>
          </w:tcPr>
          <w:p w:rsidR="00EE4290" w:rsidRPr="00003B04" w:rsidRDefault="00EE4290" w:rsidP="00EE4290">
            <w:pPr>
              <w:jc w:val="both"/>
              <w:rPr>
                <w:sz w:val="20"/>
                <w:lang w:val="fr-CA"/>
              </w:rPr>
            </w:pPr>
          </w:p>
        </w:tc>
        <w:tc>
          <w:tcPr>
            <w:tcW w:w="2330" w:type="pct"/>
          </w:tcPr>
          <w:p w:rsidR="00EE4290" w:rsidRPr="00003B04" w:rsidRDefault="00EE4290" w:rsidP="00EE4290">
            <w:pPr>
              <w:jc w:val="both"/>
              <w:rPr>
                <w:sz w:val="20"/>
              </w:rPr>
            </w:pPr>
            <w:proofErr w:type="spellStart"/>
            <w:r w:rsidRPr="00003B04">
              <w:rPr>
                <w:sz w:val="20"/>
              </w:rPr>
              <w:t>Demande</w:t>
            </w:r>
            <w:proofErr w:type="spellEnd"/>
            <w:r w:rsidRPr="00003B04">
              <w:rPr>
                <w:sz w:val="20"/>
              </w:rPr>
              <w:t xml:space="preserve"> </w:t>
            </w:r>
            <w:proofErr w:type="spellStart"/>
            <w:r w:rsidRPr="00003B04">
              <w:rPr>
                <w:sz w:val="20"/>
              </w:rPr>
              <w:t>d’autorisation</w:t>
            </w:r>
            <w:proofErr w:type="spellEnd"/>
            <w:r w:rsidRPr="00003B04">
              <w:rPr>
                <w:sz w:val="20"/>
              </w:rPr>
              <w:t xml:space="preserve"> </w:t>
            </w:r>
            <w:proofErr w:type="spellStart"/>
            <w:r w:rsidRPr="00003B04">
              <w:rPr>
                <w:sz w:val="20"/>
              </w:rPr>
              <w:t>d’appel</w:t>
            </w:r>
            <w:proofErr w:type="spellEnd"/>
            <w:r w:rsidRPr="00003B04">
              <w:rPr>
                <w:sz w:val="20"/>
              </w:rPr>
              <w:t xml:space="preserve"> </w:t>
            </w:r>
            <w:proofErr w:type="spellStart"/>
            <w:r w:rsidRPr="00003B04">
              <w:rPr>
                <w:sz w:val="20"/>
              </w:rPr>
              <w:t>déposée</w:t>
            </w:r>
            <w:proofErr w:type="spellEnd"/>
          </w:p>
        </w:tc>
      </w:tr>
    </w:tbl>
    <w:p w:rsidR="00EE4290" w:rsidRPr="00003B04" w:rsidRDefault="00604445" w:rsidP="00EE4290">
      <w:pPr>
        <w:jc w:val="both"/>
        <w:rPr>
          <w:sz w:val="20"/>
        </w:rPr>
      </w:pPr>
      <w:r>
        <w:rPr>
          <w:sz w:val="20"/>
          <w:szCs w:val="20"/>
        </w:rPr>
        <w:pict>
          <v:rect id="_x0000_i1056" style="width:2in;height:1pt" o:hrpct="0" o:hralign="center" o:hrstd="t" o:hrnoshade="t" o:hr="t" fillcolor="black [3213]" stroked="f"/>
        </w:pict>
      </w:r>
    </w:p>
    <w:p w:rsidR="00EE4290" w:rsidRPr="00003B04" w:rsidRDefault="00EE4290" w:rsidP="00EE4290">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E4290" w:rsidRPr="00003B04" w:rsidTr="00EE4290">
        <w:tc>
          <w:tcPr>
            <w:tcW w:w="543" w:type="pct"/>
          </w:tcPr>
          <w:p w:rsidR="00EE4290" w:rsidRPr="00003B04" w:rsidRDefault="00EE4290" w:rsidP="00EE4290">
            <w:pPr>
              <w:jc w:val="both"/>
              <w:rPr>
                <w:sz w:val="20"/>
              </w:rPr>
            </w:pPr>
            <w:r w:rsidRPr="00003B04">
              <w:rPr>
                <w:rStyle w:val="SCCFileNumberChar"/>
                <w:sz w:val="20"/>
                <w:szCs w:val="20"/>
              </w:rPr>
              <w:t>37311</w:t>
            </w:r>
          </w:p>
        </w:tc>
        <w:tc>
          <w:tcPr>
            <w:tcW w:w="4457" w:type="pct"/>
            <w:gridSpan w:val="3"/>
          </w:tcPr>
          <w:p w:rsidR="00EE4290" w:rsidRPr="00003B04" w:rsidRDefault="00EE4290" w:rsidP="00767A6B">
            <w:pPr>
              <w:pStyle w:val="SCCLsocParty"/>
              <w:jc w:val="both"/>
              <w:rPr>
                <w:sz w:val="20"/>
                <w:lang w:val="en-US"/>
              </w:rPr>
            </w:pPr>
            <w:r w:rsidRPr="00003B04">
              <w:rPr>
                <w:b/>
                <w:sz w:val="20"/>
                <w:szCs w:val="20"/>
                <w:lang w:val="en-US"/>
              </w:rPr>
              <w:t>Colton Barry Ferguson v. Her Majesty the Queen</w:t>
            </w:r>
            <w:r w:rsidR="00767A6B" w:rsidRPr="00003B04">
              <w:rPr>
                <w:b/>
                <w:sz w:val="20"/>
                <w:szCs w:val="20"/>
                <w:lang w:val="en-US"/>
              </w:rPr>
              <w:t xml:space="preserve"> </w:t>
            </w:r>
            <w:r w:rsidRPr="00003B04">
              <w:rPr>
                <w:sz w:val="20"/>
                <w:lang w:val="en-US"/>
              </w:rPr>
              <w:t>(Alta.) (Criminal) (By Leave)</w:t>
            </w:r>
          </w:p>
          <w:p w:rsidR="00767A6B" w:rsidRPr="00003B04" w:rsidRDefault="00767A6B" w:rsidP="00767A6B">
            <w:pPr>
              <w:rPr>
                <w:lang w:val="en-US"/>
              </w:rPr>
            </w:pPr>
          </w:p>
        </w:tc>
      </w:tr>
      <w:tr w:rsidR="00D310D9" w:rsidRPr="00003B04" w:rsidTr="00EE4290">
        <w:tc>
          <w:tcPr>
            <w:tcW w:w="543" w:type="pct"/>
          </w:tcPr>
          <w:p w:rsidR="00D310D9" w:rsidRPr="00003B04" w:rsidRDefault="00D310D9" w:rsidP="00EE4290">
            <w:pPr>
              <w:jc w:val="both"/>
              <w:rPr>
                <w:rStyle w:val="SCCFileNumberChar"/>
                <w:sz w:val="20"/>
                <w:szCs w:val="20"/>
              </w:rPr>
            </w:pPr>
            <w:r w:rsidRPr="00003B04">
              <w:rPr>
                <w:rStyle w:val="SCCFileNumberChar"/>
                <w:sz w:val="20"/>
                <w:szCs w:val="20"/>
              </w:rPr>
              <w:t>Coram:</w:t>
            </w:r>
          </w:p>
        </w:tc>
        <w:tc>
          <w:tcPr>
            <w:tcW w:w="4457" w:type="pct"/>
            <w:gridSpan w:val="3"/>
          </w:tcPr>
          <w:p w:rsidR="00D310D9" w:rsidRPr="00003B04" w:rsidRDefault="000E7F29" w:rsidP="00EE4290">
            <w:pPr>
              <w:pStyle w:val="SCCLsocParty"/>
              <w:jc w:val="both"/>
              <w:rPr>
                <w:sz w:val="20"/>
                <w:szCs w:val="20"/>
                <w:lang w:val="en-US"/>
              </w:rPr>
            </w:pPr>
            <w:proofErr w:type="spellStart"/>
            <w:r w:rsidRPr="00003B04">
              <w:rPr>
                <w:sz w:val="20"/>
                <w:szCs w:val="20"/>
                <w:lang w:val="en-US"/>
              </w:rPr>
              <w:t>McLachlin</w:t>
            </w:r>
            <w:proofErr w:type="spellEnd"/>
            <w:r w:rsidRPr="00003B04">
              <w:rPr>
                <w:sz w:val="20"/>
                <w:szCs w:val="20"/>
                <w:lang w:val="en-US"/>
              </w:rPr>
              <w:t xml:space="preserve"> C.J. and </w:t>
            </w:r>
            <w:proofErr w:type="spellStart"/>
            <w:r w:rsidRPr="00003B04">
              <w:rPr>
                <w:sz w:val="20"/>
                <w:szCs w:val="20"/>
                <w:lang w:val="en-US"/>
              </w:rPr>
              <w:t>Abella</w:t>
            </w:r>
            <w:proofErr w:type="spellEnd"/>
            <w:r w:rsidRPr="00003B04">
              <w:rPr>
                <w:sz w:val="20"/>
                <w:szCs w:val="20"/>
                <w:lang w:val="en-US"/>
              </w:rPr>
              <w:t xml:space="preserve">, </w:t>
            </w:r>
            <w:proofErr w:type="spellStart"/>
            <w:r w:rsidRPr="00003B04">
              <w:rPr>
                <w:sz w:val="20"/>
                <w:szCs w:val="20"/>
                <w:lang w:val="en-US"/>
              </w:rPr>
              <w:t>Moldaver</w:t>
            </w:r>
            <w:proofErr w:type="spellEnd"/>
            <w:r w:rsidRPr="00003B04">
              <w:rPr>
                <w:sz w:val="20"/>
                <w:szCs w:val="20"/>
                <w:lang w:val="en-US"/>
              </w:rPr>
              <w:t xml:space="preserve">, </w:t>
            </w:r>
            <w:proofErr w:type="spellStart"/>
            <w:r w:rsidRPr="00003B04">
              <w:rPr>
                <w:sz w:val="20"/>
                <w:szCs w:val="20"/>
                <w:lang w:val="en-US"/>
              </w:rPr>
              <w:t>Karakatsanis</w:t>
            </w:r>
            <w:proofErr w:type="spellEnd"/>
            <w:r w:rsidRPr="00003B04">
              <w:rPr>
                <w:sz w:val="20"/>
                <w:szCs w:val="20"/>
                <w:lang w:val="en-US"/>
              </w:rPr>
              <w:t xml:space="preserve">, Wagner, </w:t>
            </w:r>
            <w:proofErr w:type="spellStart"/>
            <w:r w:rsidRPr="00003B04">
              <w:rPr>
                <w:sz w:val="20"/>
                <w:szCs w:val="20"/>
                <w:lang w:val="en-US"/>
              </w:rPr>
              <w:t>Gascon</w:t>
            </w:r>
            <w:proofErr w:type="spellEnd"/>
            <w:r w:rsidRPr="00003B04">
              <w:rPr>
                <w:sz w:val="20"/>
                <w:szCs w:val="20"/>
                <w:lang w:val="en-US"/>
              </w:rPr>
              <w:t xml:space="preserve">, </w:t>
            </w:r>
            <w:proofErr w:type="spellStart"/>
            <w:r w:rsidRPr="00003B04">
              <w:rPr>
                <w:sz w:val="20"/>
                <w:szCs w:val="20"/>
                <w:lang w:val="en-US"/>
              </w:rPr>
              <w:t>Côté</w:t>
            </w:r>
            <w:proofErr w:type="spellEnd"/>
            <w:r w:rsidRPr="00003B04">
              <w:rPr>
                <w:sz w:val="20"/>
                <w:szCs w:val="20"/>
                <w:lang w:val="en-US"/>
              </w:rPr>
              <w:t>, Brown and Rowe JJ.</w:t>
            </w:r>
          </w:p>
          <w:p w:rsidR="000E7F29" w:rsidRPr="00003B04" w:rsidRDefault="000E7F29" w:rsidP="000E7F29">
            <w:pPr>
              <w:rPr>
                <w:lang w:val="en-US"/>
              </w:rPr>
            </w:pPr>
          </w:p>
        </w:tc>
      </w:tr>
      <w:tr w:rsidR="00D310D9" w:rsidRPr="00003B04" w:rsidTr="00D310D9">
        <w:tc>
          <w:tcPr>
            <w:tcW w:w="5000" w:type="pct"/>
            <w:gridSpan w:val="4"/>
          </w:tcPr>
          <w:p w:rsidR="00D310D9" w:rsidRPr="00003B04" w:rsidRDefault="000E7F29" w:rsidP="00EE4290">
            <w:pPr>
              <w:pStyle w:val="SCCLsocParty"/>
              <w:jc w:val="both"/>
              <w:rPr>
                <w:sz w:val="20"/>
                <w:szCs w:val="20"/>
                <w:lang w:val="en-US"/>
              </w:rPr>
            </w:pPr>
            <w:r w:rsidRPr="00003B04">
              <w:rPr>
                <w:sz w:val="20"/>
                <w:szCs w:val="20"/>
                <w:lang w:val="en-US"/>
              </w:rPr>
              <w:t xml:space="preserve">The motion for an extension of time to serve and file the application for leave to appeal is granted. The motion to adduce fresh evidence is dismissed. The application for leave to appeal from the judgments of the Court of Appeal of Alberta (Edmonton), Number 1503-0026-A, </w:t>
            </w:r>
            <w:proofErr w:type="gramStart"/>
            <w:r w:rsidRPr="00003B04">
              <w:rPr>
                <w:sz w:val="20"/>
                <w:szCs w:val="20"/>
                <w:lang w:val="en-US"/>
              </w:rPr>
              <w:t>2015</w:t>
            </w:r>
            <w:proofErr w:type="gramEnd"/>
            <w:r w:rsidRPr="00003B04">
              <w:rPr>
                <w:sz w:val="20"/>
                <w:szCs w:val="20"/>
                <w:lang w:val="en-US"/>
              </w:rPr>
              <w:t xml:space="preserve"> ABCA 310, dated October 2, 2015, and 2016 ABCA 244, dated August 18, 2016, is dismissed.</w:t>
            </w:r>
          </w:p>
          <w:p w:rsidR="000E7F29" w:rsidRPr="00003B04" w:rsidRDefault="000E7F29" w:rsidP="000E7F29">
            <w:pPr>
              <w:rPr>
                <w:lang w:val="en-US"/>
              </w:rPr>
            </w:pPr>
          </w:p>
        </w:tc>
      </w:tr>
      <w:tr w:rsidR="00EE4290" w:rsidRPr="00003B04" w:rsidTr="00EE4290">
        <w:tc>
          <w:tcPr>
            <w:tcW w:w="5000" w:type="pct"/>
            <w:gridSpan w:val="4"/>
          </w:tcPr>
          <w:p w:rsidR="00EE4290" w:rsidRPr="00003B04" w:rsidRDefault="00EE4290" w:rsidP="00EE4290">
            <w:pPr>
              <w:jc w:val="both"/>
              <w:rPr>
                <w:sz w:val="20"/>
              </w:rPr>
            </w:pPr>
            <w:r w:rsidRPr="00003B04">
              <w:rPr>
                <w:sz w:val="20"/>
              </w:rPr>
              <w:t>Criminal Law – Appeal – Leave to Appeal – Whether applicant raises a legal issue – Whether issue is of public importance.</w:t>
            </w:r>
          </w:p>
        </w:tc>
      </w:tr>
      <w:tr w:rsidR="00EE4290" w:rsidRPr="00003B04" w:rsidTr="00EE4290">
        <w:tc>
          <w:tcPr>
            <w:tcW w:w="5000" w:type="pct"/>
            <w:gridSpan w:val="4"/>
          </w:tcPr>
          <w:p w:rsidR="00EE4290" w:rsidRPr="00003B04" w:rsidRDefault="00EE4290" w:rsidP="00EE4290">
            <w:pPr>
              <w:jc w:val="both"/>
              <w:rPr>
                <w:sz w:val="20"/>
              </w:rPr>
            </w:pPr>
          </w:p>
        </w:tc>
      </w:tr>
      <w:tr w:rsidR="00EE4290" w:rsidRPr="00003B04" w:rsidTr="00EE4290">
        <w:tc>
          <w:tcPr>
            <w:tcW w:w="5000" w:type="pct"/>
            <w:gridSpan w:val="4"/>
          </w:tcPr>
          <w:p w:rsidR="00EE4290" w:rsidRPr="00003B04" w:rsidRDefault="00EE4290" w:rsidP="00EE4290">
            <w:pPr>
              <w:jc w:val="both"/>
              <w:rPr>
                <w:sz w:val="20"/>
              </w:rPr>
            </w:pPr>
            <w:r w:rsidRPr="00003B04">
              <w:rPr>
                <w:sz w:val="20"/>
              </w:rPr>
              <w:t>Mr. Ferguson was convicted of second degree murder for the fatal shooting of a woman in a transit stop. The murder was recorded by a surveillance camera. He was sentenced to life imprisonment without eligibility for parole for 15 years. He filed a notice of appeal against his conviction and sentence, 2 years and 9 months after sentencing. He applied for an extension of time to file his appeal. Veldhuis J.A. dismissed the application for an extension of time. Mr. Ferguson applied to appeal to a panel of the Court of Appeal. Veldhuis J.A. dismissed the motion and affirmed the denial of an extension of time.</w:t>
            </w:r>
          </w:p>
          <w:p w:rsidR="00EE4290" w:rsidRPr="00003B04" w:rsidRDefault="00EE4290" w:rsidP="00EE4290">
            <w:pPr>
              <w:jc w:val="both"/>
              <w:rPr>
                <w:sz w:val="20"/>
              </w:rPr>
            </w:pPr>
          </w:p>
        </w:tc>
      </w:tr>
      <w:tr w:rsidR="00EE4290" w:rsidRPr="00003B04" w:rsidTr="00EE4290">
        <w:trPr>
          <w:trHeight w:val="783"/>
        </w:trPr>
        <w:tc>
          <w:tcPr>
            <w:tcW w:w="2427" w:type="pct"/>
            <w:gridSpan w:val="2"/>
          </w:tcPr>
          <w:p w:rsidR="00EE4290" w:rsidRPr="00003B04" w:rsidRDefault="00EE4290" w:rsidP="00EE4290">
            <w:pPr>
              <w:jc w:val="both"/>
              <w:rPr>
                <w:sz w:val="20"/>
              </w:rPr>
            </w:pPr>
            <w:r w:rsidRPr="00003B04">
              <w:rPr>
                <w:sz w:val="20"/>
              </w:rPr>
              <w:t>March 8, 2012</w:t>
            </w:r>
          </w:p>
          <w:p w:rsidR="00EE4290" w:rsidRPr="00003B04" w:rsidRDefault="00EE4290" w:rsidP="00EE4290">
            <w:pPr>
              <w:jc w:val="both"/>
              <w:rPr>
                <w:sz w:val="20"/>
              </w:rPr>
            </w:pPr>
            <w:r w:rsidRPr="00003B04">
              <w:rPr>
                <w:sz w:val="20"/>
              </w:rPr>
              <w:t>Supreme Court of Alberta</w:t>
            </w:r>
          </w:p>
          <w:p w:rsidR="00EE4290" w:rsidRPr="00003B04" w:rsidRDefault="00EE4290" w:rsidP="00EE4290">
            <w:pPr>
              <w:jc w:val="both"/>
              <w:rPr>
                <w:sz w:val="20"/>
              </w:rPr>
            </w:pPr>
            <w:r w:rsidRPr="00003B04">
              <w:rPr>
                <w:sz w:val="20"/>
              </w:rPr>
              <w:t>(</w:t>
            </w:r>
            <w:proofErr w:type="spellStart"/>
            <w:r w:rsidRPr="00003B04">
              <w:rPr>
                <w:sz w:val="20"/>
              </w:rPr>
              <w:t>Sanderman</w:t>
            </w:r>
            <w:proofErr w:type="spellEnd"/>
            <w:r w:rsidRPr="00003B04">
              <w:rPr>
                <w:sz w:val="20"/>
              </w:rPr>
              <w:t xml:space="preserve"> J.)(Unreported)</w:t>
            </w:r>
          </w:p>
          <w:p w:rsidR="00EE4290" w:rsidRPr="00003B04" w:rsidRDefault="00EE4290" w:rsidP="00EE4290">
            <w:pPr>
              <w:jc w:val="both"/>
              <w:rPr>
                <w:sz w:val="20"/>
              </w:rPr>
            </w:pPr>
          </w:p>
        </w:tc>
        <w:tc>
          <w:tcPr>
            <w:tcW w:w="243" w:type="pct"/>
          </w:tcPr>
          <w:p w:rsidR="00EE4290" w:rsidRPr="00003B04" w:rsidRDefault="00EE4290" w:rsidP="00EE4290">
            <w:pPr>
              <w:jc w:val="both"/>
              <w:rPr>
                <w:sz w:val="20"/>
              </w:rPr>
            </w:pPr>
          </w:p>
        </w:tc>
        <w:tc>
          <w:tcPr>
            <w:tcW w:w="2330" w:type="pct"/>
          </w:tcPr>
          <w:p w:rsidR="00EE4290" w:rsidRPr="00003B04" w:rsidRDefault="00EE4290" w:rsidP="00EE4290">
            <w:pPr>
              <w:jc w:val="both"/>
              <w:rPr>
                <w:sz w:val="20"/>
              </w:rPr>
            </w:pPr>
            <w:r w:rsidRPr="00003B04">
              <w:rPr>
                <w:sz w:val="20"/>
              </w:rPr>
              <w:t xml:space="preserve">Conviction of second degree murder </w:t>
            </w:r>
          </w:p>
        </w:tc>
      </w:tr>
      <w:tr w:rsidR="00EE4290" w:rsidRPr="00003B04" w:rsidTr="00EE4290">
        <w:tc>
          <w:tcPr>
            <w:tcW w:w="2427" w:type="pct"/>
            <w:gridSpan w:val="2"/>
          </w:tcPr>
          <w:p w:rsidR="00EE4290" w:rsidRPr="00003B04" w:rsidRDefault="00EE4290" w:rsidP="00EE4290">
            <w:pPr>
              <w:jc w:val="both"/>
              <w:rPr>
                <w:sz w:val="20"/>
              </w:rPr>
            </w:pPr>
            <w:r w:rsidRPr="00003B04">
              <w:rPr>
                <w:sz w:val="20"/>
              </w:rPr>
              <w:t>March 16, 2012</w:t>
            </w:r>
          </w:p>
          <w:p w:rsidR="00EE4290" w:rsidRPr="00003B04" w:rsidRDefault="00EE4290" w:rsidP="00EE4290">
            <w:pPr>
              <w:jc w:val="both"/>
              <w:rPr>
                <w:sz w:val="20"/>
              </w:rPr>
            </w:pPr>
            <w:r w:rsidRPr="00003B04">
              <w:rPr>
                <w:sz w:val="20"/>
              </w:rPr>
              <w:t>Supreme Court of Alberta</w:t>
            </w:r>
          </w:p>
          <w:p w:rsidR="00EE4290" w:rsidRPr="00003B04" w:rsidRDefault="00EE4290" w:rsidP="00EE4290">
            <w:pPr>
              <w:jc w:val="both"/>
              <w:rPr>
                <w:sz w:val="20"/>
              </w:rPr>
            </w:pPr>
            <w:r w:rsidRPr="00003B04">
              <w:rPr>
                <w:sz w:val="20"/>
              </w:rPr>
              <w:t>(</w:t>
            </w:r>
            <w:proofErr w:type="spellStart"/>
            <w:r w:rsidRPr="00003B04">
              <w:rPr>
                <w:sz w:val="20"/>
              </w:rPr>
              <w:t>Sanderman</w:t>
            </w:r>
            <w:proofErr w:type="spellEnd"/>
            <w:r w:rsidRPr="00003B04">
              <w:rPr>
                <w:sz w:val="20"/>
              </w:rPr>
              <w:t xml:space="preserve"> J.)(Unreported)</w:t>
            </w:r>
          </w:p>
          <w:p w:rsidR="00EE4290" w:rsidRPr="00003B04" w:rsidRDefault="00EE4290" w:rsidP="00EE4290">
            <w:pPr>
              <w:jc w:val="both"/>
              <w:rPr>
                <w:sz w:val="20"/>
              </w:rPr>
            </w:pPr>
          </w:p>
        </w:tc>
        <w:tc>
          <w:tcPr>
            <w:tcW w:w="243" w:type="pct"/>
          </w:tcPr>
          <w:p w:rsidR="00EE4290" w:rsidRPr="00003B04" w:rsidRDefault="00EE4290" w:rsidP="00EE4290">
            <w:pPr>
              <w:jc w:val="both"/>
              <w:rPr>
                <w:sz w:val="20"/>
              </w:rPr>
            </w:pPr>
          </w:p>
        </w:tc>
        <w:tc>
          <w:tcPr>
            <w:tcW w:w="2330" w:type="pct"/>
          </w:tcPr>
          <w:p w:rsidR="00EE4290" w:rsidRPr="00003B04" w:rsidRDefault="00EE4290" w:rsidP="00EE4290">
            <w:pPr>
              <w:jc w:val="both"/>
              <w:rPr>
                <w:sz w:val="20"/>
              </w:rPr>
            </w:pPr>
            <w:r w:rsidRPr="00003B04">
              <w:rPr>
                <w:sz w:val="20"/>
              </w:rPr>
              <w:t xml:space="preserve">Sentence to life imprisonment without eligibility for parole for 15 years </w:t>
            </w:r>
          </w:p>
        </w:tc>
      </w:tr>
    </w:tbl>
    <w:p w:rsidR="008F5EB8" w:rsidRPr="00003B04" w:rsidRDefault="008F5EB8">
      <w:r w:rsidRPr="00003B04">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E4290" w:rsidRPr="00003B04" w:rsidTr="00EE4290">
        <w:tc>
          <w:tcPr>
            <w:tcW w:w="2427" w:type="pct"/>
          </w:tcPr>
          <w:p w:rsidR="00EE4290" w:rsidRPr="00003B04" w:rsidRDefault="00EE4290" w:rsidP="00EE4290">
            <w:pPr>
              <w:jc w:val="both"/>
              <w:rPr>
                <w:sz w:val="20"/>
              </w:rPr>
            </w:pPr>
            <w:r w:rsidRPr="00003B04">
              <w:rPr>
                <w:sz w:val="20"/>
              </w:rPr>
              <w:lastRenderedPageBreak/>
              <w:t>October 2, 2015</w:t>
            </w:r>
          </w:p>
          <w:p w:rsidR="00EE4290" w:rsidRPr="00003B04" w:rsidRDefault="00EE4290" w:rsidP="00EE4290">
            <w:pPr>
              <w:jc w:val="both"/>
              <w:rPr>
                <w:sz w:val="20"/>
              </w:rPr>
            </w:pPr>
            <w:r w:rsidRPr="00003B04">
              <w:rPr>
                <w:sz w:val="20"/>
              </w:rPr>
              <w:t>Court of Appeal of Alberta (Edmonton)</w:t>
            </w:r>
          </w:p>
          <w:p w:rsidR="00EE4290" w:rsidRPr="00003B04" w:rsidRDefault="00EE4290" w:rsidP="00EE4290">
            <w:pPr>
              <w:jc w:val="both"/>
              <w:rPr>
                <w:sz w:val="20"/>
              </w:rPr>
            </w:pPr>
            <w:r w:rsidRPr="00003B04">
              <w:rPr>
                <w:sz w:val="20"/>
              </w:rPr>
              <w:t>(Veldhuis J.A.)</w:t>
            </w:r>
          </w:p>
          <w:p w:rsidR="00EE4290" w:rsidRPr="00003B04" w:rsidRDefault="00EE4290" w:rsidP="00EE4290">
            <w:pPr>
              <w:jc w:val="both"/>
              <w:rPr>
                <w:rStyle w:val="Hyperlink"/>
                <w:sz w:val="20"/>
              </w:rPr>
            </w:pPr>
            <w:r w:rsidRPr="00003B04">
              <w:rPr>
                <w:sz w:val="20"/>
              </w:rPr>
              <w:t xml:space="preserve">1503-0026-A; </w:t>
            </w:r>
            <w:hyperlink r:id="rId41" w:history="1">
              <w:r w:rsidRPr="00003B04">
                <w:rPr>
                  <w:rStyle w:val="Hyperlink"/>
                  <w:sz w:val="20"/>
                </w:rPr>
                <w:t>2015 ABCA 310</w:t>
              </w:r>
            </w:hyperlink>
          </w:p>
          <w:p w:rsidR="00EE4290" w:rsidRPr="00003B04" w:rsidRDefault="00EE4290" w:rsidP="00EE4290">
            <w:pPr>
              <w:jc w:val="both"/>
              <w:rPr>
                <w:sz w:val="20"/>
              </w:rPr>
            </w:pPr>
          </w:p>
        </w:tc>
        <w:tc>
          <w:tcPr>
            <w:tcW w:w="243" w:type="pct"/>
          </w:tcPr>
          <w:p w:rsidR="00EE4290" w:rsidRPr="00003B04" w:rsidRDefault="00EE4290" w:rsidP="00EE4290">
            <w:pPr>
              <w:jc w:val="both"/>
              <w:rPr>
                <w:sz w:val="20"/>
              </w:rPr>
            </w:pPr>
          </w:p>
        </w:tc>
        <w:tc>
          <w:tcPr>
            <w:tcW w:w="2330" w:type="pct"/>
          </w:tcPr>
          <w:p w:rsidR="00EE4290" w:rsidRPr="00003B04" w:rsidRDefault="00EE4290" w:rsidP="00EE4290">
            <w:pPr>
              <w:jc w:val="both"/>
              <w:rPr>
                <w:sz w:val="20"/>
              </w:rPr>
            </w:pPr>
            <w:r w:rsidRPr="00003B04">
              <w:rPr>
                <w:sz w:val="20"/>
              </w:rPr>
              <w:t>Application for extension of time to file an  appeal dismissed</w:t>
            </w:r>
          </w:p>
        </w:tc>
      </w:tr>
      <w:tr w:rsidR="00EE4290" w:rsidRPr="00003B04" w:rsidTr="00EE4290">
        <w:tc>
          <w:tcPr>
            <w:tcW w:w="2427" w:type="pct"/>
          </w:tcPr>
          <w:p w:rsidR="00EE4290" w:rsidRPr="00003B04" w:rsidRDefault="001B621B" w:rsidP="00EE4290">
            <w:pPr>
              <w:jc w:val="both"/>
              <w:rPr>
                <w:sz w:val="20"/>
              </w:rPr>
            </w:pPr>
            <w:r w:rsidRPr="00003B04">
              <w:rPr>
                <w:sz w:val="20"/>
              </w:rPr>
              <w:t xml:space="preserve">August 18, </w:t>
            </w:r>
            <w:r w:rsidR="00EE4290" w:rsidRPr="00003B04">
              <w:rPr>
                <w:sz w:val="20"/>
              </w:rPr>
              <w:t>2016</w:t>
            </w:r>
          </w:p>
          <w:p w:rsidR="00EE4290" w:rsidRPr="00003B04" w:rsidRDefault="00EE4290" w:rsidP="00EE4290">
            <w:pPr>
              <w:jc w:val="both"/>
              <w:rPr>
                <w:sz w:val="20"/>
              </w:rPr>
            </w:pPr>
            <w:r w:rsidRPr="00003B04">
              <w:rPr>
                <w:sz w:val="20"/>
              </w:rPr>
              <w:t>Court of Appeal of Alberta (Edmonton)</w:t>
            </w:r>
          </w:p>
          <w:p w:rsidR="00EE4290" w:rsidRPr="00003B04" w:rsidRDefault="00EE4290" w:rsidP="00EE4290">
            <w:pPr>
              <w:jc w:val="both"/>
              <w:rPr>
                <w:sz w:val="20"/>
              </w:rPr>
            </w:pPr>
            <w:r w:rsidRPr="00003B04">
              <w:rPr>
                <w:sz w:val="20"/>
              </w:rPr>
              <w:t xml:space="preserve">(Veldhuis J.A.) </w:t>
            </w:r>
          </w:p>
          <w:p w:rsidR="00EE4290" w:rsidRPr="00003B04" w:rsidRDefault="00EE4290" w:rsidP="00EE4290">
            <w:pPr>
              <w:jc w:val="both"/>
              <w:rPr>
                <w:rStyle w:val="Hyperlink"/>
                <w:sz w:val="20"/>
              </w:rPr>
            </w:pPr>
            <w:r w:rsidRPr="00003B04">
              <w:rPr>
                <w:sz w:val="20"/>
              </w:rPr>
              <w:t xml:space="preserve">1503-0026-A; </w:t>
            </w:r>
            <w:hyperlink r:id="rId42" w:history="1">
              <w:r w:rsidRPr="00003B04">
                <w:rPr>
                  <w:rStyle w:val="Hyperlink"/>
                  <w:sz w:val="20"/>
                </w:rPr>
                <w:t>2016 ABCA 244</w:t>
              </w:r>
            </w:hyperlink>
          </w:p>
          <w:p w:rsidR="00EE4290" w:rsidRPr="00003B04" w:rsidRDefault="00EE4290" w:rsidP="00EE4290">
            <w:pPr>
              <w:jc w:val="both"/>
              <w:rPr>
                <w:sz w:val="20"/>
              </w:rPr>
            </w:pPr>
          </w:p>
        </w:tc>
        <w:tc>
          <w:tcPr>
            <w:tcW w:w="243" w:type="pct"/>
          </w:tcPr>
          <w:p w:rsidR="00EE4290" w:rsidRPr="00003B04" w:rsidRDefault="00EE4290" w:rsidP="00EE4290">
            <w:pPr>
              <w:jc w:val="both"/>
              <w:rPr>
                <w:sz w:val="20"/>
              </w:rPr>
            </w:pPr>
          </w:p>
        </w:tc>
        <w:tc>
          <w:tcPr>
            <w:tcW w:w="2330" w:type="pct"/>
          </w:tcPr>
          <w:p w:rsidR="00EE4290" w:rsidRPr="00003B04" w:rsidRDefault="00EE4290" w:rsidP="00EE4290">
            <w:pPr>
              <w:jc w:val="both"/>
              <w:rPr>
                <w:sz w:val="20"/>
              </w:rPr>
            </w:pPr>
            <w:r w:rsidRPr="00003B04">
              <w:rPr>
                <w:sz w:val="20"/>
              </w:rPr>
              <w:t>Application for leave to appeal to a panel of the Court of Appeal dismissed</w:t>
            </w:r>
          </w:p>
          <w:p w:rsidR="00EE4290" w:rsidRPr="00003B04" w:rsidRDefault="00EE4290" w:rsidP="00EE4290">
            <w:pPr>
              <w:jc w:val="both"/>
              <w:rPr>
                <w:sz w:val="20"/>
              </w:rPr>
            </w:pPr>
          </w:p>
        </w:tc>
      </w:tr>
      <w:tr w:rsidR="00EE4290" w:rsidRPr="00003B04" w:rsidTr="00EE4290">
        <w:tc>
          <w:tcPr>
            <w:tcW w:w="2427" w:type="pct"/>
          </w:tcPr>
          <w:p w:rsidR="00EE4290" w:rsidRPr="00003B04" w:rsidRDefault="00EE4290" w:rsidP="00EE4290">
            <w:pPr>
              <w:jc w:val="both"/>
              <w:rPr>
                <w:sz w:val="20"/>
              </w:rPr>
            </w:pPr>
            <w:r w:rsidRPr="00003B04">
              <w:rPr>
                <w:sz w:val="20"/>
              </w:rPr>
              <w:t>September 29, 2016</w:t>
            </w:r>
          </w:p>
          <w:p w:rsidR="00EE4290" w:rsidRPr="00003B04" w:rsidRDefault="00EE4290" w:rsidP="00EE4290">
            <w:pPr>
              <w:jc w:val="both"/>
              <w:rPr>
                <w:sz w:val="20"/>
              </w:rPr>
            </w:pPr>
            <w:r w:rsidRPr="00003B04">
              <w:rPr>
                <w:sz w:val="20"/>
              </w:rPr>
              <w:t>Supreme Court of Canada</w:t>
            </w:r>
          </w:p>
        </w:tc>
        <w:tc>
          <w:tcPr>
            <w:tcW w:w="243" w:type="pct"/>
          </w:tcPr>
          <w:p w:rsidR="00EE4290" w:rsidRPr="00003B04" w:rsidRDefault="00EE4290" w:rsidP="00EE4290">
            <w:pPr>
              <w:jc w:val="both"/>
              <w:rPr>
                <w:sz w:val="20"/>
              </w:rPr>
            </w:pPr>
          </w:p>
        </w:tc>
        <w:tc>
          <w:tcPr>
            <w:tcW w:w="2330" w:type="pct"/>
          </w:tcPr>
          <w:p w:rsidR="00EE4290" w:rsidRPr="00003B04" w:rsidRDefault="00EE4290" w:rsidP="00EE4290">
            <w:pPr>
              <w:jc w:val="both"/>
              <w:rPr>
                <w:sz w:val="20"/>
              </w:rPr>
            </w:pPr>
            <w:r w:rsidRPr="00003B04">
              <w:rPr>
                <w:sz w:val="20"/>
              </w:rPr>
              <w:t>Application for extension of time to serve and file application for leave to appeal, application to adduce fresh evidence, and application for leave to appeal filed</w:t>
            </w:r>
          </w:p>
        </w:tc>
      </w:tr>
    </w:tbl>
    <w:p w:rsidR="00EE4290" w:rsidRPr="00003B04" w:rsidRDefault="00604445" w:rsidP="00EE4290">
      <w:r>
        <w:rPr>
          <w:sz w:val="20"/>
          <w:szCs w:val="20"/>
        </w:rPr>
        <w:pict>
          <v:rect id="_x0000_i1057" style="width:2in;height:1pt" o:hrpct="0" o:hralign="center" o:hrstd="t" o:hrnoshade="t" o:hr="t" fillcolor="black [3213]" stroked="f"/>
        </w:pict>
      </w:r>
    </w:p>
    <w:p w:rsidR="00D310D9" w:rsidRPr="00003B04" w:rsidRDefault="00D310D9" w:rsidP="00EE4290"/>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E4290" w:rsidRPr="00003B04" w:rsidTr="00EE4290">
        <w:tc>
          <w:tcPr>
            <w:tcW w:w="543" w:type="pct"/>
          </w:tcPr>
          <w:p w:rsidR="00EE4290" w:rsidRPr="00003B04" w:rsidRDefault="00EE4290" w:rsidP="00EE4290">
            <w:pPr>
              <w:jc w:val="both"/>
              <w:rPr>
                <w:sz w:val="20"/>
                <w:lang w:val="fr-CA"/>
              </w:rPr>
            </w:pPr>
            <w:r w:rsidRPr="00003B04">
              <w:rPr>
                <w:rStyle w:val="SCCFileNumberChar"/>
                <w:sz w:val="20"/>
                <w:szCs w:val="20"/>
                <w:lang w:val="fr-CA"/>
              </w:rPr>
              <w:t>37311</w:t>
            </w:r>
          </w:p>
        </w:tc>
        <w:tc>
          <w:tcPr>
            <w:tcW w:w="4457" w:type="pct"/>
            <w:gridSpan w:val="3"/>
          </w:tcPr>
          <w:p w:rsidR="00EE4290" w:rsidRPr="00003B04" w:rsidRDefault="00EE4290" w:rsidP="00767A6B">
            <w:pPr>
              <w:pStyle w:val="SCCLsocParty"/>
              <w:jc w:val="both"/>
              <w:rPr>
                <w:sz w:val="20"/>
              </w:rPr>
            </w:pPr>
            <w:proofErr w:type="spellStart"/>
            <w:r w:rsidRPr="00003B04">
              <w:rPr>
                <w:b/>
                <w:sz w:val="20"/>
                <w:szCs w:val="20"/>
              </w:rPr>
              <w:t>Colton</w:t>
            </w:r>
            <w:proofErr w:type="spellEnd"/>
            <w:r w:rsidRPr="00003B04">
              <w:rPr>
                <w:b/>
                <w:sz w:val="20"/>
                <w:szCs w:val="20"/>
              </w:rPr>
              <w:t xml:space="preserve"> Barry Ferguson c. Sa Majesté la Reine</w:t>
            </w:r>
            <w:r w:rsidR="00767A6B" w:rsidRPr="00003B04">
              <w:rPr>
                <w:b/>
                <w:sz w:val="20"/>
                <w:szCs w:val="20"/>
              </w:rPr>
              <w:t xml:space="preserve"> </w:t>
            </w:r>
            <w:r w:rsidRPr="00003B04">
              <w:rPr>
                <w:sz w:val="20"/>
              </w:rPr>
              <w:t>(</w:t>
            </w:r>
            <w:proofErr w:type="spellStart"/>
            <w:r w:rsidRPr="00003B04">
              <w:rPr>
                <w:sz w:val="20"/>
              </w:rPr>
              <w:t>Alb</w:t>
            </w:r>
            <w:proofErr w:type="spellEnd"/>
            <w:r w:rsidRPr="00003B04">
              <w:rPr>
                <w:sz w:val="20"/>
              </w:rPr>
              <w:t>.) (Criminelle) (Sur autorisation)</w:t>
            </w:r>
          </w:p>
          <w:p w:rsidR="00767A6B" w:rsidRPr="00003B04" w:rsidRDefault="00767A6B" w:rsidP="00767A6B">
            <w:pPr>
              <w:rPr>
                <w:lang w:val="fr-CA"/>
              </w:rPr>
            </w:pPr>
          </w:p>
        </w:tc>
      </w:tr>
      <w:tr w:rsidR="00D310D9" w:rsidRPr="00C3697D" w:rsidTr="00EE4290">
        <w:tc>
          <w:tcPr>
            <w:tcW w:w="543" w:type="pct"/>
          </w:tcPr>
          <w:p w:rsidR="00D310D9" w:rsidRPr="00003B04" w:rsidRDefault="00D310D9" w:rsidP="00EE4290">
            <w:pPr>
              <w:jc w:val="both"/>
              <w:rPr>
                <w:rStyle w:val="SCCFileNumberChar"/>
                <w:sz w:val="20"/>
                <w:szCs w:val="20"/>
                <w:lang w:val="fr-CA"/>
              </w:rPr>
            </w:pPr>
            <w:r w:rsidRPr="00003B04">
              <w:rPr>
                <w:rStyle w:val="SCCFileNumberChar"/>
                <w:sz w:val="20"/>
                <w:szCs w:val="20"/>
                <w:lang w:val="fr-CA"/>
              </w:rPr>
              <w:t>Coram :</w:t>
            </w:r>
          </w:p>
        </w:tc>
        <w:tc>
          <w:tcPr>
            <w:tcW w:w="4457" w:type="pct"/>
            <w:gridSpan w:val="3"/>
          </w:tcPr>
          <w:p w:rsidR="00D310D9" w:rsidRPr="00003B04" w:rsidRDefault="000E7F29" w:rsidP="00EE4290">
            <w:pPr>
              <w:pStyle w:val="SCCLsocParty"/>
              <w:jc w:val="both"/>
              <w:rPr>
                <w:sz w:val="20"/>
                <w:szCs w:val="20"/>
                <w:lang w:val="fr-FR"/>
              </w:rPr>
            </w:pPr>
            <w:r w:rsidRPr="00003B04">
              <w:rPr>
                <w:sz w:val="20"/>
                <w:szCs w:val="20"/>
                <w:lang w:val="fr-FR"/>
              </w:rPr>
              <w:t xml:space="preserve">La juge en chef </w:t>
            </w:r>
            <w:proofErr w:type="spellStart"/>
            <w:r w:rsidRPr="00003B04">
              <w:rPr>
                <w:sz w:val="20"/>
                <w:szCs w:val="20"/>
                <w:lang w:val="fr-FR"/>
              </w:rPr>
              <w:t>McLachlin</w:t>
            </w:r>
            <w:proofErr w:type="spellEnd"/>
            <w:r w:rsidRPr="00003B04">
              <w:rPr>
                <w:sz w:val="20"/>
                <w:szCs w:val="20"/>
                <w:lang w:val="fr-FR"/>
              </w:rPr>
              <w:t xml:space="preserve"> et les juges Abella, </w:t>
            </w:r>
            <w:proofErr w:type="spellStart"/>
            <w:r w:rsidRPr="00003B04">
              <w:rPr>
                <w:sz w:val="20"/>
                <w:szCs w:val="20"/>
                <w:lang w:val="fr-FR"/>
              </w:rPr>
              <w:t>Moldaver</w:t>
            </w:r>
            <w:proofErr w:type="spellEnd"/>
            <w:r w:rsidRPr="00003B04">
              <w:rPr>
                <w:sz w:val="20"/>
                <w:szCs w:val="20"/>
                <w:lang w:val="fr-FR"/>
              </w:rPr>
              <w:t xml:space="preserve">, </w:t>
            </w:r>
            <w:proofErr w:type="spellStart"/>
            <w:r w:rsidRPr="00003B04">
              <w:rPr>
                <w:sz w:val="20"/>
                <w:szCs w:val="20"/>
                <w:lang w:val="fr-FR"/>
              </w:rPr>
              <w:t>Karakatsanis</w:t>
            </w:r>
            <w:proofErr w:type="spellEnd"/>
            <w:r w:rsidRPr="00003B04">
              <w:rPr>
                <w:sz w:val="20"/>
                <w:szCs w:val="20"/>
                <w:lang w:val="fr-FR"/>
              </w:rPr>
              <w:t>, Wagner, Gascon, Côté, Brown et Rowe</w:t>
            </w:r>
          </w:p>
          <w:p w:rsidR="000E7F29" w:rsidRPr="00003B04" w:rsidRDefault="000E7F29" w:rsidP="000E7F29">
            <w:pPr>
              <w:rPr>
                <w:lang w:val="fr-FR"/>
              </w:rPr>
            </w:pPr>
          </w:p>
        </w:tc>
      </w:tr>
      <w:tr w:rsidR="00D310D9" w:rsidRPr="00C3697D" w:rsidTr="00D310D9">
        <w:tc>
          <w:tcPr>
            <w:tcW w:w="5000" w:type="pct"/>
            <w:gridSpan w:val="4"/>
          </w:tcPr>
          <w:p w:rsidR="00D310D9" w:rsidRPr="00003B04" w:rsidRDefault="000E7F29" w:rsidP="00EE4290">
            <w:pPr>
              <w:pStyle w:val="SCCLsocParty"/>
              <w:jc w:val="both"/>
              <w:rPr>
                <w:sz w:val="20"/>
                <w:szCs w:val="20"/>
              </w:rPr>
            </w:pPr>
            <w:r w:rsidRPr="00003B04">
              <w:rPr>
                <w:sz w:val="20"/>
                <w:szCs w:val="20"/>
              </w:rPr>
              <w:t xml:space="preserve">La requête en prorogation du délai de signification et de dépôt de la demande d’autorisation d’appel est accueillie. La requête pour présenter une nouvelle preuve  est rejetée. La demande d’autorisation d’appel des arrêts de la </w:t>
            </w:r>
            <w:r w:rsidRPr="00003B04">
              <w:rPr>
                <w:sz w:val="20"/>
                <w:szCs w:val="20"/>
                <w:lang w:val="fr-FR"/>
              </w:rPr>
              <w:t>Cour d’appel de l’Alberta (Edmonton)</w:t>
            </w:r>
            <w:r w:rsidRPr="00003B04">
              <w:rPr>
                <w:sz w:val="20"/>
                <w:szCs w:val="20"/>
              </w:rPr>
              <w:t xml:space="preserve">, numéro </w:t>
            </w:r>
            <w:r w:rsidRPr="00003B04">
              <w:rPr>
                <w:sz w:val="20"/>
                <w:szCs w:val="20"/>
                <w:lang w:val="fr-FR"/>
              </w:rPr>
              <w:t>1503-0026-A, 2015 ABCA 310, daté du 2 octobre 2015, et 2016 ABCA 244</w:t>
            </w:r>
            <w:r w:rsidRPr="00003B04">
              <w:rPr>
                <w:sz w:val="20"/>
                <w:szCs w:val="20"/>
              </w:rPr>
              <w:t xml:space="preserve">, daté du </w:t>
            </w:r>
            <w:r w:rsidRPr="00003B04">
              <w:rPr>
                <w:sz w:val="20"/>
                <w:szCs w:val="20"/>
                <w:lang w:val="fr-FR"/>
              </w:rPr>
              <w:t>18 août 2016</w:t>
            </w:r>
            <w:r w:rsidRPr="00003B04">
              <w:rPr>
                <w:sz w:val="20"/>
                <w:szCs w:val="20"/>
              </w:rPr>
              <w:t>, est rejetée.</w:t>
            </w:r>
          </w:p>
          <w:p w:rsidR="000E7F29" w:rsidRPr="00003B04" w:rsidRDefault="000E7F29" w:rsidP="000E7F29">
            <w:pPr>
              <w:rPr>
                <w:lang w:val="fr-CA"/>
              </w:rPr>
            </w:pPr>
          </w:p>
        </w:tc>
      </w:tr>
      <w:tr w:rsidR="00EE4290" w:rsidRPr="00C3697D" w:rsidTr="00EE4290">
        <w:tc>
          <w:tcPr>
            <w:tcW w:w="5000" w:type="pct"/>
            <w:gridSpan w:val="4"/>
          </w:tcPr>
          <w:p w:rsidR="00EE4290" w:rsidRPr="00003B04" w:rsidRDefault="00EE4290" w:rsidP="00EE4290">
            <w:pPr>
              <w:jc w:val="both"/>
              <w:rPr>
                <w:sz w:val="20"/>
                <w:lang w:val="fr-CA"/>
              </w:rPr>
            </w:pPr>
            <w:r w:rsidRPr="00003B04">
              <w:rPr>
                <w:sz w:val="20"/>
                <w:lang w:val="fr-CA"/>
              </w:rPr>
              <w:t>Droit criminel – Appel – Autorisation d’appel – Le demandeur soulève-t-il une question de droit? – La question revêt-elle de l’importance pour le public?</w:t>
            </w:r>
          </w:p>
        </w:tc>
      </w:tr>
      <w:tr w:rsidR="00EE4290" w:rsidRPr="00C3697D" w:rsidTr="00EE4290">
        <w:tc>
          <w:tcPr>
            <w:tcW w:w="5000" w:type="pct"/>
            <w:gridSpan w:val="4"/>
          </w:tcPr>
          <w:p w:rsidR="00EE4290" w:rsidRPr="00003B04" w:rsidRDefault="00EE4290" w:rsidP="00EE4290">
            <w:pPr>
              <w:jc w:val="both"/>
              <w:rPr>
                <w:sz w:val="20"/>
                <w:lang w:val="fr-CA"/>
              </w:rPr>
            </w:pPr>
          </w:p>
        </w:tc>
      </w:tr>
      <w:tr w:rsidR="00EE4290" w:rsidRPr="00C3697D" w:rsidTr="00EE4290">
        <w:tc>
          <w:tcPr>
            <w:tcW w:w="5000" w:type="pct"/>
            <w:gridSpan w:val="4"/>
          </w:tcPr>
          <w:p w:rsidR="00EE4290" w:rsidRPr="00003B04" w:rsidRDefault="00EE4290" w:rsidP="00EE4290">
            <w:pPr>
              <w:jc w:val="both"/>
              <w:rPr>
                <w:sz w:val="20"/>
                <w:lang w:val="fr-CA"/>
              </w:rPr>
            </w:pPr>
            <w:r w:rsidRPr="00003B04">
              <w:rPr>
                <w:sz w:val="20"/>
                <w:lang w:val="fr-CA"/>
              </w:rPr>
              <w:t>Monsieur Ferguson a été déclaré coupable de meurtre au deuxième degré pour avoir mortellement atteint par balle une femme à un arrêt de transport en commun. Le meurtre a été enregistré par une caméra de surveillance. L’accusé a été condamné à l’emprisonnement à perpétuité sans possibilité de libération conditionnelle avant 15 ans. Deux ans et neuf mois après le prononcé de sa peine, il a déposé un avis d’appel de sa déclaration de culpabilité et de sa peine. Il a demandé une prorogation du délai de dépôt de son appel. Le juge Veldhuis a rejeté la demande de prorogation de délai. Monsieur Ferguson a interjeté appel à une formation de juges de la Cour d’appel. Le juge Veldhuis a rejeté la requête et confirmée le refus de la prorogation de délai.</w:t>
            </w:r>
          </w:p>
          <w:p w:rsidR="00EE4290" w:rsidRPr="00003B04" w:rsidRDefault="00EE4290" w:rsidP="00EE4290">
            <w:pPr>
              <w:jc w:val="both"/>
              <w:rPr>
                <w:sz w:val="20"/>
                <w:lang w:val="fr-CA"/>
              </w:rPr>
            </w:pPr>
          </w:p>
        </w:tc>
      </w:tr>
      <w:tr w:rsidR="00EE4290" w:rsidRPr="00C3697D" w:rsidTr="00EE4290">
        <w:trPr>
          <w:trHeight w:val="1134"/>
        </w:trPr>
        <w:tc>
          <w:tcPr>
            <w:tcW w:w="2427" w:type="pct"/>
            <w:gridSpan w:val="2"/>
          </w:tcPr>
          <w:p w:rsidR="00EE4290" w:rsidRPr="00003B04" w:rsidRDefault="00EE4290" w:rsidP="00EE4290">
            <w:pPr>
              <w:jc w:val="both"/>
              <w:rPr>
                <w:sz w:val="20"/>
                <w:lang w:val="fr-CA"/>
              </w:rPr>
            </w:pPr>
            <w:r w:rsidRPr="00003B04">
              <w:rPr>
                <w:sz w:val="20"/>
                <w:lang w:val="fr-CA"/>
              </w:rPr>
              <w:t>8 mars 2012</w:t>
            </w:r>
          </w:p>
          <w:p w:rsidR="00EE4290" w:rsidRPr="00003B04" w:rsidRDefault="00EE4290" w:rsidP="00EE4290">
            <w:pPr>
              <w:jc w:val="both"/>
              <w:rPr>
                <w:sz w:val="20"/>
                <w:lang w:val="fr-CA"/>
              </w:rPr>
            </w:pPr>
            <w:r w:rsidRPr="00003B04">
              <w:rPr>
                <w:sz w:val="20"/>
                <w:lang w:val="fr-CA"/>
              </w:rPr>
              <w:t xml:space="preserve">Cour suprême de l’Alberta </w:t>
            </w:r>
          </w:p>
          <w:p w:rsidR="00EE4290" w:rsidRPr="00003B04" w:rsidRDefault="00EE4290" w:rsidP="00EE4290">
            <w:pPr>
              <w:jc w:val="both"/>
              <w:rPr>
                <w:sz w:val="20"/>
                <w:lang w:val="fr-CA"/>
              </w:rPr>
            </w:pPr>
            <w:r w:rsidRPr="00003B04">
              <w:rPr>
                <w:sz w:val="20"/>
                <w:lang w:val="fr-CA"/>
              </w:rPr>
              <w:t xml:space="preserve">(Juge </w:t>
            </w:r>
            <w:proofErr w:type="spellStart"/>
            <w:r w:rsidRPr="00003B04">
              <w:rPr>
                <w:sz w:val="20"/>
                <w:lang w:val="fr-CA"/>
              </w:rPr>
              <w:t>Sanderman</w:t>
            </w:r>
            <w:proofErr w:type="spellEnd"/>
            <w:r w:rsidRPr="00003B04">
              <w:rPr>
                <w:sz w:val="20"/>
                <w:lang w:val="fr-CA"/>
              </w:rPr>
              <w:t>) (Non publié)</w:t>
            </w:r>
          </w:p>
          <w:p w:rsidR="00EE4290" w:rsidRPr="00003B04" w:rsidRDefault="00EE4290" w:rsidP="00EE4290">
            <w:pPr>
              <w:jc w:val="both"/>
              <w:rPr>
                <w:sz w:val="20"/>
                <w:lang w:val="fr-CA"/>
              </w:rPr>
            </w:pPr>
          </w:p>
        </w:tc>
        <w:tc>
          <w:tcPr>
            <w:tcW w:w="243" w:type="pct"/>
          </w:tcPr>
          <w:p w:rsidR="00EE4290" w:rsidRPr="00003B04" w:rsidRDefault="00EE4290" w:rsidP="00EE4290">
            <w:pPr>
              <w:jc w:val="both"/>
              <w:rPr>
                <w:sz w:val="20"/>
                <w:lang w:val="fr-CA"/>
              </w:rPr>
            </w:pPr>
          </w:p>
        </w:tc>
        <w:tc>
          <w:tcPr>
            <w:tcW w:w="2330" w:type="pct"/>
          </w:tcPr>
          <w:p w:rsidR="00EE4290" w:rsidRPr="00003B04" w:rsidRDefault="00EE4290" w:rsidP="00EE4290">
            <w:pPr>
              <w:spacing w:line="0" w:lineRule="atLeast"/>
              <w:jc w:val="both"/>
              <w:rPr>
                <w:sz w:val="20"/>
                <w:lang w:val="fr-CA"/>
              </w:rPr>
            </w:pPr>
            <w:r w:rsidRPr="00003B04">
              <w:rPr>
                <w:sz w:val="20"/>
                <w:lang w:val="fr-CA"/>
              </w:rPr>
              <w:t>Déclaration de culpabilité de meurtre au deuxième degré</w:t>
            </w:r>
          </w:p>
        </w:tc>
      </w:tr>
      <w:tr w:rsidR="00EE4290" w:rsidRPr="00C3697D" w:rsidTr="00EE4290">
        <w:tc>
          <w:tcPr>
            <w:tcW w:w="2427" w:type="pct"/>
            <w:gridSpan w:val="2"/>
          </w:tcPr>
          <w:p w:rsidR="00EE4290" w:rsidRPr="00003B04" w:rsidRDefault="00EE4290" w:rsidP="00EE4290">
            <w:pPr>
              <w:jc w:val="both"/>
              <w:rPr>
                <w:sz w:val="20"/>
                <w:lang w:val="fr-CA"/>
              </w:rPr>
            </w:pPr>
            <w:r w:rsidRPr="00003B04">
              <w:rPr>
                <w:sz w:val="20"/>
                <w:lang w:val="fr-CA"/>
              </w:rPr>
              <w:t>16 mars 2012</w:t>
            </w:r>
          </w:p>
          <w:p w:rsidR="00EE4290" w:rsidRPr="00003B04" w:rsidRDefault="00EE4290" w:rsidP="00EE4290">
            <w:pPr>
              <w:jc w:val="both"/>
              <w:rPr>
                <w:sz w:val="20"/>
                <w:lang w:val="fr-CA"/>
              </w:rPr>
            </w:pPr>
            <w:r w:rsidRPr="00003B04">
              <w:rPr>
                <w:sz w:val="20"/>
                <w:lang w:val="fr-CA"/>
              </w:rPr>
              <w:t>Cour suprême de l’Alberta</w:t>
            </w:r>
          </w:p>
          <w:p w:rsidR="00EE4290" w:rsidRPr="00003B04" w:rsidRDefault="00EE4290" w:rsidP="00EE4290">
            <w:pPr>
              <w:jc w:val="both"/>
              <w:rPr>
                <w:sz w:val="20"/>
                <w:lang w:val="fr-CA"/>
              </w:rPr>
            </w:pPr>
            <w:r w:rsidRPr="00003B04">
              <w:rPr>
                <w:sz w:val="20"/>
                <w:lang w:val="fr-CA"/>
              </w:rPr>
              <w:t xml:space="preserve">(Juge </w:t>
            </w:r>
            <w:proofErr w:type="spellStart"/>
            <w:r w:rsidRPr="00003B04">
              <w:rPr>
                <w:sz w:val="20"/>
                <w:lang w:val="fr-CA"/>
              </w:rPr>
              <w:t>Sanderman</w:t>
            </w:r>
            <w:proofErr w:type="spellEnd"/>
            <w:r w:rsidRPr="00003B04">
              <w:rPr>
                <w:sz w:val="20"/>
                <w:lang w:val="fr-CA"/>
              </w:rPr>
              <w:t>) (Non publié)</w:t>
            </w:r>
          </w:p>
          <w:p w:rsidR="00EE4290" w:rsidRPr="00003B04" w:rsidRDefault="00EE4290" w:rsidP="00EE4290">
            <w:pPr>
              <w:jc w:val="both"/>
              <w:rPr>
                <w:sz w:val="20"/>
                <w:lang w:val="fr-CA"/>
              </w:rPr>
            </w:pPr>
          </w:p>
        </w:tc>
        <w:tc>
          <w:tcPr>
            <w:tcW w:w="243" w:type="pct"/>
          </w:tcPr>
          <w:p w:rsidR="00EE4290" w:rsidRPr="00003B04" w:rsidRDefault="00EE4290" w:rsidP="00EE4290">
            <w:pPr>
              <w:jc w:val="both"/>
              <w:rPr>
                <w:sz w:val="20"/>
                <w:lang w:val="fr-CA"/>
              </w:rPr>
            </w:pPr>
          </w:p>
        </w:tc>
        <w:tc>
          <w:tcPr>
            <w:tcW w:w="2330" w:type="pct"/>
          </w:tcPr>
          <w:p w:rsidR="00EE4290" w:rsidRPr="00003B04" w:rsidRDefault="00EE4290" w:rsidP="00EE4290">
            <w:pPr>
              <w:jc w:val="both"/>
              <w:rPr>
                <w:sz w:val="20"/>
                <w:lang w:val="fr-CA"/>
              </w:rPr>
            </w:pPr>
            <w:r w:rsidRPr="00003B04">
              <w:rPr>
                <w:sz w:val="20"/>
                <w:lang w:val="fr-CA"/>
              </w:rPr>
              <w:t xml:space="preserve">Peine d’emprisonnement à perpétuité sans possibilité de libération conditionnelle avant 15 ans </w:t>
            </w:r>
          </w:p>
        </w:tc>
      </w:tr>
    </w:tbl>
    <w:p w:rsidR="008F5EB8" w:rsidRPr="00003B04" w:rsidRDefault="008F5EB8">
      <w:pPr>
        <w:rPr>
          <w:lang w:val="fr-CA"/>
        </w:rPr>
      </w:pPr>
      <w:r w:rsidRPr="00003B04">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E4290" w:rsidRPr="00C3697D" w:rsidTr="00EE4290">
        <w:tc>
          <w:tcPr>
            <w:tcW w:w="2427" w:type="pct"/>
          </w:tcPr>
          <w:p w:rsidR="00EE4290" w:rsidRPr="00003B04" w:rsidRDefault="00EE4290" w:rsidP="00EE4290">
            <w:pPr>
              <w:jc w:val="both"/>
              <w:rPr>
                <w:sz w:val="20"/>
                <w:lang w:val="fr-CA"/>
              </w:rPr>
            </w:pPr>
            <w:r w:rsidRPr="00003B04">
              <w:rPr>
                <w:sz w:val="20"/>
                <w:lang w:val="fr-CA"/>
              </w:rPr>
              <w:lastRenderedPageBreak/>
              <w:t>2 octobre 2015</w:t>
            </w:r>
          </w:p>
          <w:p w:rsidR="00EE4290" w:rsidRPr="00003B04" w:rsidRDefault="00EE4290" w:rsidP="00EE4290">
            <w:pPr>
              <w:jc w:val="both"/>
              <w:rPr>
                <w:sz w:val="20"/>
                <w:lang w:val="fr-CA"/>
              </w:rPr>
            </w:pPr>
            <w:r w:rsidRPr="00003B04">
              <w:rPr>
                <w:sz w:val="20"/>
                <w:lang w:val="fr-CA"/>
              </w:rPr>
              <w:t>Cour d’appel de l’Alberta (Edmonton)</w:t>
            </w:r>
          </w:p>
          <w:p w:rsidR="00EE4290" w:rsidRPr="00003B04" w:rsidRDefault="00EE4290" w:rsidP="00EE4290">
            <w:pPr>
              <w:jc w:val="both"/>
              <w:rPr>
                <w:sz w:val="20"/>
                <w:lang w:val="fr-CA"/>
              </w:rPr>
            </w:pPr>
            <w:r w:rsidRPr="00003B04">
              <w:rPr>
                <w:sz w:val="20"/>
                <w:lang w:val="fr-CA"/>
              </w:rPr>
              <w:t>(Juge Veldhuis)</w:t>
            </w:r>
          </w:p>
          <w:p w:rsidR="00EE4290" w:rsidRPr="00003B04" w:rsidRDefault="00EE4290" w:rsidP="00EE4290">
            <w:pPr>
              <w:jc w:val="both"/>
              <w:rPr>
                <w:rStyle w:val="Hyperlink"/>
                <w:sz w:val="20"/>
                <w:lang w:val="fr-CA"/>
              </w:rPr>
            </w:pPr>
            <w:r w:rsidRPr="00003B04">
              <w:rPr>
                <w:sz w:val="20"/>
                <w:lang w:val="fr-CA"/>
              </w:rPr>
              <w:t xml:space="preserve">1503-0026-A; </w:t>
            </w:r>
            <w:hyperlink r:id="rId43" w:history="1">
              <w:r w:rsidRPr="00003B04">
                <w:rPr>
                  <w:rStyle w:val="Hyperlink"/>
                  <w:sz w:val="20"/>
                  <w:lang w:val="fr-CA"/>
                </w:rPr>
                <w:t>2015 ABCA 310</w:t>
              </w:r>
            </w:hyperlink>
          </w:p>
          <w:p w:rsidR="00EE4290" w:rsidRPr="00003B04" w:rsidRDefault="00EE4290" w:rsidP="00EE4290">
            <w:pPr>
              <w:jc w:val="both"/>
              <w:rPr>
                <w:sz w:val="20"/>
                <w:lang w:val="fr-CA"/>
              </w:rPr>
            </w:pPr>
          </w:p>
        </w:tc>
        <w:tc>
          <w:tcPr>
            <w:tcW w:w="243" w:type="pct"/>
          </w:tcPr>
          <w:p w:rsidR="00EE4290" w:rsidRPr="00003B04" w:rsidRDefault="00EE4290" w:rsidP="00EE4290">
            <w:pPr>
              <w:jc w:val="both"/>
              <w:rPr>
                <w:sz w:val="20"/>
                <w:lang w:val="fr-CA"/>
              </w:rPr>
            </w:pPr>
          </w:p>
        </w:tc>
        <w:tc>
          <w:tcPr>
            <w:tcW w:w="2330" w:type="pct"/>
          </w:tcPr>
          <w:p w:rsidR="00EE4290" w:rsidRPr="00003B04" w:rsidRDefault="00EE4290" w:rsidP="00EE4290">
            <w:pPr>
              <w:jc w:val="both"/>
              <w:rPr>
                <w:sz w:val="20"/>
                <w:lang w:val="fr-CA"/>
              </w:rPr>
            </w:pPr>
            <w:r w:rsidRPr="00003B04">
              <w:rPr>
                <w:sz w:val="20"/>
                <w:lang w:val="fr-CA"/>
              </w:rPr>
              <w:t>Rejet de la demande de prorogation du délai de dépôt d’un appel</w:t>
            </w:r>
          </w:p>
        </w:tc>
      </w:tr>
      <w:tr w:rsidR="00EE4290" w:rsidRPr="00C3697D" w:rsidTr="00EE4290">
        <w:tc>
          <w:tcPr>
            <w:tcW w:w="2427" w:type="pct"/>
          </w:tcPr>
          <w:p w:rsidR="00EE4290" w:rsidRPr="00003B04" w:rsidRDefault="001B621B" w:rsidP="00EE4290">
            <w:pPr>
              <w:jc w:val="both"/>
              <w:rPr>
                <w:sz w:val="20"/>
                <w:lang w:val="fr-CA"/>
              </w:rPr>
            </w:pPr>
            <w:r w:rsidRPr="00003B04">
              <w:rPr>
                <w:sz w:val="20"/>
                <w:lang w:val="fr-CA"/>
              </w:rPr>
              <w:t>18 août</w:t>
            </w:r>
            <w:r w:rsidR="00EE4290" w:rsidRPr="00003B04">
              <w:rPr>
                <w:sz w:val="20"/>
                <w:lang w:val="fr-CA"/>
              </w:rPr>
              <w:t xml:space="preserve"> 2016</w:t>
            </w:r>
          </w:p>
          <w:p w:rsidR="00EE4290" w:rsidRPr="00003B04" w:rsidRDefault="00EE4290" w:rsidP="00EE4290">
            <w:pPr>
              <w:jc w:val="both"/>
              <w:rPr>
                <w:sz w:val="20"/>
                <w:lang w:val="fr-CA"/>
              </w:rPr>
            </w:pPr>
            <w:r w:rsidRPr="00003B04">
              <w:rPr>
                <w:sz w:val="20"/>
                <w:lang w:val="fr-CA"/>
              </w:rPr>
              <w:t>Cour d’appel de l’Alberta (Edmonton)</w:t>
            </w:r>
          </w:p>
          <w:p w:rsidR="00EE4290" w:rsidRPr="00003B04" w:rsidRDefault="00EE4290" w:rsidP="00EE4290">
            <w:pPr>
              <w:jc w:val="both"/>
              <w:rPr>
                <w:sz w:val="20"/>
                <w:lang w:val="fr-CA"/>
              </w:rPr>
            </w:pPr>
            <w:r w:rsidRPr="00003B04">
              <w:rPr>
                <w:sz w:val="20"/>
                <w:lang w:val="fr-CA"/>
              </w:rPr>
              <w:t xml:space="preserve">(Juge Veldhuis) </w:t>
            </w:r>
          </w:p>
          <w:p w:rsidR="00EE4290" w:rsidRPr="00003B04" w:rsidRDefault="00EE4290" w:rsidP="00EE4290">
            <w:pPr>
              <w:jc w:val="both"/>
              <w:rPr>
                <w:rStyle w:val="Hyperlink"/>
                <w:sz w:val="20"/>
                <w:lang w:val="fr-CA"/>
              </w:rPr>
            </w:pPr>
            <w:r w:rsidRPr="00003B04">
              <w:rPr>
                <w:sz w:val="20"/>
                <w:lang w:val="fr-CA"/>
              </w:rPr>
              <w:t xml:space="preserve">1503-0026-A; </w:t>
            </w:r>
            <w:hyperlink r:id="rId44" w:history="1">
              <w:r w:rsidRPr="00003B04">
                <w:rPr>
                  <w:rStyle w:val="Hyperlink"/>
                  <w:sz w:val="20"/>
                  <w:lang w:val="fr-CA"/>
                </w:rPr>
                <w:t>2016 ABCA 244</w:t>
              </w:r>
            </w:hyperlink>
          </w:p>
          <w:p w:rsidR="00EE4290" w:rsidRPr="00003B04" w:rsidRDefault="00EE4290" w:rsidP="00EE4290">
            <w:pPr>
              <w:jc w:val="both"/>
              <w:rPr>
                <w:sz w:val="20"/>
                <w:lang w:val="fr-CA"/>
              </w:rPr>
            </w:pPr>
          </w:p>
        </w:tc>
        <w:tc>
          <w:tcPr>
            <w:tcW w:w="243" w:type="pct"/>
          </w:tcPr>
          <w:p w:rsidR="00EE4290" w:rsidRPr="00003B04" w:rsidRDefault="00EE4290" w:rsidP="00EE4290">
            <w:pPr>
              <w:jc w:val="both"/>
              <w:rPr>
                <w:sz w:val="20"/>
                <w:lang w:val="fr-CA"/>
              </w:rPr>
            </w:pPr>
          </w:p>
        </w:tc>
        <w:tc>
          <w:tcPr>
            <w:tcW w:w="2330" w:type="pct"/>
          </w:tcPr>
          <w:p w:rsidR="00EE4290" w:rsidRPr="00003B04" w:rsidRDefault="00EE4290" w:rsidP="00EE4290">
            <w:pPr>
              <w:jc w:val="both"/>
              <w:rPr>
                <w:sz w:val="20"/>
                <w:lang w:val="fr-CA"/>
              </w:rPr>
            </w:pPr>
            <w:r w:rsidRPr="00003B04">
              <w:rPr>
                <w:sz w:val="20"/>
                <w:lang w:val="fr-CA"/>
              </w:rPr>
              <w:t>Rejet de la demande d’autorisation d’appel à une formation de juges de la Cour d’appel</w:t>
            </w:r>
          </w:p>
          <w:p w:rsidR="00EE4290" w:rsidRPr="00003B04" w:rsidRDefault="00EE4290" w:rsidP="00EE4290">
            <w:pPr>
              <w:jc w:val="both"/>
              <w:rPr>
                <w:sz w:val="20"/>
                <w:lang w:val="fr-CA"/>
              </w:rPr>
            </w:pPr>
          </w:p>
        </w:tc>
      </w:tr>
      <w:tr w:rsidR="00EE4290" w:rsidRPr="00C3697D" w:rsidTr="00EE4290">
        <w:tc>
          <w:tcPr>
            <w:tcW w:w="2427" w:type="pct"/>
          </w:tcPr>
          <w:p w:rsidR="00EE4290" w:rsidRPr="00003B04" w:rsidRDefault="00EE4290" w:rsidP="00EE4290">
            <w:pPr>
              <w:jc w:val="both"/>
              <w:rPr>
                <w:sz w:val="20"/>
                <w:lang w:val="fr-CA"/>
              </w:rPr>
            </w:pPr>
            <w:r w:rsidRPr="00003B04">
              <w:rPr>
                <w:sz w:val="20"/>
                <w:lang w:val="fr-CA"/>
              </w:rPr>
              <w:t>29 septembre 2016</w:t>
            </w:r>
          </w:p>
          <w:p w:rsidR="00EE4290" w:rsidRPr="00003B04" w:rsidRDefault="00EE4290" w:rsidP="00EE4290">
            <w:pPr>
              <w:jc w:val="both"/>
              <w:rPr>
                <w:sz w:val="20"/>
                <w:lang w:val="fr-CA"/>
              </w:rPr>
            </w:pPr>
            <w:r w:rsidRPr="00003B04">
              <w:rPr>
                <w:sz w:val="20"/>
                <w:lang w:val="fr-CA"/>
              </w:rPr>
              <w:t>Cour suprême du Canada</w:t>
            </w:r>
          </w:p>
        </w:tc>
        <w:tc>
          <w:tcPr>
            <w:tcW w:w="243" w:type="pct"/>
          </w:tcPr>
          <w:p w:rsidR="00EE4290" w:rsidRPr="00003B04" w:rsidRDefault="00EE4290" w:rsidP="00EE4290">
            <w:pPr>
              <w:jc w:val="both"/>
              <w:rPr>
                <w:sz w:val="20"/>
                <w:lang w:val="fr-CA"/>
              </w:rPr>
            </w:pPr>
          </w:p>
        </w:tc>
        <w:tc>
          <w:tcPr>
            <w:tcW w:w="2330" w:type="pct"/>
          </w:tcPr>
          <w:p w:rsidR="00EE4290" w:rsidRPr="00003B04" w:rsidRDefault="00EE4290" w:rsidP="00EE4290">
            <w:pPr>
              <w:jc w:val="both"/>
              <w:rPr>
                <w:sz w:val="20"/>
                <w:lang w:val="fr-CA"/>
              </w:rPr>
            </w:pPr>
            <w:r w:rsidRPr="00003B04">
              <w:rPr>
                <w:sz w:val="20"/>
                <w:lang w:val="fr-CA"/>
              </w:rPr>
              <w:t xml:space="preserve">Dépôt de la requête en prorogation du délai de signification et de dépôt de la demande d’autorisation d’appel, de la requête </w:t>
            </w:r>
            <w:r w:rsidRPr="00003B04">
              <w:rPr>
                <w:bCs/>
                <w:sz w:val="20"/>
                <w:lang w:val="fr-CA"/>
              </w:rPr>
              <w:t>en vue de  produire de nouveaux éléments de preuve</w:t>
            </w:r>
            <w:r w:rsidRPr="00003B04">
              <w:rPr>
                <w:sz w:val="20"/>
                <w:lang w:val="fr-CA"/>
              </w:rPr>
              <w:t xml:space="preserve"> et de la demande d’autorisation d’appel </w:t>
            </w:r>
          </w:p>
        </w:tc>
      </w:tr>
    </w:tbl>
    <w:p w:rsidR="00EE4290" w:rsidRPr="00003B04" w:rsidRDefault="00604445" w:rsidP="00EE4290">
      <w:pPr>
        <w:jc w:val="both"/>
        <w:rPr>
          <w:sz w:val="20"/>
          <w:lang w:val="fr-CA"/>
        </w:rPr>
      </w:pPr>
      <w:r>
        <w:rPr>
          <w:sz w:val="20"/>
          <w:szCs w:val="20"/>
        </w:rPr>
        <w:pict>
          <v:rect id="_x0000_i1058" style="width:2in;height:1pt" o:hrpct="0" o:hralign="center" o:hrstd="t" o:hrnoshade="t" o:hr="t" fillcolor="black [3213]" stroked="f"/>
        </w:pict>
      </w:r>
    </w:p>
    <w:p w:rsidR="00EE4290" w:rsidRPr="00003B04" w:rsidRDefault="00EE4290" w:rsidP="00EE4290">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E4290" w:rsidRPr="00003B04" w:rsidTr="00EE4290">
        <w:tc>
          <w:tcPr>
            <w:tcW w:w="543" w:type="pct"/>
          </w:tcPr>
          <w:p w:rsidR="00EE4290" w:rsidRPr="00003B04" w:rsidRDefault="00EE4290" w:rsidP="00EE4290">
            <w:pPr>
              <w:jc w:val="both"/>
              <w:rPr>
                <w:sz w:val="20"/>
              </w:rPr>
            </w:pPr>
            <w:r w:rsidRPr="00003B04">
              <w:rPr>
                <w:rStyle w:val="SCCFileNumberChar"/>
                <w:sz w:val="20"/>
                <w:szCs w:val="20"/>
              </w:rPr>
              <w:t>37258</w:t>
            </w:r>
          </w:p>
        </w:tc>
        <w:tc>
          <w:tcPr>
            <w:tcW w:w="4457" w:type="pct"/>
          </w:tcPr>
          <w:p w:rsidR="00EE4290" w:rsidRPr="00003B04" w:rsidRDefault="00EE4290" w:rsidP="00767A6B">
            <w:pPr>
              <w:pStyle w:val="SCCLsocParty"/>
              <w:jc w:val="both"/>
              <w:rPr>
                <w:sz w:val="20"/>
                <w:lang w:val="en-US"/>
              </w:rPr>
            </w:pPr>
            <w:r w:rsidRPr="00003B04">
              <w:rPr>
                <w:b/>
                <w:sz w:val="20"/>
                <w:szCs w:val="20"/>
                <w:lang w:val="en-US"/>
              </w:rPr>
              <w:t xml:space="preserve">Transamerica Life Canada v. Joseph </w:t>
            </w:r>
            <w:proofErr w:type="spellStart"/>
            <w:r w:rsidRPr="00003B04">
              <w:rPr>
                <w:b/>
                <w:sz w:val="20"/>
                <w:szCs w:val="20"/>
                <w:lang w:val="en-US"/>
              </w:rPr>
              <w:t>Fantl</w:t>
            </w:r>
            <w:proofErr w:type="spellEnd"/>
            <w:r w:rsidR="00767A6B" w:rsidRPr="00003B04">
              <w:rPr>
                <w:b/>
                <w:sz w:val="20"/>
                <w:szCs w:val="20"/>
                <w:lang w:val="en-US"/>
              </w:rPr>
              <w:t xml:space="preserve"> </w:t>
            </w:r>
            <w:r w:rsidRPr="00003B04">
              <w:rPr>
                <w:sz w:val="20"/>
                <w:lang w:val="en-US"/>
              </w:rPr>
              <w:t>(Ont.) (Civil) (By Leave)</w:t>
            </w:r>
          </w:p>
          <w:p w:rsidR="00767A6B" w:rsidRPr="00003B04" w:rsidRDefault="00767A6B" w:rsidP="00767A6B">
            <w:pPr>
              <w:rPr>
                <w:lang w:val="en-US"/>
              </w:rPr>
            </w:pPr>
          </w:p>
        </w:tc>
      </w:tr>
      <w:tr w:rsidR="00D310D9" w:rsidRPr="00003B04" w:rsidTr="00EE4290">
        <w:tc>
          <w:tcPr>
            <w:tcW w:w="543" w:type="pct"/>
          </w:tcPr>
          <w:p w:rsidR="00D310D9" w:rsidRPr="00003B04" w:rsidRDefault="00D310D9" w:rsidP="00EE4290">
            <w:pPr>
              <w:jc w:val="both"/>
              <w:rPr>
                <w:rStyle w:val="SCCFileNumberChar"/>
                <w:sz w:val="20"/>
                <w:szCs w:val="20"/>
              </w:rPr>
            </w:pPr>
            <w:r w:rsidRPr="00003B04">
              <w:rPr>
                <w:rStyle w:val="SCCFileNumberChar"/>
                <w:sz w:val="20"/>
                <w:szCs w:val="20"/>
              </w:rPr>
              <w:t>Coram:</w:t>
            </w:r>
          </w:p>
        </w:tc>
        <w:tc>
          <w:tcPr>
            <w:tcW w:w="4457" w:type="pct"/>
          </w:tcPr>
          <w:p w:rsidR="00D310D9" w:rsidRPr="00003B04" w:rsidRDefault="000E7F29" w:rsidP="00EE4290">
            <w:pPr>
              <w:pStyle w:val="SCCLsocParty"/>
              <w:jc w:val="both"/>
              <w:rPr>
                <w:sz w:val="20"/>
                <w:szCs w:val="20"/>
                <w:lang w:val="en-US"/>
              </w:rPr>
            </w:pPr>
            <w:proofErr w:type="spellStart"/>
            <w:r w:rsidRPr="00003B04">
              <w:rPr>
                <w:sz w:val="20"/>
                <w:szCs w:val="20"/>
                <w:lang w:val="en-US"/>
              </w:rPr>
              <w:t>McLachlin</w:t>
            </w:r>
            <w:proofErr w:type="spellEnd"/>
            <w:r w:rsidRPr="00003B04">
              <w:rPr>
                <w:sz w:val="20"/>
                <w:szCs w:val="20"/>
                <w:lang w:val="en-US"/>
              </w:rPr>
              <w:t xml:space="preserve"> C.J. and </w:t>
            </w:r>
            <w:proofErr w:type="spellStart"/>
            <w:r w:rsidRPr="00003B04">
              <w:rPr>
                <w:sz w:val="20"/>
                <w:szCs w:val="20"/>
                <w:lang w:val="en-US"/>
              </w:rPr>
              <w:t>Abella</w:t>
            </w:r>
            <w:proofErr w:type="spellEnd"/>
            <w:r w:rsidRPr="00003B04">
              <w:rPr>
                <w:sz w:val="20"/>
                <w:szCs w:val="20"/>
                <w:lang w:val="en-US"/>
              </w:rPr>
              <w:t xml:space="preserve">, </w:t>
            </w:r>
            <w:proofErr w:type="spellStart"/>
            <w:r w:rsidRPr="00003B04">
              <w:rPr>
                <w:sz w:val="20"/>
                <w:szCs w:val="20"/>
                <w:lang w:val="en-US"/>
              </w:rPr>
              <w:t>Moldaver</w:t>
            </w:r>
            <w:proofErr w:type="spellEnd"/>
            <w:r w:rsidRPr="00003B04">
              <w:rPr>
                <w:sz w:val="20"/>
                <w:szCs w:val="20"/>
                <w:lang w:val="en-US"/>
              </w:rPr>
              <w:t xml:space="preserve">, </w:t>
            </w:r>
            <w:proofErr w:type="spellStart"/>
            <w:r w:rsidRPr="00003B04">
              <w:rPr>
                <w:sz w:val="20"/>
                <w:szCs w:val="20"/>
                <w:lang w:val="en-US"/>
              </w:rPr>
              <w:t>Karakatsanis</w:t>
            </w:r>
            <w:proofErr w:type="spellEnd"/>
            <w:r w:rsidRPr="00003B04">
              <w:rPr>
                <w:sz w:val="20"/>
                <w:szCs w:val="20"/>
                <w:lang w:val="en-US"/>
              </w:rPr>
              <w:t xml:space="preserve">, Wagner, </w:t>
            </w:r>
            <w:proofErr w:type="spellStart"/>
            <w:r w:rsidRPr="00003B04">
              <w:rPr>
                <w:sz w:val="20"/>
                <w:szCs w:val="20"/>
                <w:lang w:val="en-US"/>
              </w:rPr>
              <w:t>Gascon</w:t>
            </w:r>
            <w:proofErr w:type="spellEnd"/>
            <w:r w:rsidRPr="00003B04">
              <w:rPr>
                <w:sz w:val="20"/>
                <w:szCs w:val="20"/>
                <w:lang w:val="en-US"/>
              </w:rPr>
              <w:t xml:space="preserve">, </w:t>
            </w:r>
            <w:proofErr w:type="spellStart"/>
            <w:r w:rsidRPr="00003B04">
              <w:rPr>
                <w:sz w:val="20"/>
                <w:szCs w:val="20"/>
                <w:lang w:val="en-US"/>
              </w:rPr>
              <w:t>Côté</w:t>
            </w:r>
            <w:proofErr w:type="spellEnd"/>
            <w:r w:rsidRPr="00003B04">
              <w:rPr>
                <w:sz w:val="20"/>
                <w:szCs w:val="20"/>
                <w:lang w:val="en-US"/>
              </w:rPr>
              <w:t>, Brown and Rowe JJ.</w:t>
            </w:r>
          </w:p>
          <w:p w:rsidR="000E7F29" w:rsidRPr="00003B04" w:rsidRDefault="000E7F29" w:rsidP="000E7F29">
            <w:pPr>
              <w:rPr>
                <w:lang w:val="en-US"/>
              </w:rPr>
            </w:pPr>
          </w:p>
        </w:tc>
      </w:tr>
      <w:tr w:rsidR="00D310D9" w:rsidRPr="00003B04" w:rsidTr="00D310D9">
        <w:tc>
          <w:tcPr>
            <w:tcW w:w="5000" w:type="pct"/>
            <w:gridSpan w:val="2"/>
          </w:tcPr>
          <w:p w:rsidR="00D310D9" w:rsidRPr="00003B04" w:rsidRDefault="000E7F29" w:rsidP="00EE4290">
            <w:pPr>
              <w:pStyle w:val="SCCLsocParty"/>
              <w:jc w:val="both"/>
              <w:rPr>
                <w:sz w:val="20"/>
                <w:szCs w:val="20"/>
                <w:lang w:val="en-US"/>
              </w:rPr>
            </w:pPr>
            <w:r w:rsidRPr="00003B04">
              <w:rPr>
                <w:sz w:val="20"/>
                <w:szCs w:val="20"/>
                <w:lang w:val="en-US"/>
              </w:rPr>
              <w:t>The application for leave to appeal from the judgment of the Court of Appeal for Ontario, Number C61284, 2016 ONCA 633, dated August 22, 2016, is dismissed with costs.</w:t>
            </w:r>
          </w:p>
          <w:p w:rsidR="000E7F29" w:rsidRPr="00003B04" w:rsidRDefault="000E7F29" w:rsidP="000E7F29">
            <w:pPr>
              <w:rPr>
                <w:lang w:val="en-US"/>
              </w:rPr>
            </w:pPr>
          </w:p>
        </w:tc>
      </w:tr>
      <w:tr w:rsidR="00EE4290" w:rsidRPr="00003B04" w:rsidTr="00EE4290">
        <w:tc>
          <w:tcPr>
            <w:tcW w:w="5000" w:type="pct"/>
            <w:gridSpan w:val="2"/>
          </w:tcPr>
          <w:p w:rsidR="00EE4290" w:rsidRPr="00003B04" w:rsidRDefault="00EE4290" w:rsidP="00EE4290">
            <w:pPr>
              <w:jc w:val="both"/>
              <w:rPr>
                <w:sz w:val="20"/>
              </w:rPr>
            </w:pPr>
            <w:r w:rsidRPr="00003B04">
              <w:rPr>
                <w:iCs/>
                <w:sz w:val="20"/>
                <w:lang w:val="en"/>
              </w:rPr>
              <w:t xml:space="preserve">Civil procedure — Class actions — Certification — Negligent misrepresentation — Negligent misrepresentation claims not certified by motion judge — Superior Court and Court of Appeal certifying claims — </w:t>
            </w:r>
            <w:r w:rsidRPr="00003B04">
              <w:rPr>
                <w:sz w:val="20"/>
              </w:rPr>
              <w:t xml:space="preserve">When, if ever, will class proceeding provide fair, efficient and manageable method for resolving claims for negligent misrepresentation where reliance and damages are not common issues </w:t>
            </w:r>
            <w:r w:rsidRPr="00003B04">
              <w:rPr>
                <w:i/>
                <w:iCs/>
                <w:sz w:val="20"/>
                <w:lang w:val="en"/>
              </w:rPr>
              <w:t>— Class Proceedings Act 1992</w:t>
            </w:r>
            <w:r w:rsidRPr="00003B04">
              <w:rPr>
                <w:iCs/>
                <w:sz w:val="20"/>
                <w:lang w:val="en"/>
              </w:rPr>
              <w:t xml:space="preserve">, S.O. 1992, c. 6. </w:t>
            </w:r>
          </w:p>
          <w:p w:rsidR="00EE4290" w:rsidRPr="00003B04" w:rsidRDefault="00EE4290" w:rsidP="00EE4290">
            <w:pPr>
              <w:jc w:val="both"/>
              <w:rPr>
                <w:sz w:val="20"/>
              </w:rPr>
            </w:pPr>
          </w:p>
        </w:tc>
      </w:tr>
      <w:tr w:rsidR="00EE4290" w:rsidRPr="00003B04" w:rsidTr="00EE4290">
        <w:tc>
          <w:tcPr>
            <w:tcW w:w="5000" w:type="pct"/>
            <w:gridSpan w:val="2"/>
          </w:tcPr>
          <w:p w:rsidR="00EE4290" w:rsidRPr="00003B04" w:rsidRDefault="00EE4290" w:rsidP="00EE4290">
            <w:pPr>
              <w:jc w:val="both"/>
              <w:rPr>
                <w:sz w:val="20"/>
              </w:rPr>
            </w:pPr>
            <w:r w:rsidRPr="00003B04">
              <w:rPr>
                <w:sz w:val="20"/>
              </w:rPr>
              <w:t>The respondent, Mr. </w:t>
            </w:r>
            <w:proofErr w:type="spellStart"/>
            <w:r w:rsidRPr="00003B04">
              <w:rPr>
                <w:sz w:val="20"/>
              </w:rPr>
              <w:t>Fantl</w:t>
            </w:r>
            <w:proofErr w:type="spellEnd"/>
            <w:r w:rsidRPr="00003B04">
              <w:rPr>
                <w:sz w:val="20"/>
              </w:rPr>
              <w:t xml:space="preserve"> sought a motion for certification of an action against the applicant, Transamerica Life Canada pursuant to the </w:t>
            </w:r>
            <w:r w:rsidRPr="00003B04">
              <w:rPr>
                <w:i/>
                <w:iCs/>
                <w:sz w:val="20"/>
                <w:lang w:val="en"/>
              </w:rPr>
              <w:t>Class Proceedings Act 1992</w:t>
            </w:r>
            <w:r w:rsidRPr="00003B04">
              <w:rPr>
                <w:iCs/>
                <w:sz w:val="20"/>
                <w:lang w:val="en"/>
              </w:rPr>
              <w:t>,</w:t>
            </w:r>
            <w:r w:rsidRPr="00003B04">
              <w:rPr>
                <w:i/>
                <w:iCs/>
                <w:sz w:val="20"/>
                <w:lang w:val="en"/>
              </w:rPr>
              <w:t xml:space="preserve"> </w:t>
            </w:r>
            <w:r w:rsidRPr="00003B04">
              <w:rPr>
                <w:iCs/>
                <w:sz w:val="20"/>
                <w:lang w:val="en"/>
              </w:rPr>
              <w:t xml:space="preserve">S.O. 1992, </w:t>
            </w:r>
            <w:proofErr w:type="gramStart"/>
            <w:r w:rsidRPr="00003B04">
              <w:rPr>
                <w:iCs/>
                <w:sz w:val="20"/>
                <w:lang w:val="en"/>
              </w:rPr>
              <w:t>c</w:t>
            </w:r>
            <w:proofErr w:type="gramEnd"/>
            <w:r w:rsidRPr="00003B04">
              <w:rPr>
                <w:iCs/>
                <w:sz w:val="20"/>
                <w:lang w:val="en"/>
              </w:rPr>
              <w:t xml:space="preserve">. 6. </w:t>
            </w:r>
            <w:r w:rsidRPr="00003B04">
              <w:rPr>
                <w:sz w:val="20"/>
              </w:rPr>
              <w:t xml:space="preserve">The proposed class is composed of investors in Transamerica’s Can-Am Fund, an investment vehicle offered under insurance contracts sold by Transamerica between October 1992 and March 2001. </w:t>
            </w:r>
          </w:p>
          <w:p w:rsidR="00EE4290" w:rsidRPr="00003B04" w:rsidRDefault="00EE4290" w:rsidP="00EE4290">
            <w:pPr>
              <w:jc w:val="both"/>
              <w:rPr>
                <w:sz w:val="20"/>
              </w:rPr>
            </w:pPr>
          </w:p>
          <w:p w:rsidR="00EE4290" w:rsidRPr="00003B04" w:rsidRDefault="00EE4290" w:rsidP="00EE4290">
            <w:pPr>
              <w:jc w:val="both"/>
              <w:rPr>
                <w:sz w:val="20"/>
              </w:rPr>
            </w:pPr>
            <w:r w:rsidRPr="00003B04">
              <w:rPr>
                <w:sz w:val="20"/>
              </w:rPr>
              <w:t>The class action encompasses 53 different insurance contracts. Five of these contained an express statement that the fund would “on a best efforts basis replicate the performance of the S&amp;P 500 Total Return Index.” The other 48 contracts did not contain this express statement. However, beginning in 1994, every investor in the Can-Am Fund received an information folder containing a statement that the goal of the fund was to replicate, on a “best efforts” basis, the performance of the S&amp;P 500 Total Return Index. Mr. </w:t>
            </w:r>
            <w:proofErr w:type="spellStart"/>
            <w:r w:rsidRPr="00003B04">
              <w:rPr>
                <w:sz w:val="20"/>
              </w:rPr>
              <w:t>Fantl’s</w:t>
            </w:r>
            <w:proofErr w:type="spellEnd"/>
            <w:r w:rsidRPr="00003B04">
              <w:rPr>
                <w:sz w:val="20"/>
              </w:rPr>
              <w:t xml:space="preserve"> negligent misrepresentation claim arises from the “best efforts” statement in the information folder. </w:t>
            </w:r>
          </w:p>
          <w:p w:rsidR="00EE4290" w:rsidRPr="00003B04" w:rsidRDefault="00EE4290" w:rsidP="00EE4290">
            <w:pPr>
              <w:jc w:val="both"/>
              <w:rPr>
                <w:sz w:val="20"/>
              </w:rPr>
            </w:pPr>
          </w:p>
          <w:p w:rsidR="00EE4290" w:rsidRPr="00003B04" w:rsidRDefault="00EE4290" w:rsidP="00EE4290">
            <w:pPr>
              <w:jc w:val="both"/>
              <w:rPr>
                <w:sz w:val="20"/>
              </w:rPr>
            </w:pPr>
            <w:r w:rsidRPr="00003B04">
              <w:rPr>
                <w:sz w:val="20"/>
              </w:rPr>
              <w:t>The certification judge certified Mr. </w:t>
            </w:r>
            <w:proofErr w:type="spellStart"/>
            <w:r w:rsidRPr="00003B04">
              <w:rPr>
                <w:sz w:val="20"/>
              </w:rPr>
              <w:t>Fantl’s</w:t>
            </w:r>
            <w:proofErr w:type="spellEnd"/>
            <w:r w:rsidRPr="00003B04">
              <w:rPr>
                <w:sz w:val="20"/>
              </w:rPr>
              <w:t xml:space="preserve"> action for breach of contract based on the five insurance contracts that contained an express “best efforts” clause. He did not certify the negligent misrepresentation claim in relation to the statements in the information folders provided to investors in the other 48 contracts. The Divisional Court allowed the appeal and certified the negligent misrepresentation claims. The Court of Appeal dismissed the appeal. </w:t>
            </w:r>
          </w:p>
        </w:tc>
      </w:tr>
      <w:tr w:rsidR="00EE4290" w:rsidRPr="00003B04" w:rsidTr="00EE4290">
        <w:tc>
          <w:tcPr>
            <w:tcW w:w="5000" w:type="pct"/>
            <w:gridSpan w:val="2"/>
          </w:tcPr>
          <w:p w:rsidR="00EE4290" w:rsidRPr="00003B04" w:rsidRDefault="00EE4290" w:rsidP="00EE4290">
            <w:pPr>
              <w:jc w:val="both"/>
              <w:rPr>
                <w:sz w:val="20"/>
              </w:rPr>
            </w:pPr>
          </w:p>
        </w:tc>
      </w:tr>
    </w:tbl>
    <w:p w:rsidR="008F5EB8" w:rsidRPr="00003B04" w:rsidRDefault="008F5EB8">
      <w:r w:rsidRPr="00003B04">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E4290" w:rsidRPr="00003B04" w:rsidTr="00EE4290">
        <w:tc>
          <w:tcPr>
            <w:tcW w:w="2427" w:type="pct"/>
          </w:tcPr>
          <w:p w:rsidR="00EE4290" w:rsidRPr="00003B04" w:rsidRDefault="00EE4290" w:rsidP="00EE4290">
            <w:pPr>
              <w:jc w:val="both"/>
              <w:rPr>
                <w:sz w:val="20"/>
              </w:rPr>
            </w:pPr>
            <w:r w:rsidRPr="00003B04">
              <w:rPr>
                <w:sz w:val="20"/>
              </w:rPr>
              <w:lastRenderedPageBreak/>
              <w:t>April 18, 2013</w:t>
            </w:r>
          </w:p>
          <w:p w:rsidR="00EE4290" w:rsidRPr="00003B04" w:rsidRDefault="00EE4290" w:rsidP="00EE4290">
            <w:pPr>
              <w:jc w:val="both"/>
              <w:rPr>
                <w:sz w:val="20"/>
              </w:rPr>
            </w:pPr>
            <w:r w:rsidRPr="00003B04">
              <w:rPr>
                <w:sz w:val="20"/>
              </w:rPr>
              <w:t>Ontario Superior Court of Justice</w:t>
            </w:r>
          </w:p>
          <w:p w:rsidR="00EE4290" w:rsidRPr="00003B04" w:rsidRDefault="00EE4290" w:rsidP="00EE4290">
            <w:pPr>
              <w:jc w:val="both"/>
              <w:rPr>
                <w:sz w:val="20"/>
              </w:rPr>
            </w:pPr>
            <w:r w:rsidRPr="00003B04">
              <w:rPr>
                <w:sz w:val="20"/>
              </w:rPr>
              <w:t>(</w:t>
            </w:r>
            <w:proofErr w:type="spellStart"/>
            <w:r w:rsidRPr="00003B04">
              <w:rPr>
                <w:sz w:val="20"/>
              </w:rPr>
              <w:t>Perell</w:t>
            </w:r>
            <w:proofErr w:type="spellEnd"/>
            <w:r w:rsidRPr="00003B04">
              <w:rPr>
                <w:sz w:val="20"/>
              </w:rPr>
              <w:t xml:space="preserve"> J.)</w:t>
            </w:r>
          </w:p>
          <w:p w:rsidR="00EE4290" w:rsidRPr="00003B04" w:rsidRDefault="00604445" w:rsidP="00EE4290">
            <w:pPr>
              <w:jc w:val="both"/>
              <w:rPr>
                <w:sz w:val="20"/>
              </w:rPr>
            </w:pPr>
            <w:hyperlink r:id="rId45" w:history="1">
              <w:r w:rsidR="00EE4290" w:rsidRPr="00003B04">
                <w:rPr>
                  <w:rStyle w:val="Hyperlink"/>
                  <w:sz w:val="20"/>
                </w:rPr>
                <w:t>2013 ONSC 2298</w:t>
              </w:r>
            </w:hyperlink>
          </w:p>
          <w:p w:rsidR="00EE4290" w:rsidRPr="00003B04" w:rsidRDefault="00EE4290" w:rsidP="00EE4290">
            <w:pPr>
              <w:jc w:val="both"/>
              <w:rPr>
                <w:sz w:val="20"/>
              </w:rPr>
            </w:pPr>
          </w:p>
        </w:tc>
        <w:tc>
          <w:tcPr>
            <w:tcW w:w="243" w:type="pct"/>
          </w:tcPr>
          <w:p w:rsidR="00EE4290" w:rsidRPr="00003B04" w:rsidRDefault="00EE4290" w:rsidP="00EE4290">
            <w:pPr>
              <w:jc w:val="both"/>
              <w:rPr>
                <w:sz w:val="20"/>
              </w:rPr>
            </w:pPr>
          </w:p>
        </w:tc>
        <w:tc>
          <w:tcPr>
            <w:tcW w:w="2330" w:type="pct"/>
          </w:tcPr>
          <w:p w:rsidR="00EE4290" w:rsidRPr="00003B04" w:rsidRDefault="00EE4290" w:rsidP="00EE4290">
            <w:pPr>
              <w:jc w:val="both"/>
              <w:rPr>
                <w:sz w:val="20"/>
              </w:rPr>
            </w:pPr>
            <w:r w:rsidRPr="00003B04">
              <w:rPr>
                <w:sz w:val="20"/>
              </w:rPr>
              <w:t xml:space="preserve">Motion for certification granted in part. Action certified as a class proceeding with respect to claim for breach of express terms of contract and related relief. Claims and causes of action for breach of implied terms of contract and breach of collateral warranty or contract struck and dismissed. </w:t>
            </w:r>
          </w:p>
          <w:p w:rsidR="00EE4290" w:rsidRPr="00003B04" w:rsidRDefault="00EE4290" w:rsidP="00EE4290">
            <w:pPr>
              <w:jc w:val="both"/>
              <w:rPr>
                <w:sz w:val="20"/>
              </w:rPr>
            </w:pPr>
          </w:p>
        </w:tc>
      </w:tr>
      <w:tr w:rsidR="00EE4290" w:rsidRPr="00003B04" w:rsidTr="00EE4290">
        <w:tc>
          <w:tcPr>
            <w:tcW w:w="2427" w:type="pct"/>
          </w:tcPr>
          <w:p w:rsidR="00EE4290" w:rsidRPr="00003B04" w:rsidRDefault="00EE4290" w:rsidP="00EE4290">
            <w:pPr>
              <w:jc w:val="both"/>
              <w:rPr>
                <w:sz w:val="20"/>
              </w:rPr>
            </w:pPr>
            <w:r w:rsidRPr="00003B04">
              <w:rPr>
                <w:sz w:val="20"/>
              </w:rPr>
              <w:t>March 9, 2015</w:t>
            </w:r>
          </w:p>
          <w:p w:rsidR="00EE4290" w:rsidRPr="00003B04" w:rsidRDefault="00EE4290" w:rsidP="00EE4290">
            <w:pPr>
              <w:jc w:val="both"/>
              <w:rPr>
                <w:sz w:val="20"/>
              </w:rPr>
            </w:pPr>
            <w:r w:rsidRPr="00003B04">
              <w:rPr>
                <w:sz w:val="20"/>
              </w:rPr>
              <w:t>Ontario Superior Court of Justice</w:t>
            </w:r>
          </w:p>
          <w:p w:rsidR="00EE4290" w:rsidRPr="00003B04" w:rsidRDefault="00EE4290" w:rsidP="00EE4290">
            <w:pPr>
              <w:jc w:val="both"/>
              <w:rPr>
                <w:sz w:val="20"/>
              </w:rPr>
            </w:pPr>
            <w:r w:rsidRPr="00003B04">
              <w:rPr>
                <w:sz w:val="20"/>
              </w:rPr>
              <w:t>(Sachs, Corbett and Gilmore JJ.)</w:t>
            </w:r>
          </w:p>
          <w:p w:rsidR="00EE4290" w:rsidRPr="00003B04" w:rsidRDefault="00604445" w:rsidP="00EE4290">
            <w:pPr>
              <w:jc w:val="both"/>
              <w:rPr>
                <w:sz w:val="20"/>
              </w:rPr>
            </w:pPr>
            <w:hyperlink r:id="rId46" w:history="1">
              <w:r w:rsidR="00EE4290" w:rsidRPr="00003B04">
                <w:rPr>
                  <w:rStyle w:val="Hyperlink"/>
                  <w:sz w:val="20"/>
                </w:rPr>
                <w:t>2015 ONSC 1367</w:t>
              </w:r>
            </w:hyperlink>
          </w:p>
          <w:p w:rsidR="00EE4290" w:rsidRPr="00003B04" w:rsidRDefault="00EE4290" w:rsidP="00EE4290">
            <w:pPr>
              <w:jc w:val="both"/>
              <w:rPr>
                <w:sz w:val="20"/>
              </w:rPr>
            </w:pPr>
          </w:p>
        </w:tc>
        <w:tc>
          <w:tcPr>
            <w:tcW w:w="243" w:type="pct"/>
          </w:tcPr>
          <w:p w:rsidR="00EE4290" w:rsidRPr="00003B04" w:rsidRDefault="00EE4290" w:rsidP="00EE4290">
            <w:pPr>
              <w:jc w:val="both"/>
              <w:rPr>
                <w:sz w:val="20"/>
              </w:rPr>
            </w:pPr>
          </w:p>
        </w:tc>
        <w:tc>
          <w:tcPr>
            <w:tcW w:w="2330" w:type="pct"/>
          </w:tcPr>
          <w:p w:rsidR="00EE4290" w:rsidRPr="00003B04" w:rsidRDefault="00EE4290" w:rsidP="00EE4290">
            <w:pPr>
              <w:jc w:val="both"/>
              <w:rPr>
                <w:sz w:val="20"/>
              </w:rPr>
            </w:pPr>
            <w:r w:rsidRPr="00003B04">
              <w:rPr>
                <w:sz w:val="20"/>
              </w:rPr>
              <w:t xml:space="preserve">Appeal allowed. Claim for negligent misrepresentation certified. </w:t>
            </w:r>
          </w:p>
          <w:p w:rsidR="00EE4290" w:rsidRPr="00003B04" w:rsidRDefault="00EE4290" w:rsidP="00EE4290">
            <w:pPr>
              <w:jc w:val="both"/>
              <w:rPr>
                <w:sz w:val="20"/>
              </w:rPr>
            </w:pPr>
          </w:p>
        </w:tc>
      </w:tr>
      <w:tr w:rsidR="00EE4290" w:rsidRPr="00003B04" w:rsidTr="00EE4290">
        <w:tc>
          <w:tcPr>
            <w:tcW w:w="2427" w:type="pct"/>
          </w:tcPr>
          <w:p w:rsidR="00EE4290" w:rsidRPr="00003B04" w:rsidRDefault="00EE4290" w:rsidP="00EE4290">
            <w:pPr>
              <w:jc w:val="both"/>
              <w:rPr>
                <w:sz w:val="20"/>
              </w:rPr>
            </w:pPr>
            <w:r w:rsidRPr="00003B04">
              <w:rPr>
                <w:sz w:val="20"/>
              </w:rPr>
              <w:t>August 22, 2016</w:t>
            </w:r>
          </w:p>
          <w:p w:rsidR="00EE4290" w:rsidRPr="00003B04" w:rsidRDefault="00EE4290" w:rsidP="00EE4290">
            <w:pPr>
              <w:jc w:val="both"/>
              <w:rPr>
                <w:sz w:val="20"/>
              </w:rPr>
            </w:pPr>
            <w:r w:rsidRPr="00003B04">
              <w:rPr>
                <w:sz w:val="20"/>
              </w:rPr>
              <w:t>Court of Appeal for Ontario</w:t>
            </w:r>
          </w:p>
          <w:p w:rsidR="00EE4290" w:rsidRPr="00003B04" w:rsidRDefault="00EE4290" w:rsidP="00EE4290">
            <w:pPr>
              <w:jc w:val="both"/>
              <w:rPr>
                <w:sz w:val="20"/>
              </w:rPr>
            </w:pPr>
            <w:r w:rsidRPr="00003B04">
              <w:rPr>
                <w:sz w:val="20"/>
              </w:rPr>
              <w:t xml:space="preserve">(Strathy C.J.O and Blair and </w:t>
            </w:r>
            <w:proofErr w:type="spellStart"/>
            <w:r w:rsidRPr="00003B04">
              <w:rPr>
                <w:sz w:val="20"/>
              </w:rPr>
              <w:t>Lauwers</w:t>
            </w:r>
            <w:proofErr w:type="spellEnd"/>
            <w:r w:rsidRPr="00003B04">
              <w:rPr>
                <w:sz w:val="20"/>
              </w:rPr>
              <w:t xml:space="preserve"> JJ.A.)</w:t>
            </w:r>
          </w:p>
          <w:p w:rsidR="00EE4290" w:rsidRPr="00003B04" w:rsidRDefault="00604445" w:rsidP="00EE4290">
            <w:pPr>
              <w:jc w:val="both"/>
              <w:rPr>
                <w:sz w:val="20"/>
              </w:rPr>
            </w:pPr>
            <w:hyperlink r:id="rId47" w:history="1">
              <w:r w:rsidR="00EE4290" w:rsidRPr="00003B04">
                <w:rPr>
                  <w:rStyle w:val="Hyperlink"/>
                  <w:sz w:val="20"/>
                </w:rPr>
                <w:t>2016 ONCA 633</w:t>
              </w:r>
            </w:hyperlink>
          </w:p>
          <w:p w:rsidR="00EE4290" w:rsidRPr="00003B04" w:rsidRDefault="00EE4290" w:rsidP="00EE4290">
            <w:pPr>
              <w:jc w:val="both"/>
              <w:rPr>
                <w:sz w:val="20"/>
              </w:rPr>
            </w:pPr>
            <w:r w:rsidRPr="00003B04">
              <w:rPr>
                <w:sz w:val="20"/>
              </w:rPr>
              <w:t>File No.: C61284</w:t>
            </w:r>
          </w:p>
          <w:p w:rsidR="00EE4290" w:rsidRPr="00003B04" w:rsidRDefault="00EE4290" w:rsidP="00EE4290">
            <w:pPr>
              <w:jc w:val="both"/>
              <w:rPr>
                <w:sz w:val="20"/>
              </w:rPr>
            </w:pPr>
          </w:p>
        </w:tc>
        <w:tc>
          <w:tcPr>
            <w:tcW w:w="243" w:type="pct"/>
          </w:tcPr>
          <w:p w:rsidR="00EE4290" w:rsidRPr="00003B04" w:rsidRDefault="00EE4290" w:rsidP="00EE4290">
            <w:pPr>
              <w:jc w:val="both"/>
              <w:rPr>
                <w:sz w:val="20"/>
              </w:rPr>
            </w:pPr>
          </w:p>
        </w:tc>
        <w:tc>
          <w:tcPr>
            <w:tcW w:w="2330" w:type="pct"/>
          </w:tcPr>
          <w:p w:rsidR="00EE4290" w:rsidRPr="00003B04" w:rsidRDefault="00EE4290" w:rsidP="00EE4290">
            <w:pPr>
              <w:jc w:val="both"/>
              <w:rPr>
                <w:sz w:val="20"/>
              </w:rPr>
            </w:pPr>
            <w:r w:rsidRPr="00003B04">
              <w:rPr>
                <w:sz w:val="20"/>
              </w:rPr>
              <w:t xml:space="preserve">Appeal dismissed. </w:t>
            </w:r>
          </w:p>
          <w:p w:rsidR="00EE4290" w:rsidRPr="00003B04" w:rsidRDefault="00EE4290" w:rsidP="00EE4290">
            <w:pPr>
              <w:jc w:val="both"/>
              <w:rPr>
                <w:sz w:val="20"/>
              </w:rPr>
            </w:pPr>
          </w:p>
        </w:tc>
      </w:tr>
      <w:tr w:rsidR="00EE4290" w:rsidRPr="00003B04" w:rsidTr="00EE4290">
        <w:tc>
          <w:tcPr>
            <w:tcW w:w="2427" w:type="pct"/>
          </w:tcPr>
          <w:p w:rsidR="00EE4290" w:rsidRPr="00003B04" w:rsidRDefault="00EE4290" w:rsidP="00EE4290">
            <w:pPr>
              <w:jc w:val="both"/>
              <w:rPr>
                <w:sz w:val="20"/>
              </w:rPr>
            </w:pPr>
            <w:r w:rsidRPr="00003B04">
              <w:rPr>
                <w:sz w:val="20"/>
              </w:rPr>
              <w:t>October 20, 2016</w:t>
            </w:r>
          </w:p>
          <w:p w:rsidR="00EE4290" w:rsidRPr="00003B04" w:rsidRDefault="00EE4290" w:rsidP="00EE4290">
            <w:pPr>
              <w:jc w:val="both"/>
              <w:rPr>
                <w:sz w:val="20"/>
              </w:rPr>
            </w:pPr>
            <w:r w:rsidRPr="00003B04">
              <w:rPr>
                <w:sz w:val="20"/>
              </w:rPr>
              <w:t>Supreme Court of Canada</w:t>
            </w:r>
          </w:p>
        </w:tc>
        <w:tc>
          <w:tcPr>
            <w:tcW w:w="243" w:type="pct"/>
          </w:tcPr>
          <w:p w:rsidR="00EE4290" w:rsidRPr="00003B04" w:rsidRDefault="00EE4290" w:rsidP="00EE4290">
            <w:pPr>
              <w:jc w:val="both"/>
              <w:rPr>
                <w:sz w:val="20"/>
              </w:rPr>
            </w:pPr>
          </w:p>
        </w:tc>
        <w:tc>
          <w:tcPr>
            <w:tcW w:w="2330" w:type="pct"/>
          </w:tcPr>
          <w:p w:rsidR="00EE4290" w:rsidRPr="00003B04" w:rsidRDefault="00EE4290" w:rsidP="00EE4290">
            <w:pPr>
              <w:jc w:val="both"/>
              <w:rPr>
                <w:sz w:val="20"/>
              </w:rPr>
            </w:pPr>
            <w:r w:rsidRPr="00003B04">
              <w:rPr>
                <w:sz w:val="20"/>
              </w:rPr>
              <w:t>Application for leave to appeal filed.</w:t>
            </w:r>
          </w:p>
        </w:tc>
      </w:tr>
    </w:tbl>
    <w:p w:rsidR="00EE4290" w:rsidRPr="00003B04" w:rsidRDefault="00604445" w:rsidP="00EE4290">
      <w:pPr>
        <w:jc w:val="both"/>
        <w:rPr>
          <w:sz w:val="20"/>
        </w:rPr>
      </w:pPr>
      <w:r>
        <w:rPr>
          <w:sz w:val="20"/>
          <w:szCs w:val="20"/>
        </w:rPr>
        <w:pict>
          <v:rect id="_x0000_i1059" style="width:2in;height:1pt" o:hrpct="0" o:hralign="center" o:hrstd="t" o:hrnoshade="t" o:hr="t" fillcolor="black [3213]" stroked="f"/>
        </w:pict>
      </w:r>
    </w:p>
    <w:p w:rsidR="00EE4290" w:rsidRPr="00003B04" w:rsidRDefault="00EE4290" w:rsidP="00EE429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E4290" w:rsidRPr="00003B04" w:rsidTr="00EE4290">
        <w:tc>
          <w:tcPr>
            <w:tcW w:w="543" w:type="pct"/>
          </w:tcPr>
          <w:p w:rsidR="00EE4290" w:rsidRPr="00003B04" w:rsidRDefault="00EE4290" w:rsidP="00EE4290">
            <w:pPr>
              <w:jc w:val="both"/>
              <w:rPr>
                <w:sz w:val="20"/>
                <w:lang w:val="fr-CA"/>
              </w:rPr>
            </w:pPr>
            <w:r w:rsidRPr="00003B04">
              <w:rPr>
                <w:rStyle w:val="SCCFileNumberChar"/>
                <w:sz w:val="20"/>
                <w:szCs w:val="20"/>
                <w:lang w:val="fr-CA"/>
              </w:rPr>
              <w:t>37258</w:t>
            </w:r>
          </w:p>
        </w:tc>
        <w:tc>
          <w:tcPr>
            <w:tcW w:w="4457" w:type="pct"/>
            <w:gridSpan w:val="3"/>
          </w:tcPr>
          <w:p w:rsidR="00EE4290" w:rsidRPr="00003B04" w:rsidRDefault="00EE4290" w:rsidP="00767A6B">
            <w:pPr>
              <w:pStyle w:val="SCCLsocParty"/>
              <w:jc w:val="both"/>
              <w:rPr>
                <w:sz w:val="20"/>
              </w:rPr>
            </w:pPr>
            <w:proofErr w:type="spellStart"/>
            <w:r w:rsidRPr="00003B04">
              <w:rPr>
                <w:b/>
                <w:sz w:val="20"/>
                <w:szCs w:val="20"/>
              </w:rPr>
              <w:t>Transamerica</w:t>
            </w:r>
            <w:proofErr w:type="spellEnd"/>
            <w:r w:rsidRPr="00003B04">
              <w:rPr>
                <w:b/>
                <w:sz w:val="20"/>
                <w:szCs w:val="20"/>
              </w:rPr>
              <w:t xml:space="preserve"> Vie du Canada c. Joseph </w:t>
            </w:r>
            <w:proofErr w:type="spellStart"/>
            <w:r w:rsidRPr="00003B04">
              <w:rPr>
                <w:b/>
                <w:sz w:val="20"/>
                <w:szCs w:val="20"/>
              </w:rPr>
              <w:t>Fantl</w:t>
            </w:r>
            <w:proofErr w:type="spellEnd"/>
            <w:r w:rsidR="00767A6B" w:rsidRPr="00003B04">
              <w:rPr>
                <w:b/>
                <w:sz w:val="20"/>
                <w:szCs w:val="20"/>
              </w:rPr>
              <w:t xml:space="preserve"> </w:t>
            </w:r>
            <w:r w:rsidRPr="00003B04">
              <w:rPr>
                <w:sz w:val="20"/>
              </w:rPr>
              <w:t>(Ont.) (Civile) (Sur autorisation)</w:t>
            </w:r>
          </w:p>
          <w:p w:rsidR="00767A6B" w:rsidRPr="00003B04" w:rsidRDefault="00767A6B" w:rsidP="00767A6B">
            <w:pPr>
              <w:rPr>
                <w:lang w:val="fr-CA"/>
              </w:rPr>
            </w:pPr>
          </w:p>
        </w:tc>
      </w:tr>
      <w:tr w:rsidR="00D310D9" w:rsidRPr="00C3697D" w:rsidTr="00EE4290">
        <w:tc>
          <w:tcPr>
            <w:tcW w:w="543" w:type="pct"/>
          </w:tcPr>
          <w:p w:rsidR="00D310D9" w:rsidRPr="00003B04" w:rsidRDefault="00D310D9" w:rsidP="00EE4290">
            <w:pPr>
              <w:jc w:val="both"/>
              <w:rPr>
                <w:rStyle w:val="SCCFileNumberChar"/>
                <w:sz w:val="20"/>
                <w:szCs w:val="20"/>
                <w:lang w:val="fr-CA"/>
              </w:rPr>
            </w:pPr>
            <w:r w:rsidRPr="00003B04">
              <w:rPr>
                <w:rStyle w:val="SCCFileNumberChar"/>
                <w:sz w:val="20"/>
                <w:szCs w:val="20"/>
                <w:lang w:val="fr-CA"/>
              </w:rPr>
              <w:t>Coram :</w:t>
            </w:r>
          </w:p>
        </w:tc>
        <w:tc>
          <w:tcPr>
            <w:tcW w:w="4457" w:type="pct"/>
            <w:gridSpan w:val="3"/>
          </w:tcPr>
          <w:p w:rsidR="00D310D9" w:rsidRPr="00003B04" w:rsidRDefault="000E7F29" w:rsidP="00EE4290">
            <w:pPr>
              <w:pStyle w:val="SCCLsocParty"/>
              <w:jc w:val="both"/>
              <w:rPr>
                <w:sz w:val="20"/>
                <w:szCs w:val="20"/>
                <w:lang w:val="fr-FR"/>
              </w:rPr>
            </w:pPr>
            <w:r w:rsidRPr="00003B04">
              <w:rPr>
                <w:sz w:val="20"/>
                <w:szCs w:val="20"/>
                <w:lang w:val="fr-FR"/>
              </w:rPr>
              <w:t xml:space="preserve">La juge en chef </w:t>
            </w:r>
            <w:proofErr w:type="spellStart"/>
            <w:r w:rsidRPr="00003B04">
              <w:rPr>
                <w:sz w:val="20"/>
                <w:szCs w:val="20"/>
                <w:lang w:val="fr-FR"/>
              </w:rPr>
              <w:t>McLachlin</w:t>
            </w:r>
            <w:proofErr w:type="spellEnd"/>
            <w:r w:rsidRPr="00003B04">
              <w:rPr>
                <w:sz w:val="20"/>
                <w:szCs w:val="20"/>
                <w:lang w:val="fr-FR"/>
              </w:rPr>
              <w:t xml:space="preserve"> et les juges Abella, </w:t>
            </w:r>
            <w:proofErr w:type="spellStart"/>
            <w:r w:rsidRPr="00003B04">
              <w:rPr>
                <w:sz w:val="20"/>
                <w:szCs w:val="20"/>
                <w:lang w:val="fr-FR"/>
              </w:rPr>
              <w:t>Moldaver</w:t>
            </w:r>
            <w:proofErr w:type="spellEnd"/>
            <w:r w:rsidRPr="00003B04">
              <w:rPr>
                <w:sz w:val="20"/>
                <w:szCs w:val="20"/>
                <w:lang w:val="fr-FR"/>
              </w:rPr>
              <w:t xml:space="preserve">, </w:t>
            </w:r>
            <w:proofErr w:type="spellStart"/>
            <w:r w:rsidRPr="00003B04">
              <w:rPr>
                <w:sz w:val="20"/>
                <w:szCs w:val="20"/>
                <w:lang w:val="fr-FR"/>
              </w:rPr>
              <w:t>Karakatsanis</w:t>
            </w:r>
            <w:proofErr w:type="spellEnd"/>
            <w:r w:rsidRPr="00003B04">
              <w:rPr>
                <w:sz w:val="20"/>
                <w:szCs w:val="20"/>
                <w:lang w:val="fr-FR"/>
              </w:rPr>
              <w:t>, Wagner, Gascon, Côté, Brown et Rowe</w:t>
            </w:r>
          </w:p>
          <w:p w:rsidR="000E7F29" w:rsidRPr="00003B04" w:rsidRDefault="000E7F29" w:rsidP="000E7F29">
            <w:pPr>
              <w:rPr>
                <w:lang w:val="fr-FR"/>
              </w:rPr>
            </w:pPr>
          </w:p>
        </w:tc>
      </w:tr>
      <w:tr w:rsidR="00D310D9" w:rsidRPr="00C3697D" w:rsidTr="00D310D9">
        <w:tc>
          <w:tcPr>
            <w:tcW w:w="5000" w:type="pct"/>
            <w:gridSpan w:val="4"/>
          </w:tcPr>
          <w:p w:rsidR="00D310D9" w:rsidRPr="00003B04" w:rsidRDefault="000E7F29" w:rsidP="00EE4290">
            <w:pPr>
              <w:pStyle w:val="SCCLsocParty"/>
              <w:jc w:val="both"/>
              <w:rPr>
                <w:sz w:val="20"/>
                <w:szCs w:val="20"/>
              </w:rPr>
            </w:pPr>
            <w:r w:rsidRPr="00003B04">
              <w:rPr>
                <w:sz w:val="20"/>
                <w:szCs w:val="20"/>
              </w:rPr>
              <w:t xml:space="preserve">La demande d’autorisation d’appel de l’arrêt de la </w:t>
            </w:r>
            <w:r w:rsidRPr="00003B04">
              <w:rPr>
                <w:sz w:val="20"/>
                <w:szCs w:val="20"/>
                <w:lang w:val="fr-FR"/>
              </w:rPr>
              <w:t>Cour d’appel de l’Ontario</w:t>
            </w:r>
            <w:r w:rsidRPr="00003B04">
              <w:rPr>
                <w:sz w:val="20"/>
                <w:szCs w:val="20"/>
              </w:rPr>
              <w:t xml:space="preserve">, numéro </w:t>
            </w:r>
            <w:r w:rsidRPr="00003B04">
              <w:rPr>
                <w:sz w:val="20"/>
                <w:szCs w:val="20"/>
                <w:lang w:val="fr-FR"/>
              </w:rPr>
              <w:t>C61284, 2016 ONCA 633</w:t>
            </w:r>
            <w:r w:rsidRPr="00003B04">
              <w:rPr>
                <w:sz w:val="20"/>
                <w:szCs w:val="20"/>
              </w:rPr>
              <w:t xml:space="preserve">, daté du </w:t>
            </w:r>
            <w:r w:rsidRPr="00003B04">
              <w:rPr>
                <w:sz w:val="20"/>
                <w:szCs w:val="20"/>
                <w:lang w:val="fr-FR"/>
              </w:rPr>
              <w:t>22 août 2016</w:t>
            </w:r>
            <w:r w:rsidRPr="00003B04">
              <w:rPr>
                <w:sz w:val="20"/>
                <w:szCs w:val="20"/>
              </w:rPr>
              <w:t>, est rejetée avec dépens.</w:t>
            </w:r>
          </w:p>
          <w:p w:rsidR="000E7F29" w:rsidRPr="00003B04" w:rsidRDefault="000E7F29" w:rsidP="000E7F29">
            <w:pPr>
              <w:rPr>
                <w:lang w:val="fr-CA"/>
              </w:rPr>
            </w:pPr>
          </w:p>
        </w:tc>
      </w:tr>
      <w:tr w:rsidR="00EE4290" w:rsidRPr="00C3697D" w:rsidTr="00EE4290">
        <w:tc>
          <w:tcPr>
            <w:tcW w:w="5000" w:type="pct"/>
            <w:gridSpan w:val="4"/>
          </w:tcPr>
          <w:p w:rsidR="00EE4290" w:rsidRPr="00003B04" w:rsidRDefault="00EE4290" w:rsidP="00EE4290">
            <w:pPr>
              <w:jc w:val="both"/>
              <w:rPr>
                <w:sz w:val="20"/>
                <w:lang w:val="fr-CA"/>
              </w:rPr>
            </w:pPr>
            <w:r w:rsidRPr="00003B04">
              <w:rPr>
                <w:iCs/>
                <w:sz w:val="20"/>
                <w:lang w:val="fr-CA"/>
              </w:rPr>
              <w:t xml:space="preserve">Procédure civile — Recours collectifs — Certification — Déclaration inexacte faite par négligence — Le juge saisi de la motion n’a pas certifié les demandes fondées sur la déclaration inexacte faite par négligence — La Cour supérieure et la Cour d’appel ont certifié les demandes — </w:t>
            </w:r>
            <w:r w:rsidRPr="00003B04">
              <w:rPr>
                <w:sz w:val="20"/>
                <w:lang w:val="fr-CA"/>
              </w:rPr>
              <w:t xml:space="preserve">Dans quels cas, s’il en est, un recours collectif constituera-t-il une méthode juste, efficace et pratique de régler les demandes fondées sur la déclaration inexacte faite par négligence lorsque la causalité et les dommages-intérêts ne sont pas des questions communes? </w:t>
            </w:r>
            <w:r w:rsidRPr="00003B04">
              <w:rPr>
                <w:i/>
                <w:iCs/>
                <w:sz w:val="20"/>
                <w:lang w:val="fr-CA"/>
              </w:rPr>
              <w:t>— Loi de 1992 sur les recours collectifs</w:t>
            </w:r>
            <w:r w:rsidRPr="00003B04">
              <w:rPr>
                <w:iCs/>
                <w:sz w:val="20"/>
                <w:lang w:val="fr-CA"/>
              </w:rPr>
              <w:t xml:space="preserve">, L.O. 1992, ch. 6. </w:t>
            </w:r>
          </w:p>
          <w:p w:rsidR="00EE4290" w:rsidRPr="00003B04" w:rsidRDefault="00EE4290" w:rsidP="00EE4290">
            <w:pPr>
              <w:jc w:val="both"/>
              <w:rPr>
                <w:sz w:val="20"/>
                <w:lang w:val="fr-CA"/>
              </w:rPr>
            </w:pPr>
          </w:p>
        </w:tc>
      </w:tr>
      <w:tr w:rsidR="00EE4290" w:rsidRPr="00003B04" w:rsidTr="00EE4290">
        <w:tc>
          <w:tcPr>
            <w:tcW w:w="5000" w:type="pct"/>
            <w:gridSpan w:val="4"/>
          </w:tcPr>
          <w:p w:rsidR="00EE4290" w:rsidRPr="00003B04" w:rsidRDefault="00EE4290" w:rsidP="00EE4290">
            <w:pPr>
              <w:jc w:val="both"/>
              <w:rPr>
                <w:sz w:val="20"/>
                <w:lang w:val="fr-CA"/>
              </w:rPr>
            </w:pPr>
            <w:r w:rsidRPr="00003B04">
              <w:rPr>
                <w:sz w:val="20"/>
                <w:lang w:val="fr-CA"/>
              </w:rPr>
              <w:t>L’intimé, M. </w:t>
            </w:r>
            <w:proofErr w:type="spellStart"/>
            <w:r w:rsidRPr="00003B04">
              <w:rPr>
                <w:sz w:val="20"/>
                <w:lang w:val="fr-CA"/>
              </w:rPr>
              <w:t>Fantl</w:t>
            </w:r>
            <w:proofErr w:type="spellEnd"/>
            <w:r w:rsidRPr="00003B04">
              <w:rPr>
                <w:sz w:val="20"/>
                <w:lang w:val="fr-CA"/>
              </w:rPr>
              <w:t xml:space="preserve">, a sollicité une motion en vue de faire certifier un recours collectif contre la demanderesse, </w:t>
            </w:r>
            <w:proofErr w:type="spellStart"/>
            <w:r w:rsidRPr="00003B04">
              <w:rPr>
                <w:sz w:val="20"/>
                <w:lang w:val="fr-CA"/>
              </w:rPr>
              <w:t>Transamerica</w:t>
            </w:r>
            <w:proofErr w:type="spellEnd"/>
            <w:r w:rsidRPr="00003B04">
              <w:rPr>
                <w:sz w:val="20"/>
                <w:lang w:val="fr-CA"/>
              </w:rPr>
              <w:t xml:space="preserve"> Vie du Canada, en application de la </w:t>
            </w:r>
            <w:r w:rsidRPr="00003B04">
              <w:rPr>
                <w:i/>
                <w:iCs/>
                <w:sz w:val="20"/>
                <w:lang w:val="fr-CA"/>
              </w:rPr>
              <w:t>Loi de 1992 sur les recours collectifs</w:t>
            </w:r>
            <w:r w:rsidRPr="00003B04">
              <w:rPr>
                <w:iCs/>
                <w:sz w:val="20"/>
                <w:lang w:val="fr-CA"/>
              </w:rPr>
              <w:t>,</w:t>
            </w:r>
            <w:r w:rsidRPr="00003B04">
              <w:rPr>
                <w:i/>
                <w:iCs/>
                <w:sz w:val="20"/>
                <w:lang w:val="fr-CA"/>
              </w:rPr>
              <w:t xml:space="preserve"> </w:t>
            </w:r>
            <w:r w:rsidRPr="00003B04">
              <w:rPr>
                <w:iCs/>
                <w:sz w:val="20"/>
                <w:lang w:val="fr-CA"/>
              </w:rPr>
              <w:t xml:space="preserve">L.O. 1992, ch. 6. </w:t>
            </w:r>
            <w:r w:rsidRPr="00003B04">
              <w:rPr>
                <w:sz w:val="20"/>
                <w:lang w:val="fr-CA"/>
              </w:rPr>
              <w:t xml:space="preserve">Le groupe projeté est constitué d’investisseurs dans le Fonds Can-Am de </w:t>
            </w:r>
            <w:proofErr w:type="spellStart"/>
            <w:r w:rsidRPr="00003B04">
              <w:rPr>
                <w:sz w:val="20"/>
                <w:lang w:val="fr-CA"/>
              </w:rPr>
              <w:t>Transamerica</w:t>
            </w:r>
            <w:proofErr w:type="spellEnd"/>
            <w:r w:rsidRPr="00003B04">
              <w:rPr>
                <w:sz w:val="20"/>
                <w:lang w:val="fr-CA"/>
              </w:rPr>
              <w:t xml:space="preserve">, un véhicule de placement offert en vertu de contrats d’assurance vendus par </w:t>
            </w:r>
            <w:proofErr w:type="spellStart"/>
            <w:r w:rsidRPr="00003B04">
              <w:rPr>
                <w:sz w:val="20"/>
                <w:lang w:val="fr-CA"/>
              </w:rPr>
              <w:t>Transamerica</w:t>
            </w:r>
            <w:proofErr w:type="spellEnd"/>
            <w:r w:rsidRPr="00003B04">
              <w:rPr>
                <w:sz w:val="20"/>
                <w:lang w:val="fr-CA"/>
              </w:rPr>
              <w:t xml:space="preserve"> entre octobre 1992 et mars 2001. </w:t>
            </w:r>
          </w:p>
          <w:p w:rsidR="00EE4290" w:rsidRPr="00003B04" w:rsidRDefault="00EE4290" w:rsidP="00EE4290">
            <w:pPr>
              <w:jc w:val="both"/>
              <w:rPr>
                <w:sz w:val="20"/>
                <w:lang w:val="fr-CA"/>
              </w:rPr>
            </w:pPr>
          </w:p>
          <w:p w:rsidR="00EE4290" w:rsidRPr="00003B04" w:rsidRDefault="00EE4290" w:rsidP="00EE4290">
            <w:pPr>
              <w:jc w:val="both"/>
              <w:rPr>
                <w:sz w:val="20"/>
                <w:lang w:val="fr-CA"/>
              </w:rPr>
            </w:pPr>
            <w:r w:rsidRPr="00003B04">
              <w:rPr>
                <w:sz w:val="20"/>
                <w:lang w:val="fr-CA"/>
              </w:rPr>
              <w:t>Le recours collectif englobe 53 contrats d’assurance différents. Cinq d’entre eux renfermaient une déclaration expresse selon laquelle le fonds, [</w:t>
            </w:r>
            <w:r w:rsidRPr="00003B04">
              <w:rPr>
                <w:smallCaps/>
                <w:sz w:val="20"/>
                <w:lang w:val="fr-CA"/>
              </w:rPr>
              <w:t>traduction</w:t>
            </w:r>
            <w:r w:rsidRPr="00003B04">
              <w:rPr>
                <w:sz w:val="20"/>
                <w:lang w:val="fr-CA"/>
              </w:rPr>
              <w:t xml:space="preserve">] « dans la mesure du possible, offrirait un rendement équivalent à l’indice de rendement global du S&amp;P 500 ». Les 48 autres contrats ne renfermaient pas cette déclaration expresse. Toutefois, à compter de 1994, chaque investisseur dans le Fonds Can-Am recevait un dépliant renfermant une déclaration selon laquelle le fonds avait pour objectif, dans la mesure du possible, d’offrir un rendement équivalent à l’indice de rendement global du S&amp;P 500. Dans sa demande </w:t>
            </w:r>
            <w:r w:rsidRPr="00003B04">
              <w:rPr>
                <w:iCs/>
                <w:sz w:val="20"/>
                <w:lang w:val="fr-CA"/>
              </w:rPr>
              <w:t>fondée sur la déclaration inexacte faite par négligence,</w:t>
            </w:r>
            <w:r w:rsidRPr="00003B04">
              <w:rPr>
                <w:sz w:val="20"/>
                <w:lang w:val="fr-CA"/>
              </w:rPr>
              <w:t xml:space="preserve"> M. </w:t>
            </w:r>
            <w:proofErr w:type="spellStart"/>
            <w:r w:rsidRPr="00003B04">
              <w:rPr>
                <w:sz w:val="20"/>
                <w:lang w:val="fr-CA"/>
              </w:rPr>
              <w:t>Fantl</w:t>
            </w:r>
            <w:proofErr w:type="spellEnd"/>
            <w:r w:rsidRPr="00003B04">
              <w:rPr>
                <w:sz w:val="20"/>
                <w:lang w:val="fr-CA"/>
              </w:rPr>
              <w:t xml:space="preserve"> prétend que la déclaration « dans la mesure du possible », dans le dépliant d’information, était inexacte. </w:t>
            </w:r>
          </w:p>
          <w:p w:rsidR="00EE4290" w:rsidRPr="00003B04" w:rsidRDefault="00EE4290" w:rsidP="00EE4290">
            <w:pPr>
              <w:jc w:val="both"/>
              <w:rPr>
                <w:sz w:val="20"/>
                <w:lang w:val="fr-CA"/>
              </w:rPr>
            </w:pPr>
          </w:p>
          <w:p w:rsidR="00EE4290" w:rsidRPr="00003B04" w:rsidRDefault="00EE4290" w:rsidP="00EE4290">
            <w:pPr>
              <w:jc w:val="both"/>
              <w:rPr>
                <w:sz w:val="20"/>
                <w:lang w:val="fr-CA"/>
              </w:rPr>
            </w:pPr>
            <w:r w:rsidRPr="00003B04">
              <w:rPr>
                <w:sz w:val="20"/>
                <w:lang w:val="fr-CA"/>
              </w:rPr>
              <w:lastRenderedPageBreak/>
              <w:t>Le juge saisi de la motion en vue de la certification a certifié le recours de M. </w:t>
            </w:r>
            <w:proofErr w:type="spellStart"/>
            <w:r w:rsidRPr="00003B04">
              <w:rPr>
                <w:sz w:val="20"/>
                <w:lang w:val="fr-CA"/>
              </w:rPr>
              <w:t>Fantl</w:t>
            </w:r>
            <w:proofErr w:type="spellEnd"/>
            <w:r w:rsidRPr="00003B04">
              <w:rPr>
                <w:sz w:val="20"/>
                <w:lang w:val="fr-CA"/>
              </w:rPr>
              <w:t xml:space="preserve"> en violation de contrat sur le fondement des cinq contrats d’assurance qui renfermaient une clause expresse d’« effort maximum ». Il n’a pas certifié la demande fondée sur la </w:t>
            </w:r>
            <w:r w:rsidRPr="00003B04">
              <w:rPr>
                <w:iCs/>
                <w:sz w:val="20"/>
                <w:lang w:val="fr-CA"/>
              </w:rPr>
              <w:t>déclaration inexacte faite par négligence</w:t>
            </w:r>
            <w:r w:rsidRPr="00003B04">
              <w:rPr>
                <w:sz w:val="20"/>
                <w:lang w:val="fr-CA"/>
              </w:rPr>
              <w:t xml:space="preserve"> en lien avec les déclarations dans les dépliants d’information remis aux investisseurs dans le cas des 48 autres contrats. La Cour divisionnaire a accueilli l’appel et a certifié les demandes fondées sur la déclaration inexacte faite par négligence. La Cour d’appel a rejeté l’appel.</w:t>
            </w:r>
          </w:p>
        </w:tc>
      </w:tr>
      <w:tr w:rsidR="00EE4290" w:rsidRPr="00003B04" w:rsidTr="00EE4290">
        <w:tc>
          <w:tcPr>
            <w:tcW w:w="5000" w:type="pct"/>
            <w:gridSpan w:val="4"/>
          </w:tcPr>
          <w:p w:rsidR="00EE4290" w:rsidRPr="00003B04" w:rsidRDefault="00EE4290" w:rsidP="00EE4290">
            <w:pPr>
              <w:jc w:val="both"/>
              <w:rPr>
                <w:sz w:val="20"/>
                <w:lang w:val="fr-CA"/>
              </w:rPr>
            </w:pPr>
          </w:p>
        </w:tc>
      </w:tr>
      <w:tr w:rsidR="00EE4290" w:rsidRPr="00C3697D" w:rsidTr="00EE4290">
        <w:tc>
          <w:tcPr>
            <w:tcW w:w="2427" w:type="pct"/>
            <w:gridSpan w:val="2"/>
          </w:tcPr>
          <w:p w:rsidR="00EE4290" w:rsidRPr="00003B04" w:rsidRDefault="00EE4290" w:rsidP="00EE4290">
            <w:pPr>
              <w:jc w:val="both"/>
              <w:rPr>
                <w:sz w:val="20"/>
                <w:lang w:val="fr-CA"/>
              </w:rPr>
            </w:pPr>
            <w:r w:rsidRPr="00003B04">
              <w:rPr>
                <w:sz w:val="20"/>
                <w:lang w:val="fr-CA"/>
              </w:rPr>
              <w:t>18 avril 2013</w:t>
            </w:r>
          </w:p>
          <w:p w:rsidR="00EE4290" w:rsidRPr="00003B04" w:rsidRDefault="00EE4290" w:rsidP="00EE4290">
            <w:pPr>
              <w:jc w:val="both"/>
              <w:rPr>
                <w:sz w:val="20"/>
                <w:lang w:val="fr-CA"/>
              </w:rPr>
            </w:pPr>
            <w:r w:rsidRPr="00003B04">
              <w:rPr>
                <w:sz w:val="20"/>
                <w:lang w:val="fr-CA"/>
              </w:rPr>
              <w:t>Cour supérieure de justice de l’Ontario</w:t>
            </w:r>
          </w:p>
          <w:p w:rsidR="00EE4290" w:rsidRPr="00003B04" w:rsidRDefault="00EE4290" w:rsidP="00EE4290">
            <w:pPr>
              <w:jc w:val="both"/>
              <w:rPr>
                <w:sz w:val="20"/>
                <w:lang w:val="fr-CA"/>
              </w:rPr>
            </w:pPr>
            <w:r w:rsidRPr="00003B04">
              <w:rPr>
                <w:sz w:val="20"/>
                <w:lang w:val="fr-CA"/>
              </w:rPr>
              <w:t xml:space="preserve">(Juge </w:t>
            </w:r>
            <w:proofErr w:type="spellStart"/>
            <w:r w:rsidRPr="00003B04">
              <w:rPr>
                <w:sz w:val="20"/>
                <w:lang w:val="fr-CA"/>
              </w:rPr>
              <w:t>Perell</w:t>
            </w:r>
            <w:proofErr w:type="spellEnd"/>
            <w:r w:rsidRPr="00003B04">
              <w:rPr>
                <w:sz w:val="20"/>
                <w:lang w:val="fr-CA"/>
              </w:rPr>
              <w:t>)</w:t>
            </w:r>
          </w:p>
          <w:p w:rsidR="00EE4290" w:rsidRPr="00003B04" w:rsidRDefault="00604445" w:rsidP="00EE4290">
            <w:pPr>
              <w:jc w:val="both"/>
              <w:rPr>
                <w:sz w:val="20"/>
                <w:lang w:val="fr-CA"/>
              </w:rPr>
            </w:pPr>
            <w:hyperlink r:id="rId48" w:history="1">
              <w:r w:rsidR="00EE4290" w:rsidRPr="00003B04">
                <w:rPr>
                  <w:rStyle w:val="Hyperlink"/>
                  <w:sz w:val="20"/>
                  <w:lang w:val="fr-CA"/>
                </w:rPr>
                <w:t>2013 ONSC 2298</w:t>
              </w:r>
            </w:hyperlink>
          </w:p>
          <w:p w:rsidR="00EE4290" w:rsidRPr="00003B04" w:rsidRDefault="00EE4290" w:rsidP="00EE4290">
            <w:pPr>
              <w:jc w:val="both"/>
              <w:rPr>
                <w:sz w:val="20"/>
                <w:lang w:val="fr-CA"/>
              </w:rPr>
            </w:pPr>
          </w:p>
        </w:tc>
        <w:tc>
          <w:tcPr>
            <w:tcW w:w="243" w:type="pct"/>
          </w:tcPr>
          <w:p w:rsidR="00EE4290" w:rsidRPr="00003B04" w:rsidRDefault="00EE4290" w:rsidP="00EE4290">
            <w:pPr>
              <w:jc w:val="both"/>
              <w:rPr>
                <w:sz w:val="20"/>
                <w:lang w:val="fr-CA"/>
              </w:rPr>
            </w:pPr>
          </w:p>
        </w:tc>
        <w:tc>
          <w:tcPr>
            <w:tcW w:w="2330" w:type="pct"/>
          </w:tcPr>
          <w:p w:rsidR="00EE4290" w:rsidRPr="00003B04" w:rsidRDefault="00EE4290" w:rsidP="00EE4290">
            <w:pPr>
              <w:jc w:val="both"/>
              <w:rPr>
                <w:sz w:val="20"/>
                <w:lang w:val="fr-CA"/>
              </w:rPr>
            </w:pPr>
            <w:r w:rsidRPr="00003B04">
              <w:rPr>
                <w:sz w:val="20"/>
                <w:lang w:val="fr-CA"/>
              </w:rPr>
              <w:t xml:space="preserve">Jugement accueillant en partie la motion en vue de certifier le recours collectif. Certification du recours collectif à l’égard de la demande pour violation des conditions expresses d’un contrat et réparation connexe. Radiation et rejet des demandes et des causes d’action pour violation de conditions implicites d’un contrat et violation de garantie ou de contrat accessoire. </w:t>
            </w:r>
          </w:p>
          <w:p w:rsidR="00EE4290" w:rsidRPr="00003B04" w:rsidRDefault="00EE4290" w:rsidP="00EE4290">
            <w:pPr>
              <w:jc w:val="both"/>
              <w:rPr>
                <w:sz w:val="20"/>
                <w:lang w:val="fr-CA"/>
              </w:rPr>
            </w:pPr>
          </w:p>
        </w:tc>
      </w:tr>
      <w:tr w:rsidR="00EE4290" w:rsidRPr="00C3697D" w:rsidTr="00EE4290">
        <w:tc>
          <w:tcPr>
            <w:tcW w:w="2427" w:type="pct"/>
            <w:gridSpan w:val="2"/>
          </w:tcPr>
          <w:p w:rsidR="00EE4290" w:rsidRPr="00003B04" w:rsidRDefault="00EE4290" w:rsidP="00EE4290">
            <w:pPr>
              <w:jc w:val="both"/>
              <w:rPr>
                <w:sz w:val="20"/>
                <w:lang w:val="fr-CA"/>
              </w:rPr>
            </w:pPr>
            <w:r w:rsidRPr="00003B04">
              <w:rPr>
                <w:sz w:val="20"/>
                <w:lang w:val="fr-CA"/>
              </w:rPr>
              <w:t>9 mars 2015</w:t>
            </w:r>
          </w:p>
          <w:p w:rsidR="00EE4290" w:rsidRPr="00003B04" w:rsidRDefault="00EE4290" w:rsidP="00EE4290">
            <w:pPr>
              <w:jc w:val="both"/>
              <w:rPr>
                <w:sz w:val="20"/>
                <w:lang w:val="fr-CA"/>
              </w:rPr>
            </w:pPr>
            <w:r w:rsidRPr="00003B04">
              <w:rPr>
                <w:sz w:val="20"/>
                <w:lang w:val="fr-CA"/>
              </w:rPr>
              <w:t>Cour supérieure de justice de l’Ontario</w:t>
            </w:r>
          </w:p>
          <w:p w:rsidR="00EE4290" w:rsidRPr="00003B04" w:rsidRDefault="00EE4290" w:rsidP="00EE4290">
            <w:pPr>
              <w:jc w:val="both"/>
              <w:rPr>
                <w:sz w:val="20"/>
                <w:lang w:val="fr-CA"/>
              </w:rPr>
            </w:pPr>
            <w:r w:rsidRPr="00003B04">
              <w:rPr>
                <w:sz w:val="20"/>
                <w:lang w:val="fr-CA"/>
              </w:rPr>
              <w:t xml:space="preserve">(Juges Sachs, </w:t>
            </w:r>
            <w:proofErr w:type="spellStart"/>
            <w:r w:rsidRPr="00003B04">
              <w:rPr>
                <w:sz w:val="20"/>
                <w:lang w:val="fr-CA"/>
              </w:rPr>
              <w:t>Corbett</w:t>
            </w:r>
            <w:proofErr w:type="spellEnd"/>
            <w:r w:rsidRPr="00003B04">
              <w:rPr>
                <w:sz w:val="20"/>
                <w:lang w:val="fr-CA"/>
              </w:rPr>
              <w:t xml:space="preserve"> et Gilmore)</w:t>
            </w:r>
          </w:p>
          <w:p w:rsidR="00EE4290" w:rsidRPr="00003B04" w:rsidRDefault="00604445" w:rsidP="00EE4290">
            <w:pPr>
              <w:jc w:val="both"/>
              <w:rPr>
                <w:sz w:val="20"/>
                <w:lang w:val="fr-CA"/>
              </w:rPr>
            </w:pPr>
            <w:hyperlink r:id="rId49" w:history="1">
              <w:r w:rsidR="00EE4290" w:rsidRPr="00003B04">
                <w:rPr>
                  <w:rStyle w:val="Hyperlink"/>
                  <w:sz w:val="20"/>
                  <w:lang w:val="fr-CA"/>
                </w:rPr>
                <w:t>2015 ONSC 1367</w:t>
              </w:r>
            </w:hyperlink>
          </w:p>
          <w:p w:rsidR="00EE4290" w:rsidRPr="00003B04" w:rsidRDefault="00EE4290" w:rsidP="00EE4290">
            <w:pPr>
              <w:jc w:val="both"/>
              <w:rPr>
                <w:sz w:val="20"/>
                <w:lang w:val="fr-CA"/>
              </w:rPr>
            </w:pPr>
          </w:p>
        </w:tc>
        <w:tc>
          <w:tcPr>
            <w:tcW w:w="243" w:type="pct"/>
          </w:tcPr>
          <w:p w:rsidR="00EE4290" w:rsidRPr="00003B04" w:rsidRDefault="00EE4290" w:rsidP="00EE4290">
            <w:pPr>
              <w:jc w:val="both"/>
              <w:rPr>
                <w:sz w:val="20"/>
                <w:lang w:val="fr-CA"/>
              </w:rPr>
            </w:pPr>
          </w:p>
        </w:tc>
        <w:tc>
          <w:tcPr>
            <w:tcW w:w="2330" w:type="pct"/>
          </w:tcPr>
          <w:p w:rsidR="00EE4290" w:rsidRPr="00003B04" w:rsidRDefault="00EE4290" w:rsidP="00EE4290">
            <w:pPr>
              <w:jc w:val="both"/>
              <w:rPr>
                <w:sz w:val="20"/>
                <w:lang w:val="fr-CA"/>
              </w:rPr>
            </w:pPr>
            <w:r w:rsidRPr="00003B04">
              <w:rPr>
                <w:sz w:val="20"/>
                <w:lang w:val="fr-CA"/>
              </w:rPr>
              <w:t xml:space="preserve">Arrêt accueillant l’appel. Certification de la demande fondée sur la déclaration inexacte faite par négligence. </w:t>
            </w:r>
          </w:p>
          <w:p w:rsidR="00EE4290" w:rsidRPr="00003B04" w:rsidRDefault="00EE4290" w:rsidP="00EE4290">
            <w:pPr>
              <w:jc w:val="both"/>
              <w:rPr>
                <w:sz w:val="20"/>
                <w:lang w:val="fr-CA"/>
              </w:rPr>
            </w:pPr>
          </w:p>
        </w:tc>
      </w:tr>
      <w:tr w:rsidR="00EE4290" w:rsidRPr="00003B04" w:rsidTr="00EE4290">
        <w:tc>
          <w:tcPr>
            <w:tcW w:w="2427" w:type="pct"/>
            <w:gridSpan w:val="2"/>
          </w:tcPr>
          <w:p w:rsidR="00EE4290" w:rsidRPr="00003B04" w:rsidRDefault="00EE4290" w:rsidP="00EE4290">
            <w:pPr>
              <w:jc w:val="both"/>
              <w:rPr>
                <w:sz w:val="20"/>
                <w:lang w:val="fr-CA"/>
              </w:rPr>
            </w:pPr>
            <w:r w:rsidRPr="00003B04">
              <w:rPr>
                <w:sz w:val="20"/>
                <w:lang w:val="fr-CA"/>
              </w:rPr>
              <w:t>22 août 2016</w:t>
            </w:r>
          </w:p>
          <w:p w:rsidR="00EE4290" w:rsidRPr="00003B04" w:rsidRDefault="00EE4290" w:rsidP="00EE4290">
            <w:pPr>
              <w:jc w:val="both"/>
              <w:rPr>
                <w:sz w:val="20"/>
                <w:lang w:val="fr-CA"/>
              </w:rPr>
            </w:pPr>
            <w:r w:rsidRPr="00003B04">
              <w:rPr>
                <w:sz w:val="20"/>
                <w:lang w:val="fr-CA"/>
              </w:rPr>
              <w:t>Cour d’appel de l’Ontario</w:t>
            </w:r>
          </w:p>
          <w:p w:rsidR="00EE4290" w:rsidRPr="00003B04" w:rsidRDefault="00EE4290" w:rsidP="00EE4290">
            <w:pPr>
              <w:jc w:val="both"/>
              <w:rPr>
                <w:sz w:val="20"/>
                <w:lang w:val="fr-CA"/>
              </w:rPr>
            </w:pPr>
            <w:r w:rsidRPr="00003B04">
              <w:rPr>
                <w:sz w:val="20"/>
                <w:lang w:val="fr-CA"/>
              </w:rPr>
              <w:t xml:space="preserve">(Juge en chef </w:t>
            </w:r>
            <w:proofErr w:type="spellStart"/>
            <w:r w:rsidRPr="00003B04">
              <w:rPr>
                <w:sz w:val="20"/>
                <w:lang w:val="fr-CA"/>
              </w:rPr>
              <w:t>Strathy</w:t>
            </w:r>
            <w:proofErr w:type="spellEnd"/>
            <w:r w:rsidRPr="00003B04">
              <w:rPr>
                <w:sz w:val="20"/>
                <w:lang w:val="fr-CA"/>
              </w:rPr>
              <w:t xml:space="preserve">, juges Blair et </w:t>
            </w:r>
            <w:proofErr w:type="spellStart"/>
            <w:r w:rsidRPr="00003B04">
              <w:rPr>
                <w:sz w:val="20"/>
                <w:lang w:val="fr-CA"/>
              </w:rPr>
              <w:t>Lauwers</w:t>
            </w:r>
            <w:proofErr w:type="spellEnd"/>
            <w:r w:rsidRPr="00003B04">
              <w:rPr>
                <w:sz w:val="20"/>
                <w:lang w:val="fr-CA"/>
              </w:rPr>
              <w:t>)</w:t>
            </w:r>
          </w:p>
          <w:p w:rsidR="00EE4290" w:rsidRPr="00003B04" w:rsidRDefault="00604445" w:rsidP="00EE4290">
            <w:pPr>
              <w:jc w:val="both"/>
              <w:rPr>
                <w:sz w:val="20"/>
                <w:lang w:val="fr-CA"/>
              </w:rPr>
            </w:pPr>
            <w:hyperlink r:id="rId50" w:history="1">
              <w:r w:rsidR="00EE4290" w:rsidRPr="00003B04">
                <w:rPr>
                  <w:rStyle w:val="Hyperlink"/>
                  <w:sz w:val="20"/>
                  <w:lang w:val="fr-CA"/>
                </w:rPr>
                <w:t>2016 ONCA 633</w:t>
              </w:r>
            </w:hyperlink>
          </w:p>
          <w:p w:rsidR="00EE4290" w:rsidRPr="00003B04" w:rsidRDefault="00EE4290" w:rsidP="00EE4290">
            <w:pPr>
              <w:jc w:val="both"/>
              <w:rPr>
                <w:sz w:val="20"/>
                <w:lang w:val="fr-CA"/>
              </w:rPr>
            </w:pPr>
            <w:r w:rsidRPr="00003B04">
              <w:rPr>
                <w:sz w:val="20"/>
                <w:lang w:val="fr-CA"/>
              </w:rPr>
              <w:t>N</w:t>
            </w:r>
            <w:r w:rsidRPr="00003B04">
              <w:rPr>
                <w:smallCaps/>
                <w:sz w:val="20"/>
                <w:vertAlign w:val="superscript"/>
                <w:lang w:val="fr-CA"/>
              </w:rPr>
              <w:t>o</w:t>
            </w:r>
            <w:r w:rsidRPr="00003B04">
              <w:rPr>
                <w:sz w:val="20"/>
                <w:lang w:val="fr-CA"/>
              </w:rPr>
              <w:t xml:space="preserve"> de dossier : C61284</w:t>
            </w:r>
          </w:p>
          <w:p w:rsidR="00EE4290" w:rsidRPr="00003B04" w:rsidRDefault="00EE4290" w:rsidP="00EE4290">
            <w:pPr>
              <w:jc w:val="both"/>
              <w:rPr>
                <w:sz w:val="20"/>
                <w:lang w:val="fr-CA"/>
              </w:rPr>
            </w:pPr>
          </w:p>
        </w:tc>
        <w:tc>
          <w:tcPr>
            <w:tcW w:w="243" w:type="pct"/>
          </w:tcPr>
          <w:p w:rsidR="00EE4290" w:rsidRPr="00003B04" w:rsidRDefault="00EE4290" w:rsidP="00EE4290">
            <w:pPr>
              <w:jc w:val="both"/>
              <w:rPr>
                <w:sz w:val="20"/>
                <w:lang w:val="fr-CA"/>
              </w:rPr>
            </w:pPr>
          </w:p>
        </w:tc>
        <w:tc>
          <w:tcPr>
            <w:tcW w:w="2330" w:type="pct"/>
          </w:tcPr>
          <w:p w:rsidR="00EE4290" w:rsidRPr="00003B04" w:rsidRDefault="00EE4290" w:rsidP="00EE4290">
            <w:pPr>
              <w:jc w:val="both"/>
              <w:rPr>
                <w:sz w:val="20"/>
                <w:lang w:val="fr-CA"/>
              </w:rPr>
            </w:pPr>
            <w:r w:rsidRPr="00003B04">
              <w:rPr>
                <w:sz w:val="20"/>
                <w:lang w:val="fr-CA"/>
              </w:rPr>
              <w:t xml:space="preserve">Rejet de l’appel. </w:t>
            </w:r>
          </w:p>
          <w:p w:rsidR="00EE4290" w:rsidRPr="00003B04" w:rsidRDefault="00EE4290" w:rsidP="00EE4290">
            <w:pPr>
              <w:jc w:val="both"/>
              <w:rPr>
                <w:sz w:val="20"/>
                <w:lang w:val="fr-CA"/>
              </w:rPr>
            </w:pPr>
          </w:p>
        </w:tc>
      </w:tr>
      <w:tr w:rsidR="00EE4290" w:rsidRPr="00C3697D" w:rsidTr="00EE4290">
        <w:tc>
          <w:tcPr>
            <w:tcW w:w="2427" w:type="pct"/>
            <w:gridSpan w:val="2"/>
          </w:tcPr>
          <w:p w:rsidR="00EE4290" w:rsidRPr="00003B04" w:rsidRDefault="00EE4290" w:rsidP="00EE4290">
            <w:pPr>
              <w:jc w:val="both"/>
              <w:rPr>
                <w:sz w:val="20"/>
                <w:lang w:val="fr-CA"/>
              </w:rPr>
            </w:pPr>
            <w:r w:rsidRPr="00003B04">
              <w:rPr>
                <w:sz w:val="20"/>
                <w:lang w:val="fr-CA"/>
              </w:rPr>
              <w:t>20 octobre 2016</w:t>
            </w:r>
          </w:p>
          <w:p w:rsidR="00EE4290" w:rsidRPr="00003B04" w:rsidRDefault="00EE4290" w:rsidP="00EE4290">
            <w:pPr>
              <w:jc w:val="both"/>
              <w:rPr>
                <w:sz w:val="20"/>
                <w:lang w:val="fr-CA"/>
              </w:rPr>
            </w:pPr>
            <w:r w:rsidRPr="00003B04">
              <w:rPr>
                <w:sz w:val="20"/>
                <w:lang w:val="fr-CA"/>
              </w:rPr>
              <w:t>Cour suprême du Canada</w:t>
            </w:r>
          </w:p>
        </w:tc>
        <w:tc>
          <w:tcPr>
            <w:tcW w:w="243" w:type="pct"/>
          </w:tcPr>
          <w:p w:rsidR="00EE4290" w:rsidRPr="00003B04" w:rsidRDefault="00EE4290" w:rsidP="00EE4290">
            <w:pPr>
              <w:jc w:val="both"/>
              <w:rPr>
                <w:sz w:val="20"/>
                <w:lang w:val="fr-CA"/>
              </w:rPr>
            </w:pPr>
          </w:p>
        </w:tc>
        <w:tc>
          <w:tcPr>
            <w:tcW w:w="2330" w:type="pct"/>
          </w:tcPr>
          <w:p w:rsidR="00EE4290" w:rsidRPr="00003B04" w:rsidRDefault="00EE4290" w:rsidP="00EE4290">
            <w:pPr>
              <w:jc w:val="both"/>
              <w:rPr>
                <w:sz w:val="20"/>
                <w:lang w:val="fr-CA"/>
              </w:rPr>
            </w:pPr>
            <w:r w:rsidRPr="00003B04">
              <w:rPr>
                <w:sz w:val="20"/>
                <w:lang w:val="fr-CA"/>
              </w:rPr>
              <w:t>Dépôt de la demande d’autorisation d’appel.</w:t>
            </w:r>
          </w:p>
        </w:tc>
      </w:tr>
    </w:tbl>
    <w:p w:rsidR="00EE4290" w:rsidRPr="00003B04" w:rsidRDefault="00604445" w:rsidP="00EE4290">
      <w:pPr>
        <w:jc w:val="both"/>
        <w:rPr>
          <w:sz w:val="20"/>
          <w:lang w:val="fr-CA"/>
        </w:rPr>
      </w:pPr>
      <w:r>
        <w:rPr>
          <w:sz w:val="20"/>
          <w:szCs w:val="20"/>
        </w:rPr>
        <w:pict>
          <v:rect id="_x0000_i1060" style="width:2in;height:1pt" o:hrpct="0" o:hralign="center" o:hrstd="t" o:hrnoshade="t" o:hr="t" fillcolor="black [3213]" stroked="f"/>
        </w:pict>
      </w:r>
    </w:p>
    <w:p w:rsidR="00EE4290" w:rsidRPr="00003B04" w:rsidRDefault="00EE4290" w:rsidP="00EE4290">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E4290" w:rsidRPr="00003B04" w:rsidTr="00EE4290">
        <w:tc>
          <w:tcPr>
            <w:tcW w:w="543" w:type="pct"/>
          </w:tcPr>
          <w:p w:rsidR="00EE4290" w:rsidRPr="00003B04" w:rsidRDefault="00EE4290" w:rsidP="00EE4290">
            <w:pPr>
              <w:jc w:val="both"/>
              <w:rPr>
                <w:sz w:val="20"/>
              </w:rPr>
            </w:pPr>
            <w:r w:rsidRPr="00003B04">
              <w:rPr>
                <w:rStyle w:val="SCCFileNumberChar"/>
                <w:sz w:val="20"/>
                <w:szCs w:val="20"/>
              </w:rPr>
              <w:t>37209</w:t>
            </w:r>
          </w:p>
        </w:tc>
        <w:tc>
          <w:tcPr>
            <w:tcW w:w="4457" w:type="pct"/>
            <w:gridSpan w:val="3"/>
          </w:tcPr>
          <w:p w:rsidR="00EE4290" w:rsidRPr="00003B04" w:rsidRDefault="00EE4290" w:rsidP="00EE4290">
            <w:pPr>
              <w:pStyle w:val="SCCLsocParty"/>
              <w:jc w:val="both"/>
              <w:rPr>
                <w:b/>
                <w:sz w:val="20"/>
                <w:szCs w:val="20"/>
                <w:lang w:val="en-US"/>
              </w:rPr>
            </w:pPr>
            <w:r w:rsidRPr="00003B04">
              <w:rPr>
                <w:b/>
                <w:sz w:val="20"/>
                <w:szCs w:val="20"/>
                <w:lang w:val="en-US"/>
              </w:rPr>
              <w:t>Trinity Western University</w:t>
            </w:r>
            <w:r w:rsidR="001B621B" w:rsidRPr="00003B04">
              <w:rPr>
                <w:b/>
                <w:sz w:val="20"/>
                <w:szCs w:val="20"/>
                <w:lang w:val="en-US"/>
              </w:rPr>
              <w:t xml:space="preserve"> and</w:t>
            </w:r>
            <w:r w:rsidRPr="00003B04">
              <w:rPr>
                <w:b/>
                <w:sz w:val="20"/>
                <w:szCs w:val="20"/>
                <w:lang w:val="en-US"/>
              </w:rPr>
              <w:t xml:space="preserve"> Brayden </w:t>
            </w:r>
            <w:proofErr w:type="spellStart"/>
            <w:r w:rsidRPr="00003B04">
              <w:rPr>
                <w:b/>
                <w:sz w:val="20"/>
                <w:szCs w:val="20"/>
                <w:lang w:val="en-US"/>
              </w:rPr>
              <w:t>Volkenant</w:t>
            </w:r>
            <w:proofErr w:type="spellEnd"/>
            <w:r w:rsidRPr="00003B04">
              <w:rPr>
                <w:b/>
                <w:sz w:val="20"/>
                <w:szCs w:val="20"/>
                <w:lang w:val="en-US"/>
              </w:rPr>
              <w:t xml:space="preserve"> v. Law Society of Upper Canada</w:t>
            </w:r>
          </w:p>
          <w:p w:rsidR="00EE4290" w:rsidRPr="00003B04" w:rsidRDefault="00EE4290" w:rsidP="00EE4290">
            <w:pPr>
              <w:jc w:val="both"/>
              <w:rPr>
                <w:sz w:val="20"/>
              </w:rPr>
            </w:pPr>
            <w:r w:rsidRPr="00003B04">
              <w:rPr>
                <w:sz w:val="20"/>
              </w:rPr>
              <w:t>(Ont.) (Civil) (By Leave)</w:t>
            </w:r>
          </w:p>
        </w:tc>
      </w:tr>
      <w:tr w:rsidR="00D310D9" w:rsidRPr="00003B04" w:rsidTr="00EE4290">
        <w:tc>
          <w:tcPr>
            <w:tcW w:w="543" w:type="pct"/>
          </w:tcPr>
          <w:p w:rsidR="00D310D9" w:rsidRPr="00003B04" w:rsidRDefault="00D310D9" w:rsidP="00EE4290">
            <w:pPr>
              <w:jc w:val="both"/>
              <w:rPr>
                <w:rStyle w:val="SCCFileNumberChar"/>
                <w:sz w:val="20"/>
                <w:szCs w:val="20"/>
              </w:rPr>
            </w:pPr>
            <w:r w:rsidRPr="00003B04">
              <w:rPr>
                <w:rStyle w:val="SCCFileNumberChar"/>
                <w:sz w:val="20"/>
                <w:szCs w:val="20"/>
              </w:rPr>
              <w:t>Coram:</w:t>
            </w:r>
          </w:p>
        </w:tc>
        <w:tc>
          <w:tcPr>
            <w:tcW w:w="4457" w:type="pct"/>
            <w:gridSpan w:val="3"/>
          </w:tcPr>
          <w:p w:rsidR="00D310D9" w:rsidRPr="00003B04" w:rsidRDefault="000E7F29" w:rsidP="00EE4290">
            <w:pPr>
              <w:pStyle w:val="SCCLsocParty"/>
              <w:jc w:val="both"/>
              <w:rPr>
                <w:sz w:val="20"/>
                <w:szCs w:val="20"/>
                <w:lang w:val="en-US"/>
              </w:rPr>
            </w:pPr>
            <w:proofErr w:type="spellStart"/>
            <w:r w:rsidRPr="00003B04">
              <w:rPr>
                <w:sz w:val="20"/>
                <w:szCs w:val="20"/>
                <w:lang w:val="en-US"/>
              </w:rPr>
              <w:t>McLachlin</w:t>
            </w:r>
            <w:proofErr w:type="spellEnd"/>
            <w:r w:rsidRPr="00003B04">
              <w:rPr>
                <w:sz w:val="20"/>
                <w:szCs w:val="20"/>
                <w:lang w:val="en-US"/>
              </w:rPr>
              <w:t xml:space="preserve"> C.J. and </w:t>
            </w:r>
            <w:proofErr w:type="spellStart"/>
            <w:r w:rsidRPr="00003B04">
              <w:rPr>
                <w:sz w:val="20"/>
                <w:szCs w:val="20"/>
                <w:lang w:val="en-US"/>
              </w:rPr>
              <w:t>Abella</w:t>
            </w:r>
            <w:proofErr w:type="spellEnd"/>
            <w:r w:rsidRPr="00003B04">
              <w:rPr>
                <w:sz w:val="20"/>
                <w:szCs w:val="20"/>
                <w:lang w:val="en-US"/>
              </w:rPr>
              <w:t xml:space="preserve">, </w:t>
            </w:r>
            <w:proofErr w:type="spellStart"/>
            <w:r w:rsidRPr="00003B04">
              <w:rPr>
                <w:sz w:val="20"/>
                <w:szCs w:val="20"/>
                <w:lang w:val="en-US"/>
              </w:rPr>
              <w:t>Moldaver</w:t>
            </w:r>
            <w:proofErr w:type="spellEnd"/>
            <w:r w:rsidRPr="00003B04">
              <w:rPr>
                <w:sz w:val="20"/>
                <w:szCs w:val="20"/>
                <w:lang w:val="en-US"/>
              </w:rPr>
              <w:t xml:space="preserve">, </w:t>
            </w:r>
            <w:proofErr w:type="spellStart"/>
            <w:r w:rsidRPr="00003B04">
              <w:rPr>
                <w:sz w:val="20"/>
                <w:szCs w:val="20"/>
                <w:lang w:val="en-US"/>
              </w:rPr>
              <w:t>Karakatsanis</w:t>
            </w:r>
            <w:proofErr w:type="spellEnd"/>
            <w:r w:rsidRPr="00003B04">
              <w:rPr>
                <w:sz w:val="20"/>
                <w:szCs w:val="20"/>
                <w:lang w:val="en-US"/>
              </w:rPr>
              <w:t xml:space="preserve">, Wagner, </w:t>
            </w:r>
            <w:proofErr w:type="spellStart"/>
            <w:r w:rsidRPr="00003B04">
              <w:rPr>
                <w:sz w:val="20"/>
                <w:szCs w:val="20"/>
                <w:lang w:val="en-US"/>
              </w:rPr>
              <w:t>Gascon</w:t>
            </w:r>
            <w:proofErr w:type="spellEnd"/>
            <w:r w:rsidRPr="00003B04">
              <w:rPr>
                <w:sz w:val="20"/>
                <w:szCs w:val="20"/>
                <w:lang w:val="en-US"/>
              </w:rPr>
              <w:t xml:space="preserve">, </w:t>
            </w:r>
            <w:proofErr w:type="spellStart"/>
            <w:r w:rsidRPr="00003B04">
              <w:rPr>
                <w:sz w:val="20"/>
                <w:szCs w:val="20"/>
                <w:lang w:val="en-US"/>
              </w:rPr>
              <w:t>Côté</w:t>
            </w:r>
            <w:proofErr w:type="spellEnd"/>
            <w:r w:rsidRPr="00003B04">
              <w:rPr>
                <w:sz w:val="20"/>
                <w:szCs w:val="20"/>
                <w:lang w:val="en-US"/>
              </w:rPr>
              <w:t>, Brown and Rowe JJ.</w:t>
            </w:r>
          </w:p>
          <w:p w:rsidR="000E7F29" w:rsidRPr="00003B04" w:rsidRDefault="000E7F29" w:rsidP="000E7F29">
            <w:pPr>
              <w:rPr>
                <w:lang w:val="en-US"/>
              </w:rPr>
            </w:pPr>
          </w:p>
        </w:tc>
      </w:tr>
      <w:tr w:rsidR="00D310D9" w:rsidRPr="00003B04" w:rsidTr="00D310D9">
        <w:tc>
          <w:tcPr>
            <w:tcW w:w="5000" w:type="pct"/>
            <w:gridSpan w:val="4"/>
          </w:tcPr>
          <w:p w:rsidR="00D310D9" w:rsidRPr="00003B04" w:rsidRDefault="000E7F29" w:rsidP="00EE4290">
            <w:pPr>
              <w:pStyle w:val="SCCLsocParty"/>
              <w:jc w:val="both"/>
              <w:rPr>
                <w:sz w:val="20"/>
                <w:szCs w:val="20"/>
                <w:lang w:val="en-US"/>
              </w:rPr>
            </w:pPr>
            <w:r w:rsidRPr="00003B04">
              <w:rPr>
                <w:sz w:val="20"/>
                <w:szCs w:val="20"/>
                <w:lang w:val="en-US"/>
              </w:rPr>
              <w:t xml:space="preserve">The application for leave to appeal from the judgment of the Court of Appeal for Ontario, Number C61116, 2016 ONCA 518, dated June 29, 2016, is granted with costs in the cause. The appeal will be heard with </w:t>
            </w:r>
            <w:r w:rsidRPr="00003B04">
              <w:rPr>
                <w:i/>
                <w:sz w:val="20"/>
                <w:szCs w:val="20"/>
                <w:lang w:val="en-US"/>
              </w:rPr>
              <w:t>Law Society of</w:t>
            </w:r>
            <w:r w:rsidRPr="00003B04">
              <w:rPr>
                <w:sz w:val="20"/>
                <w:szCs w:val="20"/>
                <w:lang w:val="en-US"/>
              </w:rPr>
              <w:t xml:space="preserve"> </w:t>
            </w:r>
            <w:r w:rsidRPr="00003B04">
              <w:rPr>
                <w:i/>
                <w:sz w:val="20"/>
                <w:szCs w:val="20"/>
                <w:lang w:val="en-US"/>
              </w:rPr>
              <w:t>British Columbia v. Trinity Western University, et al.</w:t>
            </w:r>
            <w:r w:rsidRPr="00003B04">
              <w:rPr>
                <w:sz w:val="20"/>
                <w:szCs w:val="20"/>
                <w:lang w:val="en-US"/>
              </w:rPr>
              <w:t xml:space="preserve"> (37318). The appellants are required to serve and file a Notice of Constitutional Question in Form 33B in accordance with </w:t>
            </w:r>
            <w:proofErr w:type="spellStart"/>
            <w:r w:rsidRPr="00003B04">
              <w:rPr>
                <w:sz w:val="20"/>
                <w:szCs w:val="20"/>
                <w:lang w:val="en-US"/>
              </w:rPr>
              <w:t>subrules</w:t>
            </w:r>
            <w:proofErr w:type="spellEnd"/>
            <w:r w:rsidRPr="00003B04">
              <w:rPr>
                <w:sz w:val="20"/>
                <w:szCs w:val="20"/>
                <w:lang w:val="en-US"/>
              </w:rPr>
              <w:t xml:space="preserve"> 33(2) and (3) of the </w:t>
            </w:r>
            <w:r w:rsidRPr="00003B04">
              <w:rPr>
                <w:i/>
                <w:sz w:val="20"/>
                <w:szCs w:val="20"/>
                <w:lang w:val="en-US"/>
              </w:rPr>
              <w:t>Rules of the Supreme Court of Canada</w:t>
            </w:r>
            <w:r w:rsidRPr="00003B04">
              <w:rPr>
                <w:sz w:val="20"/>
                <w:szCs w:val="20"/>
                <w:lang w:val="en-US"/>
              </w:rPr>
              <w:t xml:space="preserve">.  </w:t>
            </w:r>
          </w:p>
          <w:p w:rsidR="000E7F29" w:rsidRPr="00003B04" w:rsidRDefault="000E7F29" w:rsidP="000E7F29">
            <w:pPr>
              <w:rPr>
                <w:lang w:val="en-US"/>
              </w:rPr>
            </w:pPr>
          </w:p>
        </w:tc>
      </w:tr>
      <w:tr w:rsidR="00EE4290" w:rsidRPr="00003B04" w:rsidTr="00EE4290">
        <w:tc>
          <w:tcPr>
            <w:tcW w:w="5000" w:type="pct"/>
            <w:gridSpan w:val="4"/>
          </w:tcPr>
          <w:p w:rsidR="00EE4290" w:rsidRPr="00003B04" w:rsidRDefault="00EE4290" w:rsidP="00EE4290">
            <w:pPr>
              <w:jc w:val="both"/>
              <w:rPr>
                <w:sz w:val="20"/>
              </w:rPr>
            </w:pPr>
            <w:r w:rsidRPr="00003B04">
              <w:rPr>
                <w:i/>
                <w:sz w:val="20"/>
              </w:rPr>
              <w:t>Charter</w:t>
            </w:r>
            <w:r w:rsidRPr="00003B04">
              <w:rPr>
                <w:sz w:val="20"/>
              </w:rPr>
              <w:t xml:space="preserve"> — Freedom of religion — Equality rights — Regulation of legal profession — Law societies and governing bodies — Ontario law society denied accreditation to British Columbia’s Trinity Western University (“TWU”) law school because students there must sign community covenant that does not recognize same-sex marriage — TWU sought judicial review — Law society’s refusal decision was confirmed by reviewing court and TWU’s subsequent appeal was dismissed — Whether law society’s refusal decision was reasonable.</w:t>
            </w:r>
          </w:p>
        </w:tc>
      </w:tr>
      <w:tr w:rsidR="00EE4290" w:rsidRPr="00003B04" w:rsidTr="00EE4290">
        <w:tc>
          <w:tcPr>
            <w:tcW w:w="5000" w:type="pct"/>
            <w:gridSpan w:val="4"/>
          </w:tcPr>
          <w:p w:rsidR="00EE4290" w:rsidRPr="00003B04" w:rsidRDefault="00EE4290" w:rsidP="00EE4290">
            <w:pPr>
              <w:jc w:val="both"/>
              <w:rPr>
                <w:sz w:val="20"/>
              </w:rPr>
            </w:pPr>
          </w:p>
        </w:tc>
      </w:tr>
      <w:tr w:rsidR="00EE4290" w:rsidRPr="00003B04" w:rsidTr="00EE4290">
        <w:tc>
          <w:tcPr>
            <w:tcW w:w="5000" w:type="pct"/>
            <w:gridSpan w:val="4"/>
          </w:tcPr>
          <w:p w:rsidR="00EE4290" w:rsidRPr="00003B04" w:rsidRDefault="00EE4290" w:rsidP="00EE4290">
            <w:pPr>
              <w:jc w:val="both"/>
              <w:rPr>
                <w:sz w:val="20"/>
              </w:rPr>
            </w:pPr>
            <w:r w:rsidRPr="00003B04">
              <w:rPr>
                <w:sz w:val="20"/>
              </w:rPr>
              <w:t xml:space="preserve">The respondent Law Society of Upper Canada (“LSUC”) denied accreditation to the law school of the applicant Trinity Western University (“TWU”). TWU is a private post-secondary institution in British Columbia that provides an education founded on evangelical Christian principles. TWU’s approach to community development was expressed in a Community Covenant, a code of conduct that encouraged or discouraged certain behaviour based on evangelical </w:t>
            </w:r>
            <w:r w:rsidRPr="00003B04">
              <w:rPr>
                <w:sz w:val="20"/>
              </w:rPr>
              <w:lastRenderedPageBreak/>
              <w:t xml:space="preserve">Christian notions of Biblical teaching and morality. The covenant prohibited sexual intimacy that violated the sacredness of marriage between a man and a woman. Unmarried individuals were expected to live chaste, celibate lives. TWU did not prohibit admission to lesbian, gay, bisexual or transgendered (LGBTQ) students, and the covenant prohibited any forms of discrimination or prejudice. However, TWU did prohibit admission to its law school if a student refused to sign the covenant. Because of TWU’s </w:t>
            </w:r>
            <w:proofErr w:type="spellStart"/>
            <w:r w:rsidRPr="00003B04">
              <w:rPr>
                <w:sz w:val="20"/>
              </w:rPr>
              <w:t>convenant</w:t>
            </w:r>
            <w:proofErr w:type="spellEnd"/>
            <w:r w:rsidRPr="00003B04">
              <w:rPr>
                <w:sz w:val="20"/>
              </w:rPr>
              <w:t>,</w:t>
            </w:r>
            <w:r w:rsidRPr="00003B04">
              <w:rPr>
                <w:b/>
                <w:sz w:val="20"/>
              </w:rPr>
              <w:t xml:space="preserve"> </w:t>
            </w:r>
            <w:r w:rsidRPr="00003B04">
              <w:rPr>
                <w:sz w:val="20"/>
              </w:rPr>
              <w:t xml:space="preserve">the LSUC’s Benchers voted to refuse its accreditation in Ontario. On judicial review, the court held that the LSUC was entitled, in the exercise of its statutory mandate to act in the public interest, to refuse to accredit TWU’s law school based on the discriminatory nature of the community covenant. The reviewing court found that although the decision breached the freedom of religion rights of the applicants, TWU and its representative student (“TWU et al.”), the LSUC had engaged in a reasonable and proportionate balancing of the </w:t>
            </w:r>
            <w:r w:rsidRPr="00003B04">
              <w:rPr>
                <w:i/>
                <w:sz w:val="20"/>
              </w:rPr>
              <w:t xml:space="preserve">Charter </w:t>
            </w:r>
            <w:r w:rsidRPr="00003B04">
              <w:rPr>
                <w:sz w:val="20"/>
              </w:rPr>
              <w:t>protections at issue. Therefore, the reviewing court concluded that the LSUC’s refusal decision was reasonable. A unanimous Court of Appeal</w:t>
            </w:r>
            <w:r w:rsidRPr="00003B04">
              <w:rPr>
                <w:b/>
                <w:sz w:val="20"/>
              </w:rPr>
              <w:t xml:space="preserve"> </w:t>
            </w:r>
            <w:r w:rsidRPr="00003B04">
              <w:rPr>
                <w:sz w:val="20"/>
              </w:rPr>
              <w:t xml:space="preserve">dismissed TWU et al.’s subsequent appeal. </w:t>
            </w:r>
          </w:p>
          <w:p w:rsidR="00EE4290" w:rsidRPr="00003B04" w:rsidRDefault="00EE4290" w:rsidP="00EE4290">
            <w:pPr>
              <w:jc w:val="both"/>
              <w:rPr>
                <w:sz w:val="20"/>
              </w:rPr>
            </w:pPr>
          </w:p>
        </w:tc>
      </w:tr>
      <w:tr w:rsidR="00EE4290" w:rsidRPr="00003B04" w:rsidTr="00EE4290">
        <w:tc>
          <w:tcPr>
            <w:tcW w:w="2427" w:type="pct"/>
            <w:gridSpan w:val="2"/>
          </w:tcPr>
          <w:p w:rsidR="00EE4290" w:rsidRPr="00003B04" w:rsidRDefault="00EE4290" w:rsidP="00EE4290">
            <w:pPr>
              <w:jc w:val="both"/>
              <w:rPr>
                <w:sz w:val="20"/>
              </w:rPr>
            </w:pPr>
            <w:r w:rsidRPr="00003B04">
              <w:rPr>
                <w:sz w:val="20"/>
              </w:rPr>
              <w:lastRenderedPageBreak/>
              <w:t>July 2, 2015</w:t>
            </w:r>
          </w:p>
          <w:p w:rsidR="00EE4290" w:rsidRPr="00003B04" w:rsidRDefault="00EE4290" w:rsidP="00EE4290">
            <w:pPr>
              <w:jc w:val="both"/>
              <w:rPr>
                <w:sz w:val="20"/>
              </w:rPr>
            </w:pPr>
            <w:r w:rsidRPr="00003B04">
              <w:rPr>
                <w:sz w:val="20"/>
              </w:rPr>
              <w:t>Ontario Superior Court of Justice</w:t>
            </w:r>
          </w:p>
          <w:p w:rsidR="00EE4290" w:rsidRPr="00003B04" w:rsidRDefault="00EE4290" w:rsidP="00EE4290">
            <w:pPr>
              <w:jc w:val="both"/>
              <w:rPr>
                <w:sz w:val="20"/>
              </w:rPr>
            </w:pPr>
            <w:r w:rsidRPr="00003B04">
              <w:rPr>
                <w:sz w:val="20"/>
              </w:rPr>
              <w:t>(</w:t>
            </w:r>
            <w:proofErr w:type="spellStart"/>
            <w:r w:rsidRPr="00003B04">
              <w:rPr>
                <w:sz w:val="20"/>
              </w:rPr>
              <w:t>Marrocco</w:t>
            </w:r>
            <w:proofErr w:type="spellEnd"/>
            <w:r w:rsidRPr="00003B04">
              <w:rPr>
                <w:sz w:val="20"/>
              </w:rPr>
              <w:t xml:space="preserve"> A.C.J. and Then and </w:t>
            </w:r>
            <w:proofErr w:type="spellStart"/>
            <w:r w:rsidRPr="00003B04">
              <w:rPr>
                <w:sz w:val="20"/>
              </w:rPr>
              <w:t>Nordheimer</w:t>
            </w:r>
            <w:proofErr w:type="spellEnd"/>
            <w:r w:rsidRPr="00003B04">
              <w:rPr>
                <w:sz w:val="20"/>
              </w:rPr>
              <w:t xml:space="preserve"> JJ.)</w:t>
            </w:r>
          </w:p>
          <w:p w:rsidR="00EE4290" w:rsidRPr="00003B04" w:rsidRDefault="00604445" w:rsidP="00EE4290">
            <w:pPr>
              <w:jc w:val="both"/>
              <w:rPr>
                <w:sz w:val="20"/>
              </w:rPr>
            </w:pPr>
            <w:hyperlink r:id="rId51" w:anchor="search/id=2015%20ONSC%204250" w:history="1">
              <w:r w:rsidR="00EE4290" w:rsidRPr="00003B04">
                <w:rPr>
                  <w:rStyle w:val="Hyperlink"/>
                  <w:sz w:val="20"/>
                </w:rPr>
                <w:t>2015 ONSC 4250</w:t>
              </w:r>
            </w:hyperlink>
          </w:p>
          <w:p w:rsidR="00EE4290" w:rsidRPr="00003B04" w:rsidRDefault="00EE4290" w:rsidP="00EE4290">
            <w:pPr>
              <w:jc w:val="both"/>
              <w:rPr>
                <w:sz w:val="20"/>
              </w:rPr>
            </w:pPr>
          </w:p>
        </w:tc>
        <w:tc>
          <w:tcPr>
            <w:tcW w:w="243" w:type="pct"/>
          </w:tcPr>
          <w:p w:rsidR="00EE4290" w:rsidRPr="00003B04" w:rsidRDefault="00EE4290" w:rsidP="00EE4290">
            <w:pPr>
              <w:jc w:val="both"/>
              <w:rPr>
                <w:sz w:val="20"/>
              </w:rPr>
            </w:pPr>
          </w:p>
        </w:tc>
        <w:tc>
          <w:tcPr>
            <w:tcW w:w="2330" w:type="pct"/>
          </w:tcPr>
          <w:p w:rsidR="00EE4290" w:rsidRPr="00003B04" w:rsidRDefault="00EE4290" w:rsidP="00EE4290">
            <w:pPr>
              <w:jc w:val="both"/>
              <w:rPr>
                <w:sz w:val="20"/>
              </w:rPr>
            </w:pPr>
            <w:r w:rsidRPr="00003B04">
              <w:rPr>
                <w:sz w:val="20"/>
              </w:rPr>
              <w:t>Application for judicial review of LSUC’s</w:t>
            </w:r>
            <w:r w:rsidRPr="00003B04">
              <w:rPr>
                <w:b/>
                <w:sz w:val="20"/>
              </w:rPr>
              <w:t xml:space="preserve"> </w:t>
            </w:r>
            <w:r w:rsidRPr="00003B04">
              <w:rPr>
                <w:sz w:val="20"/>
              </w:rPr>
              <w:t xml:space="preserve">refusal to accredit TWU’s law school in Ontario dismissed. </w:t>
            </w:r>
          </w:p>
        </w:tc>
      </w:tr>
      <w:tr w:rsidR="00EE4290" w:rsidRPr="00003B04" w:rsidTr="00EE4290">
        <w:tc>
          <w:tcPr>
            <w:tcW w:w="2427" w:type="pct"/>
            <w:gridSpan w:val="2"/>
          </w:tcPr>
          <w:p w:rsidR="00EE4290" w:rsidRPr="00003B04" w:rsidRDefault="00EE4290" w:rsidP="00EE4290">
            <w:pPr>
              <w:jc w:val="both"/>
              <w:rPr>
                <w:sz w:val="20"/>
              </w:rPr>
            </w:pPr>
            <w:r w:rsidRPr="00003B04">
              <w:rPr>
                <w:sz w:val="20"/>
              </w:rPr>
              <w:t>June 29, 2016</w:t>
            </w:r>
          </w:p>
          <w:p w:rsidR="00EE4290" w:rsidRPr="00003B04" w:rsidRDefault="00EE4290" w:rsidP="00EE4290">
            <w:pPr>
              <w:jc w:val="both"/>
              <w:rPr>
                <w:sz w:val="20"/>
              </w:rPr>
            </w:pPr>
            <w:r w:rsidRPr="00003B04">
              <w:rPr>
                <w:sz w:val="20"/>
              </w:rPr>
              <w:t>Court of Appeal for Ontario</w:t>
            </w:r>
          </w:p>
          <w:p w:rsidR="00EE4290" w:rsidRPr="00003B04" w:rsidRDefault="00EE4290" w:rsidP="00EE4290">
            <w:pPr>
              <w:jc w:val="both"/>
              <w:rPr>
                <w:sz w:val="20"/>
              </w:rPr>
            </w:pPr>
            <w:r w:rsidRPr="00003B04">
              <w:rPr>
                <w:sz w:val="20"/>
              </w:rPr>
              <w:t xml:space="preserve">(MacPherson, Cronk and </w:t>
            </w:r>
            <w:proofErr w:type="spellStart"/>
            <w:r w:rsidRPr="00003B04">
              <w:rPr>
                <w:sz w:val="20"/>
              </w:rPr>
              <w:t>Pardu</w:t>
            </w:r>
            <w:proofErr w:type="spellEnd"/>
            <w:r w:rsidRPr="00003B04">
              <w:rPr>
                <w:sz w:val="20"/>
              </w:rPr>
              <w:t xml:space="preserve"> JJ.A.)</w:t>
            </w:r>
          </w:p>
          <w:p w:rsidR="00EE4290" w:rsidRPr="00003B04" w:rsidRDefault="00604445" w:rsidP="00EE4290">
            <w:pPr>
              <w:jc w:val="both"/>
              <w:rPr>
                <w:sz w:val="20"/>
              </w:rPr>
            </w:pPr>
            <w:hyperlink r:id="rId52" w:history="1">
              <w:r w:rsidR="00EE4290" w:rsidRPr="00003B04">
                <w:rPr>
                  <w:rStyle w:val="Hyperlink"/>
                  <w:sz w:val="20"/>
                </w:rPr>
                <w:t>2016 ONCA 518</w:t>
              </w:r>
            </w:hyperlink>
          </w:p>
          <w:p w:rsidR="00EE4290" w:rsidRPr="00003B04" w:rsidRDefault="00EE4290" w:rsidP="00EE4290">
            <w:pPr>
              <w:jc w:val="both"/>
              <w:rPr>
                <w:sz w:val="20"/>
              </w:rPr>
            </w:pPr>
          </w:p>
        </w:tc>
        <w:tc>
          <w:tcPr>
            <w:tcW w:w="243" w:type="pct"/>
          </w:tcPr>
          <w:p w:rsidR="00EE4290" w:rsidRPr="00003B04" w:rsidRDefault="00EE4290" w:rsidP="00EE4290">
            <w:pPr>
              <w:jc w:val="both"/>
              <w:rPr>
                <w:sz w:val="20"/>
              </w:rPr>
            </w:pPr>
          </w:p>
        </w:tc>
        <w:tc>
          <w:tcPr>
            <w:tcW w:w="2330" w:type="pct"/>
          </w:tcPr>
          <w:p w:rsidR="00EE4290" w:rsidRPr="00003B04" w:rsidRDefault="00EE4290" w:rsidP="00EE4290">
            <w:pPr>
              <w:jc w:val="both"/>
              <w:rPr>
                <w:sz w:val="20"/>
              </w:rPr>
            </w:pPr>
            <w:r w:rsidRPr="00003B04">
              <w:rPr>
                <w:sz w:val="20"/>
              </w:rPr>
              <w:t>Appeal dismissed.</w:t>
            </w:r>
          </w:p>
          <w:p w:rsidR="00EE4290" w:rsidRPr="00003B04" w:rsidRDefault="00EE4290" w:rsidP="00EE4290">
            <w:pPr>
              <w:jc w:val="both"/>
              <w:rPr>
                <w:sz w:val="20"/>
              </w:rPr>
            </w:pPr>
          </w:p>
        </w:tc>
      </w:tr>
      <w:tr w:rsidR="00EE4290" w:rsidRPr="00003B04" w:rsidTr="00EE4290">
        <w:tc>
          <w:tcPr>
            <w:tcW w:w="2427" w:type="pct"/>
            <w:gridSpan w:val="2"/>
          </w:tcPr>
          <w:p w:rsidR="00EE4290" w:rsidRPr="00003B04" w:rsidRDefault="00EE4290" w:rsidP="00EE4290">
            <w:pPr>
              <w:jc w:val="both"/>
              <w:rPr>
                <w:sz w:val="20"/>
              </w:rPr>
            </w:pPr>
            <w:r w:rsidRPr="00003B04">
              <w:rPr>
                <w:sz w:val="20"/>
              </w:rPr>
              <w:t>September 28, 2016</w:t>
            </w:r>
          </w:p>
          <w:p w:rsidR="00EE4290" w:rsidRPr="00003B04" w:rsidRDefault="00EE4290" w:rsidP="00EE4290">
            <w:pPr>
              <w:jc w:val="both"/>
              <w:rPr>
                <w:sz w:val="20"/>
              </w:rPr>
            </w:pPr>
            <w:r w:rsidRPr="00003B04">
              <w:rPr>
                <w:sz w:val="20"/>
              </w:rPr>
              <w:t>Supreme Court of Canada</w:t>
            </w:r>
          </w:p>
        </w:tc>
        <w:tc>
          <w:tcPr>
            <w:tcW w:w="243" w:type="pct"/>
          </w:tcPr>
          <w:p w:rsidR="00EE4290" w:rsidRPr="00003B04" w:rsidRDefault="00EE4290" w:rsidP="00EE4290">
            <w:pPr>
              <w:jc w:val="both"/>
              <w:rPr>
                <w:sz w:val="20"/>
              </w:rPr>
            </w:pPr>
          </w:p>
        </w:tc>
        <w:tc>
          <w:tcPr>
            <w:tcW w:w="2330" w:type="pct"/>
          </w:tcPr>
          <w:p w:rsidR="00EE4290" w:rsidRPr="00003B04" w:rsidRDefault="00EE4290" w:rsidP="00EE4290">
            <w:pPr>
              <w:jc w:val="both"/>
              <w:rPr>
                <w:sz w:val="20"/>
              </w:rPr>
            </w:pPr>
            <w:r w:rsidRPr="00003B04">
              <w:rPr>
                <w:sz w:val="20"/>
              </w:rPr>
              <w:t>Application for leave to appeal filed.</w:t>
            </w:r>
          </w:p>
          <w:p w:rsidR="00EE4290" w:rsidRPr="00003B04" w:rsidRDefault="00EE4290" w:rsidP="00EE4290">
            <w:pPr>
              <w:jc w:val="both"/>
              <w:rPr>
                <w:sz w:val="20"/>
              </w:rPr>
            </w:pPr>
          </w:p>
        </w:tc>
      </w:tr>
    </w:tbl>
    <w:p w:rsidR="00EE4290" w:rsidRPr="00003B04" w:rsidRDefault="00604445" w:rsidP="00EE4290">
      <w:pPr>
        <w:jc w:val="both"/>
        <w:rPr>
          <w:sz w:val="20"/>
        </w:rPr>
      </w:pPr>
      <w:r>
        <w:rPr>
          <w:sz w:val="20"/>
          <w:szCs w:val="20"/>
        </w:rPr>
        <w:pict>
          <v:rect id="_x0000_i1061" style="width:2in;height:1pt" o:hrpct="0" o:hralign="center" o:hrstd="t" o:hrnoshade="t" o:hr="t" fillcolor="black [3213]" stroked="f"/>
        </w:pict>
      </w:r>
    </w:p>
    <w:p w:rsidR="00EE4290" w:rsidRPr="00003B04" w:rsidRDefault="00EE4290" w:rsidP="00EE429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E4290" w:rsidRPr="00003B04" w:rsidTr="00EE4290">
        <w:tc>
          <w:tcPr>
            <w:tcW w:w="543" w:type="pct"/>
          </w:tcPr>
          <w:p w:rsidR="00EE4290" w:rsidRPr="00003B04" w:rsidRDefault="00EE4290" w:rsidP="00EE4290">
            <w:pPr>
              <w:jc w:val="both"/>
              <w:rPr>
                <w:sz w:val="20"/>
                <w:lang w:val="fr-CA"/>
              </w:rPr>
            </w:pPr>
            <w:r w:rsidRPr="00003B04">
              <w:rPr>
                <w:rStyle w:val="SCCFileNumberChar"/>
                <w:sz w:val="20"/>
                <w:szCs w:val="20"/>
                <w:lang w:val="fr-CA"/>
              </w:rPr>
              <w:t>37209</w:t>
            </w:r>
          </w:p>
        </w:tc>
        <w:tc>
          <w:tcPr>
            <w:tcW w:w="4457" w:type="pct"/>
            <w:gridSpan w:val="3"/>
          </w:tcPr>
          <w:p w:rsidR="00EE4290" w:rsidRPr="00003B04" w:rsidRDefault="00EE4290" w:rsidP="00EE4290">
            <w:pPr>
              <w:pStyle w:val="SCCLsocParty"/>
              <w:jc w:val="both"/>
              <w:rPr>
                <w:b/>
                <w:sz w:val="20"/>
                <w:szCs w:val="20"/>
              </w:rPr>
            </w:pPr>
            <w:r w:rsidRPr="00003B04">
              <w:rPr>
                <w:b/>
                <w:sz w:val="20"/>
                <w:szCs w:val="20"/>
              </w:rPr>
              <w:t xml:space="preserve">Trinity Western </w:t>
            </w:r>
            <w:proofErr w:type="spellStart"/>
            <w:r w:rsidRPr="00003B04">
              <w:rPr>
                <w:b/>
                <w:sz w:val="20"/>
                <w:szCs w:val="20"/>
              </w:rPr>
              <w:t>University</w:t>
            </w:r>
            <w:proofErr w:type="spellEnd"/>
            <w:r w:rsidR="001B621B" w:rsidRPr="00003B04">
              <w:rPr>
                <w:b/>
                <w:sz w:val="20"/>
                <w:szCs w:val="20"/>
              </w:rPr>
              <w:t xml:space="preserve"> et</w:t>
            </w:r>
            <w:r w:rsidRPr="00003B04">
              <w:rPr>
                <w:b/>
                <w:sz w:val="20"/>
                <w:szCs w:val="20"/>
              </w:rPr>
              <w:t xml:space="preserve"> </w:t>
            </w:r>
            <w:proofErr w:type="spellStart"/>
            <w:r w:rsidRPr="00003B04">
              <w:rPr>
                <w:b/>
                <w:sz w:val="20"/>
                <w:szCs w:val="20"/>
              </w:rPr>
              <w:t>Brayden</w:t>
            </w:r>
            <w:proofErr w:type="spellEnd"/>
            <w:r w:rsidRPr="00003B04">
              <w:rPr>
                <w:b/>
                <w:sz w:val="20"/>
                <w:szCs w:val="20"/>
              </w:rPr>
              <w:t xml:space="preserve"> </w:t>
            </w:r>
            <w:proofErr w:type="spellStart"/>
            <w:r w:rsidRPr="00003B04">
              <w:rPr>
                <w:b/>
                <w:sz w:val="20"/>
                <w:szCs w:val="20"/>
              </w:rPr>
              <w:t>Volkenant</w:t>
            </w:r>
            <w:proofErr w:type="spellEnd"/>
            <w:r w:rsidRPr="00003B04">
              <w:rPr>
                <w:b/>
                <w:sz w:val="20"/>
                <w:szCs w:val="20"/>
              </w:rPr>
              <w:t xml:space="preserve"> c. Barreau du Haut-Canada</w:t>
            </w:r>
          </w:p>
          <w:p w:rsidR="00EE4290" w:rsidRPr="00003B04" w:rsidRDefault="00EE4290" w:rsidP="00EE4290">
            <w:pPr>
              <w:jc w:val="both"/>
              <w:rPr>
                <w:sz w:val="20"/>
                <w:lang w:val="fr-CA"/>
              </w:rPr>
            </w:pPr>
            <w:r w:rsidRPr="00003B04">
              <w:rPr>
                <w:sz w:val="20"/>
                <w:lang w:val="fr-CA"/>
              </w:rPr>
              <w:t>(Ont.) (Civile) (Sur autorisation)</w:t>
            </w:r>
          </w:p>
        </w:tc>
      </w:tr>
      <w:tr w:rsidR="00D310D9" w:rsidRPr="00C3697D" w:rsidTr="00EE4290">
        <w:tc>
          <w:tcPr>
            <w:tcW w:w="543" w:type="pct"/>
          </w:tcPr>
          <w:p w:rsidR="00D310D9" w:rsidRPr="00003B04" w:rsidRDefault="00D310D9" w:rsidP="00EE4290">
            <w:pPr>
              <w:jc w:val="both"/>
              <w:rPr>
                <w:rStyle w:val="SCCFileNumberChar"/>
                <w:sz w:val="20"/>
                <w:szCs w:val="20"/>
                <w:lang w:val="fr-CA"/>
              </w:rPr>
            </w:pPr>
            <w:r w:rsidRPr="00003B04">
              <w:rPr>
                <w:rStyle w:val="SCCFileNumberChar"/>
                <w:sz w:val="20"/>
                <w:szCs w:val="20"/>
                <w:lang w:val="fr-CA"/>
              </w:rPr>
              <w:t>Coram :</w:t>
            </w:r>
          </w:p>
        </w:tc>
        <w:tc>
          <w:tcPr>
            <w:tcW w:w="4457" w:type="pct"/>
            <w:gridSpan w:val="3"/>
          </w:tcPr>
          <w:p w:rsidR="00D310D9" w:rsidRPr="00003B04" w:rsidRDefault="000E7F29" w:rsidP="00EE4290">
            <w:pPr>
              <w:pStyle w:val="SCCLsocParty"/>
              <w:jc w:val="both"/>
              <w:rPr>
                <w:sz w:val="20"/>
                <w:szCs w:val="20"/>
                <w:lang w:val="fr-FR"/>
              </w:rPr>
            </w:pPr>
            <w:r w:rsidRPr="00003B04">
              <w:rPr>
                <w:sz w:val="20"/>
                <w:szCs w:val="20"/>
                <w:lang w:val="fr-FR"/>
              </w:rPr>
              <w:t xml:space="preserve">La juge en chef </w:t>
            </w:r>
            <w:proofErr w:type="spellStart"/>
            <w:r w:rsidRPr="00003B04">
              <w:rPr>
                <w:sz w:val="20"/>
                <w:szCs w:val="20"/>
                <w:lang w:val="fr-FR"/>
              </w:rPr>
              <w:t>McLachlin</w:t>
            </w:r>
            <w:proofErr w:type="spellEnd"/>
            <w:r w:rsidRPr="00003B04">
              <w:rPr>
                <w:sz w:val="20"/>
                <w:szCs w:val="20"/>
                <w:lang w:val="fr-FR"/>
              </w:rPr>
              <w:t xml:space="preserve"> et les juges Abella, </w:t>
            </w:r>
            <w:proofErr w:type="spellStart"/>
            <w:r w:rsidRPr="00003B04">
              <w:rPr>
                <w:sz w:val="20"/>
                <w:szCs w:val="20"/>
                <w:lang w:val="fr-FR"/>
              </w:rPr>
              <w:t>Moldaver</w:t>
            </w:r>
            <w:proofErr w:type="spellEnd"/>
            <w:r w:rsidRPr="00003B04">
              <w:rPr>
                <w:sz w:val="20"/>
                <w:szCs w:val="20"/>
                <w:lang w:val="fr-FR"/>
              </w:rPr>
              <w:t xml:space="preserve">, </w:t>
            </w:r>
            <w:proofErr w:type="spellStart"/>
            <w:r w:rsidRPr="00003B04">
              <w:rPr>
                <w:sz w:val="20"/>
                <w:szCs w:val="20"/>
                <w:lang w:val="fr-FR"/>
              </w:rPr>
              <w:t>Karakatsanis</w:t>
            </w:r>
            <w:proofErr w:type="spellEnd"/>
            <w:r w:rsidRPr="00003B04">
              <w:rPr>
                <w:sz w:val="20"/>
                <w:szCs w:val="20"/>
                <w:lang w:val="fr-FR"/>
              </w:rPr>
              <w:t>, Wagner, Gascon, Côté, Brown et Rowe</w:t>
            </w:r>
          </w:p>
          <w:p w:rsidR="000E7F29" w:rsidRPr="00003B04" w:rsidRDefault="000E7F29" w:rsidP="000E7F29">
            <w:pPr>
              <w:rPr>
                <w:lang w:val="fr-FR"/>
              </w:rPr>
            </w:pPr>
          </w:p>
        </w:tc>
      </w:tr>
      <w:tr w:rsidR="00D310D9" w:rsidRPr="00C3697D" w:rsidTr="00D310D9">
        <w:tc>
          <w:tcPr>
            <w:tcW w:w="5000" w:type="pct"/>
            <w:gridSpan w:val="4"/>
          </w:tcPr>
          <w:p w:rsidR="00D310D9" w:rsidRPr="00003B04" w:rsidRDefault="000E7F29" w:rsidP="00EE4290">
            <w:pPr>
              <w:pStyle w:val="SCCLsocParty"/>
              <w:jc w:val="both"/>
              <w:rPr>
                <w:sz w:val="20"/>
                <w:szCs w:val="20"/>
              </w:rPr>
            </w:pPr>
            <w:r w:rsidRPr="00003B04">
              <w:rPr>
                <w:sz w:val="20"/>
                <w:szCs w:val="20"/>
              </w:rPr>
              <w:t xml:space="preserve">La demande d’autorisation d’appel de l’arrêt de la </w:t>
            </w:r>
            <w:r w:rsidRPr="00003B04">
              <w:rPr>
                <w:sz w:val="20"/>
                <w:szCs w:val="20"/>
                <w:lang w:val="fr-FR"/>
              </w:rPr>
              <w:t>Cour d’appel de l’Ontario</w:t>
            </w:r>
            <w:r w:rsidRPr="00003B04">
              <w:rPr>
                <w:sz w:val="20"/>
                <w:szCs w:val="20"/>
              </w:rPr>
              <w:t xml:space="preserve">, numéro </w:t>
            </w:r>
            <w:r w:rsidRPr="00003B04">
              <w:rPr>
                <w:sz w:val="20"/>
                <w:szCs w:val="20"/>
                <w:lang w:val="fr-FR"/>
              </w:rPr>
              <w:t>C61116, 2016 ONCA 518</w:t>
            </w:r>
            <w:r w:rsidRPr="00003B04">
              <w:rPr>
                <w:sz w:val="20"/>
                <w:szCs w:val="20"/>
              </w:rPr>
              <w:t xml:space="preserve">, daté du </w:t>
            </w:r>
            <w:r w:rsidRPr="00003B04">
              <w:rPr>
                <w:sz w:val="20"/>
                <w:szCs w:val="20"/>
                <w:lang w:val="fr-FR"/>
              </w:rPr>
              <w:t>29 juin 2016</w:t>
            </w:r>
            <w:r w:rsidRPr="00003B04">
              <w:rPr>
                <w:sz w:val="20"/>
                <w:szCs w:val="20"/>
              </w:rPr>
              <w:t xml:space="preserve">, est accueillie avec dépens suivant l’issue de la cause. Cet appel sera entendu avec l’affaire </w:t>
            </w:r>
            <w:r w:rsidRPr="00003B04">
              <w:rPr>
                <w:i/>
                <w:sz w:val="20"/>
                <w:szCs w:val="20"/>
              </w:rPr>
              <w:t>Law Society of</w:t>
            </w:r>
            <w:r w:rsidRPr="00003B04">
              <w:rPr>
                <w:sz w:val="20"/>
                <w:szCs w:val="20"/>
              </w:rPr>
              <w:t xml:space="preserve"> </w:t>
            </w:r>
            <w:r w:rsidRPr="00003B04">
              <w:rPr>
                <w:i/>
                <w:sz w:val="20"/>
                <w:szCs w:val="20"/>
              </w:rPr>
              <w:t xml:space="preserve">British Columbia c. Trinity Western </w:t>
            </w:r>
            <w:proofErr w:type="spellStart"/>
            <w:r w:rsidRPr="00003B04">
              <w:rPr>
                <w:i/>
                <w:sz w:val="20"/>
                <w:szCs w:val="20"/>
              </w:rPr>
              <w:t>University</w:t>
            </w:r>
            <w:proofErr w:type="spellEnd"/>
            <w:r w:rsidRPr="00003B04">
              <w:rPr>
                <w:i/>
                <w:sz w:val="20"/>
                <w:szCs w:val="20"/>
              </w:rPr>
              <w:t>, et al.</w:t>
            </w:r>
            <w:r w:rsidRPr="00003B04">
              <w:rPr>
                <w:sz w:val="20"/>
                <w:szCs w:val="20"/>
              </w:rPr>
              <w:t xml:space="preserve"> (37318). Les appelants doivent signifier et déposer, conformément aux paragraphes 33(2) et (3) des </w:t>
            </w:r>
            <w:r w:rsidRPr="00003B04">
              <w:rPr>
                <w:i/>
                <w:iCs/>
                <w:sz w:val="20"/>
                <w:szCs w:val="20"/>
              </w:rPr>
              <w:t>Règles de la Cour suprême du Canada</w:t>
            </w:r>
            <w:r w:rsidRPr="00003B04">
              <w:rPr>
                <w:sz w:val="20"/>
                <w:szCs w:val="20"/>
              </w:rPr>
              <w:t>, un avis de question constitutionnelle semblable au formulaire 33B. </w:t>
            </w:r>
          </w:p>
          <w:p w:rsidR="000E7F29" w:rsidRPr="00003B04" w:rsidRDefault="000E7F29" w:rsidP="000E7F29">
            <w:pPr>
              <w:rPr>
                <w:lang w:val="fr-CA"/>
              </w:rPr>
            </w:pPr>
          </w:p>
        </w:tc>
      </w:tr>
      <w:tr w:rsidR="00EE4290" w:rsidRPr="00C3697D" w:rsidTr="00EE4290">
        <w:tc>
          <w:tcPr>
            <w:tcW w:w="5000" w:type="pct"/>
            <w:gridSpan w:val="4"/>
          </w:tcPr>
          <w:p w:rsidR="00EE4290" w:rsidRPr="00003B04" w:rsidRDefault="00EE4290" w:rsidP="00EE4290">
            <w:pPr>
              <w:jc w:val="both"/>
              <w:rPr>
                <w:sz w:val="20"/>
                <w:lang w:val="fr-CA"/>
              </w:rPr>
            </w:pPr>
            <w:r w:rsidRPr="00003B04">
              <w:rPr>
                <w:i/>
                <w:sz w:val="20"/>
                <w:lang w:val="fr-CA"/>
              </w:rPr>
              <w:t>Charte</w:t>
            </w:r>
            <w:r w:rsidRPr="00003B04">
              <w:rPr>
                <w:sz w:val="20"/>
                <w:lang w:val="fr-CA"/>
              </w:rPr>
              <w:t xml:space="preserve"> — Liberté de religion — Droits à l’égalité — Réglementation de la profession juridique — Barreaux et ordres professionnels — Refus du barreau de l’Ontario d’accorder l’agrément à la faculté de droit de la Trinity Western </w:t>
            </w:r>
            <w:proofErr w:type="spellStart"/>
            <w:r w:rsidRPr="00003B04">
              <w:rPr>
                <w:sz w:val="20"/>
                <w:lang w:val="fr-CA"/>
              </w:rPr>
              <w:t>University</w:t>
            </w:r>
            <w:proofErr w:type="spellEnd"/>
            <w:r w:rsidRPr="00003B04">
              <w:rPr>
                <w:sz w:val="20"/>
                <w:lang w:val="fr-CA"/>
              </w:rPr>
              <w:t xml:space="preserve"> (« TWU ») de la Colombie-Britannique parce que les étudiants doivent signer un engagement communautaire qui ne reconnaît pas le mariage entre personnes du même sexe — Demande de contrôle judiciaire de la TWU — Confirmation du refus du barreau par la cour de révision et rejet de l’appel subséquent de la TWU — Le refus du barreau était-il raisonnable?</w:t>
            </w:r>
          </w:p>
        </w:tc>
      </w:tr>
      <w:tr w:rsidR="00EE4290" w:rsidRPr="00C3697D" w:rsidTr="00EE4290">
        <w:tc>
          <w:tcPr>
            <w:tcW w:w="5000" w:type="pct"/>
            <w:gridSpan w:val="4"/>
          </w:tcPr>
          <w:p w:rsidR="00EE4290" w:rsidRPr="00003B04" w:rsidRDefault="00EE4290" w:rsidP="00EE4290">
            <w:pPr>
              <w:jc w:val="both"/>
              <w:rPr>
                <w:sz w:val="20"/>
                <w:lang w:val="fr-CA"/>
              </w:rPr>
            </w:pPr>
          </w:p>
        </w:tc>
      </w:tr>
      <w:tr w:rsidR="00EE4290" w:rsidRPr="00C3697D" w:rsidTr="00EE4290">
        <w:tc>
          <w:tcPr>
            <w:tcW w:w="5000" w:type="pct"/>
            <w:gridSpan w:val="4"/>
          </w:tcPr>
          <w:p w:rsidR="00EE4290" w:rsidRPr="00003B04" w:rsidRDefault="00EE4290" w:rsidP="00EE4290">
            <w:pPr>
              <w:jc w:val="both"/>
              <w:rPr>
                <w:sz w:val="20"/>
                <w:lang w:val="fr-CA"/>
              </w:rPr>
            </w:pPr>
            <w:r w:rsidRPr="00003B04">
              <w:rPr>
                <w:sz w:val="20"/>
                <w:lang w:val="fr-CA"/>
              </w:rPr>
              <w:t xml:space="preserve">L’intimé, le Barreau du Haut-Canada (le « Barreau »), a refusé de donner l’agrément à la faculté de droit de la demanderesse, la Trinity Western </w:t>
            </w:r>
            <w:proofErr w:type="spellStart"/>
            <w:r w:rsidRPr="00003B04">
              <w:rPr>
                <w:sz w:val="20"/>
                <w:lang w:val="fr-CA"/>
              </w:rPr>
              <w:t>University</w:t>
            </w:r>
            <w:proofErr w:type="spellEnd"/>
            <w:r w:rsidRPr="00003B04">
              <w:rPr>
                <w:sz w:val="20"/>
                <w:lang w:val="fr-CA"/>
              </w:rPr>
              <w:t xml:space="preserve"> (« TWU »), qui est un établissement postsecondaire privé situé en Colombie-Britannique offrant de la formation fondée sur des principes chrétiens évangéliques. Son approche de développement communautaire est énoncée sous la forme d’un engagement, qui consiste en un code de conduite qui encourage ou décourage certains comportements selon des principes chrétiens évangéliques d’enseignement et de moralité bibliques. L’engagement interdit l’intimité sexuelle qui viole le caractère sacré du mariage entre un homme et </w:t>
            </w:r>
            <w:r w:rsidRPr="00003B04">
              <w:rPr>
                <w:sz w:val="20"/>
                <w:lang w:val="fr-CA"/>
              </w:rPr>
              <w:lastRenderedPageBreak/>
              <w:t>une femme. Les personnes qui ne sont pas mariées doivent être chastes. TWU n’a pas empêché l’admission d’étudiants homosexuels, bisexuels ou transgenres (LGBTQ), et l’engagement interdit toute forme de discrimination ou de préjudice. Cependant, la TWU refuse d’admettre à sa faculté de droit tout étudiant qui ne veut pas signer l’engagement. En raison de cet engagement, les conseillers du Barreau ont décidé, par vote, de refuser d’accorder l’agrément à la TWU en Ontario. Lors du contrôle judiciaire, la cour a conclu que le Barreau était habilité, dans l’exercice de son mandat d’agir dans l’intérêt public conféré par la loi, à refuser de donner l’agrément à la faculté de droit de la TWU compte tenu de la nature discriminatoire de l’engagement communautaire. La cour de révision a conclu que, même si la décision contrevenait à la liberté de religion des demandeurs, la TWU et son représentant étudiant (« TWU et autre »), le Barreau avait procédé à une mise en balance raisonnable et proportionnée des droits en cause protégés par la Charte. Par conséquent, la cour de révision a conclu que le refus du Barreau était raisonnable. La Cour d’appel, à l’unanimité, a rejeté l’appel subséquent de la TWU et autre.</w:t>
            </w:r>
          </w:p>
          <w:p w:rsidR="00EE4290" w:rsidRPr="00003B04" w:rsidRDefault="00EE4290" w:rsidP="00EE4290">
            <w:pPr>
              <w:jc w:val="both"/>
              <w:rPr>
                <w:sz w:val="20"/>
                <w:lang w:val="fr-CA"/>
              </w:rPr>
            </w:pPr>
          </w:p>
        </w:tc>
      </w:tr>
      <w:tr w:rsidR="00EE4290" w:rsidRPr="00C3697D" w:rsidTr="00EE4290">
        <w:tc>
          <w:tcPr>
            <w:tcW w:w="2427" w:type="pct"/>
            <w:gridSpan w:val="2"/>
          </w:tcPr>
          <w:p w:rsidR="00EE4290" w:rsidRPr="00003B04" w:rsidRDefault="00EE4290" w:rsidP="00EE4290">
            <w:pPr>
              <w:jc w:val="both"/>
              <w:rPr>
                <w:sz w:val="20"/>
                <w:lang w:val="fr-CA"/>
              </w:rPr>
            </w:pPr>
            <w:r w:rsidRPr="00003B04">
              <w:rPr>
                <w:sz w:val="20"/>
                <w:lang w:val="fr-CA"/>
              </w:rPr>
              <w:lastRenderedPageBreak/>
              <w:t>2 juillet 2015</w:t>
            </w:r>
          </w:p>
          <w:p w:rsidR="00EE4290" w:rsidRPr="00003B04" w:rsidRDefault="00EE4290" w:rsidP="00EE4290">
            <w:pPr>
              <w:jc w:val="both"/>
              <w:rPr>
                <w:sz w:val="20"/>
                <w:lang w:val="fr-CA"/>
              </w:rPr>
            </w:pPr>
            <w:r w:rsidRPr="00003B04">
              <w:rPr>
                <w:sz w:val="20"/>
                <w:lang w:val="fr-CA"/>
              </w:rPr>
              <w:t xml:space="preserve">Cour supérieure de justice de l’Ontario </w:t>
            </w:r>
          </w:p>
          <w:p w:rsidR="00EE4290" w:rsidRPr="00003B04" w:rsidRDefault="00EE4290" w:rsidP="00EE4290">
            <w:pPr>
              <w:jc w:val="both"/>
              <w:rPr>
                <w:sz w:val="20"/>
                <w:lang w:val="fr-CA"/>
              </w:rPr>
            </w:pPr>
            <w:r w:rsidRPr="00003B04">
              <w:rPr>
                <w:sz w:val="20"/>
                <w:lang w:val="fr-CA"/>
              </w:rPr>
              <w:t xml:space="preserve">(Juge en chef adjoint </w:t>
            </w:r>
            <w:proofErr w:type="spellStart"/>
            <w:r w:rsidRPr="00003B04">
              <w:rPr>
                <w:sz w:val="20"/>
                <w:lang w:val="fr-CA"/>
              </w:rPr>
              <w:t>Marrocco</w:t>
            </w:r>
            <w:proofErr w:type="spellEnd"/>
            <w:r w:rsidRPr="00003B04">
              <w:rPr>
                <w:sz w:val="20"/>
                <w:lang w:val="fr-CA"/>
              </w:rPr>
              <w:t xml:space="preserve"> et juges </w:t>
            </w:r>
            <w:proofErr w:type="spellStart"/>
            <w:r w:rsidRPr="00003B04">
              <w:rPr>
                <w:sz w:val="20"/>
                <w:lang w:val="fr-CA"/>
              </w:rPr>
              <w:t>Then</w:t>
            </w:r>
            <w:proofErr w:type="spellEnd"/>
            <w:r w:rsidRPr="00003B04">
              <w:rPr>
                <w:sz w:val="20"/>
                <w:lang w:val="fr-CA"/>
              </w:rPr>
              <w:t xml:space="preserve"> et </w:t>
            </w:r>
            <w:proofErr w:type="spellStart"/>
            <w:r w:rsidRPr="00003B04">
              <w:rPr>
                <w:sz w:val="20"/>
                <w:lang w:val="fr-CA"/>
              </w:rPr>
              <w:t>Nordheimer</w:t>
            </w:r>
            <w:proofErr w:type="spellEnd"/>
            <w:r w:rsidRPr="00003B04">
              <w:rPr>
                <w:sz w:val="20"/>
                <w:lang w:val="fr-CA"/>
              </w:rPr>
              <w:t>)</w:t>
            </w:r>
          </w:p>
          <w:p w:rsidR="00EE4290" w:rsidRPr="00003B04" w:rsidRDefault="00604445" w:rsidP="00EE4290">
            <w:pPr>
              <w:jc w:val="both"/>
              <w:rPr>
                <w:sz w:val="20"/>
                <w:lang w:val="fr-CA"/>
              </w:rPr>
            </w:pPr>
            <w:hyperlink r:id="rId53" w:anchor="search/id=2015%20ONSC%204250" w:history="1">
              <w:r w:rsidR="00EE4290" w:rsidRPr="00003B04">
                <w:rPr>
                  <w:rStyle w:val="Hyperlink"/>
                  <w:sz w:val="20"/>
                  <w:lang w:val="fr-CA"/>
                </w:rPr>
                <w:t>2015 ONSC 4250</w:t>
              </w:r>
            </w:hyperlink>
          </w:p>
          <w:p w:rsidR="00EE4290" w:rsidRPr="00003B04" w:rsidRDefault="00EE4290" w:rsidP="00EE4290">
            <w:pPr>
              <w:jc w:val="both"/>
              <w:rPr>
                <w:sz w:val="20"/>
                <w:lang w:val="fr-CA"/>
              </w:rPr>
            </w:pPr>
          </w:p>
        </w:tc>
        <w:tc>
          <w:tcPr>
            <w:tcW w:w="243" w:type="pct"/>
          </w:tcPr>
          <w:p w:rsidR="00EE4290" w:rsidRPr="00003B04" w:rsidRDefault="00EE4290" w:rsidP="00EE4290">
            <w:pPr>
              <w:jc w:val="both"/>
              <w:rPr>
                <w:sz w:val="20"/>
                <w:lang w:val="fr-CA"/>
              </w:rPr>
            </w:pPr>
          </w:p>
        </w:tc>
        <w:tc>
          <w:tcPr>
            <w:tcW w:w="2330" w:type="pct"/>
          </w:tcPr>
          <w:p w:rsidR="00EE4290" w:rsidRPr="00003B04" w:rsidRDefault="00EE4290" w:rsidP="00EE4290">
            <w:pPr>
              <w:jc w:val="both"/>
              <w:rPr>
                <w:sz w:val="20"/>
                <w:lang w:val="fr-CA"/>
              </w:rPr>
            </w:pPr>
            <w:r w:rsidRPr="00003B04">
              <w:rPr>
                <w:sz w:val="20"/>
                <w:lang w:val="fr-CA"/>
              </w:rPr>
              <w:t>Rejet de la demande de contrôle judiciaire à l’égard du refus du Barreau de donner l’agrément à la faculté de droit de la TWU</w:t>
            </w:r>
          </w:p>
          <w:p w:rsidR="00EE4290" w:rsidRPr="00003B04" w:rsidRDefault="00EE4290" w:rsidP="00EE4290">
            <w:pPr>
              <w:jc w:val="both"/>
              <w:rPr>
                <w:sz w:val="20"/>
                <w:lang w:val="fr-CA"/>
              </w:rPr>
            </w:pPr>
            <w:r w:rsidRPr="00003B04">
              <w:rPr>
                <w:sz w:val="20"/>
                <w:lang w:val="fr-CA"/>
              </w:rPr>
              <w:t xml:space="preserve"> </w:t>
            </w:r>
          </w:p>
        </w:tc>
      </w:tr>
      <w:tr w:rsidR="00EE4290" w:rsidRPr="00003B04" w:rsidTr="00EE4290">
        <w:tc>
          <w:tcPr>
            <w:tcW w:w="2427" w:type="pct"/>
            <w:gridSpan w:val="2"/>
          </w:tcPr>
          <w:p w:rsidR="00EE4290" w:rsidRPr="00003B04" w:rsidRDefault="00EE4290" w:rsidP="00EE4290">
            <w:pPr>
              <w:jc w:val="both"/>
              <w:rPr>
                <w:sz w:val="20"/>
                <w:lang w:val="fr-CA"/>
              </w:rPr>
            </w:pPr>
            <w:r w:rsidRPr="00003B04">
              <w:rPr>
                <w:sz w:val="20"/>
                <w:lang w:val="fr-CA"/>
              </w:rPr>
              <w:t>29 juin 2016</w:t>
            </w:r>
          </w:p>
          <w:p w:rsidR="00EE4290" w:rsidRPr="00003B04" w:rsidRDefault="00EE4290" w:rsidP="00EE4290">
            <w:pPr>
              <w:jc w:val="both"/>
              <w:rPr>
                <w:sz w:val="20"/>
                <w:lang w:val="fr-CA"/>
              </w:rPr>
            </w:pPr>
            <w:r w:rsidRPr="00003B04">
              <w:rPr>
                <w:sz w:val="20"/>
                <w:lang w:val="fr-CA"/>
              </w:rPr>
              <w:t>Cour d’appel de l’Ontario</w:t>
            </w:r>
          </w:p>
          <w:p w:rsidR="00EE4290" w:rsidRPr="00003B04" w:rsidRDefault="00EE4290" w:rsidP="00EE4290">
            <w:pPr>
              <w:jc w:val="both"/>
              <w:rPr>
                <w:sz w:val="20"/>
                <w:lang w:val="fr-CA"/>
              </w:rPr>
            </w:pPr>
            <w:r w:rsidRPr="00003B04">
              <w:rPr>
                <w:sz w:val="20"/>
                <w:lang w:val="fr-CA"/>
              </w:rPr>
              <w:t xml:space="preserve">(Juges d’appel </w:t>
            </w:r>
            <w:proofErr w:type="spellStart"/>
            <w:r w:rsidRPr="00003B04">
              <w:rPr>
                <w:sz w:val="20"/>
                <w:lang w:val="fr-CA"/>
              </w:rPr>
              <w:t>MacPherson</w:t>
            </w:r>
            <w:proofErr w:type="spellEnd"/>
            <w:r w:rsidRPr="00003B04">
              <w:rPr>
                <w:sz w:val="20"/>
                <w:lang w:val="fr-CA"/>
              </w:rPr>
              <w:t xml:space="preserve">, </w:t>
            </w:r>
            <w:proofErr w:type="spellStart"/>
            <w:r w:rsidRPr="00003B04">
              <w:rPr>
                <w:sz w:val="20"/>
                <w:lang w:val="fr-CA"/>
              </w:rPr>
              <w:t>Cronk</w:t>
            </w:r>
            <w:proofErr w:type="spellEnd"/>
            <w:r w:rsidRPr="00003B04">
              <w:rPr>
                <w:sz w:val="20"/>
                <w:lang w:val="fr-CA"/>
              </w:rPr>
              <w:t xml:space="preserve"> et </w:t>
            </w:r>
            <w:proofErr w:type="spellStart"/>
            <w:r w:rsidRPr="00003B04">
              <w:rPr>
                <w:sz w:val="20"/>
                <w:lang w:val="fr-CA"/>
              </w:rPr>
              <w:t>Pardu</w:t>
            </w:r>
            <w:proofErr w:type="spellEnd"/>
            <w:r w:rsidRPr="00003B04">
              <w:rPr>
                <w:sz w:val="20"/>
                <w:lang w:val="fr-CA"/>
              </w:rPr>
              <w:t>)</w:t>
            </w:r>
          </w:p>
          <w:p w:rsidR="00EE4290" w:rsidRPr="00003B04" w:rsidRDefault="00604445" w:rsidP="00EE4290">
            <w:pPr>
              <w:jc w:val="both"/>
              <w:rPr>
                <w:sz w:val="20"/>
                <w:lang w:val="fr-CA"/>
              </w:rPr>
            </w:pPr>
            <w:hyperlink r:id="rId54" w:history="1">
              <w:r w:rsidR="00EE4290" w:rsidRPr="00003B04">
                <w:rPr>
                  <w:rStyle w:val="Hyperlink"/>
                  <w:sz w:val="20"/>
                  <w:lang w:val="fr-CA"/>
                </w:rPr>
                <w:t>2016 ONCA 518</w:t>
              </w:r>
            </w:hyperlink>
          </w:p>
          <w:p w:rsidR="00EE4290" w:rsidRPr="00003B04" w:rsidRDefault="00EE4290" w:rsidP="00EE4290">
            <w:pPr>
              <w:jc w:val="both"/>
              <w:rPr>
                <w:sz w:val="20"/>
                <w:lang w:val="fr-CA"/>
              </w:rPr>
            </w:pPr>
          </w:p>
        </w:tc>
        <w:tc>
          <w:tcPr>
            <w:tcW w:w="243" w:type="pct"/>
          </w:tcPr>
          <w:p w:rsidR="00EE4290" w:rsidRPr="00003B04" w:rsidRDefault="00EE4290" w:rsidP="00EE4290">
            <w:pPr>
              <w:jc w:val="both"/>
              <w:rPr>
                <w:sz w:val="20"/>
                <w:lang w:val="fr-CA"/>
              </w:rPr>
            </w:pPr>
          </w:p>
        </w:tc>
        <w:tc>
          <w:tcPr>
            <w:tcW w:w="2330" w:type="pct"/>
          </w:tcPr>
          <w:p w:rsidR="00EE4290" w:rsidRPr="00003B04" w:rsidRDefault="00EE4290" w:rsidP="00EE4290">
            <w:pPr>
              <w:jc w:val="both"/>
              <w:rPr>
                <w:sz w:val="20"/>
                <w:lang w:val="fr-CA"/>
              </w:rPr>
            </w:pPr>
            <w:r w:rsidRPr="00003B04">
              <w:rPr>
                <w:sz w:val="20"/>
                <w:lang w:val="fr-CA"/>
              </w:rPr>
              <w:t>Rejet de l’appel</w:t>
            </w:r>
          </w:p>
          <w:p w:rsidR="00EE4290" w:rsidRPr="00003B04" w:rsidRDefault="00EE4290" w:rsidP="00EE4290">
            <w:pPr>
              <w:jc w:val="both"/>
              <w:rPr>
                <w:sz w:val="20"/>
                <w:lang w:val="fr-CA"/>
              </w:rPr>
            </w:pPr>
          </w:p>
        </w:tc>
      </w:tr>
      <w:tr w:rsidR="00EE4290" w:rsidRPr="00C3697D" w:rsidTr="00EE4290">
        <w:tc>
          <w:tcPr>
            <w:tcW w:w="2427" w:type="pct"/>
            <w:gridSpan w:val="2"/>
          </w:tcPr>
          <w:p w:rsidR="00EE4290" w:rsidRPr="00003B04" w:rsidRDefault="00EE4290" w:rsidP="00EE4290">
            <w:pPr>
              <w:jc w:val="both"/>
              <w:rPr>
                <w:sz w:val="20"/>
                <w:lang w:val="fr-CA"/>
              </w:rPr>
            </w:pPr>
            <w:r w:rsidRPr="00003B04">
              <w:rPr>
                <w:sz w:val="20"/>
                <w:lang w:val="fr-CA"/>
              </w:rPr>
              <w:t>28 septembre 2016</w:t>
            </w:r>
          </w:p>
          <w:p w:rsidR="00EE4290" w:rsidRPr="00003B04" w:rsidRDefault="00EE4290" w:rsidP="00EE4290">
            <w:pPr>
              <w:jc w:val="both"/>
              <w:rPr>
                <w:sz w:val="20"/>
                <w:lang w:val="fr-CA"/>
              </w:rPr>
            </w:pPr>
            <w:r w:rsidRPr="00003B04">
              <w:rPr>
                <w:sz w:val="20"/>
                <w:lang w:val="fr-CA"/>
              </w:rPr>
              <w:t>Cour suprême du Canada</w:t>
            </w:r>
          </w:p>
        </w:tc>
        <w:tc>
          <w:tcPr>
            <w:tcW w:w="243" w:type="pct"/>
          </w:tcPr>
          <w:p w:rsidR="00EE4290" w:rsidRPr="00003B04" w:rsidRDefault="00EE4290" w:rsidP="00EE4290">
            <w:pPr>
              <w:jc w:val="both"/>
              <w:rPr>
                <w:sz w:val="20"/>
                <w:lang w:val="fr-CA"/>
              </w:rPr>
            </w:pPr>
          </w:p>
        </w:tc>
        <w:tc>
          <w:tcPr>
            <w:tcW w:w="2330" w:type="pct"/>
          </w:tcPr>
          <w:p w:rsidR="00EE4290" w:rsidRPr="00003B04" w:rsidRDefault="00EE4290" w:rsidP="00EE4290">
            <w:pPr>
              <w:jc w:val="both"/>
              <w:rPr>
                <w:sz w:val="20"/>
                <w:lang w:val="fr-CA"/>
              </w:rPr>
            </w:pPr>
            <w:r w:rsidRPr="00003B04">
              <w:rPr>
                <w:sz w:val="20"/>
                <w:lang w:val="fr-CA"/>
              </w:rPr>
              <w:t>Dépôt de la demande d’autorisation d’appel</w:t>
            </w:r>
          </w:p>
          <w:p w:rsidR="00EE4290" w:rsidRPr="00003B04" w:rsidRDefault="00EE4290" w:rsidP="00EE4290">
            <w:pPr>
              <w:jc w:val="both"/>
              <w:rPr>
                <w:sz w:val="20"/>
                <w:lang w:val="fr-CA"/>
              </w:rPr>
            </w:pPr>
          </w:p>
        </w:tc>
      </w:tr>
    </w:tbl>
    <w:p w:rsidR="00EE4290" w:rsidRPr="00003B04" w:rsidRDefault="00604445" w:rsidP="00EE4290">
      <w:pPr>
        <w:jc w:val="both"/>
        <w:rPr>
          <w:sz w:val="20"/>
          <w:lang w:val="fr-CA"/>
        </w:rPr>
      </w:pPr>
      <w:r>
        <w:rPr>
          <w:sz w:val="20"/>
          <w:szCs w:val="20"/>
        </w:rPr>
        <w:pict>
          <v:rect id="_x0000_i1062" style="width:2in;height:1pt" o:hrpct="0" o:hralign="center" o:hrstd="t" o:hrnoshade="t" o:hr="t" fillcolor="black [3213]" stroked="f"/>
        </w:pict>
      </w:r>
    </w:p>
    <w:p w:rsidR="00EE4290" w:rsidRPr="00003B04" w:rsidRDefault="00EE4290" w:rsidP="00EE4290">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E4290" w:rsidRPr="00003B04" w:rsidTr="00EE4290">
        <w:tc>
          <w:tcPr>
            <w:tcW w:w="543" w:type="pct"/>
          </w:tcPr>
          <w:p w:rsidR="00EE4290" w:rsidRPr="00003B04" w:rsidRDefault="00EE4290" w:rsidP="00EE4290">
            <w:pPr>
              <w:jc w:val="both"/>
              <w:rPr>
                <w:sz w:val="20"/>
              </w:rPr>
            </w:pPr>
            <w:r w:rsidRPr="00003B04">
              <w:rPr>
                <w:rStyle w:val="SCCFileNumberChar"/>
                <w:sz w:val="20"/>
                <w:szCs w:val="20"/>
              </w:rPr>
              <w:t>37318</w:t>
            </w:r>
          </w:p>
        </w:tc>
        <w:tc>
          <w:tcPr>
            <w:tcW w:w="4457" w:type="pct"/>
            <w:gridSpan w:val="3"/>
          </w:tcPr>
          <w:p w:rsidR="00EE4290" w:rsidRPr="00003B04" w:rsidRDefault="00EE4290" w:rsidP="00EE4290">
            <w:pPr>
              <w:pStyle w:val="SCCLsocParty"/>
              <w:jc w:val="both"/>
              <w:rPr>
                <w:b/>
                <w:sz w:val="20"/>
                <w:szCs w:val="20"/>
                <w:lang w:val="en-US"/>
              </w:rPr>
            </w:pPr>
            <w:r w:rsidRPr="00003B04">
              <w:rPr>
                <w:b/>
                <w:sz w:val="20"/>
                <w:szCs w:val="20"/>
                <w:lang w:val="en-US"/>
              </w:rPr>
              <w:t>Law Society of British Columbia v. Trinity Western University</w:t>
            </w:r>
            <w:r w:rsidR="000E7F29" w:rsidRPr="00003B04">
              <w:rPr>
                <w:b/>
                <w:sz w:val="20"/>
                <w:szCs w:val="20"/>
                <w:lang w:val="en-US"/>
              </w:rPr>
              <w:t xml:space="preserve"> and</w:t>
            </w:r>
            <w:r w:rsidRPr="00003B04">
              <w:rPr>
                <w:b/>
                <w:sz w:val="20"/>
                <w:szCs w:val="20"/>
                <w:lang w:val="en-US"/>
              </w:rPr>
              <w:t xml:space="preserve"> Brayden </w:t>
            </w:r>
            <w:proofErr w:type="spellStart"/>
            <w:r w:rsidRPr="00003B04">
              <w:rPr>
                <w:b/>
                <w:sz w:val="20"/>
                <w:szCs w:val="20"/>
                <w:lang w:val="en-US"/>
              </w:rPr>
              <w:t>Volkenant</w:t>
            </w:r>
            <w:proofErr w:type="spellEnd"/>
          </w:p>
          <w:p w:rsidR="00EE4290" w:rsidRPr="00003B04" w:rsidRDefault="00EE4290" w:rsidP="00EE4290">
            <w:pPr>
              <w:jc w:val="both"/>
              <w:rPr>
                <w:sz w:val="20"/>
              </w:rPr>
            </w:pPr>
            <w:r w:rsidRPr="00003B04">
              <w:rPr>
                <w:sz w:val="20"/>
              </w:rPr>
              <w:t>(B.C.) (Civil) (By Leave)</w:t>
            </w:r>
          </w:p>
        </w:tc>
      </w:tr>
      <w:tr w:rsidR="00D310D9" w:rsidRPr="00003B04" w:rsidTr="00EE4290">
        <w:tc>
          <w:tcPr>
            <w:tcW w:w="543" w:type="pct"/>
          </w:tcPr>
          <w:p w:rsidR="00D310D9" w:rsidRPr="00003B04" w:rsidRDefault="00D310D9" w:rsidP="00EE4290">
            <w:pPr>
              <w:jc w:val="both"/>
              <w:rPr>
                <w:rStyle w:val="SCCFileNumberChar"/>
                <w:sz w:val="20"/>
                <w:szCs w:val="20"/>
              </w:rPr>
            </w:pPr>
            <w:r w:rsidRPr="00003B04">
              <w:rPr>
                <w:rStyle w:val="SCCFileNumberChar"/>
                <w:sz w:val="20"/>
                <w:szCs w:val="20"/>
              </w:rPr>
              <w:t>Coram:</w:t>
            </w:r>
          </w:p>
        </w:tc>
        <w:tc>
          <w:tcPr>
            <w:tcW w:w="4457" w:type="pct"/>
            <w:gridSpan w:val="3"/>
          </w:tcPr>
          <w:p w:rsidR="00D310D9" w:rsidRPr="00003B04" w:rsidRDefault="000E7F29" w:rsidP="00EE4290">
            <w:pPr>
              <w:pStyle w:val="SCCLsocParty"/>
              <w:jc w:val="both"/>
              <w:rPr>
                <w:sz w:val="20"/>
                <w:szCs w:val="20"/>
                <w:lang w:val="en-US"/>
              </w:rPr>
            </w:pPr>
            <w:proofErr w:type="spellStart"/>
            <w:r w:rsidRPr="00003B04">
              <w:rPr>
                <w:sz w:val="20"/>
                <w:szCs w:val="20"/>
                <w:lang w:val="en-US"/>
              </w:rPr>
              <w:t>McLachlin</w:t>
            </w:r>
            <w:proofErr w:type="spellEnd"/>
            <w:r w:rsidRPr="00003B04">
              <w:rPr>
                <w:sz w:val="20"/>
                <w:szCs w:val="20"/>
                <w:lang w:val="en-US"/>
              </w:rPr>
              <w:t xml:space="preserve"> C.J. and </w:t>
            </w:r>
            <w:proofErr w:type="spellStart"/>
            <w:r w:rsidRPr="00003B04">
              <w:rPr>
                <w:sz w:val="20"/>
                <w:szCs w:val="20"/>
                <w:lang w:val="en-US"/>
              </w:rPr>
              <w:t>Abella</w:t>
            </w:r>
            <w:proofErr w:type="spellEnd"/>
            <w:r w:rsidRPr="00003B04">
              <w:rPr>
                <w:sz w:val="20"/>
                <w:szCs w:val="20"/>
                <w:lang w:val="en-US"/>
              </w:rPr>
              <w:t xml:space="preserve">, </w:t>
            </w:r>
            <w:proofErr w:type="spellStart"/>
            <w:r w:rsidRPr="00003B04">
              <w:rPr>
                <w:sz w:val="20"/>
                <w:szCs w:val="20"/>
                <w:lang w:val="en-US"/>
              </w:rPr>
              <w:t>Moldaver</w:t>
            </w:r>
            <w:proofErr w:type="spellEnd"/>
            <w:r w:rsidRPr="00003B04">
              <w:rPr>
                <w:sz w:val="20"/>
                <w:szCs w:val="20"/>
                <w:lang w:val="en-US"/>
              </w:rPr>
              <w:t xml:space="preserve">, </w:t>
            </w:r>
            <w:proofErr w:type="spellStart"/>
            <w:r w:rsidRPr="00003B04">
              <w:rPr>
                <w:sz w:val="20"/>
                <w:szCs w:val="20"/>
                <w:lang w:val="en-US"/>
              </w:rPr>
              <w:t>Karakatsanis</w:t>
            </w:r>
            <w:proofErr w:type="spellEnd"/>
            <w:r w:rsidRPr="00003B04">
              <w:rPr>
                <w:sz w:val="20"/>
                <w:szCs w:val="20"/>
                <w:lang w:val="en-US"/>
              </w:rPr>
              <w:t xml:space="preserve">, Wagner, </w:t>
            </w:r>
            <w:proofErr w:type="spellStart"/>
            <w:r w:rsidRPr="00003B04">
              <w:rPr>
                <w:sz w:val="20"/>
                <w:szCs w:val="20"/>
                <w:lang w:val="en-US"/>
              </w:rPr>
              <w:t>Gascon</w:t>
            </w:r>
            <w:proofErr w:type="spellEnd"/>
            <w:r w:rsidRPr="00003B04">
              <w:rPr>
                <w:sz w:val="20"/>
                <w:szCs w:val="20"/>
                <w:lang w:val="en-US"/>
              </w:rPr>
              <w:t xml:space="preserve">, </w:t>
            </w:r>
            <w:proofErr w:type="spellStart"/>
            <w:r w:rsidRPr="00003B04">
              <w:rPr>
                <w:sz w:val="20"/>
                <w:szCs w:val="20"/>
                <w:lang w:val="en-US"/>
              </w:rPr>
              <w:t>Côté</w:t>
            </w:r>
            <w:proofErr w:type="spellEnd"/>
            <w:r w:rsidRPr="00003B04">
              <w:rPr>
                <w:sz w:val="20"/>
                <w:szCs w:val="20"/>
                <w:lang w:val="en-US"/>
              </w:rPr>
              <w:t>, Brown and Rowe JJ.</w:t>
            </w:r>
          </w:p>
          <w:p w:rsidR="000E7F29" w:rsidRPr="00003B04" w:rsidRDefault="000E7F29" w:rsidP="000E7F29">
            <w:pPr>
              <w:rPr>
                <w:lang w:val="en-US"/>
              </w:rPr>
            </w:pPr>
          </w:p>
        </w:tc>
      </w:tr>
      <w:tr w:rsidR="00D310D9" w:rsidRPr="00003B04" w:rsidTr="00D310D9">
        <w:tc>
          <w:tcPr>
            <w:tcW w:w="5000" w:type="pct"/>
            <w:gridSpan w:val="4"/>
          </w:tcPr>
          <w:p w:rsidR="00D310D9" w:rsidRPr="00003B04" w:rsidRDefault="000E7F29" w:rsidP="00EE4290">
            <w:pPr>
              <w:pStyle w:val="SCCLsocParty"/>
              <w:jc w:val="both"/>
              <w:rPr>
                <w:sz w:val="20"/>
                <w:szCs w:val="20"/>
                <w:lang w:val="en-US"/>
              </w:rPr>
            </w:pPr>
            <w:r w:rsidRPr="00003B04">
              <w:rPr>
                <w:sz w:val="20"/>
                <w:szCs w:val="20"/>
                <w:lang w:val="en-US"/>
              </w:rPr>
              <w:t xml:space="preserve">The application for leave to appeal from the judgment of the Court of Appeal for British Columbia (Vancouver), Number CA43367, 2016 BCCA 423, dated November 1, 2016, is granted with costs in the cause. The appeal will be heard with </w:t>
            </w:r>
            <w:r w:rsidRPr="00003B04">
              <w:rPr>
                <w:i/>
                <w:sz w:val="20"/>
                <w:szCs w:val="20"/>
                <w:lang w:val="en-US"/>
              </w:rPr>
              <w:t>Trinity Western University, et al. v. Law Society of Upper Canada</w:t>
            </w:r>
            <w:r w:rsidRPr="00003B04">
              <w:rPr>
                <w:sz w:val="20"/>
                <w:szCs w:val="20"/>
                <w:lang w:val="en-US"/>
              </w:rPr>
              <w:t xml:space="preserve"> (37209). The appellant is required to serve and file a Notice of Constitutional Question in Form 33B in accordance with </w:t>
            </w:r>
            <w:proofErr w:type="spellStart"/>
            <w:r w:rsidRPr="00003B04">
              <w:rPr>
                <w:sz w:val="20"/>
                <w:szCs w:val="20"/>
                <w:lang w:val="en-US"/>
              </w:rPr>
              <w:t>subrules</w:t>
            </w:r>
            <w:proofErr w:type="spellEnd"/>
            <w:r w:rsidRPr="00003B04">
              <w:rPr>
                <w:sz w:val="20"/>
                <w:szCs w:val="20"/>
                <w:lang w:val="en-US"/>
              </w:rPr>
              <w:t xml:space="preserve"> 33(2) and (3) of the </w:t>
            </w:r>
            <w:r w:rsidRPr="00003B04">
              <w:rPr>
                <w:i/>
                <w:sz w:val="20"/>
                <w:szCs w:val="20"/>
                <w:lang w:val="en-US"/>
              </w:rPr>
              <w:t>Rules of the Supreme Court of Canada</w:t>
            </w:r>
            <w:r w:rsidRPr="00003B04">
              <w:rPr>
                <w:sz w:val="20"/>
                <w:szCs w:val="20"/>
                <w:lang w:val="en-US"/>
              </w:rPr>
              <w:t xml:space="preserve">.  </w:t>
            </w:r>
          </w:p>
          <w:p w:rsidR="000E7F29" w:rsidRPr="00003B04" w:rsidRDefault="000E7F29" w:rsidP="000E7F29">
            <w:pPr>
              <w:rPr>
                <w:lang w:val="en-US"/>
              </w:rPr>
            </w:pPr>
          </w:p>
        </w:tc>
      </w:tr>
      <w:tr w:rsidR="00EE4290" w:rsidRPr="00003B04" w:rsidTr="00EE4290">
        <w:tc>
          <w:tcPr>
            <w:tcW w:w="5000" w:type="pct"/>
            <w:gridSpan w:val="4"/>
          </w:tcPr>
          <w:p w:rsidR="00EE4290" w:rsidRPr="00003B04" w:rsidRDefault="00EE4290" w:rsidP="00EE4290">
            <w:pPr>
              <w:jc w:val="both"/>
              <w:rPr>
                <w:sz w:val="20"/>
              </w:rPr>
            </w:pPr>
            <w:r w:rsidRPr="00003B04">
              <w:rPr>
                <w:i/>
                <w:sz w:val="20"/>
              </w:rPr>
              <w:t>Charter</w:t>
            </w:r>
            <w:r w:rsidRPr="00003B04">
              <w:rPr>
                <w:sz w:val="20"/>
              </w:rPr>
              <w:t xml:space="preserve"> — Freedom of religion — Equality rights — Regulation of legal profession — Law societies and governing bodies — British Columbia law society denied accreditation to Trinity Western University (“TWU”) law school because students must sign community covenant that does not recognize same-sex marriage — TWU sought judicial review — Law society’s refusal decision was set aside by reviewing court and law society’s appeal was dismissed — Whether law society’s refusal decision was reasonable.</w:t>
            </w:r>
          </w:p>
        </w:tc>
      </w:tr>
      <w:tr w:rsidR="00EE4290" w:rsidRPr="00003B04" w:rsidTr="00EE4290">
        <w:tc>
          <w:tcPr>
            <w:tcW w:w="5000" w:type="pct"/>
            <w:gridSpan w:val="4"/>
          </w:tcPr>
          <w:p w:rsidR="00EE4290" w:rsidRPr="00003B04" w:rsidRDefault="00EE4290" w:rsidP="00EE4290">
            <w:pPr>
              <w:jc w:val="both"/>
              <w:rPr>
                <w:sz w:val="20"/>
              </w:rPr>
            </w:pPr>
          </w:p>
        </w:tc>
      </w:tr>
      <w:tr w:rsidR="00EE4290" w:rsidRPr="00003B04" w:rsidTr="00EE4290">
        <w:tc>
          <w:tcPr>
            <w:tcW w:w="5000" w:type="pct"/>
            <w:gridSpan w:val="4"/>
          </w:tcPr>
          <w:p w:rsidR="00EE4290" w:rsidRPr="00003B04" w:rsidRDefault="00EE4290" w:rsidP="00EE4290">
            <w:pPr>
              <w:jc w:val="both"/>
              <w:rPr>
                <w:sz w:val="20"/>
              </w:rPr>
            </w:pPr>
            <w:r w:rsidRPr="00003B04">
              <w:rPr>
                <w:sz w:val="20"/>
              </w:rPr>
              <w:t xml:space="preserve">The applicant Law Society of British Columbia (“LSBC”) denied accreditation to the law school of the respondent Trinity Western University (“TWU”). TWU is a private post-secondary institution in British Columbia that provides an education founded on evangelical Christian principles. TWU’s approach to community development was expressed in a Community Covenant, a code of conduct that encouraged or discouraged certain behaviour based on evangelical Christian notions of Biblical teaching and morality. The covenant prohibited sexual intimacy that violated the sacredness of marriage between a man and a woman. Unmarried individuals were expected to live chaste, celibate lives. TWU did not prohibit admission to lesbian, gay, bisexual or transgendered (LGBTQ) students, and the covenant prohibited any </w:t>
            </w:r>
            <w:r w:rsidRPr="00003B04">
              <w:rPr>
                <w:sz w:val="20"/>
              </w:rPr>
              <w:lastRenderedPageBreak/>
              <w:t xml:space="preserve">forms of discrimination or prejudice. However, TWU did prohibit admission to its law school if a student refused to sign the covenant. In 2014, the LSBC held a binding referendum amongst its members on the issue of whether TWU’s law school should be approved as a recognized law faculty for the purpose of admission of graduates to the bar. Based on the referendum outcome, the LSBC refused recognition. The respondents, TWU and its representative student (“TWU et al.”), sought judicial review. The reviewing court found that the LSBC’s refusal to accredit TWU on the basis of its admissions policy was directly related to the LSBC’s statutory mandate. It also held that the LSBC correctly found that it had discretion to disapprove the academic qualifications of a law faculty, so long as it followed the appropriate procedures and employed the correct analytical framework. However, the Benchers’ delegation of the issue to members, and consequent acceptance of the outcome of the membership referendum, constituted an impermissible delegation and fettering of their discretion, as it ignored their obligation to consider and apply the proportionate balancing of the competing </w:t>
            </w:r>
            <w:r w:rsidRPr="00003B04">
              <w:rPr>
                <w:i/>
                <w:sz w:val="20"/>
              </w:rPr>
              <w:t xml:space="preserve">Charter </w:t>
            </w:r>
            <w:r w:rsidRPr="00003B04">
              <w:rPr>
                <w:sz w:val="20"/>
              </w:rPr>
              <w:t>rights at issue related to same-sex marriage and religious freedoms. Therefore, the reviewing court set aside the LSBC’s refusal decision. The LSBC appealed, but unsuccessfully.</w:t>
            </w:r>
          </w:p>
          <w:p w:rsidR="00EE4290" w:rsidRPr="00003B04" w:rsidRDefault="00EE4290" w:rsidP="00EE4290">
            <w:pPr>
              <w:jc w:val="both"/>
              <w:rPr>
                <w:sz w:val="20"/>
              </w:rPr>
            </w:pPr>
          </w:p>
        </w:tc>
      </w:tr>
      <w:tr w:rsidR="00EE4290" w:rsidRPr="00003B04" w:rsidTr="00EE4290">
        <w:tc>
          <w:tcPr>
            <w:tcW w:w="2427" w:type="pct"/>
            <w:gridSpan w:val="2"/>
          </w:tcPr>
          <w:p w:rsidR="00EE4290" w:rsidRPr="00003B04" w:rsidRDefault="00EE4290" w:rsidP="00EE4290">
            <w:pPr>
              <w:jc w:val="both"/>
              <w:rPr>
                <w:sz w:val="20"/>
              </w:rPr>
            </w:pPr>
            <w:r w:rsidRPr="00003B04">
              <w:rPr>
                <w:sz w:val="20"/>
              </w:rPr>
              <w:lastRenderedPageBreak/>
              <w:t>December 10, 2015</w:t>
            </w:r>
          </w:p>
          <w:p w:rsidR="00EE4290" w:rsidRPr="00003B04" w:rsidRDefault="00EE4290" w:rsidP="00EE4290">
            <w:pPr>
              <w:jc w:val="both"/>
              <w:rPr>
                <w:sz w:val="20"/>
              </w:rPr>
            </w:pPr>
            <w:r w:rsidRPr="00003B04">
              <w:rPr>
                <w:sz w:val="20"/>
              </w:rPr>
              <w:t>Supreme Court of British Columbia</w:t>
            </w:r>
          </w:p>
          <w:p w:rsidR="00EE4290" w:rsidRPr="00003B04" w:rsidRDefault="00EE4290" w:rsidP="00EE4290">
            <w:pPr>
              <w:jc w:val="both"/>
              <w:rPr>
                <w:sz w:val="20"/>
              </w:rPr>
            </w:pPr>
            <w:r w:rsidRPr="00003B04">
              <w:rPr>
                <w:sz w:val="20"/>
              </w:rPr>
              <w:t>(</w:t>
            </w:r>
            <w:proofErr w:type="spellStart"/>
            <w:r w:rsidRPr="00003B04">
              <w:rPr>
                <w:sz w:val="20"/>
              </w:rPr>
              <w:t>Hinkson</w:t>
            </w:r>
            <w:proofErr w:type="spellEnd"/>
            <w:r w:rsidRPr="00003B04">
              <w:rPr>
                <w:sz w:val="20"/>
              </w:rPr>
              <w:t xml:space="preserve"> C.J.)</w:t>
            </w:r>
          </w:p>
          <w:p w:rsidR="00EE4290" w:rsidRPr="00003B04" w:rsidRDefault="00604445" w:rsidP="00EE4290">
            <w:pPr>
              <w:jc w:val="both"/>
              <w:rPr>
                <w:sz w:val="20"/>
              </w:rPr>
            </w:pPr>
            <w:hyperlink r:id="rId55" w:history="1">
              <w:r w:rsidR="00EE4290" w:rsidRPr="00003B04">
                <w:rPr>
                  <w:rStyle w:val="Hyperlink"/>
                  <w:sz w:val="20"/>
                </w:rPr>
                <w:t>2015 BCSC 2326</w:t>
              </w:r>
            </w:hyperlink>
          </w:p>
          <w:p w:rsidR="00EE4290" w:rsidRPr="00003B04" w:rsidRDefault="00EE4290" w:rsidP="00EE4290">
            <w:pPr>
              <w:jc w:val="both"/>
              <w:rPr>
                <w:sz w:val="20"/>
              </w:rPr>
            </w:pPr>
          </w:p>
        </w:tc>
        <w:tc>
          <w:tcPr>
            <w:tcW w:w="243" w:type="pct"/>
          </w:tcPr>
          <w:p w:rsidR="00EE4290" w:rsidRPr="00003B04" w:rsidRDefault="00EE4290" w:rsidP="00EE4290">
            <w:pPr>
              <w:jc w:val="both"/>
              <w:rPr>
                <w:sz w:val="20"/>
              </w:rPr>
            </w:pPr>
          </w:p>
        </w:tc>
        <w:tc>
          <w:tcPr>
            <w:tcW w:w="2330" w:type="pct"/>
          </w:tcPr>
          <w:p w:rsidR="00EE4290" w:rsidRPr="00003B04" w:rsidRDefault="00EE4290" w:rsidP="00EE4290">
            <w:pPr>
              <w:jc w:val="both"/>
              <w:rPr>
                <w:sz w:val="20"/>
              </w:rPr>
            </w:pPr>
            <w:r w:rsidRPr="00003B04">
              <w:rPr>
                <w:sz w:val="20"/>
              </w:rPr>
              <w:t>LSBC’s</w:t>
            </w:r>
            <w:r w:rsidRPr="00003B04">
              <w:rPr>
                <w:b/>
                <w:sz w:val="20"/>
              </w:rPr>
              <w:t xml:space="preserve"> </w:t>
            </w:r>
            <w:r w:rsidRPr="00003B04">
              <w:rPr>
                <w:sz w:val="20"/>
              </w:rPr>
              <w:t>decision to</w:t>
            </w:r>
            <w:r w:rsidRPr="00003B04">
              <w:rPr>
                <w:b/>
                <w:sz w:val="20"/>
              </w:rPr>
              <w:t xml:space="preserve"> </w:t>
            </w:r>
            <w:r w:rsidRPr="00003B04">
              <w:rPr>
                <w:sz w:val="20"/>
              </w:rPr>
              <w:t xml:space="preserve">refuse to accredit TWU’s law school in British Columbia set aside. </w:t>
            </w:r>
          </w:p>
        </w:tc>
      </w:tr>
      <w:tr w:rsidR="00EE4290" w:rsidRPr="00003B04" w:rsidTr="00EE4290">
        <w:tc>
          <w:tcPr>
            <w:tcW w:w="2427" w:type="pct"/>
            <w:gridSpan w:val="2"/>
          </w:tcPr>
          <w:p w:rsidR="00EE4290" w:rsidRPr="00003B04" w:rsidRDefault="00EE4290" w:rsidP="00EE4290">
            <w:pPr>
              <w:jc w:val="both"/>
              <w:rPr>
                <w:sz w:val="20"/>
              </w:rPr>
            </w:pPr>
            <w:r w:rsidRPr="00003B04">
              <w:rPr>
                <w:sz w:val="20"/>
              </w:rPr>
              <w:t>November 1, 2016</w:t>
            </w:r>
          </w:p>
          <w:p w:rsidR="00EE4290" w:rsidRPr="00003B04" w:rsidRDefault="00EE4290" w:rsidP="00EE4290">
            <w:pPr>
              <w:jc w:val="both"/>
              <w:rPr>
                <w:sz w:val="20"/>
              </w:rPr>
            </w:pPr>
            <w:r w:rsidRPr="00003B04">
              <w:rPr>
                <w:sz w:val="20"/>
              </w:rPr>
              <w:t xml:space="preserve">Court of Appeal for British Columbia </w:t>
            </w:r>
          </w:p>
          <w:p w:rsidR="00EE4290" w:rsidRPr="00003B04" w:rsidRDefault="00EE4290" w:rsidP="00EE4290">
            <w:pPr>
              <w:jc w:val="both"/>
              <w:rPr>
                <w:sz w:val="20"/>
              </w:rPr>
            </w:pPr>
            <w:r w:rsidRPr="00003B04">
              <w:rPr>
                <w:sz w:val="20"/>
              </w:rPr>
              <w:t>(Vancouver)</w:t>
            </w:r>
          </w:p>
          <w:p w:rsidR="00EE4290" w:rsidRPr="00003B04" w:rsidRDefault="00EE4290" w:rsidP="00EE4290">
            <w:pPr>
              <w:jc w:val="both"/>
              <w:rPr>
                <w:sz w:val="20"/>
              </w:rPr>
            </w:pPr>
            <w:r w:rsidRPr="00003B04">
              <w:rPr>
                <w:sz w:val="20"/>
              </w:rPr>
              <w:t xml:space="preserve">(Bauman C.J.B.C. and Newbury, </w:t>
            </w:r>
            <w:proofErr w:type="spellStart"/>
            <w:r w:rsidRPr="00003B04">
              <w:rPr>
                <w:sz w:val="20"/>
              </w:rPr>
              <w:t>Groberman</w:t>
            </w:r>
            <w:proofErr w:type="spellEnd"/>
            <w:r w:rsidRPr="00003B04">
              <w:rPr>
                <w:sz w:val="20"/>
              </w:rPr>
              <w:t xml:space="preserve">, </w:t>
            </w:r>
            <w:proofErr w:type="spellStart"/>
            <w:r w:rsidRPr="00003B04">
              <w:rPr>
                <w:sz w:val="20"/>
              </w:rPr>
              <w:t>Willcock</w:t>
            </w:r>
            <w:proofErr w:type="spellEnd"/>
            <w:r w:rsidRPr="00003B04">
              <w:rPr>
                <w:sz w:val="20"/>
              </w:rPr>
              <w:t xml:space="preserve"> and </w:t>
            </w:r>
            <w:proofErr w:type="spellStart"/>
            <w:r w:rsidRPr="00003B04">
              <w:rPr>
                <w:sz w:val="20"/>
              </w:rPr>
              <w:t>Fenlon</w:t>
            </w:r>
            <w:proofErr w:type="spellEnd"/>
            <w:r w:rsidRPr="00003B04">
              <w:rPr>
                <w:sz w:val="20"/>
              </w:rPr>
              <w:t xml:space="preserve"> JJ.A.)</w:t>
            </w:r>
          </w:p>
          <w:p w:rsidR="00EE4290" w:rsidRPr="00003B04" w:rsidRDefault="00604445" w:rsidP="00EE4290">
            <w:pPr>
              <w:jc w:val="both"/>
              <w:rPr>
                <w:sz w:val="20"/>
              </w:rPr>
            </w:pPr>
            <w:hyperlink r:id="rId56" w:history="1">
              <w:r w:rsidR="00EE4290" w:rsidRPr="00003B04">
                <w:rPr>
                  <w:rStyle w:val="Hyperlink"/>
                  <w:sz w:val="20"/>
                </w:rPr>
                <w:t>2016 BCCA 423</w:t>
              </w:r>
            </w:hyperlink>
          </w:p>
          <w:p w:rsidR="00EE4290" w:rsidRPr="00003B04" w:rsidRDefault="00EE4290" w:rsidP="00EE4290">
            <w:pPr>
              <w:jc w:val="both"/>
              <w:rPr>
                <w:sz w:val="20"/>
              </w:rPr>
            </w:pPr>
          </w:p>
        </w:tc>
        <w:tc>
          <w:tcPr>
            <w:tcW w:w="243" w:type="pct"/>
          </w:tcPr>
          <w:p w:rsidR="00EE4290" w:rsidRPr="00003B04" w:rsidRDefault="00EE4290" w:rsidP="00EE4290">
            <w:pPr>
              <w:jc w:val="both"/>
              <w:rPr>
                <w:sz w:val="20"/>
              </w:rPr>
            </w:pPr>
          </w:p>
        </w:tc>
        <w:tc>
          <w:tcPr>
            <w:tcW w:w="2330" w:type="pct"/>
          </w:tcPr>
          <w:p w:rsidR="00EE4290" w:rsidRPr="00003B04" w:rsidRDefault="00EE4290" w:rsidP="00EE4290">
            <w:pPr>
              <w:jc w:val="both"/>
              <w:rPr>
                <w:sz w:val="20"/>
              </w:rPr>
            </w:pPr>
            <w:r w:rsidRPr="00003B04">
              <w:rPr>
                <w:sz w:val="20"/>
              </w:rPr>
              <w:t>Appeal dismissed.</w:t>
            </w:r>
          </w:p>
          <w:p w:rsidR="00EE4290" w:rsidRPr="00003B04" w:rsidRDefault="00EE4290" w:rsidP="00EE4290">
            <w:pPr>
              <w:jc w:val="both"/>
              <w:rPr>
                <w:sz w:val="20"/>
              </w:rPr>
            </w:pPr>
          </w:p>
        </w:tc>
      </w:tr>
      <w:tr w:rsidR="00EE4290" w:rsidRPr="00003B04" w:rsidTr="00EE4290">
        <w:tc>
          <w:tcPr>
            <w:tcW w:w="2427" w:type="pct"/>
            <w:gridSpan w:val="2"/>
          </w:tcPr>
          <w:p w:rsidR="00EE4290" w:rsidRPr="00003B04" w:rsidRDefault="00EE4290" w:rsidP="00EE4290">
            <w:pPr>
              <w:jc w:val="both"/>
              <w:rPr>
                <w:sz w:val="20"/>
              </w:rPr>
            </w:pPr>
            <w:r w:rsidRPr="00003B04">
              <w:rPr>
                <w:sz w:val="20"/>
              </w:rPr>
              <w:t>November 28, 2016</w:t>
            </w:r>
          </w:p>
          <w:p w:rsidR="00EE4290" w:rsidRPr="00003B04" w:rsidRDefault="00EE4290" w:rsidP="00EE4290">
            <w:pPr>
              <w:jc w:val="both"/>
              <w:rPr>
                <w:sz w:val="20"/>
              </w:rPr>
            </w:pPr>
            <w:r w:rsidRPr="00003B04">
              <w:rPr>
                <w:sz w:val="20"/>
              </w:rPr>
              <w:t>Supreme Court of Canada</w:t>
            </w:r>
          </w:p>
        </w:tc>
        <w:tc>
          <w:tcPr>
            <w:tcW w:w="243" w:type="pct"/>
          </w:tcPr>
          <w:p w:rsidR="00EE4290" w:rsidRPr="00003B04" w:rsidRDefault="00EE4290" w:rsidP="00EE4290">
            <w:pPr>
              <w:jc w:val="both"/>
              <w:rPr>
                <w:sz w:val="20"/>
              </w:rPr>
            </w:pPr>
          </w:p>
        </w:tc>
        <w:tc>
          <w:tcPr>
            <w:tcW w:w="2330" w:type="pct"/>
          </w:tcPr>
          <w:p w:rsidR="00EE4290" w:rsidRPr="00003B04" w:rsidRDefault="00EE4290" w:rsidP="00EE4290">
            <w:pPr>
              <w:jc w:val="both"/>
              <w:rPr>
                <w:sz w:val="20"/>
              </w:rPr>
            </w:pPr>
            <w:r w:rsidRPr="00003B04">
              <w:rPr>
                <w:sz w:val="20"/>
              </w:rPr>
              <w:t>Application for leave to appeal filed.</w:t>
            </w:r>
          </w:p>
          <w:p w:rsidR="00EE4290" w:rsidRPr="00003B04" w:rsidRDefault="00EE4290" w:rsidP="00EE4290">
            <w:pPr>
              <w:jc w:val="both"/>
              <w:rPr>
                <w:sz w:val="20"/>
              </w:rPr>
            </w:pPr>
          </w:p>
        </w:tc>
      </w:tr>
    </w:tbl>
    <w:p w:rsidR="00EE4290" w:rsidRPr="00003B04" w:rsidRDefault="00604445" w:rsidP="00EE4290">
      <w:pPr>
        <w:jc w:val="both"/>
        <w:rPr>
          <w:sz w:val="20"/>
        </w:rPr>
      </w:pPr>
      <w:r>
        <w:rPr>
          <w:sz w:val="20"/>
          <w:szCs w:val="20"/>
        </w:rPr>
        <w:pict>
          <v:rect id="_x0000_i1063" style="width:2in;height:1pt" o:hrpct="0" o:hralign="center" o:hrstd="t" o:hrnoshade="t" o:hr="t" fillcolor="black [3213]" stroked="f"/>
        </w:pict>
      </w:r>
    </w:p>
    <w:p w:rsidR="00EE4290" w:rsidRPr="00003B04" w:rsidRDefault="00EE4290" w:rsidP="00EE429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E4290" w:rsidRPr="00C3697D" w:rsidTr="00EE4290">
        <w:tc>
          <w:tcPr>
            <w:tcW w:w="543" w:type="pct"/>
          </w:tcPr>
          <w:p w:rsidR="00EE4290" w:rsidRPr="00003B04" w:rsidRDefault="00EE4290" w:rsidP="00EE4290">
            <w:pPr>
              <w:jc w:val="both"/>
              <w:rPr>
                <w:sz w:val="20"/>
                <w:lang w:val="fr-CA"/>
              </w:rPr>
            </w:pPr>
            <w:r w:rsidRPr="00003B04">
              <w:rPr>
                <w:rStyle w:val="SCCFileNumberChar"/>
                <w:sz w:val="20"/>
                <w:szCs w:val="20"/>
                <w:lang w:val="fr-CA"/>
              </w:rPr>
              <w:t>37318</w:t>
            </w:r>
          </w:p>
        </w:tc>
        <w:tc>
          <w:tcPr>
            <w:tcW w:w="4457" w:type="pct"/>
            <w:gridSpan w:val="3"/>
          </w:tcPr>
          <w:p w:rsidR="00EE4290" w:rsidRPr="00003B04" w:rsidRDefault="00EE4290" w:rsidP="00EE4290">
            <w:pPr>
              <w:pStyle w:val="SCCLsocParty"/>
              <w:jc w:val="both"/>
              <w:rPr>
                <w:b/>
                <w:sz w:val="20"/>
                <w:szCs w:val="20"/>
                <w:lang w:val="en-US"/>
              </w:rPr>
            </w:pPr>
            <w:r w:rsidRPr="00003B04">
              <w:rPr>
                <w:b/>
                <w:sz w:val="20"/>
                <w:szCs w:val="20"/>
                <w:lang w:val="en-US"/>
              </w:rPr>
              <w:t>Law Society of British Columbia c. Trinity Western University</w:t>
            </w:r>
            <w:r w:rsidR="000E7F29" w:rsidRPr="00003B04">
              <w:rPr>
                <w:b/>
                <w:sz w:val="20"/>
                <w:szCs w:val="20"/>
                <w:lang w:val="en-US"/>
              </w:rPr>
              <w:t xml:space="preserve"> et</w:t>
            </w:r>
            <w:r w:rsidRPr="00003B04">
              <w:rPr>
                <w:b/>
                <w:sz w:val="20"/>
                <w:szCs w:val="20"/>
                <w:lang w:val="en-US"/>
              </w:rPr>
              <w:t xml:space="preserve"> Brayden </w:t>
            </w:r>
            <w:proofErr w:type="spellStart"/>
            <w:r w:rsidRPr="00003B04">
              <w:rPr>
                <w:b/>
                <w:sz w:val="20"/>
                <w:szCs w:val="20"/>
                <w:lang w:val="en-US"/>
              </w:rPr>
              <w:t>Volkenant</w:t>
            </w:r>
            <w:proofErr w:type="spellEnd"/>
          </w:p>
          <w:p w:rsidR="00EE4290" w:rsidRPr="00003B04" w:rsidRDefault="00EE4290" w:rsidP="00EE4290">
            <w:pPr>
              <w:jc w:val="both"/>
              <w:rPr>
                <w:sz w:val="20"/>
                <w:lang w:val="fr-CA"/>
              </w:rPr>
            </w:pPr>
            <w:r w:rsidRPr="00003B04">
              <w:rPr>
                <w:sz w:val="20"/>
                <w:lang w:val="fr-CA"/>
              </w:rPr>
              <w:t>(C.-B.) (Civile) (Sur autorisation)</w:t>
            </w:r>
          </w:p>
        </w:tc>
      </w:tr>
      <w:tr w:rsidR="00D310D9" w:rsidRPr="00C3697D" w:rsidTr="00EE4290">
        <w:tc>
          <w:tcPr>
            <w:tcW w:w="543" w:type="pct"/>
          </w:tcPr>
          <w:p w:rsidR="00D310D9" w:rsidRPr="00003B04" w:rsidRDefault="00D310D9" w:rsidP="00EE4290">
            <w:pPr>
              <w:jc w:val="both"/>
              <w:rPr>
                <w:rStyle w:val="SCCFileNumberChar"/>
                <w:sz w:val="20"/>
                <w:szCs w:val="20"/>
                <w:lang w:val="fr-CA"/>
              </w:rPr>
            </w:pPr>
            <w:r w:rsidRPr="00003B04">
              <w:rPr>
                <w:rStyle w:val="SCCFileNumberChar"/>
                <w:sz w:val="20"/>
                <w:szCs w:val="20"/>
                <w:lang w:val="fr-CA"/>
              </w:rPr>
              <w:t>Coram :</w:t>
            </w:r>
          </w:p>
        </w:tc>
        <w:tc>
          <w:tcPr>
            <w:tcW w:w="4457" w:type="pct"/>
            <w:gridSpan w:val="3"/>
          </w:tcPr>
          <w:p w:rsidR="00D310D9" w:rsidRPr="00003B04" w:rsidRDefault="000E7F29" w:rsidP="00EE4290">
            <w:pPr>
              <w:pStyle w:val="SCCLsocParty"/>
              <w:jc w:val="both"/>
              <w:rPr>
                <w:sz w:val="20"/>
                <w:szCs w:val="20"/>
                <w:lang w:val="fr-FR"/>
              </w:rPr>
            </w:pPr>
            <w:r w:rsidRPr="00003B04">
              <w:rPr>
                <w:sz w:val="20"/>
                <w:szCs w:val="20"/>
                <w:lang w:val="fr-FR"/>
              </w:rPr>
              <w:t xml:space="preserve">La juge en chef </w:t>
            </w:r>
            <w:proofErr w:type="spellStart"/>
            <w:r w:rsidRPr="00003B04">
              <w:rPr>
                <w:sz w:val="20"/>
                <w:szCs w:val="20"/>
                <w:lang w:val="fr-FR"/>
              </w:rPr>
              <w:t>McLachlin</w:t>
            </w:r>
            <w:proofErr w:type="spellEnd"/>
            <w:r w:rsidRPr="00003B04">
              <w:rPr>
                <w:sz w:val="20"/>
                <w:szCs w:val="20"/>
                <w:lang w:val="fr-FR"/>
              </w:rPr>
              <w:t xml:space="preserve"> et les juges Abella, </w:t>
            </w:r>
            <w:proofErr w:type="spellStart"/>
            <w:r w:rsidRPr="00003B04">
              <w:rPr>
                <w:sz w:val="20"/>
                <w:szCs w:val="20"/>
                <w:lang w:val="fr-FR"/>
              </w:rPr>
              <w:t>Moldaver</w:t>
            </w:r>
            <w:proofErr w:type="spellEnd"/>
            <w:r w:rsidRPr="00003B04">
              <w:rPr>
                <w:sz w:val="20"/>
                <w:szCs w:val="20"/>
                <w:lang w:val="fr-FR"/>
              </w:rPr>
              <w:t xml:space="preserve">, </w:t>
            </w:r>
            <w:proofErr w:type="spellStart"/>
            <w:r w:rsidRPr="00003B04">
              <w:rPr>
                <w:sz w:val="20"/>
                <w:szCs w:val="20"/>
                <w:lang w:val="fr-FR"/>
              </w:rPr>
              <w:t>Karakatsanis</w:t>
            </w:r>
            <w:proofErr w:type="spellEnd"/>
            <w:r w:rsidRPr="00003B04">
              <w:rPr>
                <w:sz w:val="20"/>
                <w:szCs w:val="20"/>
                <w:lang w:val="fr-FR"/>
              </w:rPr>
              <w:t>, Wagner, Gascon, Côté, Brown et Rowe</w:t>
            </w:r>
          </w:p>
          <w:p w:rsidR="000E7F29" w:rsidRPr="00003B04" w:rsidRDefault="000E7F29" w:rsidP="000E7F29">
            <w:pPr>
              <w:rPr>
                <w:lang w:val="fr-FR"/>
              </w:rPr>
            </w:pPr>
          </w:p>
        </w:tc>
      </w:tr>
      <w:tr w:rsidR="00D310D9" w:rsidRPr="00C3697D" w:rsidTr="00D310D9">
        <w:tc>
          <w:tcPr>
            <w:tcW w:w="5000" w:type="pct"/>
            <w:gridSpan w:val="4"/>
          </w:tcPr>
          <w:p w:rsidR="000E7F29" w:rsidRPr="00003B04" w:rsidRDefault="000E7F29" w:rsidP="000E7F29">
            <w:pPr>
              <w:jc w:val="both"/>
              <w:rPr>
                <w:sz w:val="20"/>
                <w:szCs w:val="20"/>
                <w:lang w:val="fr-CA"/>
              </w:rPr>
            </w:pPr>
            <w:r w:rsidRPr="00003B04">
              <w:rPr>
                <w:sz w:val="20"/>
                <w:szCs w:val="20"/>
                <w:lang w:val="fr-CA"/>
              </w:rPr>
              <w:t xml:space="preserve">La demande d’autorisation d’appel de l’arrêt de la </w:t>
            </w:r>
            <w:r w:rsidRPr="00003B04">
              <w:rPr>
                <w:sz w:val="20"/>
                <w:szCs w:val="20"/>
                <w:lang w:val="fr-FR"/>
              </w:rPr>
              <w:t>Cour d’appel de la Colombie-Britannique (Vancouver)</w:t>
            </w:r>
            <w:r w:rsidRPr="00003B04">
              <w:rPr>
                <w:sz w:val="20"/>
                <w:szCs w:val="20"/>
                <w:lang w:val="fr-CA"/>
              </w:rPr>
              <w:t xml:space="preserve">, numéro </w:t>
            </w:r>
            <w:r w:rsidRPr="00003B04">
              <w:rPr>
                <w:sz w:val="20"/>
                <w:szCs w:val="20"/>
                <w:lang w:val="fr-FR"/>
              </w:rPr>
              <w:t>CA43367, 2016 BCCA 423</w:t>
            </w:r>
            <w:r w:rsidRPr="00003B04">
              <w:rPr>
                <w:sz w:val="20"/>
                <w:szCs w:val="20"/>
                <w:lang w:val="fr-CA"/>
              </w:rPr>
              <w:t xml:space="preserve">, daté du </w:t>
            </w:r>
            <w:r w:rsidRPr="00003B04">
              <w:rPr>
                <w:sz w:val="20"/>
                <w:szCs w:val="20"/>
                <w:lang w:val="fr-FR"/>
              </w:rPr>
              <w:t>1 novembre 2016</w:t>
            </w:r>
            <w:r w:rsidRPr="00003B04">
              <w:rPr>
                <w:sz w:val="20"/>
                <w:szCs w:val="20"/>
                <w:lang w:val="fr-CA"/>
              </w:rPr>
              <w:t xml:space="preserve">, est accueillie avec dépens suivant l’issue de la cause. Cet appel sera entendu avec l’affaire </w:t>
            </w:r>
            <w:r w:rsidRPr="00003B04">
              <w:rPr>
                <w:i/>
                <w:sz w:val="20"/>
                <w:szCs w:val="20"/>
                <w:lang w:val="fr-CA"/>
              </w:rPr>
              <w:t xml:space="preserve">Trinity Western </w:t>
            </w:r>
            <w:proofErr w:type="spellStart"/>
            <w:r w:rsidRPr="00003B04">
              <w:rPr>
                <w:i/>
                <w:sz w:val="20"/>
                <w:szCs w:val="20"/>
                <w:lang w:val="fr-CA"/>
              </w:rPr>
              <w:t>University</w:t>
            </w:r>
            <w:proofErr w:type="spellEnd"/>
            <w:r w:rsidRPr="00003B04">
              <w:rPr>
                <w:i/>
                <w:sz w:val="20"/>
                <w:szCs w:val="20"/>
                <w:lang w:val="fr-CA"/>
              </w:rPr>
              <w:t>, et al. c. Barreau du Haut-Canada</w:t>
            </w:r>
            <w:r w:rsidRPr="00003B04">
              <w:rPr>
                <w:sz w:val="20"/>
                <w:szCs w:val="20"/>
                <w:lang w:val="fr-CA"/>
              </w:rPr>
              <w:t xml:space="preserve"> (37209). L’appelant doit signifier et déposer, conformément aux paragraphes 33(2) et (3) des </w:t>
            </w:r>
            <w:r w:rsidRPr="00003B04">
              <w:rPr>
                <w:i/>
                <w:iCs/>
                <w:sz w:val="20"/>
                <w:szCs w:val="20"/>
                <w:lang w:val="fr-CA"/>
              </w:rPr>
              <w:t>Règles de la Cour suprême du Canada</w:t>
            </w:r>
            <w:r w:rsidRPr="00003B04">
              <w:rPr>
                <w:sz w:val="20"/>
                <w:szCs w:val="20"/>
                <w:lang w:val="fr-CA"/>
              </w:rPr>
              <w:t xml:space="preserve">, un avis de question constitutionnelle semblable au formulaire 33B. </w:t>
            </w:r>
          </w:p>
          <w:p w:rsidR="00D310D9" w:rsidRPr="00003B04" w:rsidRDefault="00D310D9" w:rsidP="00EE4290">
            <w:pPr>
              <w:pStyle w:val="SCCLsocParty"/>
              <w:jc w:val="both"/>
              <w:rPr>
                <w:sz w:val="20"/>
                <w:szCs w:val="20"/>
              </w:rPr>
            </w:pPr>
          </w:p>
        </w:tc>
      </w:tr>
      <w:tr w:rsidR="00EE4290" w:rsidRPr="00C3697D" w:rsidTr="00EE4290">
        <w:tc>
          <w:tcPr>
            <w:tcW w:w="5000" w:type="pct"/>
            <w:gridSpan w:val="4"/>
          </w:tcPr>
          <w:p w:rsidR="00EE4290" w:rsidRPr="00003B04" w:rsidRDefault="00EE4290" w:rsidP="00EE4290">
            <w:pPr>
              <w:jc w:val="both"/>
              <w:rPr>
                <w:sz w:val="20"/>
                <w:lang w:val="fr-CA"/>
              </w:rPr>
            </w:pPr>
            <w:r w:rsidRPr="00003B04">
              <w:rPr>
                <w:i/>
                <w:sz w:val="20"/>
                <w:lang w:val="fr-CA"/>
              </w:rPr>
              <w:t>Charte</w:t>
            </w:r>
            <w:r w:rsidRPr="00003B04">
              <w:rPr>
                <w:sz w:val="20"/>
                <w:lang w:val="fr-CA"/>
              </w:rPr>
              <w:t xml:space="preserve"> — Liberté de religion — Droits à l’égalité — Réglementation de la profession juridique — Barreaux et ordres professionnels — Refus du barreau de la Colombie-Britannique d’accorder l’agrément à la faculté de droit de la Trinity Western </w:t>
            </w:r>
            <w:proofErr w:type="spellStart"/>
            <w:r w:rsidRPr="00003B04">
              <w:rPr>
                <w:sz w:val="20"/>
                <w:lang w:val="fr-CA"/>
              </w:rPr>
              <w:t>University</w:t>
            </w:r>
            <w:proofErr w:type="spellEnd"/>
            <w:r w:rsidRPr="00003B04">
              <w:rPr>
                <w:sz w:val="20"/>
                <w:lang w:val="fr-CA"/>
              </w:rPr>
              <w:t xml:space="preserve"> (« TWU ») parce que les étudiants doivent signer un engagement communautaire qui ne reconnaît pas le mariage entre personnes du même sexe — Demande de contrôle judiciaire de la TWU — Annulation du refus du barreau par la cour de révision et rejet de l’appel du barreau — Le refus du barreau était-il raisonnable?</w:t>
            </w:r>
          </w:p>
        </w:tc>
      </w:tr>
      <w:tr w:rsidR="00EE4290" w:rsidRPr="00C3697D" w:rsidTr="00EE4290">
        <w:tc>
          <w:tcPr>
            <w:tcW w:w="5000" w:type="pct"/>
            <w:gridSpan w:val="4"/>
          </w:tcPr>
          <w:p w:rsidR="00EE4290" w:rsidRPr="00003B04" w:rsidRDefault="00EE4290" w:rsidP="00EE4290">
            <w:pPr>
              <w:jc w:val="both"/>
              <w:rPr>
                <w:sz w:val="20"/>
                <w:lang w:val="fr-CA"/>
              </w:rPr>
            </w:pPr>
          </w:p>
        </w:tc>
      </w:tr>
      <w:tr w:rsidR="00EE4290" w:rsidRPr="00003B04" w:rsidTr="00EE4290">
        <w:tc>
          <w:tcPr>
            <w:tcW w:w="5000" w:type="pct"/>
            <w:gridSpan w:val="4"/>
          </w:tcPr>
          <w:p w:rsidR="00EE4290" w:rsidRPr="00003B04" w:rsidRDefault="00EE4290" w:rsidP="00EE4290">
            <w:pPr>
              <w:jc w:val="both"/>
              <w:rPr>
                <w:sz w:val="20"/>
                <w:lang w:val="fr-CA"/>
              </w:rPr>
            </w:pPr>
            <w:r w:rsidRPr="00003B04">
              <w:rPr>
                <w:sz w:val="20"/>
                <w:lang w:val="fr-CA"/>
              </w:rPr>
              <w:t xml:space="preserve">La demanderesse, la Law Society of British Columbia (le « Barreau »), a refusé de donner l’agrément à la faculté de droit de l’intimée, la Trinity Western </w:t>
            </w:r>
            <w:proofErr w:type="spellStart"/>
            <w:r w:rsidRPr="00003B04">
              <w:rPr>
                <w:sz w:val="20"/>
                <w:lang w:val="fr-CA"/>
              </w:rPr>
              <w:t>University</w:t>
            </w:r>
            <w:proofErr w:type="spellEnd"/>
            <w:r w:rsidRPr="00003B04">
              <w:rPr>
                <w:sz w:val="20"/>
                <w:lang w:val="fr-CA"/>
              </w:rPr>
              <w:t xml:space="preserve"> (« TWU »), qui est un établissement postsecondaire privé situé en Colombie-Britannique offrant de la formation fondée sur des principes chrétiens évangéliques. Son approche de développement communautaire est énoncée sous la forme d’un engagement, qui consiste en un code de conduite qui </w:t>
            </w:r>
            <w:r w:rsidRPr="00003B04">
              <w:rPr>
                <w:sz w:val="20"/>
                <w:lang w:val="fr-CA"/>
              </w:rPr>
              <w:lastRenderedPageBreak/>
              <w:t>encourage ou décourage certains comportements selon des principes chrétiens évangéliques d’enseignement et de moralité bibliques. L’engagement interdit l’intimité sexuelle qui viole le caractère sacré du mariage entre un homme et une femme. Les personnes qui ne sont pas mariées doivent être chastes. TWU n’a pas empêché l’admission d’étudiants homosexuels, bisexuels ou transgenres (LGBTQ), et l’engagement interdit toute forme de discrimination ou de préjudice. Cependant, la TWU refuse d’admettre à sa faculté de droit tout étudiant qui ne veut pas signer l’engagement. En 2014, le Barreau a tenu un référendum exécutoire parmi ses membres sur la question de savoir si la faculté de droit de la TWU devait recevoir l’agrément et être une faculté de droit reconnue aux fins de l’admission des diplômés au barreau. Compte tenu de l’issue du référendum, le barreau a refusé de donner l’agrément. Les intimés, la TWU et son représentant étudiant (« TWU et autre »), ont demandé un contrôle judiciaire. La cour saisie de ce contrôle a conclu que le refus du Barreau d’accorder l’agrément à la TWU sur la base de sa politique d’admission se rapportait directement au mandat que la loi lui confère. Elle a également conclu que le Barreau avait estimé, à bon droit, qu’il avait discrétion pour désapprouver la formation donnée par une faculté de droit, à condition qu’il applique les procédures adéquates et le bon cadre d’analyse. Cependant, le fait que les conseillers aient délégué cette question aux membres, et que l’issue de ce référendum des membres ait été acceptée, constitue une délégation inacceptable et une entrave à leur pouvoir discrétionnaire, puisque leur obligation d’examiner et d’appliquer une mise en balance proportionnée des droits opposés protégés par la Charte, dans ce cas le mariage entre personnes du même sexe et la liberté de religion, n’est pas prise en compte. Par conséquent, la cour de révision a infirmé le refus du Barreau. Celui-ci a interjeté appel, sans succès.</w:t>
            </w:r>
          </w:p>
          <w:p w:rsidR="00EE4290" w:rsidRPr="00003B04" w:rsidRDefault="00EE4290" w:rsidP="00EE4290">
            <w:pPr>
              <w:jc w:val="both"/>
              <w:rPr>
                <w:sz w:val="20"/>
                <w:lang w:val="fr-CA"/>
              </w:rPr>
            </w:pPr>
          </w:p>
        </w:tc>
      </w:tr>
      <w:tr w:rsidR="00EE4290" w:rsidRPr="00C3697D" w:rsidTr="00EE4290">
        <w:tc>
          <w:tcPr>
            <w:tcW w:w="2427" w:type="pct"/>
            <w:gridSpan w:val="2"/>
          </w:tcPr>
          <w:p w:rsidR="00EE4290" w:rsidRPr="00003B04" w:rsidRDefault="00EE4290" w:rsidP="00EE4290">
            <w:pPr>
              <w:jc w:val="both"/>
              <w:rPr>
                <w:sz w:val="20"/>
                <w:lang w:val="fr-CA"/>
              </w:rPr>
            </w:pPr>
            <w:r w:rsidRPr="00003B04">
              <w:rPr>
                <w:sz w:val="20"/>
                <w:lang w:val="fr-CA"/>
              </w:rPr>
              <w:lastRenderedPageBreak/>
              <w:t>10 décembre 2015</w:t>
            </w:r>
          </w:p>
          <w:p w:rsidR="00EE4290" w:rsidRPr="00003B04" w:rsidRDefault="00EE4290" w:rsidP="00EE4290">
            <w:pPr>
              <w:jc w:val="both"/>
              <w:rPr>
                <w:sz w:val="20"/>
                <w:lang w:val="fr-CA"/>
              </w:rPr>
            </w:pPr>
            <w:r w:rsidRPr="00003B04">
              <w:rPr>
                <w:sz w:val="20"/>
                <w:lang w:val="fr-CA"/>
              </w:rPr>
              <w:t>Cour suprême de la Colombie-Britannique</w:t>
            </w:r>
          </w:p>
          <w:p w:rsidR="00EE4290" w:rsidRPr="00003B04" w:rsidRDefault="00EE4290" w:rsidP="00EE4290">
            <w:pPr>
              <w:jc w:val="both"/>
              <w:rPr>
                <w:sz w:val="20"/>
                <w:lang w:val="fr-CA"/>
              </w:rPr>
            </w:pPr>
            <w:r w:rsidRPr="00003B04">
              <w:rPr>
                <w:sz w:val="20"/>
                <w:lang w:val="fr-CA"/>
              </w:rPr>
              <w:t xml:space="preserve">(Juge en chef </w:t>
            </w:r>
            <w:proofErr w:type="spellStart"/>
            <w:r w:rsidRPr="00003B04">
              <w:rPr>
                <w:sz w:val="20"/>
                <w:lang w:val="fr-CA"/>
              </w:rPr>
              <w:t>Hinkson</w:t>
            </w:r>
            <w:proofErr w:type="spellEnd"/>
            <w:r w:rsidRPr="00003B04">
              <w:rPr>
                <w:sz w:val="20"/>
                <w:lang w:val="fr-CA"/>
              </w:rPr>
              <w:t>)</w:t>
            </w:r>
          </w:p>
          <w:p w:rsidR="00EE4290" w:rsidRPr="00003B04" w:rsidRDefault="00604445" w:rsidP="00EE4290">
            <w:pPr>
              <w:jc w:val="both"/>
              <w:rPr>
                <w:sz w:val="20"/>
                <w:lang w:val="fr-CA"/>
              </w:rPr>
            </w:pPr>
            <w:hyperlink r:id="rId57" w:history="1">
              <w:r w:rsidR="00EE4290" w:rsidRPr="00003B04">
                <w:rPr>
                  <w:rStyle w:val="Hyperlink"/>
                  <w:sz w:val="20"/>
                  <w:lang w:val="fr-CA"/>
                </w:rPr>
                <w:t>2015 BCSC 2326</w:t>
              </w:r>
            </w:hyperlink>
          </w:p>
          <w:p w:rsidR="00EE4290" w:rsidRPr="00003B04" w:rsidRDefault="00EE4290" w:rsidP="00EE4290">
            <w:pPr>
              <w:jc w:val="both"/>
              <w:rPr>
                <w:sz w:val="20"/>
                <w:lang w:val="fr-CA"/>
              </w:rPr>
            </w:pPr>
          </w:p>
        </w:tc>
        <w:tc>
          <w:tcPr>
            <w:tcW w:w="243" w:type="pct"/>
          </w:tcPr>
          <w:p w:rsidR="00EE4290" w:rsidRPr="00003B04" w:rsidRDefault="00EE4290" w:rsidP="00EE4290">
            <w:pPr>
              <w:jc w:val="both"/>
              <w:rPr>
                <w:sz w:val="20"/>
                <w:lang w:val="fr-CA"/>
              </w:rPr>
            </w:pPr>
          </w:p>
        </w:tc>
        <w:tc>
          <w:tcPr>
            <w:tcW w:w="2330" w:type="pct"/>
          </w:tcPr>
          <w:p w:rsidR="00EE4290" w:rsidRPr="00003B04" w:rsidRDefault="00EE4290" w:rsidP="00EE4290">
            <w:pPr>
              <w:jc w:val="both"/>
              <w:rPr>
                <w:sz w:val="20"/>
                <w:lang w:val="fr-CA"/>
              </w:rPr>
            </w:pPr>
            <w:r w:rsidRPr="00003B04">
              <w:rPr>
                <w:sz w:val="20"/>
                <w:lang w:val="fr-CA"/>
              </w:rPr>
              <w:t>Annulation du refus du Barreau d’accorder l’agrément à la faculté de droit de la TWU en Colombie-Britannique</w:t>
            </w:r>
          </w:p>
          <w:p w:rsidR="00EE4290" w:rsidRPr="00003B04" w:rsidRDefault="00EE4290" w:rsidP="00EE4290">
            <w:pPr>
              <w:jc w:val="both"/>
              <w:rPr>
                <w:sz w:val="20"/>
                <w:lang w:val="fr-CA"/>
              </w:rPr>
            </w:pPr>
            <w:r w:rsidRPr="00003B04">
              <w:rPr>
                <w:sz w:val="20"/>
                <w:lang w:val="fr-CA"/>
              </w:rPr>
              <w:t xml:space="preserve"> </w:t>
            </w:r>
          </w:p>
        </w:tc>
      </w:tr>
      <w:tr w:rsidR="00EE4290" w:rsidRPr="00003B04" w:rsidTr="00EE4290">
        <w:tc>
          <w:tcPr>
            <w:tcW w:w="2427" w:type="pct"/>
            <w:gridSpan w:val="2"/>
          </w:tcPr>
          <w:p w:rsidR="00EE4290" w:rsidRPr="00003B04" w:rsidRDefault="00EE4290" w:rsidP="00EE4290">
            <w:pPr>
              <w:jc w:val="both"/>
              <w:rPr>
                <w:sz w:val="20"/>
                <w:lang w:val="fr-CA"/>
              </w:rPr>
            </w:pPr>
            <w:r w:rsidRPr="00003B04">
              <w:rPr>
                <w:sz w:val="20"/>
                <w:lang w:val="fr-CA"/>
              </w:rPr>
              <w:t>1</w:t>
            </w:r>
            <w:r w:rsidRPr="00003B04">
              <w:rPr>
                <w:sz w:val="20"/>
                <w:vertAlign w:val="superscript"/>
                <w:lang w:val="fr-CA"/>
              </w:rPr>
              <w:t>er</w:t>
            </w:r>
            <w:r w:rsidRPr="00003B04">
              <w:rPr>
                <w:sz w:val="20"/>
                <w:lang w:val="fr-CA"/>
              </w:rPr>
              <w:t xml:space="preserve"> novembre 2016</w:t>
            </w:r>
          </w:p>
          <w:p w:rsidR="00EE4290" w:rsidRPr="00003B04" w:rsidRDefault="00EE4290" w:rsidP="00EE4290">
            <w:pPr>
              <w:jc w:val="both"/>
              <w:rPr>
                <w:sz w:val="20"/>
                <w:lang w:val="fr-CA"/>
              </w:rPr>
            </w:pPr>
            <w:r w:rsidRPr="00003B04">
              <w:rPr>
                <w:sz w:val="20"/>
                <w:lang w:val="fr-CA"/>
              </w:rPr>
              <w:t xml:space="preserve">Cour d’appel de la Colombie-Britannique </w:t>
            </w:r>
          </w:p>
          <w:p w:rsidR="00EE4290" w:rsidRPr="00003B04" w:rsidRDefault="00EE4290" w:rsidP="00EE4290">
            <w:pPr>
              <w:jc w:val="both"/>
              <w:rPr>
                <w:sz w:val="20"/>
                <w:lang w:val="fr-CA"/>
              </w:rPr>
            </w:pPr>
            <w:r w:rsidRPr="00003B04">
              <w:rPr>
                <w:sz w:val="20"/>
                <w:lang w:val="fr-CA"/>
              </w:rPr>
              <w:t>(Vancouver)</w:t>
            </w:r>
          </w:p>
          <w:p w:rsidR="00EE4290" w:rsidRPr="00003B04" w:rsidRDefault="00EE4290" w:rsidP="00EE4290">
            <w:pPr>
              <w:jc w:val="both"/>
              <w:rPr>
                <w:sz w:val="20"/>
                <w:lang w:val="fr-CA"/>
              </w:rPr>
            </w:pPr>
            <w:r w:rsidRPr="00003B04">
              <w:rPr>
                <w:sz w:val="20"/>
                <w:lang w:val="fr-CA"/>
              </w:rPr>
              <w:t xml:space="preserve">(Juge en chef </w:t>
            </w:r>
            <w:proofErr w:type="spellStart"/>
            <w:r w:rsidRPr="00003B04">
              <w:rPr>
                <w:sz w:val="20"/>
                <w:lang w:val="fr-CA"/>
              </w:rPr>
              <w:t>Bauman</w:t>
            </w:r>
            <w:proofErr w:type="spellEnd"/>
            <w:r w:rsidRPr="00003B04">
              <w:rPr>
                <w:sz w:val="20"/>
                <w:lang w:val="fr-CA"/>
              </w:rPr>
              <w:t xml:space="preserve"> et juges d’appel Newbury, </w:t>
            </w:r>
            <w:proofErr w:type="spellStart"/>
            <w:r w:rsidRPr="00003B04">
              <w:rPr>
                <w:sz w:val="20"/>
                <w:lang w:val="fr-CA"/>
              </w:rPr>
              <w:t>Groberman</w:t>
            </w:r>
            <w:proofErr w:type="spellEnd"/>
            <w:r w:rsidRPr="00003B04">
              <w:rPr>
                <w:sz w:val="20"/>
                <w:lang w:val="fr-CA"/>
              </w:rPr>
              <w:t xml:space="preserve">, </w:t>
            </w:r>
            <w:proofErr w:type="spellStart"/>
            <w:r w:rsidRPr="00003B04">
              <w:rPr>
                <w:sz w:val="20"/>
                <w:lang w:val="fr-CA"/>
              </w:rPr>
              <w:t>Willcock</w:t>
            </w:r>
            <w:proofErr w:type="spellEnd"/>
            <w:r w:rsidRPr="00003B04">
              <w:rPr>
                <w:sz w:val="20"/>
                <w:lang w:val="fr-CA"/>
              </w:rPr>
              <w:t xml:space="preserve"> et </w:t>
            </w:r>
            <w:proofErr w:type="spellStart"/>
            <w:r w:rsidRPr="00003B04">
              <w:rPr>
                <w:sz w:val="20"/>
                <w:lang w:val="fr-CA"/>
              </w:rPr>
              <w:t>Fenlon</w:t>
            </w:r>
            <w:proofErr w:type="spellEnd"/>
            <w:r w:rsidRPr="00003B04">
              <w:rPr>
                <w:sz w:val="20"/>
                <w:lang w:val="fr-CA"/>
              </w:rPr>
              <w:t>)</w:t>
            </w:r>
          </w:p>
          <w:p w:rsidR="00EE4290" w:rsidRPr="00003B04" w:rsidRDefault="00604445" w:rsidP="00EE4290">
            <w:pPr>
              <w:jc w:val="both"/>
              <w:rPr>
                <w:sz w:val="20"/>
                <w:lang w:val="fr-CA"/>
              </w:rPr>
            </w:pPr>
            <w:hyperlink r:id="rId58" w:history="1">
              <w:r w:rsidR="00EE4290" w:rsidRPr="00003B04">
                <w:rPr>
                  <w:rStyle w:val="Hyperlink"/>
                  <w:sz w:val="20"/>
                  <w:lang w:val="fr-CA"/>
                </w:rPr>
                <w:t>2016 BCCA 423</w:t>
              </w:r>
            </w:hyperlink>
          </w:p>
          <w:p w:rsidR="00EE4290" w:rsidRPr="00003B04" w:rsidRDefault="00EE4290" w:rsidP="00EE4290">
            <w:pPr>
              <w:jc w:val="both"/>
              <w:rPr>
                <w:sz w:val="20"/>
                <w:lang w:val="fr-CA"/>
              </w:rPr>
            </w:pPr>
          </w:p>
        </w:tc>
        <w:tc>
          <w:tcPr>
            <w:tcW w:w="243" w:type="pct"/>
          </w:tcPr>
          <w:p w:rsidR="00EE4290" w:rsidRPr="00003B04" w:rsidRDefault="00EE4290" w:rsidP="00EE4290">
            <w:pPr>
              <w:jc w:val="both"/>
              <w:rPr>
                <w:sz w:val="20"/>
                <w:lang w:val="fr-CA"/>
              </w:rPr>
            </w:pPr>
          </w:p>
        </w:tc>
        <w:tc>
          <w:tcPr>
            <w:tcW w:w="2330" w:type="pct"/>
          </w:tcPr>
          <w:p w:rsidR="00EE4290" w:rsidRPr="00003B04" w:rsidRDefault="00EE4290" w:rsidP="00EE4290">
            <w:pPr>
              <w:jc w:val="both"/>
              <w:rPr>
                <w:sz w:val="20"/>
                <w:lang w:val="fr-CA"/>
              </w:rPr>
            </w:pPr>
            <w:r w:rsidRPr="00003B04">
              <w:rPr>
                <w:sz w:val="20"/>
                <w:lang w:val="fr-CA"/>
              </w:rPr>
              <w:t>Rejet de l’appel</w:t>
            </w:r>
          </w:p>
          <w:p w:rsidR="00EE4290" w:rsidRPr="00003B04" w:rsidRDefault="00EE4290" w:rsidP="00EE4290">
            <w:pPr>
              <w:jc w:val="both"/>
              <w:rPr>
                <w:sz w:val="20"/>
                <w:lang w:val="fr-CA"/>
              </w:rPr>
            </w:pPr>
          </w:p>
        </w:tc>
      </w:tr>
      <w:tr w:rsidR="00EE4290" w:rsidRPr="00C3697D" w:rsidTr="00EE4290">
        <w:tc>
          <w:tcPr>
            <w:tcW w:w="2427" w:type="pct"/>
            <w:gridSpan w:val="2"/>
          </w:tcPr>
          <w:p w:rsidR="00EE4290" w:rsidRPr="00003B04" w:rsidRDefault="00EE4290" w:rsidP="00EE4290">
            <w:pPr>
              <w:jc w:val="both"/>
              <w:rPr>
                <w:sz w:val="20"/>
                <w:lang w:val="fr-CA"/>
              </w:rPr>
            </w:pPr>
            <w:r w:rsidRPr="00003B04">
              <w:rPr>
                <w:sz w:val="20"/>
                <w:lang w:val="fr-CA"/>
              </w:rPr>
              <w:t>28 novembre 2016</w:t>
            </w:r>
          </w:p>
          <w:p w:rsidR="00EE4290" w:rsidRPr="00003B04" w:rsidRDefault="00EE4290" w:rsidP="00EE4290">
            <w:pPr>
              <w:jc w:val="both"/>
              <w:rPr>
                <w:sz w:val="20"/>
                <w:lang w:val="fr-CA"/>
              </w:rPr>
            </w:pPr>
            <w:r w:rsidRPr="00003B04">
              <w:rPr>
                <w:sz w:val="20"/>
                <w:lang w:val="fr-CA"/>
              </w:rPr>
              <w:t>Cour suprême du Canada</w:t>
            </w:r>
          </w:p>
        </w:tc>
        <w:tc>
          <w:tcPr>
            <w:tcW w:w="243" w:type="pct"/>
          </w:tcPr>
          <w:p w:rsidR="00EE4290" w:rsidRPr="00003B04" w:rsidRDefault="00EE4290" w:rsidP="00EE4290">
            <w:pPr>
              <w:jc w:val="both"/>
              <w:rPr>
                <w:sz w:val="20"/>
                <w:lang w:val="fr-CA"/>
              </w:rPr>
            </w:pPr>
          </w:p>
        </w:tc>
        <w:tc>
          <w:tcPr>
            <w:tcW w:w="2330" w:type="pct"/>
          </w:tcPr>
          <w:p w:rsidR="00EE4290" w:rsidRPr="00003B04" w:rsidRDefault="00EE4290" w:rsidP="00EE4290">
            <w:pPr>
              <w:jc w:val="both"/>
              <w:rPr>
                <w:sz w:val="20"/>
                <w:lang w:val="fr-CA"/>
              </w:rPr>
            </w:pPr>
            <w:r w:rsidRPr="00003B04">
              <w:rPr>
                <w:sz w:val="20"/>
                <w:lang w:val="fr-CA"/>
              </w:rPr>
              <w:t>Dépôt de la demande d’autorisation d’appel</w:t>
            </w:r>
          </w:p>
          <w:p w:rsidR="00EE4290" w:rsidRPr="00003B04" w:rsidRDefault="00EE4290" w:rsidP="00EE4290">
            <w:pPr>
              <w:jc w:val="both"/>
              <w:rPr>
                <w:sz w:val="20"/>
                <w:lang w:val="fr-CA"/>
              </w:rPr>
            </w:pPr>
          </w:p>
        </w:tc>
      </w:tr>
    </w:tbl>
    <w:p w:rsidR="00EE4290" w:rsidRPr="00003B04" w:rsidRDefault="00604445" w:rsidP="00EE4290">
      <w:pPr>
        <w:jc w:val="both"/>
        <w:rPr>
          <w:sz w:val="20"/>
          <w:lang w:val="fr-CA"/>
        </w:rPr>
      </w:pPr>
      <w:r>
        <w:rPr>
          <w:sz w:val="20"/>
          <w:szCs w:val="20"/>
        </w:rPr>
        <w:pict>
          <v:rect id="_x0000_i1064" style="width:2in;height:1pt" o:hrpct="0" o:hralign="center" o:hrstd="t" o:hrnoshade="t" o:hr="t" fillcolor="black [3213]" stroked="f"/>
        </w:pict>
      </w:r>
    </w:p>
    <w:p w:rsidR="00EE4290" w:rsidRPr="00003B04" w:rsidRDefault="00EE4290" w:rsidP="00EE4290">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E4290" w:rsidRPr="00003B04" w:rsidTr="00EE4290">
        <w:tc>
          <w:tcPr>
            <w:tcW w:w="543" w:type="pct"/>
          </w:tcPr>
          <w:p w:rsidR="00EE4290" w:rsidRPr="00003B04" w:rsidRDefault="00EE4290" w:rsidP="00EE4290">
            <w:pPr>
              <w:jc w:val="both"/>
              <w:rPr>
                <w:sz w:val="20"/>
              </w:rPr>
            </w:pPr>
            <w:r w:rsidRPr="00003B04">
              <w:rPr>
                <w:rStyle w:val="SCCFileNumberChar"/>
                <w:sz w:val="20"/>
                <w:szCs w:val="20"/>
              </w:rPr>
              <w:t>37171</w:t>
            </w:r>
          </w:p>
        </w:tc>
        <w:tc>
          <w:tcPr>
            <w:tcW w:w="4457" w:type="pct"/>
            <w:gridSpan w:val="3"/>
          </w:tcPr>
          <w:p w:rsidR="00EE4290" w:rsidRPr="00003B04" w:rsidRDefault="00EE4290" w:rsidP="00EE4290">
            <w:pPr>
              <w:pStyle w:val="SCCLsocParty"/>
              <w:jc w:val="both"/>
              <w:rPr>
                <w:b/>
                <w:sz w:val="20"/>
                <w:szCs w:val="20"/>
                <w:lang w:val="en-US"/>
              </w:rPr>
            </w:pPr>
            <w:r w:rsidRPr="00003B04">
              <w:rPr>
                <w:b/>
                <w:sz w:val="20"/>
                <w:szCs w:val="20"/>
                <w:lang w:val="en-US"/>
              </w:rPr>
              <w:t xml:space="preserve">Juan Luis Bosch Gutiérrez, </w:t>
            </w:r>
            <w:proofErr w:type="spellStart"/>
            <w:r w:rsidRPr="00003B04">
              <w:rPr>
                <w:b/>
                <w:sz w:val="20"/>
                <w:szCs w:val="20"/>
                <w:lang w:val="en-US"/>
              </w:rPr>
              <w:t>Dionisio</w:t>
            </w:r>
            <w:proofErr w:type="spellEnd"/>
            <w:r w:rsidRPr="00003B04">
              <w:rPr>
                <w:b/>
                <w:sz w:val="20"/>
                <w:szCs w:val="20"/>
                <w:lang w:val="en-US"/>
              </w:rPr>
              <w:t xml:space="preserve"> Gutiérrez </w:t>
            </w:r>
            <w:proofErr w:type="spellStart"/>
            <w:r w:rsidRPr="00003B04">
              <w:rPr>
                <w:b/>
                <w:sz w:val="20"/>
                <w:szCs w:val="20"/>
                <w:lang w:val="en-US"/>
              </w:rPr>
              <w:t>Mayorga</w:t>
            </w:r>
            <w:proofErr w:type="spellEnd"/>
            <w:r w:rsidRPr="00003B04">
              <w:rPr>
                <w:b/>
                <w:sz w:val="20"/>
                <w:szCs w:val="20"/>
                <w:lang w:val="en-US"/>
              </w:rPr>
              <w:t xml:space="preserve">, Juan Jose Gutiérrez </w:t>
            </w:r>
            <w:proofErr w:type="spellStart"/>
            <w:r w:rsidRPr="00003B04">
              <w:rPr>
                <w:b/>
                <w:sz w:val="20"/>
                <w:szCs w:val="20"/>
                <w:lang w:val="en-US"/>
              </w:rPr>
              <w:t>Mayorga</w:t>
            </w:r>
            <w:proofErr w:type="spellEnd"/>
            <w:r w:rsidRPr="00003B04">
              <w:rPr>
                <w:b/>
                <w:sz w:val="20"/>
                <w:szCs w:val="20"/>
                <w:lang w:val="en-US"/>
              </w:rPr>
              <w:t xml:space="preserve">, Felipe Antonio Bosch Gutiérrez, Isabel Gutiérrez De Bosch, La </w:t>
            </w:r>
            <w:proofErr w:type="spellStart"/>
            <w:r w:rsidRPr="00003B04">
              <w:rPr>
                <w:b/>
                <w:sz w:val="20"/>
                <w:szCs w:val="20"/>
                <w:lang w:val="en-US"/>
              </w:rPr>
              <w:t>Braña</w:t>
            </w:r>
            <w:proofErr w:type="spellEnd"/>
            <w:r w:rsidRPr="00003B04">
              <w:rPr>
                <w:b/>
                <w:sz w:val="20"/>
                <w:szCs w:val="20"/>
                <w:lang w:val="en-US"/>
              </w:rPr>
              <w:t>, S.A., Multi-</w:t>
            </w:r>
            <w:proofErr w:type="spellStart"/>
            <w:r w:rsidRPr="00003B04">
              <w:rPr>
                <w:b/>
                <w:sz w:val="20"/>
                <w:szCs w:val="20"/>
                <w:lang w:val="en-US"/>
              </w:rPr>
              <w:t>Inversiones</w:t>
            </w:r>
            <w:proofErr w:type="spellEnd"/>
            <w:r w:rsidRPr="00003B04">
              <w:rPr>
                <w:b/>
                <w:sz w:val="20"/>
                <w:szCs w:val="20"/>
                <w:lang w:val="en-US"/>
              </w:rPr>
              <w:t xml:space="preserve">, S.A., </w:t>
            </w:r>
            <w:proofErr w:type="spellStart"/>
            <w:r w:rsidRPr="00003B04">
              <w:rPr>
                <w:b/>
                <w:sz w:val="20"/>
                <w:szCs w:val="20"/>
                <w:lang w:val="en-US"/>
              </w:rPr>
              <w:t>Villamorey</w:t>
            </w:r>
            <w:proofErr w:type="spellEnd"/>
            <w:r w:rsidRPr="00003B04">
              <w:rPr>
                <w:b/>
                <w:sz w:val="20"/>
                <w:szCs w:val="20"/>
                <w:lang w:val="en-US"/>
              </w:rPr>
              <w:t xml:space="preserve">, S.A. and </w:t>
            </w:r>
            <w:proofErr w:type="spellStart"/>
            <w:r w:rsidRPr="00003B04">
              <w:rPr>
                <w:b/>
                <w:sz w:val="20"/>
                <w:szCs w:val="20"/>
                <w:lang w:val="en-US"/>
              </w:rPr>
              <w:t>Avicola</w:t>
            </w:r>
            <w:proofErr w:type="spellEnd"/>
            <w:r w:rsidRPr="00003B04">
              <w:rPr>
                <w:b/>
                <w:sz w:val="20"/>
                <w:szCs w:val="20"/>
                <w:lang w:val="en-US"/>
              </w:rPr>
              <w:t xml:space="preserve"> Villalobos S.A. v. </w:t>
            </w:r>
            <w:proofErr w:type="spellStart"/>
            <w:r w:rsidRPr="00003B04">
              <w:rPr>
                <w:b/>
                <w:sz w:val="20"/>
                <w:szCs w:val="20"/>
                <w:lang w:val="en-US"/>
              </w:rPr>
              <w:t>Xela</w:t>
            </w:r>
            <w:proofErr w:type="spellEnd"/>
            <w:r w:rsidRPr="00003B04">
              <w:rPr>
                <w:b/>
                <w:sz w:val="20"/>
                <w:szCs w:val="20"/>
                <w:lang w:val="en-US"/>
              </w:rPr>
              <w:t xml:space="preserve"> Enterprises Ltd., </w:t>
            </w:r>
            <w:proofErr w:type="spellStart"/>
            <w:r w:rsidRPr="00003B04">
              <w:rPr>
                <w:b/>
                <w:sz w:val="20"/>
                <w:szCs w:val="20"/>
                <w:lang w:val="en-US"/>
              </w:rPr>
              <w:t>Gabinvest</w:t>
            </w:r>
            <w:proofErr w:type="spellEnd"/>
            <w:r w:rsidRPr="00003B04">
              <w:rPr>
                <w:b/>
                <w:sz w:val="20"/>
                <w:szCs w:val="20"/>
                <w:lang w:val="en-US"/>
              </w:rPr>
              <w:t xml:space="preserve"> S.A., Lisa S.A., Juan Arturo Gutiérrez, Juan Guillermo Gutiérrez and 696096 Alberta Ltd.</w:t>
            </w:r>
          </w:p>
          <w:p w:rsidR="00EE4290" w:rsidRPr="00003B04" w:rsidRDefault="00EE4290" w:rsidP="00EE4290">
            <w:pPr>
              <w:jc w:val="both"/>
              <w:rPr>
                <w:sz w:val="20"/>
              </w:rPr>
            </w:pPr>
            <w:r w:rsidRPr="00003B04">
              <w:rPr>
                <w:sz w:val="20"/>
              </w:rPr>
              <w:t>(Ont.) (Civil) (By Leave)</w:t>
            </w:r>
          </w:p>
        </w:tc>
      </w:tr>
      <w:tr w:rsidR="00D310D9" w:rsidRPr="00003B04" w:rsidTr="00EE4290">
        <w:tc>
          <w:tcPr>
            <w:tcW w:w="543" w:type="pct"/>
          </w:tcPr>
          <w:p w:rsidR="00D310D9" w:rsidRPr="00003B04" w:rsidRDefault="00D310D9" w:rsidP="00EE4290">
            <w:pPr>
              <w:jc w:val="both"/>
              <w:rPr>
                <w:rStyle w:val="SCCFileNumberChar"/>
                <w:sz w:val="20"/>
                <w:szCs w:val="20"/>
              </w:rPr>
            </w:pPr>
            <w:r w:rsidRPr="00003B04">
              <w:rPr>
                <w:rStyle w:val="SCCFileNumberChar"/>
                <w:sz w:val="20"/>
                <w:szCs w:val="20"/>
              </w:rPr>
              <w:t>Coram:</w:t>
            </w:r>
          </w:p>
        </w:tc>
        <w:tc>
          <w:tcPr>
            <w:tcW w:w="4457" w:type="pct"/>
            <w:gridSpan w:val="3"/>
          </w:tcPr>
          <w:p w:rsidR="00D310D9" w:rsidRPr="00003B04" w:rsidRDefault="000E7F29" w:rsidP="00EE4290">
            <w:pPr>
              <w:pStyle w:val="SCCLsocParty"/>
              <w:jc w:val="both"/>
              <w:rPr>
                <w:sz w:val="20"/>
                <w:szCs w:val="20"/>
                <w:lang w:val="en-US"/>
              </w:rPr>
            </w:pPr>
            <w:proofErr w:type="spellStart"/>
            <w:r w:rsidRPr="00003B04">
              <w:rPr>
                <w:sz w:val="20"/>
                <w:szCs w:val="20"/>
                <w:lang w:val="en-US"/>
              </w:rPr>
              <w:t>McLachlin</w:t>
            </w:r>
            <w:proofErr w:type="spellEnd"/>
            <w:r w:rsidRPr="00003B04">
              <w:rPr>
                <w:sz w:val="20"/>
                <w:szCs w:val="20"/>
                <w:lang w:val="en-US"/>
              </w:rPr>
              <w:t xml:space="preserve"> C.J. and </w:t>
            </w:r>
            <w:proofErr w:type="spellStart"/>
            <w:r w:rsidRPr="00003B04">
              <w:rPr>
                <w:sz w:val="20"/>
                <w:szCs w:val="20"/>
                <w:lang w:val="en-US"/>
              </w:rPr>
              <w:t>Abella</w:t>
            </w:r>
            <w:proofErr w:type="spellEnd"/>
            <w:r w:rsidRPr="00003B04">
              <w:rPr>
                <w:sz w:val="20"/>
                <w:szCs w:val="20"/>
                <w:lang w:val="en-US"/>
              </w:rPr>
              <w:t xml:space="preserve">, </w:t>
            </w:r>
            <w:proofErr w:type="spellStart"/>
            <w:r w:rsidRPr="00003B04">
              <w:rPr>
                <w:sz w:val="20"/>
                <w:szCs w:val="20"/>
                <w:lang w:val="en-US"/>
              </w:rPr>
              <w:t>Moldaver</w:t>
            </w:r>
            <w:proofErr w:type="spellEnd"/>
            <w:r w:rsidRPr="00003B04">
              <w:rPr>
                <w:sz w:val="20"/>
                <w:szCs w:val="20"/>
                <w:lang w:val="en-US"/>
              </w:rPr>
              <w:t xml:space="preserve">, </w:t>
            </w:r>
            <w:proofErr w:type="spellStart"/>
            <w:r w:rsidRPr="00003B04">
              <w:rPr>
                <w:sz w:val="20"/>
                <w:szCs w:val="20"/>
                <w:lang w:val="en-US"/>
              </w:rPr>
              <w:t>Karakatsanis</w:t>
            </w:r>
            <w:proofErr w:type="spellEnd"/>
            <w:r w:rsidRPr="00003B04">
              <w:rPr>
                <w:sz w:val="20"/>
                <w:szCs w:val="20"/>
                <w:lang w:val="en-US"/>
              </w:rPr>
              <w:t xml:space="preserve">, Wagner, </w:t>
            </w:r>
            <w:proofErr w:type="spellStart"/>
            <w:r w:rsidRPr="00003B04">
              <w:rPr>
                <w:sz w:val="20"/>
                <w:szCs w:val="20"/>
                <w:lang w:val="en-US"/>
              </w:rPr>
              <w:t>Gascon</w:t>
            </w:r>
            <w:proofErr w:type="spellEnd"/>
            <w:r w:rsidRPr="00003B04">
              <w:rPr>
                <w:sz w:val="20"/>
                <w:szCs w:val="20"/>
                <w:lang w:val="en-US"/>
              </w:rPr>
              <w:t xml:space="preserve">, </w:t>
            </w:r>
            <w:proofErr w:type="spellStart"/>
            <w:r w:rsidRPr="00003B04">
              <w:rPr>
                <w:sz w:val="20"/>
                <w:szCs w:val="20"/>
                <w:lang w:val="en-US"/>
              </w:rPr>
              <w:t>Côté</w:t>
            </w:r>
            <w:proofErr w:type="spellEnd"/>
            <w:r w:rsidRPr="00003B04">
              <w:rPr>
                <w:sz w:val="20"/>
                <w:szCs w:val="20"/>
                <w:lang w:val="en-US"/>
              </w:rPr>
              <w:t>, Brown and Rowe JJ.</w:t>
            </w:r>
          </w:p>
          <w:p w:rsidR="000E7F29" w:rsidRPr="00003B04" w:rsidRDefault="000E7F29" w:rsidP="000E7F29">
            <w:pPr>
              <w:rPr>
                <w:lang w:val="en-US"/>
              </w:rPr>
            </w:pPr>
          </w:p>
        </w:tc>
      </w:tr>
      <w:tr w:rsidR="00D310D9" w:rsidRPr="00003B04" w:rsidTr="00D310D9">
        <w:tc>
          <w:tcPr>
            <w:tcW w:w="5000" w:type="pct"/>
            <w:gridSpan w:val="4"/>
          </w:tcPr>
          <w:p w:rsidR="00D310D9" w:rsidRPr="00003B04" w:rsidRDefault="000E7F29" w:rsidP="00EE4290">
            <w:pPr>
              <w:pStyle w:val="SCCLsocParty"/>
              <w:jc w:val="both"/>
              <w:rPr>
                <w:sz w:val="20"/>
                <w:szCs w:val="20"/>
                <w:lang w:val="en-US"/>
              </w:rPr>
            </w:pPr>
            <w:r w:rsidRPr="00003B04">
              <w:rPr>
                <w:sz w:val="20"/>
                <w:szCs w:val="20"/>
                <w:lang w:val="en-US"/>
              </w:rPr>
              <w:t>The application for leave to appeal from the judgment of the Court of Appeal for Ontario, Number C60470, 2016 ONCA 437, dated June 3, 2016, is dismissed with costs to the respondents with the exception of 696096 Alberta Ltd..</w:t>
            </w:r>
          </w:p>
          <w:p w:rsidR="000E7F29" w:rsidRPr="00003B04" w:rsidRDefault="000E7F29" w:rsidP="000E7F29">
            <w:pPr>
              <w:rPr>
                <w:lang w:val="en-US"/>
              </w:rPr>
            </w:pPr>
          </w:p>
        </w:tc>
      </w:tr>
      <w:tr w:rsidR="00EE4290" w:rsidRPr="00003B04" w:rsidTr="00EE4290">
        <w:tc>
          <w:tcPr>
            <w:tcW w:w="5000" w:type="pct"/>
            <w:gridSpan w:val="4"/>
          </w:tcPr>
          <w:p w:rsidR="00EE4290" w:rsidRPr="00003B04" w:rsidRDefault="00EE4290" w:rsidP="00EE4290">
            <w:pPr>
              <w:jc w:val="both"/>
              <w:rPr>
                <w:sz w:val="20"/>
              </w:rPr>
            </w:pPr>
            <w:r w:rsidRPr="00003B04">
              <w:rPr>
                <w:sz w:val="20"/>
              </w:rPr>
              <w:t>Civil procedure – Service – Service</w:t>
            </w:r>
            <w:r w:rsidRPr="00003B04">
              <w:rPr>
                <w:i/>
                <w:sz w:val="20"/>
              </w:rPr>
              <w:t xml:space="preserve"> ex juris –</w:t>
            </w:r>
            <w:r w:rsidRPr="00003B04">
              <w:rPr>
                <w:sz w:val="20"/>
              </w:rPr>
              <w:t xml:space="preserve"> Private international law – Applicable law – Respondents seeking declaration that service of its statement of claim on applicants in Guatemala was properly effected under </w:t>
            </w:r>
            <w:r w:rsidRPr="00003B04">
              <w:rPr>
                <w:i/>
                <w:sz w:val="20"/>
              </w:rPr>
              <w:t>Ontario Rules of Civil Procedure</w:t>
            </w:r>
            <w:r w:rsidRPr="00003B04">
              <w:rPr>
                <w:sz w:val="20"/>
              </w:rPr>
              <w:t>,</w:t>
            </w:r>
            <w:r w:rsidRPr="00003B04">
              <w:rPr>
                <w:i/>
                <w:sz w:val="20"/>
              </w:rPr>
              <w:t xml:space="preserve"> </w:t>
            </w:r>
            <w:r w:rsidRPr="00003B04">
              <w:rPr>
                <w:sz w:val="20"/>
              </w:rPr>
              <w:t>R.R.O. 1990, Reg. 194</w:t>
            </w:r>
            <w:r w:rsidRPr="00003B04">
              <w:rPr>
                <w:i/>
                <w:sz w:val="20"/>
              </w:rPr>
              <w:t xml:space="preserve"> </w:t>
            </w:r>
            <w:r w:rsidRPr="00003B04">
              <w:rPr>
                <w:sz w:val="20"/>
              </w:rPr>
              <w:t xml:space="preserve">– Should Rule 17.05(2) be applied in accordance with international law, respect for sovereignty of foreign states and principles of comity? – When a regulation affords litigants a choice to effect service </w:t>
            </w:r>
            <w:r w:rsidRPr="00003B04">
              <w:rPr>
                <w:i/>
                <w:sz w:val="20"/>
              </w:rPr>
              <w:t>ex juris</w:t>
            </w:r>
            <w:r w:rsidRPr="00003B04">
              <w:rPr>
                <w:sz w:val="20"/>
              </w:rPr>
              <w:t xml:space="preserve"> in two ways, may litigant choose a method that is invalid, illegal or unconstitutional in foreign state? – When a statute affords courts with the ability to exercise discretion in a manner that would conflict with international law, should that discretion be read down to conform to international law? </w:t>
            </w:r>
          </w:p>
          <w:p w:rsidR="00EE4290" w:rsidRPr="00003B04" w:rsidRDefault="00EE4290" w:rsidP="00EE4290">
            <w:pPr>
              <w:jc w:val="both"/>
              <w:rPr>
                <w:sz w:val="20"/>
              </w:rPr>
            </w:pPr>
          </w:p>
        </w:tc>
      </w:tr>
      <w:tr w:rsidR="00EE4290" w:rsidRPr="00003B04" w:rsidTr="00EE4290">
        <w:tc>
          <w:tcPr>
            <w:tcW w:w="5000" w:type="pct"/>
            <w:gridSpan w:val="4"/>
          </w:tcPr>
          <w:p w:rsidR="00EE4290" w:rsidRPr="00003B04" w:rsidRDefault="00EE4290" w:rsidP="00EE4290">
            <w:pPr>
              <w:jc w:val="both"/>
              <w:rPr>
                <w:sz w:val="20"/>
              </w:rPr>
            </w:pPr>
            <w:r w:rsidRPr="00003B04">
              <w:rPr>
                <w:sz w:val="20"/>
              </w:rPr>
              <w:lastRenderedPageBreak/>
              <w:t>The respondents are individuals resident in Canada and companies carrying on business in Canada, as well as two Panamanian companies. They seek $400 million in damages from the applicants, individuals residing in Guatemala or companies carrying on business in Guatemala. The Ontario action was commenced by a fresh as amended statement of claim issued in February, 2013. The respondents attempted to serve this document on several occasions and in several different ways. They emailed a copy to the applicants’ Canadian legal counsel and sent a copy by courier to the applicants’ U.S. counsel. They also attempted to serve the applicants at their residences and businesses in Guatemala. The respondents brought a motion seeking a declaration that the applicants were properly served in accordance with Rules 17.02 and 17.05, validating service pursuant to r. 16.08, or ordering substituted service pursuant to r. 16.04.</w:t>
            </w:r>
          </w:p>
        </w:tc>
      </w:tr>
      <w:tr w:rsidR="00EE4290" w:rsidRPr="00003B04" w:rsidTr="00EE4290">
        <w:tc>
          <w:tcPr>
            <w:tcW w:w="5000" w:type="pct"/>
            <w:gridSpan w:val="4"/>
          </w:tcPr>
          <w:p w:rsidR="00EE4290" w:rsidRPr="00003B04" w:rsidRDefault="00EE4290" w:rsidP="00EE4290">
            <w:pPr>
              <w:jc w:val="both"/>
              <w:rPr>
                <w:sz w:val="20"/>
              </w:rPr>
            </w:pPr>
          </w:p>
        </w:tc>
      </w:tr>
      <w:tr w:rsidR="00EE4290" w:rsidRPr="00003B04" w:rsidTr="00EE4290">
        <w:tc>
          <w:tcPr>
            <w:tcW w:w="2427" w:type="pct"/>
            <w:gridSpan w:val="2"/>
          </w:tcPr>
          <w:p w:rsidR="00EE4290" w:rsidRPr="00003B04" w:rsidRDefault="00EE4290" w:rsidP="00EE4290">
            <w:pPr>
              <w:jc w:val="both"/>
              <w:rPr>
                <w:sz w:val="20"/>
              </w:rPr>
            </w:pPr>
            <w:r w:rsidRPr="00003B04">
              <w:rPr>
                <w:sz w:val="20"/>
              </w:rPr>
              <w:t>January 20, 2014</w:t>
            </w:r>
          </w:p>
          <w:p w:rsidR="00EE4290" w:rsidRPr="00003B04" w:rsidRDefault="00EE4290" w:rsidP="00EE4290">
            <w:pPr>
              <w:jc w:val="both"/>
              <w:rPr>
                <w:sz w:val="20"/>
              </w:rPr>
            </w:pPr>
            <w:r w:rsidRPr="00003B04">
              <w:rPr>
                <w:sz w:val="20"/>
              </w:rPr>
              <w:t>Ontario Superior Court of Justice</w:t>
            </w:r>
          </w:p>
          <w:p w:rsidR="00EE4290" w:rsidRPr="00003B04" w:rsidRDefault="00EE4290" w:rsidP="00EE4290">
            <w:pPr>
              <w:jc w:val="both"/>
              <w:rPr>
                <w:sz w:val="20"/>
              </w:rPr>
            </w:pPr>
            <w:r w:rsidRPr="00003B04">
              <w:rPr>
                <w:sz w:val="20"/>
              </w:rPr>
              <w:t>(</w:t>
            </w:r>
            <w:proofErr w:type="spellStart"/>
            <w:r w:rsidRPr="00003B04">
              <w:rPr>
                <w:sz w:val="20"/>
              </w:rPr>
              <w:t>Thorburn</w:t>
            </w:r>
            <w:proofErr w:type="spellEnd"/>
            <w:r w:rsidRPr="00003B04">
              <w:rPr>
                <w:sz w:val="20"/>
              </w:rPr>
              <w:t xml:space="preserve"> J.)</w:t>
            </w:r>
          </w:p>
          <w:p w:rsidR="00EE4290" w:rsidRPr="00003B04" w:rsidRDefault="00604445" w:rsidP="00EE4290">
            <w:pPr>
              <w:jc w:val="both"/>
              <w:rPr>
                <w:sz w:val="20"/>
              </w:rPr>
            </w:pPr>
            <w:hyperlink r:id="rId59" w:history="1">
              <w:r w:rsidR="00EE4290" w:rsidRPr="00003B04">
                <w:rPr>
                  <w:rStyle w:val="Hyperlink"/>
                  <w:sz w:val="20"/>
                </w:rPr>
                <w:t>2014 ONSC 352</w:t>
              </w:r>
            </w:hyperlink>
          </w:p>
          <w:p w:rsidR="00EE4290" w:rsidRPr="00003B04" w:rsidRDefault="00EE4290" w:rsidP="00EE4290">
            <w:pPr>
              <w:jc w:val="both"/>
              <w:rPr>
                <w:sz w:val="20"/>
              </w:rPr>
            </w:pPr>
          </w:p>
        </w:tc>
        <w:tc>
          <w:tcPr>
            <w:tcW w:w="243" w:type="pct"/>
          </w:tcPr>
          <w:p w:rsidR="00EE4290" w:rsidRPr="00003B04" w:rsidRDefault="00EE4290" w:rsidP="00EE4290">
            <w:pPr>
              <w:jc w:val="both"/>
              <w:rPr>
                <w:sz w:val="20"/>
              </w:rPr>
            </w:pPr>
          </w:p>
        </w:tc>
        <w:tc>
          <w:tcPr>
            <w:tcW w:w="2330" w:type="pct"/>
          </w:tcPr>
          <w:p w:rsidR="00EE4290" w:rsidRPr="00003B04" w:rsidRDefault="00EE4290" w:rsidP="00EE4290">
            <w:pPr>
              <w:jc w:val="both"/>
              <w:rPr>
                <w:sz w:val="20"/>
              </w:rPr>
            </w:pPr>
            <w:r w:rsidRPr="00003B04">
              <w:rPr>
                <w:sz w:val="20"/>
              </w:rPr>
              <w:t>Respondents’ motion for declaration that applicants were properly served in Guatemala in accordance with Ontario Rules granted</w:t>
            </w:r>
          </w:p>
          <w:p w:rsidR="00EE4290" w:rsidRPr="00003B04" w:rsidRDefault="00EE4290" w:rsidP="00EE4290">
            <w:pPr>
              <w:jc w:val="both"/>
              <w:rPr>
                <w:sz w:val="20"/>
              </w:rPr>
            </w:pPr>
          </w:p>
        </w:tc>
      </w:tr>
      <w:tr w:rsidR="00EE4290" w:rsidRPr="00003B04" w:rsidTr="00EE4290">
        <w:tc>
          <w:tcPr>
            <w:tcW w:w="2427" w:type="pct"/>
            <w:gridSpan w:val="2"/>
          </w:tcPr>
          <w:p w:rsidR="00EE4290" w:rsidRPr="00003B04" w:rsidRDefault="00EE4290" w:rsidP="00EE4290">
            <w:pPr>
              <w:jc w:val="both"/>
              <w:rPr>
                <w:sz w:val="20"/>
              </w:rPr>
            </w:pPr>
            <w:r w:rsidRPr="00003B04">
              <w:rPr>
                <w:sz w:val="20"/>
              </w:rPr>
              <w:t>June 24, 2014</w:t>
            </w:r>
          </w:p>
          <w:p w:rsidR="00EE4290" w:rsidRPr="00003B04" w:rsidRDefault="00EE4290" w:rsidP="00EE4290">
            <w:pPr>
              <w:jc w:val="both"/>
              <w:rPr>
                <w:sz w:val="20"/>
              </w:rPr>
            </w:pPr>
            <w:r w:rsidRPr="00003B04">
              <w:rPr>
                <w:sz w:val="20"/>
              </w:rPr>
              <w:t>Ontario Superior Court of Justice</w:t>
            </w:r>
          </w:p>
          <w:p w:rsidR="00EE4290" w:rsidRPr="00003B04" w:rsidRDefault="00EE4290" w:rsidP="00EE4290">
            <w:pPr>
              <w:jc w:val="both"/>
              <w:rPr>
                <w:sz w:val="20"/>
              </w:rPr>
            </w:pPr>
            <w:r w:rsidRPr="00003B04">
              <w:rPr>
                <w:sz w:val="20"/>
              </w:rPr>
              <w:t>(</w:t>
            </w:r>
            <w:proofErr w:type="spellStart"/>
            <w:r w:rsidRPr="00003B04">
              <w:rPr>
                <w:sz w:val="20"/>
              </w:rPr>
              <w:t>Matlow</w:t>
            </w:r>
            <w:proofErr w:type="spellEnd"/>
            <w:r w:rsidRPr="00003B04">
              <w:rPr>
                <w:sz w:val="20"/>
              </w:rPr>
              <w:t xml:space="preserve"> J.)</w:t>
            </w:r>
          </w:p>
          <w:p w:rsidR="00EE4290" w:rsidRPr="00003B04" w:rsidRDefault="00EE4290" w:rsidP="00EE4290">
            <w:pPr>
              <w:jc w:val="both"/>
              <w:rPr>
                <w:sz w:val="20"/>
              </w:rPr>
            </w:pPr>
            <w:r w:rsidRPr="00003B04">
              <w:rPr>
                <w:sz w:val="20"/>
              </w:rPr>
              <w:t>Unreported</w:t>
            </w:r>
          </w:p>
          <w:p w:rsidR="00EE4290" w:rsidRPr="00003B04" w:rsidRDefault="00EE4290" w:rsidP="00EE4290">
            <w:pPr>
              <w:jc w:val="both"/>
              <w:rPr>
                <w:sz w:val="20"/>
              </w:rPr>
            </w:pPr>
          </w:p>
        </w:tc>
        <w:tc>
          <w:tcPr>
            <w:tcW w:w="243" w:type="pct"/>
          </w:tcPr>
          <w:p w:rsidR="00EE4290" w:rsidRPr="00003B04" w:rsidRDefault="00EE4290" w:rsidP="00EE4290">
            <w:pPr>
              <w:jc w:val="both"/>
              <w:rPr>
                <w:sz w:val="20"/>
              </w:rPr>
            </w:pPr>
          </w:p>
        </w:tc>
        <w:tc>
          <w:tcPr>
            <w:tcW w:w="2330" w:type="pct"/>
          </w:tcPr>
          <w:p w:rsidR="00EE4290" w:rsidRPr="00003B04" w:rsidRDefault="00EE4290" w:rsidP="00EE4290">
            <w:pPr>
              <w:jc w:val="both"/>
              <w:rPr>
                <w:sz w:val="20"/>
              </w:rPr>
            </w:pPr>
            <w:r w:rsidRPr="00003B04">
              <w:rPr>
                <w:sz w:val="20"/>
              </w:rPr>
              <w:t>Applicants’ application for leave to appeal granted</w:t>
            </w:r>
          </w:p>
          <w:p w:rsidR="00EE4290" w:rsidRPr="00003B04" w:rsidRDefault="00EE4290" w:rsidP="00EE4290">
            <w:pPr>
              <w:jc w:val="both"/>
              <w:rPr>
                <w:sz w:val="20"/>
              </w:rPr>
            </w:pPr>
          </w:p>
          <w:p w:rsidR="00EE4290" w:rsidRPr="00003B04" w:rsidRDefault="00EE4290" w:rsidP="00EE4290">
            <w:pPr>
              <w:jc w:val="both"/>
              <w:rPr>
                <w:sz w:val="20"/>
              </w:rPr>
            </w:pPr>
          </w:p>
        </w:tc>
      </w:tr>
      <w:tr w:rsidR="00EE4290" w:rsidRPr="00003B04" w:rsidTr="00EE4290">
        <w:tc>
          <w:tcPr>
            <w:tcW w:w="2427" w:type="pct"/>
            <w:gridSpan w:val="2"/>
          </w:tcPr>
          <w:p w:rsidR="00EE4290" w:rsidRPr="00003B04" w:rsidRDefault="00EE4290" w:rsidP="00EE4290">
            <w:pPr>
              <w:jc w:val="both"/>
              <w:rPr>
                <w:sz w:val="20"/>
              </w:rPr>
            </w:pPr>
            <w:r w:rsidRPr="00003B04">
              <w:rPr>
                <w:sz w:val="20"/>
              </w:rPr>
              <w:t>February 5, 2015</w:t>
            </w:r>
          </w:p>
          <w:p w:rsidR="00EE4290" w:rsidRPr="00003B04" w:rsidRDefault="00EE4290" w:rsidP="00EE4290">
            <w:pPr>
              <w:jc w:val="both"/>
              <w:rPr>
                <w:sz w:val="20"/>
              </w:rPr>
            </w:pPr>
            <w:r w:rsidRPr="00003B04">
              <w:rPr>
                <w:sz w:val="20"/>
              </w:rPr>
              <w:t>Ontario Superior Court of Justice</w:t>
            </w:r>
          </w:p>
          <w:p w:rsidR="00EE4290" w:rsidRPr="00003B04" w:rsidRDefault="00EE4290" w:rsidP="00EE4290">
            <w:pPr>
              <w:jc w:val="both"/>
              <w:rPr>
                <w:sz w:val="20"/>
              </w:rPr>
            </w:pPr>
            <w:r w:rsidRPr="00003B04">
              <w:rPr>
                <w:sz w:val="20"/>
              </w:rPr>
              <w:t xml:space="preserve">(Corbett, </w:t>
            </w:r>
            <w:proofErr w:type="spellStart"/>
            <w:r w:rsidRPr="00003B04">
              <w:rPr>
                <w:sz w:val="20"/>
              </w:rPr>
              <w:t>Perell</w:t>
            </w:r>
            <w:proofErr w:type="spellEnd"/>
            <w:r w:rsidRPr="00003B04">
              <w:rPr>
                <w:sz w:val="20"/>
              </w:rPr>
              <w:t xml:space="preserve"> and Gilmore JJ.)</w:t>
            </w:r>
          </w:p>
          <w:p w:rsidR="00EE4290" w:rsidRPr="00003B04" w:rsidRDefault="00604445" w:rsidP="00EE4290">
            <w:pPr>
              <w:jc w:val="both"/>
              <w:rPr>
                <w:sz w:val="20"/>
              </w:rPr>
            </w:pPr>
            <w:hyperlink r:id="rId60" w:history="1">
              <w:r w:rsidR="00EE4290" w:rsidRPr="00003B04">
                <w:rPr>
                  <w:rStyle w:val="Hyperlink"/>
                  <w:sz w:val="20"/>
                </w:rPr>
                <w:t>2015 ONSC 866</w:t>
              </w:r>
            </w:hyperlink>
          </w:p>
          <w:p w:rsidR="00EE4290" w:rsidRPr="00003B04" w:rsidRDefault="00EE4290" w:rsidP="00EE4290">
            <w:pPr>
              <w:jc w:val="both"/>
              <w:rPr>
                <w:sz w:val="20"/>
              </w:rPr>
            </w:pPr>
          </w:p>
        </w:tc>
        <w:tc>
          <w:tcPr>
            <w:tcW w:w="243" w:type="pct"/>
          </w:tcPr>
          <w:p w:rsidR="00EE4290" w:rsidRPr="00003B04" w:rsidRDefault="00EE4290" w:rsidP="00EE4290">
            <w:pPr>
              <w:jc w:val="both"/>
              <w:rPr>
                <w:sz w:val="20"/>
              </w:rPr>
            </w:pPr>
          </w:p>
        </w:tc>
        <w:tc>
          <w:tcPr>
            <w:tcW w:w="2330" w:type="pct"/>
          </w:tcPr>
          <w:p w:rsidR="00EE4290" w:rsidRPr="00003B04" w:rsidRDefault="00EE4290" w:rsidP="00EE4290">
            <w:pPr>
              <w:jc w:val="both"/>
              <w:rPr>
                <w:sz w:val="20"/>
              </w:rPr>
            </w:pPr>
            <w:r w:rsidRPr="00003B04">
              <w:rPr>
                <w:sz w:val="20"/>
              </w:rPr>
              <w:t>Applicants’ appeal dismissed</w:t>
            </w:r>
          </w:p>
          <w:p w:rsidR="00EE4290" w:rsidRPr="00003B04" w:rsidRDefault="00EE4290" w:rsidP="00EE4290">
            <w:pPr>
              <w:jc w:val="both"/>
              <w:rPr>
                <w:sz w:val="20"/>
              </w:rPr>
            </w:pPr>
          </w:p>
        </w:tc>
      </w:tr>
      <w:tr w:rsidR="00EE4290" w:rsidRPr="00003B04" w:rsidTr="00EE4290">
        <w:tc>
          <w:tcPr>
            <w:tcW w:w="2427" w:type="pct"/>
            <w:gridSpan w:val="2"/>
          </w:tcPr>
          <w:p w:rsidR="00EE4290" w:rsidRPr="00003B04" w:rsidRDefault="00EE4290" w:rsidP="00EE4290">
            <w:pPr>
              <w:jc w:val="both"/>
              <w:rPr>
                <w:sz w:val="20"/>
              </w:rPr>
            </w:pPr>
            <w:r w:rsidRPr="00003B04">
              <w:rPr>
                <w:sz w:val="20"/>
              </w:rPr>
              <w:t>June 3, 2016</w:t>
            </w:r>
          </w:p>
          <w:p w:rsidR="00EE4290" w:rsidRPr="00003B04" w:rsidRDefault="00EE4290" w:rsidP="00EE4290">
            <w:pPr>
              <w:jc w:val="both"/>
              <w:rPr>
                <w:sz w:val="20"/>
              </w:rPr>
            </w:pPr>
            <w:r w:rsidRPr="00003B04">
              <w:rPr>
                <w:sz w:val="20"/>
              </w:rPr>
              <w:t>Court of Appeal for Ontario</w:t>
            </w:r>
          </w:p>
          <w:p w:rsidR="00EE4290" w:rsidRPr="00003B04" w:rsidRDefault="00EE4290" w:rsidP="00EE4290">
            <w:pPr>
              <w:jc w:val="both"/>
              <w:rPr>
                <w:sz w:val="20"/>
              </w:rPr>
            </w:pPr>
            <w:r w:rsidRPr="00003B04">
              <w:rPr>
                <w:sz w:val="20"/>
              </w:rPr>
              <w:t>(</w:t>
            </w:r>
            <w:proofErr w:type="spellStart"/>
            <w:r w:rsidRPr="00003B04">
              <w:rPr>
                <w:sz w:val="20"/>
              </w:rPr>
              <w:t>Weiler</w:t>
            </w:r>
            <w:proofErr w:type="spellEnd"/>
            <w:r w:rsidRPr="00003B04">
              <w:rPr>
                <w:sz w:val="20"/>
              </w:rPr>
              <w:t xml:space="preserve">, </w:t>
            </w:r>
            <w:proofErr w:type="spellStart"/>
            <w:r w:rsidRPr="00003B04">
              <w:rPr>
                <w:sz w:val="20"/>
              </w:rPr>
              <w:t>LaForme</w:t>
            </w:r>
            <w:proofErr w:type="spellEnd"/>
            <w:r w:rsidRPr="00003B04">
              <w:rPr>
                <w:sz w:val="20"/>
              </w:rPr>
              <w:t xml:space="preserve"> and </w:t>
            </w:r>
            <w:proofErr w:type="spellStart"/>
            <w:r w:rsidRPr="00003B04">
              <w:rPr>
                <w:sz w:val="20"/>
              </w:rPr>
              <w:t>Huscroft</w:t>
            </w:r>
            <w:proofErr w:type="spellEnd"/>
            <w:r w:rsidRPr="00003B04">
              <w:rPr>
                <w:sz w:val="20"/>
              </w:rPr>
              <w:t xml:space="preserve"> JJ.A.)</w:t>
            </w:r>
          </w:p>
          <w:p w:rsidR="00EE4290" w:rsidRPr="00003B04" w:rsidRDefault="00EE4290" w:rsidP="00EE4290">
            <w:pPr>
              <w:jc w:val="both"/>
              <w:rPr>
                <w:sz w:val="20"/>
              </w:rPr>
            </w:pPr>
          </w:p>
        </w:tc>
        <w:tc>
          <w:tcPr>
            <w:tcW w:w="243" w:type="pct"/>
          </w:tcPr>
          <w:p w:rsidR="00EE4290" w:rsidRPr="00003B04" w:rsidRDefault="00EE4290" w:rsidP="00EE4290">
            <w:pPr>
              <w:jc w:val="both"/>
              <w:rPr>
                <w:sz w:val="20"/>
              </w:rPr>
            </w:pPr>
          </w:p>
        </w:tc>
        <w:tc>
          <w:tcPr>
            <w:tcW w:w="2330" w:type="pct"/>
          </w:tcPr>
          <w:p w:rsidR="00EE4290" w:rsidRPr="00003B04" w:rsidRDefault="00EE4290" w:rsidP="00EE4290">
            <w:pPr>
              <w:jc w:val="both"/>
              <w:rPr>
                <w:sz w:val="20"/>
              </w:rPr>
            </w:pPr>
            <w:r w:rsidRPr="00003B04">
              <w:rPr>
                <w:sz w:val="20"/>
              </w:rPr>
              <w:t>Applicants’ appeal dismissed</w:t>
            </w:r>
          </w:p>
          <w:p w:rsidR="00EE4290" w:rsidRPr="00003B04" w:rsidRDefault="00EE4290" w:rsidP="00EE4290">
            <w:pPr>
              <w:jc w:val="both"/>
              <w:rPr>
                <w:sz w:val="20"/>
              </w:rPr>
            </w:pPr>
          </w:p>
        </w:tc>
      </w:tr>
      <w:tr w:rsidR="00EE4290" w:rsidRPr="00003B04" w:rsidTr="00EE4290">
        <w:tc>
          <w:tcPr>
            <w:tcW w:w="2427" w:type="pct"/>
            <w:gridSpan w:val="2"/>
          </w:tcPr>
          <w:p w:rsidR="00EE4290" w:rsidRPr="00003B04" w:rsidRDefault="00EE4290" w:rsidP="00EE4290">
            <w:pPr>
              <w:jc w:val="both"/>
              <w:rPr>
                <w:sz w:val="20"/>
              </w:rPr>
            </w:pPr>
            <w:r w:rsidRPr="00003B04">
              <w:rPr>
                <w:sz w:val="20"/>
              </w:rPr>
              <w:t>September 1, 2016</w:t>
            </w:r>
          </w:p>
          <w:p w:rsidR="00EE4290" w:rsidRPr="00003B04" w:rsidRDefault="00EE4290" w:rsidP="00EE4290">
            <w:pPr>
              <w:jc w:val="both"/>
              <w:rPr>
                <w:sz w:val="20"/>
              </w:rPr>
            </w:pPr>
            <w:r w:rsidRPr="00003B04">
              <w:rPr>
                <w:sz w:val="20"/>
              </w:rPr>
              <w:t>Supreme Court of Canada</w:t>
            </w:r>
          </w:p>
        </w:tc>
        <w:tc>
          <w:tcPr>
            <w:tcW w:w="243" w:type="pct"/>
          </w:tcPr>
          <w:p w:rsidR="00EE4290" w:rsidRPr="00003B04" w:rsidRDefault="00EE4290" w:rsidP="00EE4290">
            <w:pPr>
              <w:jc w:val="both"/>
              <w:rPr>
                <w:sz w:val="20"/>
              </w:rPr>
            </w:pPr>
          </w:p>
        </w:tc>
        <w:tc>
          <w:tcPr>
            <w:tcW w:w="2330" w:type="pct"/>
          </w:tcPr>
          <w:p w:rsidR="00EE4290" w:rsidRPr="00003B04" w:rsidRDefault="00EE4290" w:rsidP="00EE4290">
            <w:pPr>
              <w:jc w:val="both"/>
              <w:rPr>
                <w:sz w:val="20"/>
              </w:rPr>
            </w:pPr>
            <w:r w:rsidRPr="00003B04">
              <w:rPr>
                <w:sz w:val="20"/>
              </w:rPr>
              <w:t>Application for leave to appeal filed</w:t>
            </w:r>
          </w:p>
          <w:p w:rsidR="00EE4290" w:rsidRPr="00003B04" w:rsidRDefault="00EE4290" w:rsidP="00EE4290">
            <w:pPr>
              <w:jc w:val="both"/>
              <w:rPr>
                <w:sz w:val="20"/>
              </w:rPr>
            </w:pPr>
          </w:p>
        </w:tc>
      </w:tr>
    </w:tbl>
    <w:p w:rsidR="00EE4290" w:rsidRPr="00003B04" w:rsidRDefault="00604445" w:rsidP="00EE4290">
      <w:pPr>
        <w:jc w:val="both"/>
        <w:rPr>
          <w:sz w:val="20"/>
        </w:rPr>
      </w:pPr>
      <w:r>
        <w:rPr>
          <w:sz w:val="20"/>
          <w:szCs w:val="20"/>
        </w:rPr>
        <w:pict>
          <v:rect id="_x0000_i1065" style="width:2in;height:1pt" o:hrpct="0" o:hralign="center" o:hrstd="t" o:hrnoshade="t" o:hr="t" fillcolor="black [3213]" stroked="f"/>
        </w:pict>
      </w:r>
    </w:p>
    <w:p w:rsidR="00EE4290" w:rsidRPr="00003B04" w:rsidRDefault="00EE4290" w:rsidP="00EE429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E4290" w:rsidRPr="00003B04" w:rsidTr="00EE4290">
        <w:tc>
          <w:tcPr>
            <w:tcW w:w="543" w:type="pct"/>
          </w:tcPr>
          <w:p w:rsidR="00EE4290" w:rsidRPr="00003B04" w:rsidRDefault="00EE4290" w:rsidP="00EE4290">
            <w:pPr>
              <w:jc w:val="both"/>
              <w:rPr>
                <w:sz w:val="20"/>
                <w:lang w:val="fr-CA"/>
              </w:rPr>
            </w:pPr>
            <w:r w:rsidRPr="00003B04">
              <w:rPr>
                <w:rStyle w:val="SCCFileNumberChar"/>
                <w:sz w:val="20"/>
                <w:szCs w:val="20"/>
                <w:lang w:val="fr-CA"/>
              </w:rPr>
              <w:t>37171</w:t>
            </w:r>
          </w:p>
        </w:tc>
        <w:tc>
          <w:tcPr>
            <w:tcW w:w="4457" w:type="pct"/>
            <w:gridSpan w:val="3"/>
          </w:tcPr>
          <w:p w:rsidR="00EE4290" w:rsidRPr="00003B04" w:rsidRDefault="00EE4290" w:rsidP="00EE4290">
            <w:pPr>
              <w:pStyle w:val="SCCLsocParty"/>
              <w:jc w:val="both"/>
              <w:rPr>
                <w:b/>
                <w:sz w:val="20"/>
                <w:szCs w:val="20"/>
              </w:rPr>
            </w:pPr>
            <w:r w:rsidRPr="00003B04">
              <w:rPr>
                <w:b/>
                <w:sz w:val="20"/>
                <w:szCs w:val="20"/>
              </w:rPr>
              <w:t xml:space="preserve">Juan Luis Bosch </w:t>
            </w:r>
            <w:proofErr w:type="spellStart"/>
            <w:r w:rsidRPr="00003B04">
              <w:rPr>
                <w:b/>
                <w:sz w:val="20"/>
                <w:szCs w:val="20"/>
              </w:rPr>
              <w:t>Gutiérrez</w:t>
            </w:r>
            <w:proofErr w:type="spellEnd"/>
            <w:r w:rsidRPr="00003B04">
              <w:rPr>
                <w:b/>
                <w:sz w:val="20"/>
                <w:szCs w:val="20"/>
              </w:rPr>
              <w:t xml:space="preserve">, Dionisio </w:t>
            </w:r>
            <w:proofErr w:type="spellStart"/>
            <w:r w:rsidRPr="00003B04">
              <w:rPr>
                <w:b/>
                <w:sz w:val="20"/>
                <w:szCs w:val="20"/>
              </w:rPr>
              <w:t>Gutiérrez</w:t>
            </w:r>
            <w:proofErr w:type="spellEnd"/>
            <w:r w:rsidRPr="00003B04">
              <w:rPr>
                <w:b/>
                <w:sz w:val="20"/>
                <w:szCs w:val="20"/>
              </w:rPr>
              <w:t xml:space="preserve"> </w:t>
            </w:r>
            <w:proofErr w:type="spellStart"/>
            <w:r w:rsidRPr="00003B04">
              <w:rPr>
                <w:b/>
                <w:sz w:val="20"/>
                <w:szCs w:val="20"/>
              </w:rPr>
              <w:t>Mayorga</w:t>
            </w:r>
            <w:proofErr w:type="spellEnd"/>
            <w:r w:rsidRPr="00003B04">
              <w:rPr>
                <w:b/>
                <w:sz w:val="20"/>
                <w:szCs w:val="20"/>
              </w:rPr>
              <w:t xml:space="preserve">, Juan Jose </w:t>
            </w:r>
            <w:proofErr w:type="spellStart"/>
            <w:r w:rsidRPr="00003B04">
              <w:rPr>
                <w:b/>
                <w:sz w:val="20"/>
                <w:szCs w:val="20"/>
              </w:rPr>
              <w:t>Gutiérrez</w:t>
            </w:r>
            <w:proofErr w:type="spellEnd"/>
            <w:r w:rsidRPr="00003B04">
              <w:rPr>
                <w:b/>
                <w:sz w:val="20"/>
                <w:szCs w:val="20"/>
              </w:rPr>
              <w:t xml:space="preserve"> </w:t>
            </w:r>
            <w:proofErr w:type="spellStart"/>
            <w:r w:rsidRPr="00003B04">
              <w:rPr>
                <w:b/>
                <w:sz w:val="20"/>
                <w:szCs w:val="20"/>
              </w:rPr>
              <w:t>Mayorga</w:t>
            </w:r>
            <w:proofErr w:type="spellEnd"/>
            <w:r w:rsidRPr="00003B04">
              <w:rPr>
                <w:b/>
                <w:sz w:val="20"/>
                <w:szCs w:val="20"/>
              </w:rPr>
              <w:t xml:space="preserve">, Felipe Antonio Bosch </w:t>
            </w:r>
            <w:proofErr w:type="spellStart"/>
            <w:r w:rsidRPr="00003B04">
              <w:rPr>
                <w:b/>
                <w:sz w:val="20"/>
                <w:szCs w:val="20"/>
              </w:rPr>
              <w:t>Gutiérrez</w:t>
            </w:r>
            <w:proofErr w:type="spellEnd"/>
            <w:r w:rsidRPr="00003B04">
              <w:rPr>
                <w:b/>
                <w:sz w:val="20"/>
                <w:szCs w:val="20"/>
              </w:rPr>
              <w:t xml:space="preserve">, Isabel </w:t>
            </w:r>
            <w:proofErr w:type="spellStart"/>
            <w:r w:rsidRPr="00003B04">
              <w:rPr>
                <w:b/>
                <w:sz w:val="20"/>
                <w:szCs w:val="20"/>
              </w:rPr>
              <w:t>Gutiérrez</w:t>
            </w:r>
            <w:proofErr w:type="spellEnd"/>
            <w:r w:rsidRPr="00003B04">
              <w:rPr>
                <w:b/>
                <w:sz w:val="20"/>
                <w:szCs w:val="20"/>
              </w:rPr>
              <w:t xml:space="preserve"> De Bosch, La </w:t>
            </w:r>
            <w:proofErr w:type="spellStart"/>
            <w:r w:rsidRPr="00003B04">
              <w:rPr>
                <w:b/>
                <w:sz w:val="20"/>
                <w:szCs w:val="20"/>
              </w:rPr>
              <w:t>Braña</w:t>
            </w:r>
            <w:proofErr w:type="spellEnd"/>
            <w:r w:rsidRPr="00003B04">
              <w:rPr>
                <w:b/>
                <w:sz w:val="20"/>
                <w:szCs w:val="20"/>
              </w:rPr>
              <w:t>, S.A., Multi-</w:t>
            </w:r>
            <w:proofErr w:type="spellStart"/>
            <w:r w:rsidRPr="00003B04">
              <w:rPr>
                <w:b/>
                <w:sz w:val="20"/>
                <w:szCs w:val="20"/>
              </w:rPr>
              <w:t>Inversiones</w:t>
            </w:r>
            <w:proofErr w:type="spellEnd"/>
            <w:r w:rsidRPr="00003B04">
              <w:rPr>
                <w:b/>
                <w:sz w:val="20"/>
                <w:szCs w:val="20"/>
              </w:rPr>
              <w:t xml:space="preserve">, S.A., </w:t>
            </w:r>
            <w:proofErr w:type="spellStart"/>
            <w:r w:rsidRPr="00003B04">
              <w:rPr>
                <w:b/>
                <w:sz w:val="20"/>
                <w:szCs w:val="20"/>
              </w:rPr>
              <w:t>Villamorey</w:t>
            </w:r>
            <w:proofErr w:type="spellEnd"/>
            <w:r w:rsidRPr="00003B04">
              <w:rPr>
                <w:b/>
                <w:sz w:val="20"/>
                <w:szCs w:val="20"/>
              </w:rPr>
              <w:t xml:space="preserve">, S.A. et </w:t>
            </w:r>
            <w:proofErr w:type="spellStart"/>
            <w:r w:rsidRPr="00003B04">
              <w:rPr>
                <w:b/>
                <w:sz w:val="20"/>
                <w:szCs w:val="20"/>
              </w:rPr>
              <w:t>Avicola</w:t>
            </w:r>
            <w:proofErr w:type="spellEnd"/>
            <w:r w:rsidRPr="00003B04">
              <w:rPr>
                <w:b/>
                <w:sz w:val="20"/>
                <w:szCs w:val="20"/>
              </w:rPr>
              <w:t xml:space="preserve"> </w:t>
            </w:r>
            <w:proofErr w:type="spellStart"/>
            <w:r w:rsidRPr="00003B04">
              <w:rPr>
                <w:b/>
                <w:sz w:val="20"/>
                <w:szCs w:val="20"/>
              </w:rPr>
              <w:t>Villalobos</w:t>
            </w:r>
            <w:proofErr w:type="spellEnd"/>
            <w:r w:rsidRPr="00003B04">
              <w:rPr>
                <w:b/>
                <w:sz w:val="20"/>
                <w:szCs w:val="20"/>
              </w:rPr>
              <w:t xml:space="preserve"> S.A. c. </w:t>
            </w:r>
            <w:proofErr w:type="spellStart"/>
            <w:r w:rsidRPr="00003B04">
              <w:rPr>
                <w:b/>
                <w:sz w:val="20"/>
                <w:szCs w:val="20"/>
              </w:rPr>
              <w:t>Xela</w:t>
            </w:r>
            <w:proofErr w:type="spellEnd"/>
            <w:r w:rsidRPr="00003B04">
              <w:rPr>
                <w:b/>
                <w:sz w:val="20"/>
                <w:szCs w:val="20"/>
              </w:rPr>
              <w:t xml:space="preserve"> </w:t>
            </w:r>
            <w:proofErr w:type="spellStart"/>
            <w:r w:rsidRPr="00003B04">
              <w:rPr>
                <w:b/>
                <w:sz w:val="20"/>
                <w:szCs w:val="20"/>
              </w:rPr>
              <w:t>Enterprises</w:t>
            </w:r>
            <w:proofErr w:type="spellEnd"/>
            <w:r w:rsidRPr="00003B04">
              <w:rPr>
                <w:b/>
                <w:sz w:val="20"/>
                <w:szCs w:val="20"/>
              </w:rPr>
              <w:t xml:space="preserve"> Ltd., </w:t>
            </w:r>
            <w:proofErr w:type="spellStart"/>
            <w:r w:rsidRPr="00003B04">
              <w:rPr>
                <w:b/>
                <w:sz w:val="20"/>
                <w:szCs w:val="20"/>
              </w:rPr>
              <w:t>Gabinvest</w:t>
            </w:r>
            <w:proofErr w:type="spellEnd"/>
            <w:r w:rsidRPr="00003B04">
              <w:rPr>
                <w:b/>
                <w:sz w:val="20"/>
                <w:szCs w:val="20"/>
              </w:rPr>
              <w:t xml:space="preserve"> S.A., Lisa S.A., Juan Arturo </w:t>
            </w:r>
            <w:proofErr w:type="spellStart"/>
            <w:r w:rsidRPr="00003B04">
              <w:rPr>
                <w:b/>
                <w:sz w:val="20"/>
                <w:szCs w:val="20"/>
              </w:rPr>
              <w:t>Gutiérrez</w:t>
            </w:r>
            <w:proofErr w:type="spellEnd"/>
            <w:r w:rsidRPr="00003B04">
              <w:rPr>
                <w:b/>
                <w:sz w:val="20"/>
                <w:szCs w:val="20"/>
              </w:rPr>
              <w:t xml:space="preserve">, Juan Guillermo </w:t>
            </w:r>
            <w:proofErr w:type="spellStart"/>
            <w:r w:rsidRPr="00003B04">
              <w:rPr>
                <w:b/>
                <w:sz w:val="20"/>
                <w:szCs w:val="20"/>
              </w:rPr>
              <w:t>Gutiérrez</w:t>
            </w:r>
            <w:proofErr w:type="spellEnd"/>
            <w:r w:rsidRPr="00003B04">
              <w:rPr>
                <w:b/>
                <w:sz w:val="20"/>
                <w:szCs w:val="20"/>
              </w:rPr>
              <w:t xml:space="preserve"> et 696096 Alberta Ltd.</w:t>
            </w:r>
          </w:p>
          <w:p w:rsidR="00EE4290" w:rsidRPr="00003B04" w:rsidRDefault="00EE4290" w:rsidP="00EE4290">
            <w:pPr>
              <w:jc w:val="both"/>
              <w:rPr>
                <w:sz w:val="20"/>
                <w:lang w:val="fr-CA"/>
              </w:rPr>
            </w:pPr>
            <w:r w:rsidRPr="00003B04">
              <w:rPr>
                <w:sz w:val="20"/>
                <w:lang w:val="fr-CA"/>
              </w:rPr>
              <w:t>(Ont.) (Civile) (Sur autorisation)</w:t>
            </w:r>
          </w:p>
        </w:tc>
      </w:tr>
      <w:tr w:rsidR="00D310D9" w:rsidRPr="00C3697D" w:rsidTr="00EE4290">
        <w:tc>
          <w:tcPr>
            <w:tcW w:w="543" w:type="pct"/>
          </w:tcPr>
          <w:p w:rsidR="00D310D9" w:rsidRPr="00003B04" w:rsidRDefault="00D310D9" w:rsidP="00EE4290">
            <w:pPr>
              <w:jc w:val="both"/>
              <w:rPr>
                <w:rStyle w:val="SCCFileNumberChar"/>
                <w:sz w:val="20"/>
                <w:szCs w:val="20"/>
                <w:lang w:val="fr-CA"/>
              </w:rPr>
            </w:pPr>
            <w:r w:rsidRPr="00003B04">
              <w:rPr>
                <w:rStyle w:val="SCCFileNumberChar"/>
                <w:sz w:val="20"/>
                <w:szCs w:val="20"/>
                <w:lang w:val="fr-CA"/>
              </w:rPr>
              <w:t>Coram :</w:t>
            </w:r>
          </w:p>
        </w:tc>
        <w:tc>
          <w:tcPr>
            <w:tcW w:w="4457" w:type="pct"/>
            <w:gridSpan w:val="3"/>
          </w:tcPr>
          <w:p w:rsidR="00D310D9" w:rsidRPr="00003B04" w:rsidRDefault="000E7F29" w:rsidP="00EE4290">
            <w:pPr>
              <w:pStyle w:val="SCCLsocParty"/>
              <w:jc w:val="both"/>
              <w:rPr>
                <w:sz w:val="20"/>
                <w:szCs w:val="20"/>
                <w:lang w:val="fr-FR"/>
              </w:rPr>
            </w:pPr>
            <w:r w:rsidRPr="00003B04">
              <w:rPr>
                <w:sz w:val="20"/>
                <w:szCs w:val="20"/>
                <w:lang w:val="fr-FR"/>
              </w:rPr>
              <w:t xml:space="preserve">La juge en chef </w:t>
            </w:r>
            <w:proofErr w:type="spellStart"/>
            <w:r w:rsidRPr="00003B04">
              <w:rPr>
                <w:sz w:val="20"/>
                <w:szCs w:val="20"/>
                <w:lang w:val="fr-FR"/>
              </w:rPr>
              <w:t>McLachlin</w:t>
            </w:r>
            <w:proofErr w:type="spellEnd"/>
            <w:r w:rsidRPr="00003B04">
              <w:rPr>
                <w:sz w:val="20"/>
                <w:szCs w:val="20"/>
                <w:lang w:val="fr-FR"/>
              </w:rPr>
              <w:t xml:space="preserve"> et les juges Abella, </w:t>
            </w:r>
            <w:proofErr w:type="spellStart"/>
            <w:r w:rsidRPr="00003B04">
              <w:rPr>
                <w:sz w:val="20"/>
                <w:szCs w:val="20"/>
                <w:lang w:val="fr-FR"/>
              </w:rPr>
              <w:t>Moldaver</w:t>
            </w:r>
            <w:proofErr w:type="spellEnd"/>
            <w:r w:rsidRPr="00003B04">
              <w:rPr>
                <w:sz w:val="20"/>
                <w:szCs w:val="20"/>
                <w:lang w:val="fr-FR"/>
              </w:rPr>
              <w:t xml:space="preserve">, </w:t>
            </w:r>
            <w:proofErr w:type="spellStart"/>
            <w:r w:rsidRPr="00003B04">
              <w:rPr>
                <w:sz w:val="20"/>
                <w:szCs w:val="20"/>
                <w:lang w:val="fr-FR"/>
              </w:rPr>
              <w:t>Karakatsanis</w:t>
            </w:r>
            <w:proofErr w:type="spellEnd"/>
            <w:r w:rsidRPr="00003B04">
              <w:rPr>
                <w:sz w:val="20"/>
                <w:szCs w:val="20"/>
                <w:lang w:val="fr-FR"/>
              </w:rPr>
              <w:t>, Wagner, Gascon, Côté, Brown et Rowe</w:t>
            </w:r>
          </w:p>
          <w:p w:rsidR="000E7F29" w:rsidRPr="00003B04" w:rsidRDefault="000E7F29" w:rsidP="000E7F29">
            <w:pPr>
              <w:rPr>
                <w:lang w:val="fr-FR"/>
              </w:rPr>
            </w:pPr>
          </w:p>
        </w:tc>
      </w:tr>
      <w:tr w:rsidR="00D310D9" w:rsidRPr="00C3697D" w:rsidTr="00D310D9">
        <w:tc>
          <w:tcPr>
            <w:tcW w:w="5000" w:type="pct"/>
            <w:gridSpan w:val="4"/>
          </w:tcPr>
          <w:p w:rsidR="00D310D9" w:rsidRPr="00003B04" w:rsidRDefault="000E7F29" w:rsidP="00EE4290">
            <w:pPr>
              <w:pStyle w:val="SCCLsocParty"/>
              <w:jc w:val="both"/>
              <w:rPr>
                <w:sz w:val="20"/>
                <w:szCs w:val="20"/>
              </w:rPr>
            </w:pPr>
            <w:r w:rsidRPr="00003B04">
              <w:rPr>
                <w:sz w:val="20"/>
                <w:szCs w:val="20"/>
              </w:rPr>
              <w:t xml:space="preserve">La demande d’autorisation d’appel de l’arrêt de la </w:t>
            </w:r>
            <w:r w:rsidRPr="00003B04">
              <w:rPr>
                <w:sz w:val="20"/>
                <w:szCs w:val="20"/>
                <w:lang w:val="fr-FR"/>
              </w:rPr>
              <w:t>Cour d’appel de l’Ontario</w:t>
            </w:r>
            <w:r w:rsidRPr="00003B04">
              <w:rPr>
                <w:sz w:val="20"/>
                <w:szCs w:val="20"/>
              </w:rPr>
              <w:t xml:space="preserve">, numéro </w:t>
            </w:r>
            <w:r w:rsidRPr="00003B04">
              <w:rPr>
                <w:sz w:val="20"/>
                <w:szCs w:val="20"/>
                <w:lang w:val="fr-FR"/>
              </w:rPr>
              <w:t>C60470, 2016 ONCA 437</w:t>
            </w:r>
            <w:r w:rsidRPr="00003B04">
              <w:rPr>
                <w:sz w:val="20"/>
                <w:szCs w:val="20"/>
              </w:rPr>
              <w:t xml:space="preserve">, daté du </w:t>
            </w:r>
            <w:r w:rsidRPr="00003B04">
              <w:rPr>
                <w:sz w:val="20"/>
                <w:szCs w:val="20"/>
                <w:lang w:val="fr-FR"/>
              </w:rPr>
              <w:t>3 juin 2016</w:t>
            </w:r>
            <w:r w:rsidRPr="00003B04">
              <w:rPr>
                <w:sz w:val="20"/>
                <w:szCs w:val="20"/>
              </w:rPr>
              <w:t>, est rejetée avec dépens en faveur des intimés à l’exception de 696096 Alberta Ltd.</w:t>
            </w:r>
          </w:p>
          <w:p w:rsidR="000E7F29" w:rsidRPr="00003B04" w:rsidRDefault="000E7F29" w:rsidP="000E7F29">
            <w:pPr>
              <w:rPr>
                <w:lang w:val="fr-CA"/>
              </w:rPr>
            </w:pPr>
          </w:p>
        </w:tc>
      </w:tr>
      <w:tr w:rsidR="00EE4290" w:rsidRPr="00C3697D" w:rsidTr="00EE4290">
        <w:tc>
          <w:tcPr>
            <w:tcW w:w="5000" w:type="pct"/>
            <w:gridSpan w:val="4"/>
          </w:tcPr>
          <w:p w:rsidR="00EE4290" w:rsidRPr="00003B04" w:rsidRDefault="00EE4290" w:rsidP="00EE4290">
            <w:pPr>
              <w:jc w:val="both"/>
              <w:rPr>
                <w:sz w:val="20"/>
                <w:lang w:val="fr-CA"/>
              </w:rPr>
            </w:pPr>
            <w:r w:rsidRPr="00003B04">
              <w:rPr>
                <w:sz w:val="20"/>
                <w:lang w:val="fr-CA"/>
              </w:rPr>
              <w:t xml:space="preserve">Procédure civile – Signification – Signification </w:t>
            </w:r>
            <w:r w:rsidRPr="00003B04">
              <w:rPr>
                <w:i/>
                <w:sz w:val="20"/>
                <w:lang w:val="fr-CA"/>
              </w:rPr>
              <w:t xml:space="preserve">ex </w:t>
            </w:r>
            <w:proofErr w:type="spellStart"/>
            <w:r w:rsidRPr="00003B04">
              <w:rPr>
                <w:i/>
                <w:sz w:val="20"/>
                <w:lang w:val="fr-CA"/>
              </w:rPr>
              <w:t>juris</w:t>
            </w:r>
            <w:proofErr w:type="spellEnd"/>
            <w:r w:rsidRPr="00003B04">
              <w:rPr>
                <w:i/>
                <w:sz w:val="20"/>
                <w:lang w:val="fr-CA"/>
              </w:rPr>
              <w:t xml:space="preserve"> –</w:t>
            </w:r>
            <w:r w:rsidRPr="00003B04">
              <w:rPr>
                <w:sz w:val="20"/>
                <w:lang w:val="fr-CA"/>
              </w:rPr>
              <w:t xml:space="preserve"> Droit international privé – Droit applicable – Les intimés sollicitent un jugement déclarant que la signification de leur déclaration aux demandeurs au Guatemala a été dûment faite en application des </w:t>
            </w:r>
            <w:r w:rsidRPr="00003B04">
              <w:rPr>
                <w:i/>
                <w:sz w:val="20"/>
                <w:lang w:val="fr-CA"/>
              </w:rPr>
              <w:t>Règles de procédure civile</w:t>
            </w:r>
            <w:r w:rsidRPr="00003B04">
              <w:rPr>
                <w:sz w:val="20"/>
                <w:lang w:val="fr-CA"/>
              </w:rPr>
              <w:t>,</w:t>
            </w:r>
            <w:r w:rsidRPr="00003B04">
              <w:rPr>
                <w:i/>
                <w:sz w:val="20"/>
                <w:lang w:val="fr-CA"/>
              </w:rPr>
              <w:t xml:space="preserve"> </w:t>
            </w:r>
            <w:r w:rsidRPr="00003B04">
              <w:rPr>
                <w:sz w:val="20"/>
                <w:lang w:val="fr-CA"/>
              </w:rPr>
              <w:t xml:space="preserve">R.R.O. 1990, </w:t>
            </w:r>
            <w:proofErr w:type="spellStart"/>
            <w:r w:rsidRPr="00003B04">
              <w:rPr>
                <w:sz w:val="20"/>
                <w:lang w:val="fr-CA"/>
              </w:rPr>
              <w:t>règl</w:t>
            </w:r>
            <w:proofErr w:type="spellEnd"/>
            <w:r w:rsidRPr="00003B04">
              <w:rPr>
                <w:sz w:val="20"/>
                <w:lang w:val="fr-CA"/>
              </w:rPr>
              <w:t>. 194</w:t>
            </w:r>
            <w:r w:rsidRPr="00003B04">
              <w:rPr>
                <w:i/>
                <w:sz w:val="20"/>
                <w:lang w:val="fr-CA"/>
              </w:rPr>
              <w:t xml:space="preserve"> </w:t>
            </w:r>
            <w:r w:rsidRPr="00003B04">
              <w:rPr>
                <w:sz w:val="20"/>
                <w:lang w:val="fr-CA"/>
              </w:rPr>
              <w:t xml:space="preserve">– Le paragraphe 17.05(2) doit-il être appliqué conformément au droit international, au respect de la souveraineté des États étrangers et aux principes de la courtoisie? – Lorsqu’un règlement donne aux plaideurs le choix de faire la signification </w:t>
            </w:r>
            <w:r w:rsidRPr="00003B04">
              <w:rPr>
                <w:i/>
                <w:sz w:val="20"/>
                <w:lang w:val="fr-CA"/>
              </w:rPr>
              <w:t xml:space="preserve">ex </w:t>
            </w:r>
            <w:proofErr w:type="spellStart"/>
            <w:r w:rsidRPr="00003B04">
              <w:rPr>
                <w:i/>
                <w:sz w:val="20"/>
                <w:lang w:val="fr-CA"/>
              </w:rPr>
              <w:t>juris</w:t>
            </w:r>
            <w:proofErr w:type="spellEnd"/>
            <w:r w:rsidRPr="00003B04">
              <w:rPr>
                <w:sz w:val="20"/>
                <w:lang w:val="fr-CA"/>
              </w:rPr>
              <w:t xml:space="preserve"> de deux façons, le plaideur peut-il </w:t>
            </w:r>
            <w:r w:rsidRPr="00003B04">
              <w:rPr>
                <w:sz w:val="20"/>
                <w:lang w:val="fr-CA"/>
              </w:rPr>
              <w:lastRenderedPageBreak/>
              <w:t xml:space="preserve">choisir un mode qui est invalide, illégal ou inconstitutionnel dans l’État étranger? – Lorsqu’une loi confère aux tribunaux la possibilité d’exercer leur pouvoir discrétionnaire d’une manière qui entrerait en conflit avec le droit international, convient-il de donner une interprétation atténuée à ce pouvoir discrétionnaire pour le rendre conforme au droit international? </w:t>
            </w:r>
          </w:p>
          <w:p w:rsidR="00EE4290" w:rsidRPr="00003B04" w:rsidRDefault="00EE4290" w:rsidP="00EE4290">
            <w:pPr>
              <w:jc w:val="both"/>
              <w:rPr>
                <w:sz w:val="20"/>
                <w:lang w:val="fr-CA"/>
              </w:rPr>
            </w:pPr>
          </w:p>
        </w:tc>
      </w:tr>
      <w:tr w:rsidR="00EE4290" w:rsidRPr="00C3697D" w:rsidTr="00EE4290">
        <w:tc>
          <w:tcPr>
            <w:tcW w:w="5000" w:type="pct"/>
            <w:gridSpan w:val="4"/>
          </w:tcPr>
          <w:p w:rsidR="00EE4290" w:rsidRPr="00003B04" w:rsidRDefault="00EE4290" w:rsidP="00EE4290">
            <w:pPr>
              <w:jc w:val="both"/>
              <w:rPr>
                <w:sz w:val="20"/>
                <w:lang w:val="fr-CA"/>
              </w:rPr>
            </w:pPr>
            <w:r w:rsidRPr="00003B04">
              <w:rPr>
                <w:sz w:val="20"/>
                <w:lang w:val="fr-CA"/>
              </w:rPr>
              <w:lastRenderedPageBreak/>
              <w:t>Les intimés sont des personnes physiques qui résident au Canada, des personnes morales qui font affaire au Canada et deux sociétés panaméennes. Ils sollicitent des dommages-intérêts de 400 millions de dollars de la part des demandeurs, des personnes physiques qui résident au Guatemala ou des personnes morales qui font affaire au Guatemala. L’action ontarienne a été introduite par voie de nouvelle déclaration modifiée délivrée en février 2013. Les intimés ont tenté de signifier ce document à plusieurs occasions et de plusieurs façons différentes. Ils en ont transmis un exemplaire par courriel aux avocats canadiens des demandeurs et ils en ont envoyé un exemplaire par messagerie aux avocats américains des demandeurs. Ils ont également tenté de faire signifier le document aux demandeurs à leurs résidences et entreprises au Guatemala. Les intimés ont présenté une motion en vue d’obtenir un jugement déclarant valable la signification qui avait été faite aux demandeurs conformément aux règles 17.02 et 17.05, validant la signification en application de la règle 16.08 ou ordonnant la signification indirecte en application de la règle 16.04.</w:t>
            </w:r>
          </w:p>
        </w:tc>
      </w:tr>
      <w:tr w:rsidR="00EE4290" w:rsidRPr="00C3697D" w:rsidTr="00EE4290">
        <w:tc>
          <w:tcPr>
            <w:tcW w:w="5000" w:type="pct"/>
            <w:gridSpan w:val="4"/>
          </w:tcPr>
          <w:p w:rsidR="00EE4290" w:rsidRPr="00003B04" w:rsidRDefault="00EE4290" w:rsidP="00EE4290">
            <w:pPr>
              <w:jc w:val="both"/>
              <w:rPr>
                <w:sz w:val="20"/>
                <w:lang w:val="fr-CA"/>
              </w:rPr>
            </w:pPr>
          </w:p>
        </w:tc>
      </w:tr>
      <w:tr w:rsidR="00EE4290" w:rsidRPr="00C3697D" w:rsidTr="00EE4290">
        <w:tc>
          <w:tcPr>
            <w:tcW w:w="2427" w:type="pct"/>
            <w:gridSpan w:val="2"/>
          </w:tcPr>
          <w:p w:rsidR="00EE4290" w:rsidRPr="00003B04" w:rsidRDefault="00EE4290" w:rsidP="00EE4290">
            <w:pPr>
              <w:jc w:val="both"/>
              <w:rPr>
                <w:sz w:val="20"/>
                <w:lang w:val="fr-CA"/>
              </w:rPr>
            </w:pPr>
            <w:r w:rsidRPr="00003B04">
              <w:rPr>
                <w:sz w:val="20"/>
                <w:lang w:val="fr-CA"/>
              </w:rPr>
              <w:t>20 janvier 2014</w:t>
            </w:r>
          </w:p>
          <w:p w:rsidR="00EE4290" w:rsidRPr="00003B04" w:rsidRDefault="00EE4290" w:rsidP="00EE4290">
            <w:pPr>
              <w:jc w:val="both"/>
              <w:rPr>
                <w:sz w:val="20"/>
                <w:lang w:val="fr-CA"/>
              </w:rPr>
            </w:pPr>
            <w:r w:rsidRPr="00003B04">
              <w:rPr>
                <w:sz w:val="20"/>
                <w:lang w:val="fr-CA"/>
              </w:rPr>
              <w:t>Cour supérieure de justice de l’Ontario</w:t>
            </w:r>
          </w:p>
          <w:p w:rsidR="00EE4290" w:rsidRPr="00003B04" w:rsidRDefault="00EE4290" w:rsidP="00EE4290">
            <w:pPr>
              <w:jc w:val="both"/>
              <w:rPr>
                <w:sz w:val="20"/>
                <w:lang w:val="fr-CA"/>
              </w:rPr>
            </w:pPr>
            <w:r w:rsidRPr="00003B04">
              <w:rPr>
                <w:sz w:val="20"/>
                <w:lang w:val="fr-CA"/>
              </w:rPr>
              <w:t xml:space="preserve">(Juge </w:t>
            </w:r>
            <w:proofErr w:type="spellStart"/>
            <w:r w:rsidRPr="00003B04">
              <w:rPr>
                <w:sz w:val="20"/>
                <w:lang w:val="fr-CA"/>
              </w:rPr>
              <w:t>Thorburn</w:t>
            </w:r>
            <w:proofErr w:type="spellEnd"/>
            <w:r w:rsidRPr="00003B04">
              <w:rPr>
                <w:sz w:val="20"/>
                <w:lang w:val="fr-CA"/>
              </w:rPr>
              <w:t>)</w:t>
            </w:r>
          </w:p>
          <w:p w:rsidR="00EE4290" w:rsidRPr="00003B04" w:rsidRDefault="00604445" w:rsidP="00EE4290">
            <w:pPr>
              <w:jc w:val="both"/>
              <w:rPr>
                <w:sz w:val="20"/>
                <w:lang w:val="fr-CA"/>
              </w:rPr>
            </w:pPr>
            <w:hyperlink r:id="rId61" w:history="1">
              <w:r w:rsidR="00EE4290" w:rsidRPr="00003B04">
                <w:rPr>
                  <w:rStyle w:val="Hyperlink"/>
                  <w:sz w:val="20"/>
                  <w:lang w:val="fr-CA"/>
                </w:rPr>
                <w:t>2014 ONSC 352</w:t>
              </w:r>
            </w:hyperlink>
          </w:p>
          <w:p w:rsidR="00EE4290" w:rsidRPr="00003B04" w:rsidRDefault="00EE4290" w:rsidP="00EE4290">
            <w:pPr>
              <w:jc w:val="both"/>
              <w:rPr>
                <w:sz w:val="20"/>
                <w:lang w:val="fr-CA"/>
              </w:rPr>
            </w:pPr>
          </w:p>
        </w:tc>
        <w:tc>
          <w:tcPr>
            <w:tcW w:w="243" w:type="pct"/>
          </w:tcPr>
          <w:p w:rsidR="00EE4290" w:rsidRPr="00003B04" w:rsidRDefault="00EE4290" w:rsidP="00EE4290">
            <w:pPr>
              <w:jc w:val="both"/>
              <w:rPr>
                <w:sz w:val="20"/>
                <w:lang w:val="fr-CA"/>
              </w:rPr>
            </w:pPr>
          </w:p>
        </w:tc>
        <w:tc>
          <w:tcPr>
            <w:tcW w:w="2330" w:type="pct"/>
          </w:tcPr>
          <w:p w:rsidR="00EE4290" w:rsidRPr="00003B04" w:rsidRDefault="00EE4290" w:rsidP="00EE4290">
            <w:pPr>
              <w:jc w:val="both"/>
              <w:rPr>
                <w:sz w:val="20"/>
                <w:lang w:val="fr-CA"/>
              </w:rPr>
            </w:pPr>
            <w:r w:rsidRPr="00003B04">
              <w:rPr>
                <w:sz w:val="20"/>
                <w:lang w:val="fr-CA"/>
              </w:rPr>
              <w:t>Jugement accueillant la motion des intimés en vue d’obtenir un jugement déclarant valable la signification qui avait été faite aux demandeurs au Guatemala conformément aux règles de l’Ontario</w:t>
            </w:r>
          </w:p>
          <w:p w:rsidR="00EE4290" w:rsidRPr="00003B04" w:rsidRDefault="00EE4290" w:rsidP="00EE4290">
            <w:pPr>
              <w:jc w:val="both"/>
              <w:rPr>
                <w:sz w:val="20"/>
                <w:lang w:val="fr-CA"/>
              </w:rPr>
            </w:pPr>
          </w:p>
        </w:tc>
      </w:tr>
      <w:tr w:rsidR="00EE4290" w:rsidRPr="00C3697D" w:rsidTr="00EE4290">
        <w:tc>
          <w:tcPr>
            <w:tcW w:w="2427" w:type="pct"/>
            <w:gridSpan w:val="2"/>
          </w:tcPr>
          <w:p w:rsidR="00EE4290" w:rsidRPr="00003B04" w:rsidRDefault="00EE4290" w:rsidP="00EE4290">
            <w:pPr>
              <w:jc w:val="both"/>
              <w:rPr>
                <w:sz w:val="20"/>
                <w:lang w:val="fr-CA"/>
              </w:rPr>
            </w:pPr>
            <w:r w:rsidRPr="00003B04">
              <w:rPr>
                <w:sz w:val="20"/>
                <w:lang w:val="fr-CA"/>
              </w:rPr>
              <w:t>24 juin 2014</w:t>
            </w:r>
          </w:p>
          <w:p w:rsidR="00EE4290" w:rsidRPr="00003B04" w:rsidRDefault="00EE4290" w:rsidP="00EE4290">
            <w:pPr>
              <w:jc w:val="both"/>
              <w:rPr>
                <w:sz w:val="20"/>
                <w:lang w:val="fr-CA"/>
              </w:rPr>
            </w:pPr>
            <w:r w:rsidRPr="00003B04">
              <w:rPr>
                <w:sz w:val="20"/>
                <w:lang w:val="fr-CA"/>
              </w:rPr>
              <w:t>Cour supérieure de justice de l’Ontario</w:t>
            </w:r>
          </w:p>
          <w:p w:rsidR="00EE4290" w:rsidRPr="00003B04" w:rsidRDefault="00EE4290" w:rsidP="00EE4290">
            <w:pPr>
              <w:jc w:val="both"/>
              <w:rPr>
                <w:sz w:val="20"/>
                <w:lang w:val="fr-CA"/>
              </w:rPr>
            </w:pPr>
            <w:r w:rsidRPr="00003B04">
              <w:rPr>
                <w:sz w:val="20"/>
                <w:lang w:val="fr-CA"/>
              </w:rPr>
              <w:t xml:space="preserve">(Juge </w:t>
            </w:r>
            <w:proofErr w:type="spellStart"/>
            <w:r w:rsidRPr="00003B04">
              <w:rPr>
                <w:sz w:val="20"/>
                <w:lang w:val="fr-CA"/>
              </w:rPr>
              <w:t>Matlow</w:t>
            </w:r>
            <w:proofErr w:type="spellEnd"/>
            <w:r w:rsidRPr="00003B04">
              <w:rPr>
                <w:sz w:val="20"/>
                <w:lang w:val="fr-CA"/>
              </w:rPr>
              <w:t>)</w:t>
            </w:r>
          </w:p>
          <w:p w:rsidR="00EE4290" w:rsidRPr="00003B04" w:rsidRDefault="00EE4290" w:rsidP="00EE4290">
            <w:pPr>
              <w:jc w:val="both"/>
              <w:rPr>
                <w:sz w:val="20"/>
                <w:lang w:val="fr-CA"/>
              </w:rPr>
            </w:pPr>
            <w:r w:rsidRPr="00003B04">
              <w:rPr>
                <w:sz w:val="20"/>
                <w:lang w:val="fr-CA"/>
              </w:rPr>
              <w:t>Non publié</w:t>
            </w:r>
          </w:p>
          <w:p w:rsidR="00EE4290" w:rsidRPr="00003B04" w:rsidRDefault="00EE4290" w:rsidP="00EE4290">
            <w:pPr>
              <w:jc w:val="both"/>
              <w:rPr>
                <w:sz w:val="20"/>
                <w:lang w:val="fr-CA"/>
              </w:rPr>
            </w:pPr>
          </w:p>
        </w:tc>
        <w:tc>
          <w:tcPr>
            <w:tcW w:w="243" w:type="pct"/>
          </w:tcPr>
          <w:p w:rsidR="00EE4290" w:rsidRPr="00003B04" w:rsidRDefault="00EE4290" w:rsidP="00EE4290">
            <w:pPr>
              <w:jc w:val="both"/>
              <w:rPr>
                <w:sz w:val="20"/>
                <w:lang w:val="fr-CA"/>
              </w:rPr>
            </w:pPr>
          </w:p>
        </w:tc>
        <w:tc>
          <w:tcPr>
            <w:tcW w:w="2330" w:type="pct"/>
          </w:tcPr>
          <w:p w:rsidR="00EE4290" w:rsidRPr="00003B04" w:rsidRDefault="00EE4290" w:rsidP="00EE4290">
            <w:pPr>
              <w:jc w:val="both"/>
              <w:rPr>
                <w:sz w:val="20"/>
                <w:lang w:val="fr-CA"/>
              </w:rPr>
            </w:pPr>
            <w:r w:rsidRPr="00003B04">
              <w:rPr>
                <w:sz w:val="20"/>
                <w:lang w:val="fr-CA"/>
              </w:rPr>
              <w:t>Jugement accueillant la demande d’autorisation d’interjeter appel des demandeurs</w:t>
            </w:r>
          </w:p>
          <w:p w:rsidR="00EE4290" w:rsidRPr="00003B04" w:rsidRDefault="00EE4290" w:rsidP="00EE4290">
            <w:pPr>
              <w:jc w:val="both"/>
              <w:rPr>
                <w:sz w:val="20"/>
                <w:lang w:val="fr-CA"/>
              </w:rPr>
            </w:pPr>
          </w:p>
        </w:tc>
      </w:tr>
      <w:tr w:rsidR="00EE4290" w:rsidRPr="00003B04" w:rsidTr="00EE4290">
        <w:tc>
          <w:tcPr>
            <w:tcW w:w="2427" w:type="pct"/>
            <w:gridSpan w:val="2"/>
          </w:tcPr>
          <w:p w:rsidR="00EE4290" w:rsidRPr="00003B04" w:rsidRDefault="00EE4290" w:rsidP="00EE4290">
            <w:pPr>
              <w:jc w:val="both"/>
              <w:rPr>
                <w:sz w:val="20"/>
                <w:lang w:val="fr-CA"/>
              </w:rPr>
            </w:pPr>
            <w:r w:rsidRPr="00003B04">
              <w:rPr>
                <w:sz w:val="20"/>
                <w:lang w:val="fr-CA"/>
              </w:rPr>
              <w:t>5 février 2015</w:t>
            </w:r>
          </w:p>
          <w:p w:rsidR="00EE4290" w:rsidRPr="00003B04" w:rsidRDefault="00EE4290" w:rsidP="00EE4290">
            <w:pPr>
              <w:jc w:val="both"/>
              <w:rPr>
                <w:sz w:val="20"/>
                <w:lang w:val="fr-CA"/>
              </w:rPr>
            </w:pPr>
            <w:r w:rsidRPr="00003B04">
              <w:rPr>
                <w:sz w:val="20"/>
                <w:lang w:val="fr-CA"/>
              </w:rPr>
              <w:t>Cour supérieure de justice de l’Ontario</w:t>
            </w:r>
          </w:p>
          <w:p w:rsidR="00EE4290" w:rsidRPr="00003B04" w:rsidRDefault="00EE4290" w:rsidP="00EE4290">
            <w:pPr>
              <w:jc w:val="both"/>
              <w:rPr>
                <w:sz w:val="20"/>
                <w:lang w:val="fr-CA"/>
              </w:rPr>
            </w:pPr>
            <w:r w:rsidRPr="00003B04">
              <w:rPr>
                <w:sz w:val="20"/>
                <w:lang w:val="fr-CA"/>
              </w:rPr>
              <w:t xml:space="preserve">(Juges </w:t>
            </w:r>
            <w:proofErr w:type="spellStart"/>
            <w:r w:rsidRPr="00003B04">
              <w:rPr>
                <w:sz w:val="20"/>
                <w:lang w:val="fr-CA"/>
              </w:rPr>
              <w:t>Corbett</w:t>
            </w:r>
            <w:proofErr w:type="spellEnd"/>
            <w:r w:rsidRPr="00003B04">
              <w:rPr>
                <w:sz w:val="20"/>
                <w:lang w:val="fr-CA"/>
              </w:rPr>
              <w:t xml:space="preserve">, </w:t>
            </w:r>
            <w:proofErr w:type="spellStart"/>
            <w:r w:rsidRPr="00003B04">
              <w:rPr>
                <w:sz w:val="20"/>
                <w:lang w:val="fr-CA"/>
              </w:rPr>
              <w:t>Perell</w:t>
            </w:r>
            <w:proofErr w:type="spellEnd"/>
            <w:r w:rsidRPr="00003B04">
              <w:rPr>
                <w:sz w:val="20"/>
                <w:lang w:val="fr-CA"/>
              </w:rPr>
              <w:t xml:space="preserve"> et Gilmore)</w:t>
            </w:r>
          </w:p>
          <w:p w:rsidR="00EE4290" w:rsidRPr="00003B04" w:rsidRDefault="00604445" w:rsidP="00EE4290">
            <w:pPr>
              <w:jc w:val="both"/>
              <w:rPr>
                <w:sz w:val="20"/>
                <w:lang w:val="fr-CA"/>
              </w:rPr>
            </w:pPr>
            <w:hyperlink r:id="rId62" w:history="1">
              <w:r w:rsidR="00EE4290" w:rsidRPr="00003B04">
                <w:rPr>
                  <w:rStyle w:val="Hyperlink"/>
                  <w:sz w:val="20"/>
                  <w:lang w:val="fr-CA"/>
                </w:rPr>
                <w:t>2015 ONSC 866</w:t>
              </w:r>
            </w:hyperlink>
          </w:p>
          <w:p w:rsidR="00EE4290" w:rsidRPr="00003B04" w:rsidRDefault="00EE4290" w:rsidP="00EE4290">
            <w:pPr>
              <w:jc w:val="both"/>
              <w:rPr>
                <w:sz w:val="20"/>
                <w:lang w:val="fr-CA"/>
              </w:rPr>
            </w:pPr>
          </w:p>
        </w:tc>
        <w:tc>
          <w:tcPr>
            <w:tcW w:w="243" w:type="pct"/>
          </w:tcPr>
          <w:p w:rsidR="00EE4290" w:rsidRPr="00003B04" w:rsidRDefault="00EE4290" w:rsidP="00EE4290">
            <w:pPr>
              <w:jc w:val="both"/>
              <w:rPr>
                <w:sz w:val="20"/>
                <w:lang w:val="fr-CA"/>
              </w:rPr>
            </w:pPr>
          </w:p>
        </w:tc>
        <w:tc>
          <w:tcPr>
            <w:tcW w:w="2330" w:type="pct"/>
          </w:tcPr>
          <w:p w:rsidR="00EE4290" w:rsidRPr="00003B04" w:rsidRDefault="00EE4290" w:rsidP="00EE4290">
            <w:pPr>
              <w:jc w:val="both"/>
              <w:rPr>
                <w:sz w:val="20"/>
                <w:lang w:val="fr-CA"/>
              </w:rPr>
            </w:pPr>
            <w:r w:rsidRPr="00003B04">
              <w:rPr>
                <w:sz w:val="20"/>
                <w:lang w:val="fr-CA"/>
              </w:rPr>
              <w:t>Rejet de l’appel des demandeurs</w:t>
            </w:r>
          </w:p>
          <w:p w:rsidR="00EE4290" w:rsidRPr="00003B04" w:rsidRDefault="00EE4290" w:rsidP="00EE4290">
            <w:pPr>
              <w:jc w:val="both"/>
              <w:rPr>
                <w:sz w:val="20"/>
                <w:lang w:val="fr-CA"/>
              </w:rPr>
            </w:pPr>
          </w:p>
        </w:tc>
      </w:tr>
      <w:tr w:rsidR="00EE4290" w:rsidRPr="00003B04" w:rsidTr="00EE4290">
        <w:tc>
          <w:tcPr>
            <w:tcW w:w="2427" w:type="pct"/>
            <w:gridSpan w:val="2"/>
          </w:tcPr>
          <w:p w:rsidR="00EE4290" w:rsidRPr="00003B04" w:rsidRDefault="00EE4290" w:rsidP="00EE4290">
            <w:pPr>
              <w:jc w:val="both"/>
              <w:rPr>
                <w:sz w:val="20"/>
                <w:lang w:val="fr-CA"/>
              </w:rPr>
            </w:pPr>
            <w:r w:rsidRPr="00003B04">
              <w:rPr>
                <w:sz w:val="20"/>
                <w:lang w:val="fr-CA"/>
              </w:rPr>
              <w:t>3 juin 2016</w:t>
            </w:r>
          </w:p>
          <w:p w:rsidR="00EE4290" w:rsidRPr="00003B04" w:rsidRDefault="00EE4290" w:rsidP="00EE4290">
            <w:pPr>
              <w:jc w:val="both"/>
              <w:rPr>
                <w:sz w:val="20"/>
                <w:lang w:val="fr-CA"/>
              </w:rPr>
            </w:pPr>
            <w:r w:rsidRPr="00003B04">
              <w:rPr>
                <w:sz w:val="20"/>
                <w:lang w:val="fr-CA"/>
              </w:rPr>
              <w:t xml:space="preserve">Cour d’appel de l’Ontario </w:t>
            </w:r>
          </w:p>
          <w:p w:rsidR="00EE4290" w:rsidRPr="00003B04" w:rsidRDefault="00EE4290" w:rsidP="00EE4290">
            <w:pPr>
              <w:jc w:val="both"/>
              <w:rPr>
                <w:sz w:val="20"/>
                <w:lang w:val="fr-CA"/>
              </w:rPr>
            </w:pPr>
            <w:r w:rsidRPr="00003B04">
              <w:rPr>
                <w:sz w:val="20"/>
                <w:lang w:val="fr-CA"/>
              </w:rPr>
              <w:t xml:space="preserve">(Juges </w:t>
            </w:r>
            <w:proofErr w:type="spellStart"/>
            <w:r w:rsidRPr="00003B04">
              <w:rPr>
                <w:sz w:val="20"/>
                <w:lang w:val="fr-CA"/>
              </w:rPr>
              <w:t>Weiler</w:t>
            </w:r>
            <w:proofErr w:type="spellEnd"/>
            <w:r w:rsidRPr="00003B04">
              <w:rPr>
                <w:sz w:val="20"/>
                <w:lang w:val="fr-CA"/>
              </w:rPr>
              <w:t xml:space="preserve">, </w:t>
            </w:r>
            <w:proofErr w:type="spellStart"/>
            <w:r w:rsidRPr="00003B04">
              <w:rPr>
                <w:sz w:val="20"/>
                <w:lang w:val="fr-CA"/>
              </w:rPr>
              <w:t>LaForme</w:t>
            </w:r>
            <w:proofErr w:type="spellEnd"/>
            <w:r w:rsidRPr="00003B04">
              <w:rPr>
                <w:sz w:val="20"/>
                <w:lang w:val="fr-CA"/>
              </w:rPr>
              <w:t xml:space="preserve"> et </w:t>
            </w:r>
            <w:proofErr w:type="spellStart"/>
            <w:r w:rsidRPr="00003B04">
              <w:rPr>
                <w:sz w:val="20"/>
                <w:lang w:val="fr-CA"/>
              </w:rPr>
              <w:t>Huscroft</w:t>
            </w:r>
            <w:proofErr w:type="spellEnd"/>
            <w:r w:rsidRPr="00003B04">
              <w:rPr>
                <w:sz w:val="20"/>
                <w:lang w:val="fr-CA"/>
              </w:rPr>
              <w:t>)</w:t>
            </w:r>
          </w:p>
          <w:p w:rsidR="00EE4290" w:rsidRPr="00003B04" w:rsidRDefault="00EE4290" w:rsidP="00EE4290">
            <w:pPr>
              <w:jc w:val="both"/>
              <w:rPr>
                <w:sz w:val="20"/>
                <w:lang w:val="fr-CA"/>
              </w:rPr>
            </w:pPr>
          </w:p>
        </w:tc>
        <w:tc>
          <w:tcPr>
            <w:tcW w:w="243" w:type="pct"/>
          </w:tcPr>
          <w:p w:rsidR="00EE4290" w:rsidRPr="00003B04" w:rsidRDefault="00EE4290" w:rsidP="00EE4290">
            <w:pPr>
              <w:jc w:val="both"/>
              <w:rPr>
                <w:sz w:val="20"/>
                <w:lang w:val="fr-CA"/>
              </w:rPr>
            </w:pPr>
          </w:p>
        </w:tc>
        <w:tc>
          <w:tcPr>
            <w:tcW w:w="2330" w:type="pct"/>
          </w:tcPr>
          <w:p w:rsidR="00EE4290" w:rsidRPr="00003B04" w:rsidRDefault="00EE4290" w:rsidP="00EE4290">
            <w:pPr>
              <w:jc w:val="both"/>
              <w:rPr>
                <w:sz w:val="20"/>
                <w:lang w:val="fr-CA"/>
              </w:rPr>
            </w:pPr>
            <w:r w:rsidRPr="00003B04">
              <w:rPr>
                <w:sz w:val="20"/>
                <w:lang w:val="fr-CA"/>
              </w:rPr>
              <w:t>Rejet de l’appel des demandeurs</w:t>
            </w:r>
          </w:p>
          <w:p w:rsidR="00EE4290" w:rsidRPr="00003B04" w:rsidRDefault="00EE4290" w:rsidP="00EE4290">
            <w:pPr>
              <w:jc w:val="both"/>
              <w:rPr>
                <w:sz w:val="20"/>
                <w:lang w:val="fr-CA"/>
              </w:rPr>
            </w:pPr>
          </w:p>
        </w:tc>
      </w:tr>
      <w:tr w:rsidR="00EE4290" w:rsidRPr="00C3697D" w:rsidTr="00EE4290">
        <w:tc>
          <w:tcPr>
            <w:tcW w:w="2427" w:type="pct"/>
            <w:gridSpan w:val="2"/>
          </w:tcPr>
          <w:p w:rsidR="00EE4290" w:rsidRPr="00003B04" w:rsidRDefault="00EE4290" w:rsidP="00EE4290">
            <w:pPr>
              <w:jc w:val="both"/>
              <w:rPr>
                <w:sz w:val="20"/>
                <w:lang w:val="fr-CA"/>
              </w:rPr>
            </w:pPr>
            <w:r w:rsidRPr="00003B04">
              <w:rPr>
                <w:sz w:val="20"/>
                <w:lang w:val="fr-CA"/>
              </w:rPr>
              <w:t>1</w:t>
            </w:r>
            <w:r w:rsidRPr="00003B04">
              <w:rPr>
                <w:sz w:val="20"/>
                <w:vertAlign w:val="superscript"/>
                <w:lang w:val="fr-CA"/>
              </w:rPr>
              <w:t>er</w:t>
            </w:r>
            <w:r w:rsidRPr="00003B04">
              <w:rPr>
                <w:sz w:val="20"/>
                <w:lang w:val="fr-CA"/>
              </w:rPr>
              <w:t xml:space="preserve"> septembre 2016</w:t>
            </w:r>
          </w:p>
          <w:p w:rsidR="00EE4290" w:rsidRPr="00003B04" w:rsidRDefault="00EE4290" w:rsidP="00EE4290">
            <w:pPr>
              <w:jc w:val="both"/>
              <w:rPr>
                <w:sz w:val="20"/>
                <w:lang w:val="fr-CA"/>
              </w:rPr>
            </w:pPr>
            <w:r w:rsidRPr="00003B04">
              <w:rPr>
                <w:sz w:val="20"/>
                <w:lang w:val="fr-CA"/>
              </w:rPr>
              <w:t>Cour suprême du Canada</w:t>
            </w:r>
          </w:p>
        </w:tc>
        <w:tc>
          <w:tcPr>
            <w:tcW w:w="243" w:type="pct"/>
          </w:tcPr>
          <w:p w:rsidR="00EE4290" w:rsidRPr="00003B04" w:rsidRDefault="00EE4290" w:rsidP="00EE4290">
            <w:pPr>
              <w:jc w:val="both"/>
              <w:rPr>
                <w:sz w:val="20"/>
                <w:lang w:val="fr-CA"/>
              </w:rPr>
            </w:pPr>
          </w:p>
        </w:tc>
        <w:tc>
          <w:tcPr>
            <w:tcW w:w="2330" w:type="pct"/>
          </w:tcPr>
          <w:p w:rsidR="00EE4290" w:rsidRPr="00003B04" w:rsidRDefault="00EE4290" w:rsidP="00EE4290">
            <w:pPr>
              <w:jc w:val="both"/>
              <w:rPr>
                <w:sz w:val="20"/>
                <w:lang w:val="fr-CA"/>
              </w:rPr>
            </w:pPr>
            <w:r w:rsidRPr="00003B04">
              <w:rPr>
                <w:sz w:val="20"/>
                <w:lang w:val="fr-CA"/>
              </w:rPr>
              <w:t>Dépôt de la demande d’autorisation d’appel</w:t>
            </w:r>
          </w:p>
          <w:p w:rsidR="00EE4290" w:rsidRPr="00003B04" w:rsidRDefault="00EE4290" w:rsidP="00EE4290">
            <w:pPr>
              <w:jc w:val="both"/>
              <w:rPr>
                <w:sz w:val="20"/>
                <w:lang w:val="fr-CA"/>
              </w:rPr>
            </w:pPr>
          </w:p>
        </w:tc>
      </w:tr>
    </w:tbl>
    <w:p w:rsidR="00EE4290" w:rsidRPr="00003B04" w:rsidRDefault="00604445" w:rsidP="00EE4290">
      <w:pPr>
        <w:jc w:val="both"/>
        <w:rPr>
          <w:sz w:val="20"/>
          <w:lang w:val="fr-CA"/>
        </w:rPr>
      </w:pPr>
      <w:r>
        <w:rPr>
          <w:sz w:val="20"/>
          <w:szCs w:val="20"/>
        </w:rPr>
        <w:pict>
          <v:rect id="_x0000_i1066" style="width:2in;height:1pt" o:hrpct="0" o:hralign="center" o:hrstd="t" o:hrnoshade="t" o:hr="t" fillcolor="black [3213]" stroked="f"/>
        </w:pict>
      </w:r>
    </w:p>
    <w:p w:rsidR="00EE4290" w:rsidRPr="00003B04" w:rsidRDefault="00EE4290" w:rsidP="00EE4290">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E4290" w:rsidRPr="00003B04" w:rsidTr="00EE4290">
        <w:tc>
          <w:tcPr>
            <w:tcW w:w="543" w:type="pct"/>
          </w:tcPr>
          <w:p w:rsidR="00EE4290" w:rsidRPr="00003B04" w:rsidRDefault="00EE4290" w:rsidP="00EE4290">
            <w:pPr>
              <w:rPr>
                <w:sz w:val="20"/>
              </w:rPr>
            </w:pPr>
            <w:r w:rsidRPr="00003B04">
              <w:rPr>
                <w:rStyle w:val="SCCFileNumberChar"/>
                <w:sz w:val="20"/>
                <w:szCs w:val="20"/>
              </w:rPr>
              <w:t>37279</w:t>
            </w:r>
          </w:p>
        </w:tc>
        <w:tc>
          <w:tcPr>
            <w:tcW w:w="4457" w:type="pct"/>
            <w:gridSpan w:val="3"/>
          </w:tcPr>
          <w:p w:rsidR="00EE4290" w:rsidRPr="00003B04" w:rsidRDefault="00EE4290" w:rsidP="00EE4290">
            <w:pPr>
              <w:pStyle w:val="SCCLsocParty"/>
              <w:jc w:val="left"/>
              <w:rPr>
                <w:b/>
                <w:sz w:val="20"/>
                <w:szCs w:val="20"/>
                <w:lang w:val="en-US"/>
              </w:rPr>
            </w:pPr>
            <w:r w:rsidRPr="00003B04">
              <w:rPr>
                <w:b/>
                <w:sz w:val="20"/>
                <w:szCs w:val="20"/>
                <w:lang w:val="en-US"/>
              </w:rPr>
              <w:t>Lonnie Anderson</w:t>
            </w:r>
            <w:r w:rsidR="001B621B" w:rsidRPr="00003B04">
              <w:rPr>
                <w:b/>
                <w:sz w:val="20"/>
                <w:szCs w:val="20"/>
                <w:lang w:val="en-US"/>
              </w:rPr>
              <w:t xml:space="preserve"> and </w:t>
            </w:r>
            <w:r w:rsidRPr="00003B04">
              <w:rPr>
                <w:b/>
                <w:sz w:val="20"/>
                <w:szCs w:val="20"/>
                <w:lang w:val="en-US"/>
              </w:rPr>
              <w:t>L.J. Anderson Farms Ltd. v. Attorney General of Canada</w:t>
            </w:r>
          </w:p>
          <w:p w:rsidR="00EE4290" w:rsidRPr="00003B04" w:rsidRDefault="00EE4290" w:rsidP="00EE4290">
            <w:pPr>
              <w:rPr>
                <w:sz w:val="20"/>
              </w:rPr>
            </w:pPr>
            <w:r w:rsidRPr="00003B04">
              <w:rPr>
                <w:sz w:val="20"/>
              </w:rPr>
              <w:t>(Sask.) (Civil) (By Leave)</w:t>
            </w:r>
          </w:p>
        </w:tc>
      </w:tr>
      <w:tr w:rsidR="00D310D9" w:rsidRPr="00003B04" w:rsidTr="00EE4290">
        <w:tc>
          <w:tcPr>
            <w:tcW w:w="543" w:type="pct"/>
          </w:tcPr>
          <w:p w:rsidR="00D310D9" w:rsidRPr="00003B04" w:rsidRDefault="00D310D9" w:rsidP="00EE4290">
            <w:pPr>
              <w:rPr>
                <w:rStyle w:val="SCCFileNumberChar"/>
                <w:sz w:val="20"/>
                <w:szCs w:val="20"/>
              </w:rPr>
            </w:pPr>
            <w:r w:rsidRPr="00003B04">
              <w:rPr>
                <w:rStyle w:val="SCCFileNumberChar"/>
                <w:sz w:val="20"/>
                <w:szCs w:val="20"/>
              </w:rPr>
              <w:t>Coram:</w:t>
            </w:r>
          </w:p>
        </w:tc>
        <w:tc>
          <w:tcPr>
            <w:tcW w:w="4457" w:type="pct"/>
            <w:gridSpan w:val="3"/>
          </w:tcPr>
          <w:p w:rsidR="00D310D9" w:rsidRPr="00003B04" w:rsidRDefault="000E7F29" w:rsidP="000E7F29">
            <w:pPr>
              <w:pStyle w:val="SCCLsocParty"/>
              <w:jc w:val="left"/>
              <w:rPr>
                <w:sz w:val="20"/>
                <w:szCs w:val="20"/>
                <w:lang w:val="en-US"/>
              </w:rPr>
            </w:pPr>
            <w:proofErr w:type="spellStart"/>
            <w:r w:rsidRPr="00003B04">
              <w:rPr>
                <w:sz w:val="20"/>
                <w:szCs w:val="20"/>
                <w:lang w:val="en-US"/>
              </w:rPr>
              <w:t>McLachlin</w:t>
            </w:r>
            <w:proofErr w:type="spellEnd"/>
            <w:r w:rsidRPr="00003B04">
              <w:rPr>
                <w:sz w:val="20"/>
                <w:szCs w:val="20"/>
                <w:lang w:val="en-US"/>
              </w:rPr>
              <w:t xml:space="preserve"> C.J. and </w:t>
            </w:r>
            <w:proofErr w:type="spellStart"/>
            <w:r w:rsidRPr="00003B04">
              <w:rPr>
                <w:sz w:val="20"/>
                <w:szCs w:val="20"/>
                <w:lang w:val="en-US"/>
              </w:rPr>
              <w:t>Abella</w:t>
            </w:r>
            <w:proofErr w:type="spellEnd"/>
            <w:r w:rsidRPr="00003B04">
              <w:rPr>
                <w:sz w:val="20"/>
                <w:szCs w:val="20"/>
                <w:lang w:val="en-US"/>
              </w:rPr>
              <w:t xml:space="preserve">, </w:t>
            </w:r>
            <w:proofErr w:type="spellStart"/>
            <w:r w:rsidRPr="00003B04">
              <w:rPr>
                <w:sz w:val="20"/>
                <w:szCs w:val="20"/>
                <w:lang w:val="en-US"/>
              </w:rPr>
              <w:t>Moldaver</w:t>
            </w:r>
            <w:proofErr w:type="spellEnd"/>
            <w:r w:rsidRPr="00003B04">
              <w:rPr>
                <w:sz w:val="20"/>
                <w:szCs w:val="20"/>
                <w:lang w:val="en-US"/>
              </w:rPr>
              <w:t xml:space="preserve">, </w:t>
            </w:r>
            <w:proofErr w:type="spellStart"/>
            <w:r w:rsidRPr="00003B04">
              <w:rPr>
                <w:sz w:val="20"/>
                <w:szCs w:val="20"/>
                <w:lang w:val="en-US"/>
              </w:rPr>
              <w:t>Karakatsanis</w:t>
            </w:r>
            <w:proofErr w:type="spellEnd"/>
            <w:r w:rsidRPr="00003B04">
              <w:rPr>
                <w:sz w:val="20"/>
                <w:szCs w:val="20"/>
                <w:lang w:val="en-US"/>
              </w:rPr>
              <w:t xml:space="preserve">, Wagner, </w:t>
            </w:r>
            <w:proofErr w:type="spellStart"/>
            <w:r w:rsidRPr="00003B04">
              <w:rPr>
                <w:sz w:val="20"/>
                <w:szCs w:val="20"/>
                <w:lang w:val="en-US"/>
              </w:rPr>
              <w:t>Gascon</w:t>
            </w:r>
            <w:proofErr w:type="spellEnd"/>
            <w:r w:rsidRPr="00003B04">
              <w:rPr>
                <w:sz w:val="20"/>
                <w:szCs w:val="20"/>
                <w:lang w:val="en-US"/>
              </w:rPr>
              <w:t xml:space="preserve">, </w:t>
            </w:r>
            <w:proofErr w:type="spellStart"/>
            <w:r w:rsidRPr="00003B04">
              <w:rPr>
                <w:sz w:val="20"/>
                <w:szCs w:val="20"/>
                <w:lang w:val="en-US"/>
              </w:rPr>
              <w:t>Côté</w:t>
            </w:r>
            <w:proofErr w:type="spellEnd"/>
            <w:r w:rsidRPr="00003B04">
              <w:rPr>
                <w:sz w:val="20"/>
                <w:szCs w:val="20"/>
                <w:lang w:val="en-US"/>
              </w:rPr>
              <w:t>, Brown and Rowe JJ.</w:t>
            </w:r>
          </w:p>
          <w:p w:rsidR="000E7F29" w:rsidRPr="00003B04" w:rsidRDefault="000E7F29" w:rsidP="000E7F29">
            <w:pPr>
              <w:rPr>
                <w:lang w:val="en-US"/>
              </w:rPr>
            </w:pPr>
          </w:p>
        </w:tc>
      </w:tr>
      <w:tr w:rsidR="00D310D9" w:rsidRPr="00003B04" w:rsidTr="00D310D9">
        <w:tc>
          <w:tcPr>
            <w:tcW w:w="5000" w:type="pct"/>
            <w:gridSpan w:val="4"/>
          </w:tcPr>
          <w:p w:rsidR="00D310D9" w:rsidRPr="00003B04" w:rsidRDefault="000E7F29" w:rsidP="00EE4290">
            <w:pPr>
              <w:pStyle w:val="SCCLsocParty"/>
              <w:jc w:val="left"/>
              <w:rPr>
                <w:sz w:val="20"/>
                <w:szCs w:val="20"/>
                <w:lang w:val="en-US"/>
              </w:rPr>
            </w:pPr>
            <w:r w:rsidRPr="00003B04">
              <w:rPr>
                <w:sz w:val="20"/>
                <w:szCs w:val="20"/>
                <w:lang w:val="en-US"/>
              </w:rPr>
              <w:t>The application for leave to appeal from the judgment of the Court of Appeal for Saskatchewan, Number CACV2713, 2016 SKCA 120, dated September 9, 2016, is dismissed with costs.</w:t>
            </w:r>
          </w:p>
        </w:tc>
      </w:tr>
      <w:tr w:rsidR="00EE4290" w:rsidRPr="00003B04" w:rsidTr="00EE4290">
        <w:tc>
          <w:tcPr>
            <w:tcW w:w="5000" w:type="pct"/>
            <w:gridSpan w:val="4"/>
          </w:tcPr>
          <w:p w:rsidR="00EE4290" w:rsidRPr="00003B04" w:rsidRDefault="00EE4290" w:rsidP="00EE4290">
            <w:pPr>
              <w:jc w:val="both"/>
              <w:rPr>
                <w:sz w:val="20"/>
                <w:lang w:val="en-US"/>
              </w:rPr>
            </w:pPr>
          </w:p>
          <w:p w:rsidR="00EE4290" w:rsidRPr="00003B04" w:rsidRDefault="00EE4290" w:rsidP="00EE4290">
            <w:pPr>
              <w:jc w:val="both"/>
              <w:rPr>
                <w:sz w:val="20"/>
              </w:rPr>
            </w:pPr>
            <w:r w:rsidRPr="00003B04">
              <w:rPr>
                <w:sz w:val="20"/>
              </w:rPr>
              <w:t xml:space="preserve">Contracts – Rectification – Taxation – Jurisdiction – Whether the decision of the Saskatchewan Court of Appeal effectively nullifies the remedy of rectification in the tax context – Whether the decision the Saskatchewan Court of </w:t>
            </w:r>
            <w:r w:rsidRPr="00003B04">
              <w:rPr>
                <w:sz w:val="20"/>
              </w:rPr>
              <w:lastRenderedPageBreak/>
              <w:t>Appeal establishes appropriate jurisdictional boundaries between the Tax Court of Canada and the provincial superior courts.</w:t>
            </w:r>
          </w:p>
        </w:tc>
      </w:tr>
      <w:tr w:rsidR="00EE4290" w:rsidRPr="00003B04" w:rsidTr="00EE4290">
        <w:tc>
          <w:tcPr>
            <w:tcW w:w="5000" w:type="pct"/>
            <w:gridSpan w:val="4"/>
          </w:tcPr>
          <w:p w:rsidR="00EE4290" w:rsidRPr="00003B04" w:rsidRDefault="00EE4290" w:rsidP="00EE4290">
            <w:pPr>
              <w:jc w:val="both"/>
              <w:rPr>
                <w:sz w:val="20"/>
              </w:rPr>
            </w:pPr>
          </w:p>
        </w:tc>
      </w:tr>
      <w:tr w:rsidR="00EE4290" w:rsidRPr="00003B04" w:rsidTr="00EE4290">
        <w:tc>
          <w:tcPr>
            <w:tcW w:w="5000" w:type="pct"/>
            <w:gridSpan w:val="4"/>
          </w:tcPr>
          <w:p w:rsidR="00EE4290" w:rsidRPr="00003B04" w:rsidRDefault="00EE4290" w:rsidP="00EE4290">
            <w:pPr>
              <w:jc w:val="both"/>
              <w:rPr>
                <w:sz w:val="20"/>
              </w:rPr>
            </w:pPr>
            <w:r w:rsidRPr="00003B04">
              <w:rPr>
                <w:sz w:val="20"/>
              </w:rPr>
              <w:t xml:space="preserve">The Applicant, Mr. Anderson owned farm equipment and land which were utilized by the Applicant company, L.J. Anderson Farms Ltd. for the purpose of conducting a farming enterprise. The Company was advancing money to Mr. Anderson by way of a shareholder loan. The Applicants’ accountants, Benson </w:t>
            </w:r>
            <w:proofErr w:type="spellStart"/>
            <w:r w:rsidRPr="00003B04">
              <w:rPr>
                <w:sz w:val="20"/>
              </w:rPr>
              <w:t>Trithardt</w:t>
            </w:r>
            <w:proofErr w:type="spellEnd"/>
            <w:r w:rsidRPr="00003B04">
              <w:rPr>
                <w:sz w:val="20"/>
              </w:rPr>
              <w:t xml:space="preserve"> </w:t>
            </w:r>
            <w:proofErr w:type="spellStart"/>
            <w:r w:rsidRPr="00003B04">
              <w:rPr>
                <w:sz w:val="20"/>
              </w:rPr>
              <w:t>Noren</w:t>
            </w:r>
            <w:proofErr w:type="spellEnd"/>
            <w:r w:rsidRPr="00003B04">
              <w:rPr>
                <w:sz w:val="20"/>
              </w:rPr>
              <w:t xml:space="preserve"> LLP were concerned the shareholder loan could result in being deemed income to Mr. Anderson in the 2011 tax year. Mr. Anderson met with a partner of the accounting firm on October 6, 2011 to discuss the problem with the shareholder loan and the possibility it could be deemed income in Mr. Anderson’s hands. It was recommended that Mr. Anderson transfer land and equipment he owned personally to the corporation in what is referred to as </w:t>
            </w:r>
            <w:proofErr w:type="gramStart"/>
            <w:r w:rsidRPr="00003B04">
              <w:rPr>
                <w:sz w:val="20"/>
              </w:rPr>
              <w:t>a</w:t>
            </w:r>
            <w:proofErr w:type="gramEnd"/>
            <w:r w:rsidRPr="00003B04">
              <w:rPr>
                <w:sz w:val="20"/>
              </w:rPr>
              <w:t xml:space="preserve"> s. 85 rollover. The details of the agreement were not fully worked out or committed to writing, but the accountant took notes of what was to be accomplished. Mr. Anderson relied on the accounting firm to make the necessary arrangements to take the matter further. The accounting firm recorded the financial transactions the rollover agreement was to accomplish in the company’s corporate records. Internally, the company’s books reflected the new ownership of the assets and a reduction of the shareholder loan, and the required rollover form was filed with the Canada Revenue Agency (“CRA”). The accountant also began working with Mr. Anderson’s bookkeeper to finalize the rollover transactions and draft schedules for the farmland and equipment summarizing the value of the property which would be transferred to the Company. The accounting firm did not inform Applicants’ law firm of the transactions with instructions on the appropriate documentation to be completed and its effective date. No documents were prepared or executed in 2011.</w:t>
            </w:r>
          </w:p>
          <w:p w:rsidR="00EE4290" w:rsidRPr="00003B04" w:rsidRDefault="00EE4290" w:rsidP="00EE4290">
            <w:pPr>
              <w:jc w:val="both"/>
              <w:rPr>
                <w:sz w:val="20"/>
              </w:rPr>
            </w:pPr>
          </w:p>
          <w:p w:rsidR="00EE4290" w:rsidRPr="00003B04" w:rsidRDefault="00EE4290" w:rsidP="00EE4290">
            <w:pPr>
              <w:jc w:val="both"/>
              <w:rPr>
                <w:sz w:val="20"/>
              </w:rPr>
            </w:pPr>
            <w:r w:rsidRPr="00003B04">
              <w:rPr>
                <w:sz w:val="20"/>
              </w:rPr>
              <w:t>It was not until May 2013, after CRA notified the Applicants that their 2011 taxation year including the rollover election would be audited, that the accountant realized he had failed to instruct the Applicants’ lawyers to prepare the necessary documentation to effect the agreement. The law firm was then instructed to prepare the rollover agreement and related documents. It did so but utilized an agreement date of January 1, 2011. The CRA reviewed the documents and ruled a proper s. 85 rollover had not been accomplished. As a result, a reassessment would likely result in a substantial increase in Mr. Anderson’s taxable income. The proposed reassessment was delayed in order to allow the Applicants to seek rectification.</w:t>
            </w:r>
          </w:p>
          <w:p w:rsidR="00EE4290" w:rsidRPr="00003B04" w:rsidRDefault="00EE4290" w:rsidP="00EE4290">
            <w:pPr>
              <w:jc w:val="both"/>
              <w:rPr>
                <w:sz w:val="20"/>
              </w:rPr>
            </w:pPr>
          </w:p>
          <w:p w:rsidR="00EE4290" w:rsidRPr="00003B04" w:rsidRDefault="00EE4290" w:rsidP="00EE4290">
            <w:pPr>
              <w:jc w:val="both"/>
              <w:rPr>
                <w:sz w:val="20"/>
              </w:rPr>
            </w:pPr>
            <w:r w:rsidRPr="00003B04">
              <w:rPr>
                <w:sz w:val="20"/>
              </w:rPr>
              <w:t>The Applicants sought equitable relief from the Court of Queen’s Bench arguing the documents executed in 2013 did not reflect the oral agreement made in 2011. They asked that the documents be rectified and that such relief be declared to have retroactive effect as of October 6, 2011. The chambers judge rectified the documents by correcting the specified effective date from January 1, 2011, to October 6, 2011, but declined to declare the documents to be retroactively valid, binding and effective as of that date. The chambers judge saw the intent of the application for such a declaration as being to prevent the Tax Court of Canada from reviewing any eventual appeal of reassessment. He was not prepared to use the court’s equitable jurisdiction to assist in the tax dispute. The Applicants’ appeal was dismissed.</w:t>
            </w:r>
          </w:p>
          <w:p w:rsidR="00EE4290" w:rsidRPr="00003B04" w:rsidRDefault="00EE4290" w:rsidP="00EE4290">
            <w:pPr>
              <w:jc w:val="both"/>
              <w:rPr>
                <w:sz w:val="20"/>
              </w:rPr>
            </w:pPr>
          </w:p>
        </w:tc>
      </w:tr>
      <w:tr w:rsidR="00EE4290" w:rsidRPr="00003B04" w:rsidTr="00EE4290">
        <w:tc>
          <w:tcPr>
            <w:tcW w:w="2427" w:type="pct"/>
            <w:gridSpan w:val="2"/>
          </w:tcPr>
          <w:p w:rsidR="00EE4290" w:rsidRPr="00003B04" w:rsidRDefault="00EE4290" w:rsidP="00EE4290">
            <w:pPr>
              <w:rPr>
                <w:sz w:val="20"/>
              </w:rPr>
            </w:pPr>
            <w:r w:rsidRPr="00003B04">
              <w:rPr>
                <w:sz w:val="20"/>
              </w:rPr>
              <w:t>May 1, 2015</w:t>
            </w:r>
          </w:p>
          <w:p w:rsidR="00EE4290" w:rsidRPr="00003B04" w:rsidRDefault="00EE4290" w:rsidP="00EE4290">
            <w:pPr>
              <w:rPr>
                <w:sz w:val="20"/>
              </w:rPr>
            </w:pPr>
            <w:r w:rsidRPr="00003B04">
              <w:rPr>
                <w:sz w:val="20"/>
              </w:rPr>
              <w:t>Court of Queen’s Bench of Saskatchewan</w:t>
            </w:r>
          </w:p>
          <w:p w:rsidR="00EE4290" w:rsidRPr="00003B04" w:rsidRDefault="00EE4290" w:rsidP="00EE4290">
            <w:pPr>
              <w:rPr>
                <w:sz w:val="20"/>
              </w:rPr>
            </w:pPr>
            <w:r w:rsidRPr="00003B04">
              <w:rPr>
                <w:sz w:val="20"/>
              </w:rPr>
              <w:t>(Mills J.)</w:t>
            </w:r>
          </w:p>
          <w:p w:rsidR="00EE4290" w:rsidRPr="00003B04" w:rsidRDefault="00604445" w:rsidP="00EE4290">
            <w:pPr>
              <w:rPr>
                <w:sz w:val="20"/>
              </w:rPr>
            </w:pPr>
            <w:hyperlink r:id="rId63" w:history="1">
              <w:r w:rsidR="00EE4290" w:rsidRPr="00003B04">
                <w:rPr>
                  <w:rStyle w:val="Hyperlink"/>
                  <w:sz w:val="20"/>
                </w:rPr>
                <w:t>2015 SKQB 123</w:t>
              </w:r>
            </w:hyperlink>
          </w:p>
          <w:p w:rsidR="00EE4290" w:rsidRPr="00003B04" w:rsidRDefault="00EE4290" w:rsidP="00EE4290">
            <w:pPr>
              <w:rPr>
                <w:sz w:val="20"/>
              </w:rPr>
            </w:pPr>
          </w:p>
        </w:tc>
        <w:tc>
          <w:tcPr>
            <w:tcW w:w="243" w:type="pct"/>
          </w:tcPr>
          <w:p w:rsidR="00EE4290" w:rsidRPr="00003B04" w:rsidRDefault="00EE4290" w:rsidP="00EE4290">
            <w:pPr>
              <w:rPr>
                <w:sz w:val="20"/>
              </w:rPr>
            </w:pPr>
          </w:p>
        </w:tc>
        <w:tc>
          <w:tcPr>
            <w:tcW w:w="2330" w:type="pct"/>
          </w:tcPr>
          <w:p w:rsidR="00EE4290" w:rsidRPr="00003B04" w:rsidRDefault="00EE4290" w:rsidP="00EE4290">
            <w:pPr>
              <w:jc w:val="both"/>
              <w:rPr>
                <w:sz w:val="20"/>
              </w:rPr>
            </w:pPr>
            <w:r w:rsidRPr="00003B04">
              <w:rPr>
                <w:sz w:val="20"/>
              </w:rPr>
              <w:t>Application to change the effective date of the rollover agreement, promissory note, Company’s register of shareholders and share certificate to October 6, 2011 granted; Request that documents be declared to have retroactive effect, denied</w:t>
            </w:r>
          </w:p>
        </w:tc>
      </w:tr>
      <w:tr w:rsidR="00EE4290" w:rsidRPr="00003B04" w:rsidTr="00EE4290">
        <w:tc>
          <w:tcPr>
            <w:tcW w:w="2427" w:type="pct"/>
            <w:gridSpan w:val="2"/>
          </w:tcPr>
          <w:p w:rsidR="00EE4290" w:rsidRPr="00003B04" w:rsidRDefault="00EE4290" w:rsidP="00EE4290">
            <w:pPr>
              <w:rPr>
                <w:sz w:val="20"/>
              </w:rPr>
            </w:pPr>
            <w:r w:rsidRPr="00003B04">
              <w:rPr>
                <w:sz w:val="20"/>
              </w:rPr>
              <w:t>September 9, 2016</w:t>
            </w:r>
          </w:p>
          <w:p w:rsidR="00EE4290" w:rsidRPr="00003B04" w:rsidRDefault="00EE4290" w:rsidP="00EE4290">
            <w:pPr>
              <w:rPr>
                <w:sz w:val="20"/>
              </w:rPr>
            </w:pPr>
            <w:r w:rsidRPr="00003B04">
              <w:rPr>
                <w:sz w:val="20"/>
              </w:rPr>
              <w:t>Court of Appeal for Saskatchewan</w:t>
            </w:r>
          </w:p>
          <w:p w:rsidR="00EE4290" w:rsidRPr="00003B04" w:rsidRDefault="00EE4290" w:rsidP="00EE4290">
            <w:pPr>
              <w:rPr>
                <w:sz w:val="20"/>
              </w:rPr>
            </w:pPr>
            <w:r w:rsidRPr="00003B04">
              <w:rPr>
                <w:sz w:val="20"/>
              </w:rPr>
              <w:t>(Richards C.J. and Lane and Ryan-</w:t>
            </w:r>
            <w:proofErr w:type="spellStart"/>
            <w:r w:rsidRPr="00003B04">
              <w:rPr>
                <w:sz w:val="20"/>
              </w:rPr>
              <w:t>Frosile</w:t>
            </w:r>
            <w:proofErr w:type="spellEnd"/>
            <w:r w:rsidRPr="00003B04">
              <w:rPr>
                <w:sz w:val="20"/>
              </w:rPr>
              <w:t xml:space="preserve"> JJ.A.)</w:t>
            </w:r>
          </w:p>
          <w:p w:rsidR="00EE4290" w:rsidRPr="00003B04" w:rsidRDefault="00604445" w:rsidP="00EE4290">
            <w:pPr>
              <w:rPr>
                <w:sz w:val="20"/>
              </w:rPr>
            </w:pPr>
            <w:hyperlink r:id="rId64" w:history="1">
              <w:r w:rsidR="00EE4290" w:rsidRPr="00003B04">
                <w:rPr>
                  <w:rStyle w:val="Hyperlink"/>
                  <w:sz w:val="20"/>
                </w:rPr>
                <w:t>2016 SKCA 120</w:t>
              </w:r>
            </w:hyperlink>
            <w:r w:rsidR="00EE4290" w:rsidRPr="00003B04">
              <w:rPr>
                <w:sz w:val="20"/>
              </w:rPr>
              <w:t>; CACV2713</w:t>
            </w:r>
          </w:p>
          <w:p w:rsidR="00EE4290" w:rsidRPr="00003B04" w:rsidRDefault="00EE4290" w:rsidP="00EE4290">
            <w:pPr>
              <w:rPr>
                <w:sz w:val="20"/>
              </w:rPr>
            </w:pPr>
          </w:p>
        </w:tc>
        <w:tc>
          <w:tcPr>
            <w:tcW w:w="243" w:type="pct"/>
          </w:tcPr>
          <w:p w:rsidR="00EE4290" w:rsidRPr="00003B04" w:rsidRDefault="00EE4290" w:rsidP="00EE4290">
            <w:pPr>
              <w:rPr>
                <w:sz w:val="20"/>
              </w:rPr>
            </w:pPr>
          </w:p>
        </w:tc>
        <w:tc>
          <w:tcPr>
            <w:tcW w:w="2330" w:type="pct"/>
          </w:tcPr>
          <w:p w:rsidR="00EE4290" w:rsidRPr="00003B04" w:rsidRDefault="00EE4290" w:rsidP="00EE4290">
            <w:pPr>
              <w:rPr>
                <w:sz w:val="20"/>
              </w:rPr>
            </w:pPr>
            <w:r w:rsidRPr="00003B04">
              <w:rPr>
                <w:sz w:val="20"/>
              </w:rPr>
              <w:t>Appeal dismissed</w:t>
            </w:r>
          </w:p>
          <w:p w:rsidR="00EE4290" w:rsidRPr="00003B04" w:rsidRDefault="00EE4290" w:rsidP="00EE4290">
            <w:pPr>
              <w:rPr>
                <w:sz w:val="20"/>
              </w:rPr>
            </w:pPr>
          </w:p>
          <w:p w:rsidR="00EE4290" w:rsidRPr="00003B04" w:rsidRDefault="00EE4290" w:rsidP="00EE4290">
            <w:pPr>
              <w:rPr>
                <w:sz w:val="20"/>
              </w:rPr>
            </w:pPr>
          </w:p>
        </w:tc>
      </w:tr>
      <w:tr w:rsidR="00EE4290" w:rsidRPr="00003B04" w:rsidTr="00EE4290">
        <w:tc>
          <w:tcPr>
            <w:tcW w:w="2427" w:type="pct"/>
            <w:gridSpan w:val="2"/>
          </w:tcPr>
          <w:p w:rsidR="00EE4290" w:rsidRPr="00003B04" w:rsidRDefault="00EE4290" w:rsidP="00EE4290">
            <w:pPr>
              <w:rPr>
                <w:sz w:val="20"/>
              </w:rPr>
            </w:pPr>
            <w:r w:rsidRPr="00003B04">
              <w:rPr>
                <w:sz w:val="20"/>
              </w:rPr>
              <w:t>November 8, 2016</w:t>
            </w:r>
          </w:p>
          <w:p w:rsidR="00EE4290" w:rsidRPr="00003B04" w:rsidRDefault="00EE4290" w:rsidP="00EE4290">
            <w:pPr>
              <w:rPr>
                <w:sz w:val="20"/>
              </w:rPr>
            </w:pPr>
            <w:r w:rsidRPr="00003B04">
              <w:rPr>
                <w:sz w:val="20"/>
              </w:rPr>
              <w:t>Supreme Court of Canada</w:t>
            </w:r>
          </w:p>
        </w:tc>
        <w:tc>
          <w:tcPr>
            <w:tcW w:w="243" w:type="pct"/>
          </w:tcPr>
          <w:p w:rsidR="00EE4290" w:rsidRPr="00003B04" w:rsidRDefault="00EE4290" w:rsidP="00EE4290">
            <w:pPr>
              <w:rPr>
                <w:sz w:val="20"/>
              </w:rPr>
            </w:pPr>
          </w:p>
        </w:tc>
        <w:tc>
          <w:tcPr>
            <w:tcW w:w="2330" w:type="pct"/>
          </w:tcPr>
          <w:p w:rsidR="00EE4290" w:rsidRPr="00003B04" w:rsidRDefault="00EE4290" w:rsidP="00EE4290">
            <w:pPr>
              <w:rPr>
                <w:sz w:val="20"/>
              </w:rPr>
            </w:pPr>
            <w:r w:rsidRPr="00003B04">
              <w:rPr>
                <w:sz w:val="20"/>
              </w:rPr>
              <w:t>Application for leave to appeal filed</w:t>
            </w:r>
          </w:p>
          <w:p w:rsidR="00EE4290" w:rsidRPr="00003B04" w:rsidRDefault="00EE4290" w:rsidP="00EE4290">
            <w:pPr>
              <w:rPr>
                <w:sz w:val="20"/>
              </w:rPr>
            </w:pPr>
          </w:p>
        </w:tc>
      </w:tr>
    </w:tbl>
    <w:p w:rsidR="00EE4290" w:rsidRPr="00003B04" w:rsidRDefault="00604445" w:rsidP="00EE4290">
      <w:pPr>
        <w:ind w:left="360" w:hanging="360"/>
        <w:jc w:val="both"/>
        <w:rPr>
          <w:sz w:val="20"/>
          <w:lang w:eastAsia="en-CA"/>
        </w:rPr>
      </w:pPr>
      <w:r>
        <w:rPr>
          <w:sz w:val="20"/>
          <w:szCs w:val="20"/>
        </w:rPr>
        <w:pict>
          <v:rect id="_x0000_i1067" style="width:2in;height:1pt" o:hrpct="0" o:hralign="center" o:hrstd="t" o:hrnoshade="t" o:hr="t" fillcolor="black [3213]" stroked="f"/>
        </w:pict>
      </w:r>
    </w:p>
    <w:p w:rsidR="00D310D9" w:rsidRPr="00003B04" w:rsidRDefault="00D310D9" w:rsidP="00EE4290">
      <w:pPr>
        <w:ind w:left="360" w:hanging="360"/>
        <w:jc w:val="both"/>
        <w:rPr>
          <w:sz w:val="20"/>
          <w:lang w:eastAsia="en-CA"/>
        </w:rPr>
      </w:pPr>
    </w:p>
    <w:p w:rsidR="008F5EB8" w:rsidRPr="00003B04" w:rsidRDefault="008F5EB8">
      <w:r w:rsidRPr="00003B04">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E4290" w:rsidRPr="00003B04" w:rsidTr="00EE4290">
        <w:tc>
          <w:tcPr>
            <w:tcW w:w="543" w:type="pct"/>
          </w:tcPr>
          <w:p w:rsidR="00EE4290" w:rsidRPr="00003B04" w:rsidRDefault="00EE4290" w:rsidP="00EE4290">
            <w:pPr>
              <w:rPr>
                <w:sz w:val="20"/>
              </w:rPr>
            </w:pPr>
            <w:r w:rsidRPr="00003B04">
              <w:rPr>
                <w:rStyle w:val="SCCFileNumberChar"/>
                <w:sz w:val="20"/>
                <w:szCs w:val="20"/>
              </w:rPr>
              <w:lastRenderedPageBreak/>
              <w:t>37279</w:t>
            </w:r>
          </w:p>
        </w:tc>
        <w:tc>
          <w:tcPr>
            <w:tcW w:w="4457" w:type="pct"/>
          </w:tcPr>
          <w:p w:rsidR="00EE4290" w:rsidRPr="00003B04" w:rsidRDefault="00EE4290" w:rsidP="00D310D9">
            <w:pPr>
              <w:pStyle w:val="SCCLsocParty"/>
              <w:jc w:val="left"/>
              <w:rPr>
                <w:b/>
                <w:sz w:val="20"/>
                <w:szCs w:val="20"/>
              </w:rPr>
            </w:pPr>
            <w:proofErr w:type="spellStart"/>
            <w:r w:rsidRPr="00003B04">
              <w:rPr>
                <w:b/>
                <w:sz w:val="20"/>
                <w:szCs w:val="20"/>
              </w:rPr>
              <w:t>Lonnie</w:t>
            </w:r>
            <w:proofErr w:type="spellEnd"/>
            <w:r w:rsidRPr="00003B04">
              <w:rPr>
                <w:b/>
                <w:sz w:val="20"/>
                <w:szCs w:val="20"/>
              </w:rPr>
              <w:t xml:space="preserve"> Anderson</w:t>
            </w:r>
            <w:r w:rsidR="001B621B" w:rsidRPr="00003B04">
              <w:rPr>
                <w:b/>
                <w:sz w:val="20"/>
                <w:szCs w:val="20"/>
              </w:rPr>
              <w:t xml:space="preserve"> et</w:t>
            </w:r>
            <w:r w:rsidRPr="00003B04">
              <w:rPr>
                <w:b/>
                <w:sz w:val="20"/>
                <w:szCs w:val="20"/>
              </w:rPr>
              <w:t xml:space="preserve"> L.J. Anderson </w:t>
            </w:r>
            <w:proofErr w:type="spellStart"/>
            <w:r w:rsidRPr="00003B04">
              <w:rPr>
                <w:b/>
                <w:sz w:val="20"/>
                <w:szCs w:val="20"/>
              </w:rPr>
              <w:t>Farms</w:t>
            </w:r>
            <w:proofErr w:type="spellEnd"/>
            <w:r w:rsidRPr="00003B04">
              <w:rPr>
                <w:b/>
                <w:sz w:val="20"/>
                <w:szCs w:val="20"/>
              </w:rPr>
              <w:t xml:space="preserve"> Ltd. c. Procureur général du Canada</w:t>
            </w:r>
          </w:p>
          <w:p w:rsidR="00EE4290" w:rsidRPr="00003B04" w:rsidRDefault="00EE4290" w:rsidP="00EE4290">
            <w:pPr>
              <w:rPr>
                <w:sz w:val="20"/>
              </w:rPr>
            </w:pPr>
            <w:r w:rsidRPr="00003B04">
              <w:rPr>
                <w:sz w:val="20"/>
              </w:rPr>
              <w:t>(Sask.) (</w:t>
            </w:r>
            <w:proofErr w:type="spellStart"/>
            <w:r w:rsidRPr="00003B04">
              <w:rPr>
                <w:sz w:val="20"/>
              </w:rPr>
              <w:t>Civile</w:t>
            </w:r>
            <w:proofErr w:type="spellEnd"/>
            <w:r w:rsidRPr="00003B04">
              <w:rPr>
                <w:sz w:val="20"/>
              </w:rPr>
              <w:t xml:space="preserve">) (Sur </w:t>
            </w:r>
            <w:proofErr w:type="spellStart"/>
            <w:r w:rsidRPr="00003B04">
              <w:rPr>
                <w:sz w:val="20"/>
              </w:rPr>
              <w:t>autorisation</w:t>
            </w:r>
            <w:proofErr w:type="spellEnd"/>
            <w:r w:rsidRPr="00003B04">
              <w:rPr>
                <w:sz w:val="20"/>
              </w:rPr>
              <w:t>)</w:t>
            </w:r>
          </w:p>
        </w:tc>
      </w:tr>
      <w:tr w:rsidR="00D310D9" w:rsidRPr="00C3697D" w:rsidTr="00EE4290">
        <w:tc>
          <w:tcPr>
            <w:tcW w:w="543" w:type="pct"/>
          </w:tcPr>
          <w:p w:rsidR="00D310D9" w:rsidRPr="00003B04" w:rsidRDefault="00D310D9" w:rsidP="00EE4290">
            <w:pPr>
              <w:rPr>
                <w:rStyle w:val="SCCFileNumberChar"/>
                <w:sz w:val="20"/>
                <w:szCs w:val="20"/>
              </w:rPr>
            </w:pPr>
            <w:r w:rsidRPr="00003B04">
              <w:rPr>
                <w:rStyle w:val="SCCFileNumberChar"/>
                <w:sz w:val="20"/>
                <w:szCs w:val="20"/>
              </w:rPr>
              <w:t>Coram:</w:t>
            </w:r>
          </w:p>
        </w:tc>
        <w:tc>
          <w:tcPr>
            <w:tcW w:w="4457" w:type="pct"/>
          </w:tcPr>
          <w:p w:rsidR="00D310D9" w:rsidRPr="00003B04" w:rsidRDefault="000E7F29" w:rsidP="00D310D9">
            <w:pPr>
              <w:pStyle w:val="SCCLsocParty"/>
              <w:jc w:val="left"/>
              <w:rPr>
                <w:sz w:val="20"/>
                <w:szCs w:val="20"/>
                <w:lang w:val="fr-FR"/>
              </w:rPr>
            </w:pPr>
            <w:r w:rsidRPr="00003B04">
              <w:rPr>
                <w:sz w:val="20"/>
                <w:szCs w:val="20"/>
                <w:lang w:val="fr-FR"/>
              </w:rPr>
              <w:t xml:space="preserve">La juge en chef </w:t>
            </w:r>
            <w:proofErr w:type="spellStart"/>
            <w:r w:rsidRPr="00003B04">
              <w:rPr>
                <w:sz w:val="20"/>
                <w:szCs w:val="20"/>
                <w:lang w:val="fr-FR"/>
              </w:rPr>
              <w:t>McLachlin</w:t>
            </w:r>
            <w:proofErr w:type="spellEnd"/>
            <w:r w:rsidRPr="00003B04">
              <w:rPr>
                <w:sz w:val="20"/>
                <w:szCs w:val="20"/>
                <w:lang w:val="fr-FR"/>
              </w:rPr>
              <w:t xml:space="preserve"> et les juges Abella, </w:t>
            </w:r>
            <w:proofErr w:type="spellStart"/>
            <w:r w:rsidRPr="00003B04">
              <w:rPr>
                <w:sz w:val="20"/>
                <w:szCs w:val="20"/>
                <w:lang w:val="fr-FR"/>
              </w:rPr>
              <w:t>Moldaver</w:t>
            </w:r>
            <w:proofErr w:type="spellEnd"/>
            <w:r w:rsidRPr="00003B04">
              <w:rPr>
                <w:sz w:val="20"/>
                <w:szCs w:val="20"/>
                <w:lang w:val="fr-FR"/>
              </w:rPr>
              <w:t xml:space="preserve">, </w:t>
            </w:r>
            <w:proofErr w:type="spellStart"/>
            <w:r w:rsidRPr="00003B04">
              <w:rPr>
                <w:sz w:val="20"/>
                <w:szCs w:val="20"/>
                <w:lang w:val="fr-FR"/>
              </w:rPr>
              <w:t>Karakatsanis</w:t>
            </w:r>
            <w:proofErr w:type="spellEnd"/>
            <w:r w:rsidRPr="00003B04">
              <w:rPr>
                <w:sz w:val="20"/>
                <w:szCs w:val="20"/>
                <w:lang w:val="fr-FR"/>
              </w:rPr>
              <w:t>, Wagner, Gascon, Côté, Brown et Rowe</w:t>
            </w:r>
          </w:p>
          <w:p w:rsidR="000E7F29" w:rsidRPr="00003B04" w:rsidRDefault="000E7F29" w:rsidP="000E7F29">
            <w:pPr>
              <w:rPr>
                <w:lang w:val="fr-FR"/>
              </w:rPr>
            </w:pPr>
          </w:p>
        </w:tc>
      </w:tr>
      <w:tr w:rsidR="00D310D9" w:rsidRPr="00C3697D" w:rsidTr="00D310D9">
        <w:tc>
          <w:tcPr>
            <w:tcW w:w="5000" w:type="pct"/>
            <w:gridSpan w:val="2"/>
          </w:tcPr>
          <w:p w:rsidR="00D310D9" w:rsidRPr="00003B04" w:rsidRDefault="000E7F29" w:rsidP="00D310D9">
            <w:pPr>
              <w:pStyle w:val="SCCLsocParty"/>
              <w:jc w:val="left"/>
              <w:rPr>
                <w:sz w:val="20"/>
                <w:szCs w:val="20"/>
              </w:rPr>
            </w:pPr>
            <w:r w:rsidRPr="00003B04">
              <w:rPr>
                <w:sz w:val="20"/>
                <w:szCs w:val="20"/>
              </w:rPr>
              <w:t xml:space="preserve">La demande d’autorisation d’appel de l’arrêt de la </w:t>
            </w:r>
            <w:r w:rsidRPr="00003B04">
              <w:rPr>
                <w:sz w:val="20"/>
                <w:szCs w:val="20"/>
                <w:lang w:val="fr-FR"/>
              </w:rPr>
              <w:t>Cour d’appel de la Saskatchewan</w:t>
            </w:r>
            <w:r w:rsidRPr="00003B04">
              <w:rPr>
                <w:sz w:val="20"/>
                <w:szCs w:val="20"/>
              </w:rPr>
              <w:t xml:space="preserve">, numéro </w:t>
            </w:r>
            <w:r w:rsidRPr="00003B04">
              <w:rPr>
                <w:sz w:val="20"/>
                <w:szCs w:val="20"/>
                <w:lang w:val="fr-FR"/>
              </w:rPr>
              <w:t>CACV2713, 2016 SKCA 120</w:t>
            </w:r>
            <w:r w:rsidRPr="00003B04">
              <w:rPr>
                <w:sz w:val="20"/>
                <w:szCs w:val="20"/>
              </w:rPr>
              <w:t xml:space="preserve">, daté du </w:t>
            </w:r>
            <w:r w:rsidRPr="00003B04">
              <w:rPr>
                <w:sz w:val="20"/>
                <w:szCs w:val="20"/>
                <w:lang w:val="fr-FR"/>
              </w:rPr>
              <w:t>9 septembre 2016</w:t>
            </w:r>
            <w:r w:rsidRPr="00003B04">
              <w:rPr>
                <w:sz w:val="20"/>
                <w:szCs w:val="20"/>
              </w:rPr>
              <w:t>, est rejetée avec dépens.</w:t>
            </w:r>
          </w:p>
          <w:p w:rsidR="000E7F29" w:rsidRPr="00003B04" w:rsidRDefault="000E7F29" w:rsidP="000E7F29">
            <w:pPr>
              <w:rPr>
                <w:lang w:val="fr-CA"/>
              </w:rPr>
            </w:pPr>
          </w:p>
        </w:tc>
      </w:tr>
      <w:tr w:rsidR="00EE4290" w:rsidRPr="00C3697D" w:rsidTr="00EE4290">
        <w:tc>
          <w:tcPr>
            <w:tcW w:w="5000" w:type="pct"/>
            <w:gridSpan w:val="2"/>
          </w:tcPr>
          <w:p w:rsidR="00EE4290" w:rsidRPr="00003B04" w:rsidRDefault="00EE4290" w:rsidP="00EE4290">
            <w:pPr>
              <w:jc w:val="both"/>
              <w:rPr>
                <w:sz w:val="20"/>
                <w:lang w:val="fr-CA"/>
              </w:rPr>
            </w:pPr>
            <w:r w:rsidRPr="00003B04">
              <w:rPr>
                <w:sz w:val="20"/>
                <w:lang w:val="fr-CA"/>
              </w:rPr>
              <w:t xml:space="preserve">Contrats – Rectification – Droit fiscal – Compétence – La décision de la Cour d’appel de la Saskatchewan annule-t-elle en fait la rectification accordée en matière fiscale? – La décision de la Cour d’appel de la Saskatchewan fixe-t-elle de justes limites entre la compétence de la Cour canadienne de l’impôt et celle des cours supérieures provinciales? </w:t>
            </w:r>
          </w:p>
        </w:tc>
      </w:tr>
      <w:tr w:rsidR="00EE4290" w:rsidRPr="00C3697D" w:rsidTr="00EE4290">
        <w:tc>
          <w:tcPr>
            <w:tcW w:w="5000" w:type="pct"/>
            <w:gridSpan w:val="2"/>
          </w:tcPr>
          <w:p w:rsidR="00EE4290" w:rsidRPr="00003B04" w:rsidRDefault="00EE4290" w:rsidP="00EE4290">
            <w:pPr>
              <w:rPr>
                <w:sz w:val="20"/>
                <w:lang w:val="fr-CA"/>
              </w:rPr>
            </w:pPr>
          </w:p>
        </w:tc>
      </w:tr>
      <w:tr w:rsidR="00EE4290" w:rsidRPr="00003B04" w:rsidTr="00EE4290">
        <w:tc>
          <w:tcPr>
            <w:tcW w:w="5000" w:type="pct"/>
            <w:gridSpan w:val="2"/>
          </w:tcPr>
          <w:p w:rsidR="00EE4290" w:rsidRPr="00003B04" w:rsidRDefault="00EE4290" w:rsidP="00EE4290">
            <w:pPr>
              <w:jc w:val="both"/>
              <w:rPr>
                <w:sz w:val="20"/>
                <w:lang w:val="fr-CA"/>
              </w:rPr>
            </w:pPr>
            <w:r w:rsidRPr="00003B04">
              <w:rPr>
                <w:sz w:val="20"/>
                <w:lang w:val="fr-CA"/>
              </w:rPr>
              <w:t xml:space="preserve">Le demandeur, M. Anderson, était propriétaire de matériel et de terres agricoles utilisés par la société demanderesse, L.J. Anderson </w:t>
            </w:r>
            <w:proofErr w:type="spellStart"/>
            <w:r w:rsidRPr="00003B04">
              <w:rPr>
                <w:sz w:val="20"/>
                <w:lang w:val="fr-CA"/>
              </w:rPr>
              <w:t>Farms</w:t>
            </w:r>
            <w:proofErr w:type="spellEnd"/>
            <w:r w:rsidRPr="00003B04">
              <w:rPr>
                <w:sz w:val="20"/>
                <w:lang w:val="fr-CA"/>
              </w:rPr>
              <w:t xml:space="preserve"> Ltd., en vue d’exploiter une entreprise agricole. La Société prêtait de l’argent à M. Anderson au moyen d’un prêt d’actionnaire. Le cabinet comptable des demandeurs, Benson </w:t>
            </w:r>
            <w:proofErr w:type="spellStart"/>
            <w:r w:rsidRPr="00003B04">
              <w:rPr>
                <w:sz w:val="20"/>
                <w:lang w:val="fr-CA"/>
              </w:rPr>
              <w:t>Trithardt</w:t>
            </w:r>
            <w:proofErr w:type="spellEnd"/>
            <w:r w:rsidRPr="00003B04">
              <w:rPr>
                <w:sz w:val="20"/>
                <w:lang w:val="fr-CA"/>
              </w:rPr>
              <w:t xml:space="preserve"> </w:t>
            </w:r>
            <w:proofErr w:type="spellStart"/>
            <w:r w:rsidRPr="00003B04">
              <w:rPr>
                <w:sz w:val="20"/>
                <w:lang w:val="fr-CA"/>
              </w:rPr>
              <w:t>Noren</w:t>
            </w:r>
            <w:proofErr w:type="spellEnd"/>
            <w:r w:rsidRPr="00003B04">
              <w:rPr>
                <w:sz w:val="20"/>
                <w:lang w:val="fr-CA"/>
              </w:rPr>
              <w:t xml:space="preserve"> LLP, craignait que le prêt d’actionnaire devienne un revenu imputé à M. Anderson pour l’année d’imposition 2011. M. Anderson a rencontré un associé du cabinet comptable le 6 octobre 2011 pour s’entretenir du problème que posait le prêt d’actionnaire et du risque qu’il soit considéré comme un revenu en sa possession. Il a été recommandé à M. Anderson de céder à la Société les terres et le matériel qui lui appartenaient personnellement par voie de ce que l’on appelle un transfert fondé sur l’art. 85. Les détails de l’entente n’ont pas été entièrement arrêtés ou consignés par écrit, mais le comptable a pris des notes de ce qui avait été accompli. M. Anderson s’est fié sur le cabinet comptable pour prendre les dispositions nécessaires à l’avancement du dossier. Le cabinet comptable a consigné dans les registres de la Société les opérations financières qu’était censé effectuer l’accord de transfert. Les registres de la Société indiquaient à qui appartenait désormais les actifs et que le prêt d’actionnaire avait été réduit. Le formulaire de transfert nécessaire a été remis à l’Agence du revenu du Canada (« ARC »). Le comptable a aussi commencé à travailler avec l’aide-comptable de M. Anderson afin de mener à bien les opérations financières et de rédiger des annexes sur les terres et le matériel agricoles qui résumaient la valeur de la propriété qui serait cédée à la Société. Le cabinet comptable n’a pas avisé le cabinet d’avocats des demandeurs des opérations, ni ne lui a donné d’instruction sur les documents à remplir et leur date de prise d’effet. Aucun document n’a été rédigé ou signé en 2011.</w:t>
            </w:r>
          </w:p>
          <w:p w:rsidR="00EE4290" w:rsidRPr="00003B04" w:rsidRDefault="00EE4290" w:rsidP="00EE4290">
            <w:pPr>
              <w:rPr>
                <w:sz w:val="20"/>
                <w:lang w:val="fr-CA"/>
              </w:rPr>
            </w:pPr>
          </w:p>
          <w:p w:rsidR="00EE4290" w:rsidRPr="00003B04" w:rsidRDefault="00EE4290" w:rsidP="00EE4290">
            <w:pPr>
              <w:jc w:val="both"/>
              <w:rPr>
                <w:sz w:val="20"/>
                <w:lang w:val="fr-CA"/>
              </w:rPr>
            </w:pPr>
            <w:r w:rsidRPr="00003B04">
              <w:rPr>
                <w:sz w:val="20"/>
                <w:lang w:val="fr-CA"/>
              </w:rPr>
              <w:t>Ce n’est qu’en mai 2013, après que l’ARC eut informé les demandeurs qu’elle vérifierait les documents relatifs à leur année d’imposition 2011 et le transfert, que le comptable a réalisé qu’il n’avait pas donné pour instruction aux avocats des demandeurs de préparer les documents nécessaires à l’exécution de l’accord. Le cabinet d’avocats a alors reçu pour instruction de préparer l’accord de transfert et les documents connexes. Il l’a fait, mais en indiquant que l’accord était daté du 1</w:t>
            </w:r>
            <w:r w:rsidRPr="00003B04">
              <w:rPr>
                <w:sz w:val="20"/>
                <w:vertAlign w:val="superscript"/>
                <w:lang w:val="fr-CA"/>
              </w:rPr>
              <w:t>er</w:t>
            </w:r>
            <w:r w:rsidRPr="00003B04">
              <w:rPr>
                <w:sz w:val="20"/>
                <w:lang w:val="fr-CA"/>
              </w:rPr>
              <w:t> janvier 2011. L’ARC a  examiné les documents et jugé qu’un transfert en bonne et due forme fondé sur l’art. 85 n’avait pas été effectué. Ainsi, une nouvelle cotisation donnerait sans doute lieu à une augmentation substantielle du revenu imposable de M. Anderson. On a retardé la nouvelle cotisation proposée pour permettre aux demandeurs de solliciter une rectification.</w:t>
            </w:r>
          </w:p>
          <w:p w:rsidR="00EE4290" w:rsidRPr="00003B04" w:rsidRDefault="00EE4290" w:rsidP="00EE4290">
            <w:pPr>
              <w:rPr>
                <w:sz w:val="20"/>
                <w:lang w:val="fr-CA"/>
              </w:rPr>
            </w:pPr>
          </w:p>
          <w:p w:rsidR="00EE4290" w:rsidRPr="00003B04" w:rsidRDefault="00EE4290" w:rsidP="00EE4290">
            <w:pPr>
              <w:jc w:val="both"/>
              <w:rPr>
                <w:sz w:val="20"/>
                <w:lang w:val="fr-CA"/>
              </w:rPr>
            </w:pPr>
            <w:r w:rsidRPr="00003B04">
              <w:rPr>
                <w:sz w:val="20"/>
                <w:lang w:val="fr-CA"/>
              </w:rPr>
              <w:t xml:space="preserve">Les demandeurs ont réclamé une réparation en </w:t>
            </w:r>
            <w:proofErr w:type="spellStart"/>
            <w:r w:rsidRPr="00003B04">
              <w:rPr>
                <w:sz w:val="20"/>
                <w:lang w:val="fr-CA"/>
              </w:rPr>
              <w:t>equity</w:t>
            </w:r>
            <w:proofErr w:type="spellEnd"/>
            <w:r w:rsidRPr="00003B04">
              <w:rPr>
                <w:sz w:val="20"/>
                <w:lang w:val="fr-CA"/>
              </w:rPr>
              <w:t xml:space="preserve"> à la Cour du Banc de la Reine, soutenant que les documents signés en 2013 ne constataient pas l’entente verbale intervenue en 2011. Ils ont demandé que les documents soient rectifiés et que cette réparation rétroagisse au 6 octobre 2011. Le juge en cabinet a rectifié les documents en remplaçant la date de prise d’effet du 1</w:t>
            </w:r>
            <w:r w:rsidRPr="00003B04">
              <w:rPr>
                <w:sz w:val="20"/>
                <w:vertAlign w:val="superscript"/>
                <w:lang w:val="fr-CA"/>
              </w:rPr>
              <w:t>er</w:t>
            </w:r>
            <w:r w:rsidRPr="00003B04">
              <w:rPr>
                <w:sz w:val="20"/>
                <w:lang w:val="fr-CA"/>
              </w:rPr>
              <w:t xml:space="preserve"> janvier 2011 par le 6 octobre 2011, mais il a refusé de déclarer les documents rétroactivement valides, exécutoires et en vigueur à cette date. D’après le juge en cabinet, la demande en vue d’obtenir pareil jugement déclaratoire avait pour objet d’empêcher la Cour canadienne de l’impôt de réexaminer tout appel éventuel de la nouvelle cotisation. Il n’était pas disposé à exercer la compétence du tribunal en </w:t>
            </w:r>
            <w:proofErr w:type="spellStart"/>
            <w:r w:rsidRPr="00003B04">
              <w:rPr>
                <w:sz w:val="20"/>
                <w:lang w:val="fr-CA"/>
              </w:rPr>
              <w:t>equity</w:t>
            </w:r>
            <w:proofErr w:type="spellEnd"/>
            <w:r w:rsidRPr="00003B04">
              <w:rPr>
                <w:sz w:val="20"/>
                <w:lang w:val="fr-CA"/>
              </w:rPr>
              <w:t xml:space="preserve"> pour aider au règlement du litige fiscal. L’appel des demandeurs a été rejeté. </w:t>
            </w:r>
          </w:p>
          <w:p w:rsidR="00EE4290" w:rsidRPr="00003B04" w:rsidRDefault="00EE4290" w:rsidP="00EE4290">
            <w:pPr>
              <w:rPr>
                <w:sz w:val="20"/>
                <w:lang w:val="fr-CA"/>
              </w:rPr>
            </w:pPr>
          </w:p>
          <w:p w:rsidR="00EE4290" w:rsidRPr="00003B04" w:rsidRDefault="00EE4290" w:rsidP="00EE4290">
            <w:pPr>
              <w:rPr>
                <w:sz w:val="20"/>
                <w:lang w:val="fr-CA"/>
              </w:rPr>
            </w:pPr>
          </w:p>
        </w:tc>
      </w:tr>
    </w:tbl>
    <w:p w:rsidR="008F5EB8" w:rsidRPr="00003B04" w:rsidRDefault="008F5EB8">
      <w:r w:rsidRPr="00003B04">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E4290" w:rsidRPr="00C3697D" w:rsidTr="00EE4290">
        <w:tc>
          <w:tcPr>
            <w:tcW w:w="2427" w:type="pct"/>
          </w:tcPr>
          <w:p w:rsidR="00EE4290" w:rsidRPr="00003B04" w:rsidRDefault="00EE4290" w:rsidP="00EE4290">
            <w:pPr>
              <w:rPr>
                <w:sz w:val="20"/>
                <w:lang w:val="fr-CA"/>
              </w:rPr>
            </w:pPr>
            <w:r w:rsidRPr="00003B04">
              <w:rPr>
                <w:sz w:val="20"/>
                <w:lang w:val="fr-CA"/>
              </w:rPr>
              <w:lastRenderedPageBreak/>
              <w:t>1</w:t>
            </w:r>
            <w:r w:rsidRPr="00003B04">
              <w:rPr>
                <w:sz w:val="20"/>
                <w:vertAlign w:val="superscript"/>
                <w:lang w:val="fr-CA"/>
              </w:rPr>
              <w:t>er</w:t>
            </w:r>
            <w:r w:rsidRPr="00003B04">
              <w:rPr>
                <w:sz w:val="20"/>
                <w:lang w:val="fr-CA"/>
              </w:rPr>
              <w:t xml:space="preserve"> mai 2015</w:t>
            </w:r>
          </w:p>
          <w:p w:rsidR="00EE4290" w:rsidRPr="00003B04" w:rsidRDefault="00EE4290" w:rsidP="00EE4290">
            <w:pPr>
              <w:rPr>
                <w:sz w:val="20"/>
                <w:lang w:val="fr-CA"/>
              </w:rPr>
            </w:pPr>
            <w:r w:rsidRPr="00003B04">
              <w:rPr>
                <w:sz w:val="20"/>
                <w:lang w:val="fr-CA"/>
              </w:rPr>
              <w:t>Cour du Banc de la Reine de la Saskatchewan</w:t>
            </w:r>
          </w:p>
          <w:p w:rsidR="00EE4290" w:rsidRPr="00003B04" w:rsidRDefault="00EE4290" w:rsidP="00EE4290">
            <w:pPr>
              <w:rPr>
                <w:sz w:val="20"/>
                <w:lang w:val="fr-CA"/>
              </w:rPr>
            </w:pPr>
            <w:r w:rsidRPr="00003B04">
              <w:rPr>
                <w:sz w:val="20"/>
                <w:lang w:val="fr-CA"/>
              </w:rPr>
              <w:t>(Juge Mills)</w:t>
            </w:r>
          </w:p>
          <w:p w:rsidR="00EE4290" w:rsidRPr="00003B04" w:rsidRDefault="00604445" w:rsidP="00EE4290">
            <w:pPr>
              <w:rPr>
                <w:sz w:val="20"/>
              </w:rPr>
            </w:pPr>
            <w:hyperlink r:id="rId65" w:history="1">
              <w:r w:rsidR="00EE4290" w:rsidRPr="00003B04">
                <w:rPr>
                  <w:rStyle w:val="Hyperlink"/>
                  <w:sz w:val="20"/>
                </w:rPr>
                <w:t>2015 SKQB 123</w:t>
              </w:r>
            </w:hyperlink>
          </w:p>
          <w:p w:rsidR="00EE4290" w:rsidRPr="00003B04" w:rsidRDefault="00EE4290" w:rsidP="00EE4290">
            <w:pPr>
              <w:rPr>
                <w:sz w:val="20"/>
              </w:rPr>
            </w:pPr>
          </w:p>
        </w:tc>
        <w:tc>
          <w:tcPr>
            <w:tcW w:w="243" w:type="pct"/>
          </w:tcPr>
          <w:p w:rsidR="00EE4290" w:rsidRPr="00003B04" w:rsidRDefault="00EE4290" w:rsidP="00EE4290">
            <w:pPr>
              <w:rPr>
                <w:sz w:val="20"/>
              </w:rPr>
            </w:pPr>
          </w:p>
        </w:tc>
        <w:tc>
          <w:tcPr>
            <w:tcW w:w="2330" w:type="pct"/>
          </w:tcPr>
          <w:p w:rsidR="00EE4290" w:rsidRPr="00003B04" w:rsidRDefault="00EE4290" w:rsidP="00EE4290">
            <w:pPr>
              <w:jc w:val="both"/>
              <w:rPr>
                <w:sz w:val="20"/>
                <w:lang w:val="fr-CA"/>
              </w:rPr>
            </w:pPr>
            <w:r w:rsidRPr="00003B04">
              <w:rPr>
                <w:sz w:val="20"/>
                <w:lang w:val="fr-CA"/>
              </w:rPr>
              <w:t>Demande que soit fixée au 6 octobre 2011 la date de prise d’effet de l’accord de transfert, du billet à ordre, du registre des actionnaires de la Société et du certificat d’action, accueillie; rejet de la demande de déclaration que les documents ont un effet rétroactif</w:t>
            </w:r>
          </w:p>
          <w:p w:rsidR="00EE4290" w:rsidRPr="00003B04" w:rsidRDefault="00EE4290" w:rsidP="00EE4290">
            <w:pPr>
              <w:rPr>
                <w:sz w:val="20"/>
                <w:lang w:val="fr-CA"/>
              </w:rPr>
            </w:pPr>
          </w:p>
        </w:tc>
      </w:tr>
      <w:tr w:rsidR="00EE4290" w:rsidRPr="00003B04" w:rsidTr="00EE4290">
        <w:tc>
          <w:tcPr>
            <w:tcW w:w="2427" w:type="pct"/>
          </w:tcPr>
          <w:p w:rsidR="00EE4290" w:rsidRPr="00003B04" w:rsidRDefault="00EE4290" w:rsidP="00EE4290">
            <w:pPr>
              <w:rPr>
                <w:sz w:val="20"/>
                <w:lang w:val="fr-CA"/>
              </w:rPr>
            </w:pPr>
            <w:r w:rsidRPr="00003B04">
              <w:rPr>
                <w:sz w:val="20"/>
                <w:lang w:val="fr-CA"/>
              </w:rPr>
              <w:t>9 septembre 2016</w:t>
            </w:r>
          </w:p>
          <w:p w:rsidR="00EE4290" w:rsidRPr="00003B04" w:rsidRDefault="00EE4290" w:rsidP="00EE4290">
            <w:pPr>
              <w:rPr>
                <w:sz w:val="20"/>
                <w:lang w:val="fr-CA"/>
              </w:rPr>
            </w:pPr>
            <w:r w:rsidRPr="00003B04">
              <w:rPr>
                <w:sz w:val="20"/>
                <w:lang w:val="fr-CA"/>
              </w:rPr>
              <w:t>Cour d’appel de la Saskatchewan</w:t>
            </w:r>
          </w:p>
          <w:p w:rsidR="00EE4290" w:rsidRPr="00003B04" w:rsidRDefault="00EE4290" w:rsidP="00EE4290">
            <w:pPr>
              <w:rPr>
                <w:sz w:val="20"/>
                <w:lang w:val="fr-CA"/>
              </w:rPr>
            </w:pPr>
            <w:r w:rsidRPr="00003B04">
              <w:rPr>
                <w:sz w:val="20"/>
                <w:lang w:val="fr-CA"/>
              </w:rPr>
              <w:t>(JC Richards et juges Lane et Ryan-</w:t>
            </w:r>
            <w:proofErr w:type="spellStart"/>
            <w:r w:rsidRPr="00003B04">
              <w:rPr>
                <w:sz w:val="20"/>
                <w:lang w:val="fr-CA"/>
              </w:rPr>
              <w:t>Frosile</w:t>
            </w:r>
            <w:proofErr w:type="spellEnd"/>
            <w:r w:rsidRPr="00003B04">
              <w:rPr>
                <w:sz w:val="20"/>
                <w:lang w:val="fr-CA"/>
              </w:rPr>
              <w:t>)</w:t>
            </w:r>
          </w:p>
          <w:p w:rsidR="00EE4290" w:rsidRPr="00003B04" w:rsidRDefault="00604445" w:rsidP="00EE4290">
            <w:pPr>
              <w:rPr>
                <w:sz w:val="20"/>
                <w:lang w:val="fr-CA"/>
              </w:rPr>
            </w:pPr>
            <w:hyperlink r:id="rId66" w:history="1">
              <w:r w:rsidR="00EE4290" w:rsidRPr="00003B04">
                <w:rPr>
                  <w:rStyle w:val="Hyperlink"/>
                  <w:sz w:val="20"/>
                  <w:lang w:val="fr-CA"/>
                </w:rPr>
                <w:t>2016 SKCA 120</w:t>
              </w:r>
            </w:hyperlink>
            <w:r w:rsidR="00EE4290" w:rsidRPr="00003B04">
              <w:rPr>
                <w:sz w:val="20"/>
                <w:lang w:val="fr-CA"/>
              </w:rPr>
              <w:t>; CACV2713</w:t>
            </w:r>
          </w:p>
          <w:p w:rsidR="00EE4290" w:rsidRPr="00003B04" w:rsidRDefault="00EE4290" w:rsidP="00EE4290">
            <w:pPr>
              <w:rPr>
                <w:sz w:val="20"/>
                <w:lang w:val="fr-CA"/>
              </w:rPr>
            </w:pPr>
          </w:p>
        </w:tc>
        <w:tc>
          <w:tcPr>
            <w:tcW w:w="243" w:type="pct"/>
          </w:tcPr>
          <w:p w:rsidR="00EE4290" w:rsidRPr="00003B04" w:rsidRDefault="00EE4290" w:rsidP="00EE4290">
            <w:pPr>
              <w:rPr>
                <w:sz w:val="20"/>
                <w:lang w:val="fr-CA"/>
              </w:rPr>
            </w:pPr>
          </w:p>
        </w:tc>
        <w:tc>
          <w:tcPr>
            <w:tcW w:w="2330" w:type="pct"/>
          </w:tcPr>
          <w:p w:rsidR="00EE4290" w:rsidRPr="00003B04" w:rsidRDefault="00EE4290" w:rsidP="00EE4290">
            <w:pPr>
              <w:rPr>
                <w:sz w:val="20"/>
              </w:rPr>
            </w:pPr>
            <w:proofErr w:type="spellStart"/>
            <w:r w:rsidRPr="00003B04">
              <w:rPr>
                <w:sz w:val="20"/>
              </w:rPr>
              <w:t>Rejet</w:t>
            </w:r>
            <w:proofErr w:type="spellEnd"/>
            <w:r w:rsidRPr="00003B04">
              <w:rPr>
                <w:sz w:val="20"/>
              </w:rPr>
              <w:t xml:space="preserve"> de </w:t>
            </w:r>
            <w:proofErr w:type="spellStart"/>
            <w:r w:rsidRPr="00003B04">
              <w:rPr>
                <w:sz w:val="20"/>
              </w:rPr>
              <w:t>l’appel</w:t>
            </w:r>
            <w:proofErr w:type="spellEnd"/>
          </w:p>
          <w:p w:rsidR="00EE4290" w:rsidRPr="00003B04" w:rsidRDefault="00EE4290" w:rsidP="00EE4290">
            <w:pPr>
              <w:rPr>
                <w:sz w:val="20"/>
              </w:rPr>
            </w:pPr>
          </w:p>
          <w:p w:rsidR="00EE4290" w:rsidRPr="00003B04" w:rsidRDefault="00EE4290" w:rsidP="00EE4290">
            <w:pPr>
              <w:rPr>
                <w:sz w:val="20"/>
              </w:rPr>
            </w:pPr>
          </w:p>
        </w:tc>
      </w:tr>
      <w:tr w:rsidR="00EE4290" w:rsidRPr="00C3697D" w:rsidTr="00EE4290">
        <w:tc>
          <w:tcPr>
            <w:tcW w:w="2427" w:type="pct"/>
          </w:tcPr>
          <w:p w:rsidR="00EE4290" w:rsidRPr="00003B04" w:rsidRDefault="00EE4290" w:rsidP="00EE4290">
            <w:pPr>
              <w:rPr>
                <w:sz w:val="20"/>
                <w:lang w:val="fr-CA"/>
              </w:rPr>
            </w:pPr>
            <w:r w:rsidRPr="00003B04">
              <w:rPr>
                <w:sz w:val="20"/>
                <w:lang w:val="fr-CA"/>
              </w:rPr>
              <w:t>8 novembre 2016</w:t>
            </w:r>
          </w:p>
          <w:p w:rsidR="00EE4290" w:rsidRPr="00003B04" w:rsidRDefault="00EE4290" w:rsidP="00EE4290">
            <w:pPr>
              <w:rPr>
                <w:sz w:val="20"/>
                <w:lang w:val="fr-CA"/>
              </w:rPr>
            </w:pPr>
            <w:r w:rsidRPr="00003B04">
              <w:rPr>
                <w:sz w:val="20"/>
                <w:lang w:val="fr-CA"/>
              </w:rPr>
              <w:t>Cour suprême du Canada</w:t>
            </w:r>
          </w:p>
        </w:tc>
        <w:tc>
          <w:tcPr>
            <w:tcW w:w="243" w:type="pct"/>
          </w:tcPr>
          <w:p w:rsidR="00EE4290" w:rsidRPr="00003B04" w:rsidRDefault="00EE4290" w:rsidP="00EE4290">
            <w:pPr>
              <w:rPr>
                <w:sz w:val="20"/>
                <w:lang w:val="fr-CA"/>
              </w:rPr>
            </w:pPr>
          </w:p>
        </w:tc>
        <w:tc>
          <w:tcPr>
            <w:tcW w:w="2330" w:type="pct"/>
          </w:tcPr>
          <w:p w:rsidR="00EE4290" w:rsidRPr="00003B04" w:rsidRDefault="00EE4290" w:rsidP="00EE4290">
            <w:pPr>
              <w:rPr>
                <w:sz w:val="20"/>
                <w:lang w:val="fr-CA"/>
              </w:rPr>
            </w:pPr>
            <w:r w:rsidRPr="00003B04">
              <w:rPr>
                <w:sz w:val="20"/>
                <w:lang w:val="fr-CA"/>
              </w:rPr>
              <w:t xml:space="preserve">Dépôt de la demande d’autorisation d’appel </w:t>
            </w:r>
          </w:p>
          <w:p w:rsidR="00EE4290" w:rsidRPr="00003B04" w:rsidRDefault="00EE4290" w:rsidP="00EE4290">
            <w:pPr>
              <w:rPr>
                <w:sz w:val="20"/>
                <w:lang w:val="fr-CA"/>
              </w:rPr>
            </w:pPr>
          </w:p>
        </w:tc>
      </w:tr>
    </w:tbl>
    <w:p w:rsidR="00EE4290" w:rsidRPr="00003B04" w:rsidRDefault="00604445" w:rsidP="00EE4290">
      <w:pPr>
        <w:ind w:left="360" w:hanging="360"/>
        <w:jc w:val="both"/>
        <w:rPr>
          <w:sz w:val="20"/>
          <w:lang w:val="fr-CA" w:eastAsia="en-CA"/>
        </w:rPr>
      </w:pPr>
      <w:r>
        <w:rPr>
          <w:sz w:val="20"/>
          <w:szCs w:val="20"/>
        </w:rPr>
        <w:pict>
          <v:rect id="_x0000_i1068" style="width:2in;height:1pt" o:hrpct="0" o:hralign="center" o:hrstd="t" o:hrnoshade="t" o:hr="t" fillcolor="black [3213]" stroked="f"/>
        </w:pict>
      </w:r>
    </w:p>
    <w:p w:rsidR="00EE4290" w:rsidRPr="00003B04" w:rsidRDefault="00EE4290" w:rsidP="00EE4290">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E4290" w:rsidRPr="00003B04" w:rsidTr="00EE4290">
        <w:tc>
          <w:tcPr>
            <w:tcW w:w="543" w:type="pct"/>
          </w:tcPr>
          <w:p w:rsidR="00EE4290" w:rsidRPr="00003B04" w:rsidRDefault="00EE4290" w:rsidP="00EE4290">
            <w:pPr>
              <w:jc w:val="both"/>
              <w:rPr>
                <w:sz w:val="20"/>
              </w:rPr>
            </w:pPr>
            <w:r w:rsidRPr="00003B04">
              <w:rPr>
                <w:rStyle w:val="SCCFileNumberChar"/>
                <w:sz w:val="20"/>
                <w:szCs w:val="20"/>
              </w:rPr>
              <w:t>37324</w:t>
            </w:r>
          </w:p>
        </w:tc>
        <w:tc>
          <w:tcPr>
            <w:tcW w:w="4457" w:type="pct"/>
            <w:gridSpan w:val="3"/>
          </w:tcPr>
          <w:p w:rsidR="00EE4290" w:rsidRPr="00003B04" w:rsidRDefault="00EE4290" w:rsidP="00767A6B">
            <w:pPr>
              <w:pStyle w:val="SCCLsocParty"/>
              <w:jc w:val="both"/>
              <w:rPr>
                <w:sz w:val="20"/>
                <w:lang w:val="en-US"/>
              </w:rPr>
            </w:pPr>
            <w:proofErr w:type="spellStart"/>
            <w:r w:rsidRPr="00003B04">
              <w:rPr>
                <w:b/>
                <w:sz w:val="20"/>
                <w:szCs w:val="20"/>
                <w:lang w:val="en-US"/>
              </w:rPr>
              <w:t>Awet</w:t>
            </w:r>
            <w:proofErr w:type="spellEnd"/>
            <w:r w:rsidRPr="00003B04">
              <w:rPr>
                <w:b/>
                <w:sz w:val="20"/>
                <w:szCs w:val="20"/>
                <w:lang w:val="en-US"/>
              </w:rPr>
              <w:t xml:space="preserve"> </w:t>
            </w:r>
            <w:proofErr w:type="spellStart"/>
            <w:r w:rsidRPr="00003B04">
              <w:rPr>
                <w:b/>
                <w:sz w:val="20"/>
                <w:szCs w:val="20"/>
                <w:lang w:val="en-US"/>
              </w:rPr>
              <w:t>Asfaha</w:t>
            </w:r>
            <w:proofErr w:type="spellEnd"/>
            <w:r w:rsidRPr="00003B04">
              <w:rPr>
                <w:b/>
                <w:sz w:val="20"/>
                <w:szCs w:val="20"/>
                <w:lang w:val="en-US"/>
              </w:rPr>
              <w:t xml:space="preserve"> v. Her Majesty the Queen</w:t>
            </w:r>
            <w:r w:rsidR="00767A6B" w:rsidRPr="00003B04">
              <w:rPr>
                <w:b/>
                <w:sz w:val="20"/>
                <w:szCs w:val="20"/>
                <w:lang w:val="en-US"/>
              </w:rPr>
              <w:t xml:space="preserve"> </w:t>
            </w:r>
            <w:r w:rsidRPr="00003B04">
              <w:rPr>
                <w:sz w:val="20"/>
                <w:lang w:val="en-US"/>
              </w:rPr>
              <w:t>(Ont.) (Criminal) (By Leave)</w:t>
            </w:r>
          </w:p>
          <w:p w:rsidR="00767A6B" w:rsidRPr="00003B04" w:rsidRDefault="00767A6B" w:rsidP="00767A6B">
            <w:pPr>
              <w:rPr>
                <w:lang w:val="en-US"/>
              </w:rPr>
            </w:pPr>
          </w:p>
        </w:tc>
      </w:tr>
      <w:tr w:rsidR="00D310D9" w:rsidRPr="00003B04" w:rsidTr="00EE4290">
        <w:tc>
          <w:tcPr>
            <w:tcW w:w="543" w:type="pct"/>
          </w:tcPr>
          <w:p w:rsidR="00D310D9" w:rsidRPr="00003B04" w:rsidRDefault="00D310D9" w:rsidP="00EE4290">
            <w:pPr>
              <w:jc w:val="both"/>
              <w:rPr>
                <w:rStyle w:val="SCCFileNumberChar"/>
                <w:sz w:val="20"/>
                <w:szCs w:val="20"/>
              </w:rPr>
            </w:pPr>
            <w:r w:rsidRPr="00003B04">
              <w:rPr>
                <w:rStyle w:val="SCCFileNumberChar"/>
                <w:sz w:val="20"/>
                <w:szCs w:val="20"/>
              </w:rPr>
              <w:t>Coram:</w:t>
            </w:r>
          </w:p>
        </w:tc>
        <w:tc>
          <w:tcPr>
            <w:tcW w:w="4457" w:type="pct"/>
            <w:gridSpan w:val="3"/>
          </w:tcPr>
          <w:p w:rsidR="00D310D9" w:rsidRPr="00003B04" w:rsidRDefault="000E7F29" w:rsidP="00EE4290">
            <w:pPr>
              <w:pStyle w:val="SCCLsocParty"/>
              <w:jc w:val="both"/>
              <w:rPr>
                <w:rFonts w:eastAsiaTheme="minorEastAsia"/>
                <w:sz w:val="20"/>
                <w:szCs w:val="20"/>
                <w:lang w:val="en-US"/>
              </w:rPr>
            </w:pPr>
            <w:proofErr w:type="spellStart"/>
            <w:r w:rsidRPr="00003B04">
              <w:rPr>
                <w:rFonts w:eastAsiaTheme="minorEastAsia"/>
                <w:sz w:val="20"/>
                <w:szCs w:val="20"/>
                <w:lang w:val="en-US"/>
              </w:rPr>
              <w:t>McLachlin</w:t>
            </w:r>
            <w:proofErr w:type="spellEnd"/>
            <w:r w:rsidRPr="00003B04">
              <w:rPr>
                <w:rFonts w:eastAsiaTheme="minorEastAsia"/>
                <w:sz w:val="20"/>
                <w:szCs w:val="20"/>
                <w:lang w:val="en-US"/>
              </w:rPr>
              <w:t xml:space="preserve"> C.J. and </w:t>
            </w:r>
            <w:proofErr w:type="spellStart"/>
            <w:r w:rsidRPr="00003B04">
              <w:rPr>
                <w:rFonts w:eastAsiaTheme="minorEastAsia"/>
                <w:sz w:val="20"/>
                <w:szCs w:val="20"/>
                <w:lang w:val="en-US"/>
              </w:rPr>
              <w:t>Abella</w:t>
            </w:r>
            <w:proofErr w:type="spellEnd"/>
            <w:r w:rsidRPr="00003B04">
              <w:rPr>
                <w:rFonts w:eastAsiaTheme="minorEastAsia"/>
                <w:sz w:val="20"/>
                <w:szCs w:val="20"/>
                <w:lang w:val="en-US"/>
              </w:rPr>
              <w:t xml:space="preserve">, </w:t>
            </w:r>
            <w:proofErr w:type="spellStart"/>
            <w:r w:rsidRPr="00003B04">
              <w:rPr>
                <w:rFonts w:eastAsiaTheme="minorEastAsia"/>
                <w:sz w:val="20"/>
                <w:szCs w:val="20"/>
                <w:lang w:val="en-US"/>
              </w:rPr>
              <w:t>Moldaver</w:t>
            </w:r>
            <w:proofErr w:type="spellEnd"/>
            <w:r w:rsidRPr="00003B04">
              <w:rPr>
                <w:rFonts w:eastAsiaTheme="minorEastAsia"/>
                <w:sz w:val="20"/>
                <w:szCs w:val="20"/>
                <w:lang w:val="en-US"/>
              </w:rPr>
              <w:t xml:space="preserve">, </w:t>
            </w:r>
            <w:proofErr w:type="spellStart"/>
            <w:r w:rsidRPr="00003B04">
              <w:rPr>
                <w:rFonts w:eastAsiaTheme="minorEastAsia"/>
                <w:sz w:val="20"/>
                <w:szCs w:val="20"/>
                <w:lang w:val="en-US"/>
              </w:rPr>
              <w:t>Karakatsanis</w:t>
            </w:r>
            <w:proofErr w:type="spellEnd"/>
            <w:r w:rsidRPr="00003B04">
              <w:rPr>
                <w:rFonts w:eastAsiaTheme="minorEastAsia"/>
                <w:sz w:val="20"/>
                <w:szCs w:val="20"/>
                <w:lang w:val="en-US"/>
              </w:rPr>
              <w:t xml:space="preserve">, Wagner, </w:t>
            </w:r>
            <w:proofErr w:type="spellStart"/>
            <w:r w:rsidRPr="00003B04">
              <w:rPr>
                <w:rFonts w:eastAsiaTheme="minorEastAsia"/>
                <w:sz w:val="20"/>
                <w:szCs w:val="20"/>
                <w:lang w:val="en-US"/>
              </w:rPr>
              <w:t>Gascon</w:t>
            </w:r>
            <w:proofErr w:type="spellEnd"/>
            <w:r w:rsidRPr="00003B04">
              <w:rPr>
                <w:rFonts w:eastAsiaTheme="minorEastAsia"/>
                <w:sz w:val="20"/>
                <w:szCs w:val="20"/>
                <w:lang w:val="en-US"/>
              </w:rPr>
              <w:t xml:space="preserve">, </w:t>
            </w:r>
            <w:proofErr w:type="spellStart"/>
            <w:r w:rsidRPr="00003B04">
              <w:rPr>
                <w:rFonts w:eastAsiaTheme="minorEastAsia"/>
                <w:sz w:val="20"/>
                <w:szCs w:val="20"/>
                <w:lang w:val="en-US"/>
              </w:rPr>
              <w:t>Côté</w:t>
            </w:r>
            <w:proofErr w:type="spellEnd"/>
            <w:r w:rsidRPr="00003B04">
              <w:rPr>
                <w:rFonts w:eastAsiaTheme="minorEastAsia"/>
                <w:sz w:val="20"/>
                <w:szCs w:val="20"/>
                <w:lang w:val="en-US"/>
              </w:rPr>
              <w:t>, Brown and Rowe JJ.</w:t>
            </w:r>
          </w:p>
          <w:p w:rsidR="000E7F29" w:rsidRPr="00003B04" w:rsidRDefault="000E7F29" w:rsidP="000E7F29">
            <w:pPr>
              <w:rPr>
                <w:lang w:val="en-US"/>
              </w:rPr>
            </w:pPr>
          </w:p>
        </w:tc>
      </w:tr>
      <w:tr w:rsidR="00D310D9" w:rsidRPr="00003B04" w:rsidTr="00D310D9">
        <w:tc>
          <w:tcPr>
            <w:tcW w:w="5000" w:type="pct"/>
            <w:gridSpan w:val="4"/>
          </w:tcPr>
          <w:p w:rsidR="00D310D9" w:rsidRPr="00003B04" w:rsidRDefault="000E7F29" w:rsidP="00EE4290">
            <w:pPr>
              <w:pStyle w:val="SCCLsocParty"/>
              <w:jc w:val="both"/>
              <w:rPr>
                <w:sz w:val="20"/>
                <w:szCs w:val="20"/>
                <w:lang w:val="en-US"/>
              </w:rPr>
            </w:pPr>
            <w:r w:rsidRPr="00003B04">
              <w:rPr>
                <w:sz w:val="20"/>
                <w:szCs w:val="20"/>
                <w:lang w:val="en-US"/>
              </w:rPr>
              <w:t>The motion for an extension of time to serve and file the application for leave to appeal is granted. The application for leave to appeal from the judgment of the Court of Appeal for Ontario, Number C57008, 2015 ONCA 880, dated December 14, 2015, is dismissed.</w:t>
            </w:r>
          </w:p>
          <w:p w:rsidR="000E7F29" w:rsidRPr="00003B04" w:rsidRDefault="000E7F29" w:rsidP="000E7F29">
            <w:pPr>
              <w:rPr>
                <w:lang w:val="en-US"/>
              </w:rPr>
            </w:pPr>
          </w:p>
        </w:tc>
      </w:tr>
      <w:tr w:rsidR="00EE4290" w:rsidRPr="00003B04" w:rsidTr="00EE4290">
        <w:tc>
          <w:tcPr>
            <w:tcW w:w="5000" w:type="pct"/>
            <w:gridSpan w:val="4"/>
          </w:tcPr>
          <w:p w:rsidR="00EE4290" w:rsidRPr="00003B04" w:rsidRDefault="00EE4290" w:rsidP="00EE4290">
            <w:pPr>
              <w:jc w:val="both"/>
              <w:rPr>
                <w:sz w:val="20"/>
              </w:rPr>
            </w:pPr>
            <w:r w:rsidRPr="00003B04">
              <w:rPr>
                <w:sz w:val="20"/>
              </w:rPr>
              <w:t>Criminal law – Charge to jury – Evidence – Jury selection – Whether trial judge erred in instructing jury that eyewitness description evidence is inherently frail – Whether trial judge misdirected jury concerning accused’s interest in outcome of trial – Whether jury was properly constituted?</w:t>
            </w:r>
          </w:p>
        </w:tc>
      </w:tr>
      <w:tr w:rsidR="00EE4290" w:rsidRPr="00003B04" w:rsidTr="00EE4290">
        <w:tc>
          <w:tcPr>
            <w:tcW w:w="5000" w:type="pct"/>
            <w:gridSpan w:val="4"/>
          </w:tcPr>
          <w:p w:rsidR="00EE4290" w:rsidRPr="00003B04" w:rsidRDefault="00EE4290" w:rsidP="00EE4290">
            <w:pPr>
              <w:jc w:val="both"/>
              <w:rPr>
                <w:sz w:val="20"/>
              </w:rPr>
            </w:pPr>
          </w:p>
        </w:tc>
      </w:tr>
      <w:tr w:rsidR="00EE4290" w:rsidRPr="00003B04" w:rsidTr="00EE4290">
        <w:tc>
          <w:tcPr>
            <w:tcW w:w="5000" w:type="pct"/>
            <w:gridSpan w:val="4"/>
          </w:tcPr>
          <w:p w:rsidR="00EE4290" w:rsidRPr="00003B04" w:rsidRDefault="00EE4290" w:rsidP="00EE4290">
            <w:pPr>
              <w:jc w:val="both"/>
              <w:rPr>
                <w:sz w:val="20"/>
              </w:rPr>
            </w:pPr>
            <w:r w:rsidRPr="00003B04">
              <w:rPr>
                <w:sz w:val="20"/>
              </w:rPr>
              <w:t>Following a fatal shooting, Mr. </w:t>
            </w:r>
            <w:proofErr w:type="spellStart"/>
            <w:r w:rsidRPr="00003B04">
              <w:rPr>
                <w:sz w:val="20"/>
              </w:rPr>
              <w:t>Asfaha</w:t>
            </w:r>
            <w:proofErr w:type="spellEnd"/>
            <w:r w:rsidRPr="00003B04">
              <w:rPr>
                <w:sz w:val="20"/>
              </w:rPr>
              <w:t xml:space="preserve"> and a co-accused were tried before a jury for first degree murder. </w:t>
            </w:r>
            <w:r w:rsidRPr="00003B04">
              <w:rPr>
                <w:color w:val="000000"/>
                <w:sz w:val="20"/>
              </w:rPr>
              <w:t xml:space="preserve">Challenges for cause during jury selection were adjudicated using static triers without an express application under s. 640(2.l) of the </w:t>
            </w:r>
            <w:r w:rsidRPr="00003B04">
              <w:rPr>
                <w:i/>
                <w:iCs/>
                <w:color w:val="000000"/>
                <w:sz w:val="20"/>
              </w:rPr>
              <w:t>Criminal Code</w:t>
            </w:r>
            <w:r w:rsidRPr="00003B04">
              <w:rPr>
                <w:iCs/>
                <w:color w:val="000000"/>
                <w:sz w:val="20"/>
              </w:rPr>
              <w:t>.</w:t>
            </w:r>
            <w:r w:rsidRPr="00003B04">
              <w:rPr>
                <w:sz w:val="20"/>
                <w:lang w:eastAsia="en-CA"/>
              </w:rPr>
              <w:t xml:space="preserve"> </w:t>
            </w:r>
            <w:r w:rsidRPr="00003B04">
              <w:rPr>
                <w:sz w:val="20"/>
              </w:rPr>
              <w:t>Mr. </w:t>
            </w:r>
            <w:proofErr w:type="spellStart"/>
            <w:r w:rsidRPr="00003B04">
              <w:rPr>
                <w:sz w:val="20"/>
              </w:rPr>
              <w:t>Asfaha’s</w:t>
            </w:r>
            <w:proofErr w:type="spellEnd"/>
            <w:r w:rsidRPr="00003B04">
              <w:rPr>
                <w:sz w:val="20"/>
              </w:rPr>
              <w:t xml:space="preserve"> co-accused testified that Mr. </w:t>
            </w:r>
            <w:proofErr w:type="spellStart"/>
            <w:r w:rsidRPr="00003B04">
              <w:rPr>
                <w:sz w:val="20"/>
              </w:rPr>
              <w:t>Asfaha</w:t>
            </w:r>
            <w:proofErr w:type="spellEnd"/>
            <w:r w:rsidRPr="00003B04">
              <w:rPr>
                <w:sz w:val="20"/>
              </w:rPr>
              <w:t xml:space="preserve"> was the shooter. Mr. </w:t>
            </w:r>
            <w:proofErr w:type="spellStart"/>
            <w:r w:rsidRPr="00003B04">
              <w:rPr>
                <w:sz w:val="20"/>
              </w:rPr>
              <w:t>Asfaha</w:t>
            </w:r>
            <w:proofErr w:type="spellEnd"/>
            <w:r w:rsidRPr="00003B04">
              <w:rPr>
                <w:sz w:val="20"/>
              </w:rPr>
              <w:t xml:space="preserve"> testified that he was present in his co-accused’s car innocently, an unknown man who had long, dark, braided hair was the shooter, and his co-accused acted as that man’s get-away driver. An eyewitness testified that the shooter had braided hair with cornrows. Another eyewitness testified that he saw a man who had long braids in the vicinity before the shooting. When arrested on the evening of the shooting, Mr. </w:t>
            </w:r>
            <w:proofErr w:type="spellStart"/>
            <w:r w:rsidRPr="00003B04">
              <w:rPr>
                <w:sz w:val="20"/>
              </w:rPr>
              <w:t>Asfaha’s</w:t>
            </w:r>
            <w:proofErr w:type="spellEnd"/>
            <w:r w:rsidRPr="00003B04">
              <w:rPr>
                <w:sz w:val="20"/>
              </w:rPr>
              <w:t xml:space="preserve"> hairstyle was dissimilar to these descriptions. Crown counsel referred to an accused’s interest in the outcome of a trial in closing submissions. </w:t>
            </w:r>
            <w:r w:rsidRPr="00003B04">
              <w:rPr>
                <w:sz w:val="20"/>
                <w:lang w:eastAsia="en-CA"/>
              </w:rPr>
              <w:t xml:space="preserve">The charge to the jury </w:t>
            </w:r>
            <w:r w:rsidRPr="00003B04">
              <w:rPr>
                <w:sz w:val="20"/>
              </w:rPr>
              <w:t>addressed eyewitness descriptions and an accused’s interest in the outcome of a trial.</w:t>
            </w:r>
          </w:p>
          <w:p w:rsidR="00EE4290" w:rsidRPr="00003B04" w:rsidRDefault="00EE4290" w:rsidP="00EE4290">
            <w:pPr>
              <w:jc w:val="both"/>
              <w:rPr>
                <w:sz w:val="20"/>
              </w:rPr>
            </w:pPr>
          </w:p>
        </w:tc>
      </w:tr>
      <w:tr w:rsidR="00EE4290" w:rsidRPr="00003B04" w:rsidTr="00EE4290">
        <w:tc>
          <w:tcPr>
            <w:tcW w:w="2427" w:type="pct"/>
            <w:gridSpan w:val="2"/>
          </w:tcPr>
          <w:p w:rsidR="00EE4290" w:rsidRPr="00003B04" w:rsidRDefault="00EE4290" w:rsidP="00EE4290">
            <w:pPr>
              <w:jc w:val="both"/>
              <w:rPr>
                <w:sz w:val="20"/>
              </w:rPr>
            </w:pPr>
            <w:r w:rsidRPr="00003B04">
              <w:rPr>
                <w:sz w:val="20"/>
              </w:rPr>
              <w:t>July 5, 2012</w:t>
            </w:r>
          </w:p>
          <w:p w:rsidR="00EE4290" w:rsidRPr="00003B04" w:rsidRDefault="00EE4290" w:rsidP="00EE4290">
            <w:pPr>
              <w:jc w:val="both"/>
              <w:rPr>
                <w:sz w:val="20"/>
              </w:rPr>
            </w:pPr>
            <w:r w:rsidRPr="00003B04">
              <w:rPr>
                <w:sz w:val="20"/>
              </w:rPr>
              <w:t>Ontario Superior Court of Justice</w:t>
            </w:r>
          </w:p>
          <w:p w:rsidR="00EE4290" w:rsidRPr="00003B04" w:rsidRDefault="00EE4290" w:rsidP="00EE4290">
            <w:pPr>
              <w:jc w:val="both"/>
              <w:rPr>
                <w:sz w:val="20"/>
              </w:rPr>
            </w:pPr>
            <w:r w:rsidRPr="00003B04">
              <w:rPr>
                <w:sz w:val="20"/>
              </w:rPr>
              <w:t>(</w:t>
            </w:r>
            <w:proofErr w:type="spellStart"/>
            <w:r w:rsidRPr="00003B04">
              <w:rPr>
                <w:sz w:val="20"/>
              </w:rPr>
              <w:t>Ewaschuk</w:t>
            </w:r>
            <w:proofErr w:type="spellEnd"/>
            <w:r w:rsidRPr="00003B04">
              <w:rPr>
                <w:sz w:val="20"/>
              </w:rPr>
              <w:t xml:space="preserve"> J.)</w:t>
            </w:r>
          </w:p>
          <w:p w:rsidR="00EE4290" w:rsidRPr="00003B04" w:rsidRDefault="00EE4290" w:rsidP="00EE4290">
            <w:pPr>
              <w:tabs>
                <w:tab w:val="left" w:pos="1110"/>
              </w:tabs>
              <w:jc w:val="both"/>
              <w:rPr>
                <w:sz w:val="20"/>
              </w:rPr>
            </w:pPr>
            <w:r w:rsidRPr="00003B04">
              <w:rPr>
                <w:sz w:val="20"/>
              </w:rPr>
              <w:t>5-133-12 (unreported)</w:t>
            </w:r>
          </w:p>
          <w:p w:rsidR="00EE4290" w:rsidRPr="00003B04" w:rsidRDefault="00EE4290" w:rsidP="00EE4290">
            <w:pPr>
              <w:tabs>
                <w:tab w:val="left" w:pos="1110"/>
              </w:tabs>
              <w:jc w:val="both"/>
              <w:rPr>
                <w:sz w:val="20"/>
              </w:rPr>
            </w:pPr>
          </w:p>
        </w:tc>
        <w:tc>
          <w:tcPr>
            <w:tcW w:w="243" w:type="pct"/>
          </w:tcPr>
          <w:p w:rsidR="00EE4290" w:rsidRPr="00003B04" w:rsidRDefault="00EE4290" w:rsidP="00EE4290">
            <w:pPr>
              <w:jc w:val="both"/>
              <w:rPr>
                <w:sz w:val="20"/>
              </w:rPr>
            </w:pPr>
          </w:p>
        </w:tc>
        <w:tc>
          <w:tcPr>
            <w:tcW w:w="2330" w:type="pct"/>
          </w:tcPr>
          <w:p w:rsidR="00EE4290" w:rsidRPr="00003B04" w:rsidRDefault="00EE4290" w:rsidP="00EE4290">
            <w:pPr>
              <w:jc w:val="both"/>
              <w:rPr>
                <w:sz w:val="20"/>
              </w:rPr>
            </w:pPr>
            <w:r w:rsidRPr="00003B04">
              <w:rPr>
                <w:sz w:val="20"/>
              </w:rPr>
              <w:t>Conviction by jury of first degree murder</w:t>
            </w:r>
          </w:p>
          <w:p w:rsidR="00EE4290" w:rsidRPr="00003B04" w:rsidRDefault="00EE4290" w:rsidP="00EE4290">
            <w:pPr>
              <w:jc w:val="both"/>
              <w:rPr>
                <w:sz w:val="20"/>
              </w:rPr>
            </w:pPr>
          </w:p>
        </w:tc>
      </w:tr>
      <w:tr w:rsidR="00EE4290" w:rsidRPr="00003B04" w:rsidTr="00EE4290">
        <w:tc>
          <w:tcPr>
            <w:tcW w:w="2427" w:type="pct"/>
            <w:gridSpan w:val="2"/>
          </w:tcPr>
          <w:p w:rsidR="00EE4290" w:rsidRPr="00003B04" w:rsidRDefault="00EE4290" w:rsidP="00EE4290">
            <w:pPr>
              <w:jc w:val="both"/>
              <w:rPr>
                <w:sz w:val="20"/>
              </w:rPr>
            </w:pPr>
            <w:r w:rsidRPr="00003B04">
              <w:rPr>
                <w:sz w:val="20"/>
              </w:rPr>
              <w:t>December 14, 2015</w:t>
            </w:r>
          </w:p>
          <w:p w:rsidR="00EE4290" w:rsidRPr="00003B04" w:rsidRDefault="00EE4290" w:rsidP="00EE4290">
            <w:pPr>
              <w:jc w:val="both"/>
              <w:rPr>
                <w:sz w:val="20"/>
              </w:rPr>
            </w:pPr>
            <w:r w:rsidRPr="00003B04">
              <w:rPr>
                <w:sz w:val="20"/>
              </w:rPr>
              <w:t>Court of Appeal for Ontario</w:t>
            </w:r>
          </w:p>
          <w:p w:rsidR="00EE4290" w:rsidRPr="00003B04" w:rsidRDefault="00EE4290" w:rsidP="00EE4290">
            <w:pPr>
              <w:jc w:val="both"/>
              <w:rPr>
                <w:sz w:val="20"/>
              </w:rPr>
            </w:pPr>
            <w:r w:rsidRPr="00003B04">
              <w:rPr>
                <w:sz w:val="20"/>
              </w:rPr>
              <w:t>(Strathy, MacPherson, Watt JJ.A.)</w:t>
            </w:r>
          </w:p>
          <w:p w:rsidR="00EE4290" w:rsidRPr="00003B04" w:rsidRDefault="00EE4290" w:rsidP="00EE4290">
            <w:pPr>
              <w:jc w:val="both"/>
              <w:rPr>
                <w:rStyle w:val="Hyperlink"/>
                <w:sz w:val="20"/>
              </w:rPr>
            </w:pPr>
            <w:r w:rsidRPr="00003B04">
              <w:rPr>
                <w:sz w:val="20"/>
              </w:rPr>
              <w:t xml:space="preserve">C56713; </w:t>
            </w:r>
            <w:hyperlink r:id="rId67" w:history="1">
              <w:r w:rsidRPr="00003B04">
                <w:rPr>
                  <w:rStyle w:val="Hyperlink"/>
                  <w:sz w:val="20"/>
                </w:rPr>
                <w:t>2015 ONCA 880</w:t>
              </w:r>
            </w:hyperlink>
          </w:p>
          <w:p w:rsidR="00EE4290" w:rsidRPr="00003B04" w:rsidRDefault="00EE4290" w:rsidP="00EE4290">
            <w:pPr>
              <w:jc w:val="both"/>
              <w:rPr>
                <w:sz w:val="20"/>
              </w:rPr>
            </w:pPr>
          </w:p>
        </w:tc>
        <w:tc>
          <w:tcPr>
            <w:tcW w:w="243" w:type="pct"/>
          </w:tcPr>
          <w:p w:rsidR="00EE4290" w:rsidRPr="00003B04" w:rsidRDefault="00EE4290" w:rsidP="00EE4290">
            <w:pPr>
              <w:jc w:val="both"/>
              <w:rPr>
                <w:sz w:val="20"/>
              </w:rPr>
            </w:pPr>
          </w:p>
        </w:tc>
        <w:tc>
          <w:tcPr>
            <w:tcW w:w="2330" w:type="pct"/>
          </w:tcPr>
          <w:p w:rsidR="00EE4290" w:rsidRPr="00003B04" w:rsidRDefault="00EE4290" w:rsidP="00EE4290">
            <w:pPr>
              <w:jc w:val="both"/>
              <w:rPr>
                <w:sz w:val="20"/>
              </w:rPr>
            </w:pPr>
            <w:r w:rsidRPr="00003B04">
              <w:rPr>
                <w:sz w:val="20"/>
              </w:rPr>
              <w:t>Appeal dismissed</w:t>
            </w:r>
          </w:p>
        </w:tc>
      </w:tr>
      <w:tr w:rsidR="00EE4290" w:rsidRPr="00003B04" w:rsidTr="00EE4290">
        <w:tc>
          <w:tcPr>
            <w:tcW w:w="2427" w:type="pct"/>
            <w:gridSpan w:val="2"/>
          </w:tcPr>
          <w:p w:rsidR="00EE4290" w:rsidRPr="00003B04" w:rsidRDefault="00EE4290" w:rsidP="00EE4290">
            <w:pPr>
              <w:jc w:val="both"/>
              <w:rPr>
                <w:sz w:val="20"/>
              </w:rPr>
            </w:pPr>
            <w:r w:rsidRPr="00003B04">
              <w:rPr>
                <w:sz w:val="20"/>
              </w:rPr>
              <w:lastRenderedPageBreak/>
              <w:t>November 30, 2016</w:t>
            </w:r>
          </w:p>
          <w:p w:rsidR="00EE4290" w:rsidRPr="00003B04" w:rsidRDefault="00EE4290" w:rsidP="00EE4290">
            <w:pPr>
              <w:jc w:val="both"/>
              <w:rPr>
                <w:sz w:val="20"/>
              </w:rPr>
            </w:pPr>
            <w:r w:rsidRPr="00003B04">
              <w:rPr>
                <w:sz w:val="20"/>
              </w:rPr>
              <w:t>Supreme Court of Canada</w:t>
            </w:r>
          </w:p>
        </w:tc>
        <w:tc>
          <w:tcPr>
            <w:tcW w:w="243" w:type="pct"/>
          </w:tcPr>
          <w:p w:rsidR="00EE4290" w:rsidRPr="00003B04" w:rsidRDefault="00EE4290" w:rsidP="00EE4290">
            <w:pPr>
              <w:jc w:val="both"/>
              <w:rPr>
                <w:sz w:val="20"/>
              </w:rPr>
            </w:pPr>
          </w:p>
        </w:tc>
        <w:tc>
          <w:tcPr>
            <w:tcW w:w="2330" w:type="pct"/>
          </w:tcPr>
          <w:p w:rsidR="00EE4290" w:rsidRPr="00003B04" w:rsidRDefault="00EE4290" w:rsidP="00EE4290">
            <w:pPr>
              <w:jc w:val="both"/>
              <w:rPr>
                <w:sz w:val="20"/>
              </w:rPr>
            </w:pPr>
            <w:r w:rsidRPr="00003B04">
              <w:rPr>
                <w:sz w:val="20"/>
              </w:rPr>
              <w:t>Application for extension of time to serve and file application for leave to appeal and Application for leave to appeal filed</w:t>
            </w:r>
          </w:p>
        </w:tc>
      </w:tr>
    </w:tbl>
    <w:p w:rsidR="00EE4290" w:rsidRPr="00003B04" w:rsidRDefault="00604445" w:rsidP="00EE4290">
      <w:pPr>
        <w:jc w:val="both"/>
        <w:rPr>
          <w:sz w:val="20"/>
        </w:rPr>
      </w:pPr>
      <w:r>
        <w:rPr>
          <w:sz w:val="20"/>
          <w:szCs w:val="20"/>
        </w:rPr>
        <w:pict>
          <v:rect id="_x0000_i1069" style="width:2in;height:1pt" o:hrpct="0" o:hralign="center" o:hrstd="t" o:hrnoshade="t" o:hr="t" fillcolor="black [3213]" stroked="f"/>
        </w:pict>
      </w:r>
    </w:p>
    <w:p w:rsidR="00EE4290" w:rsidRPr="00003B04" w:rsidRDefault="00EE4290" w:rsidP="00EE429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E4290" w:rsidRPr="00003B04" w:rsidTr="00EE4290">
        <w:tc>
          <w:tcPr>
            <w:tcW w:w="543" w:type="pct"/>
          </w:tcPr>
          <w:p w:rsidR="00EE4290" w:rsidRPr="00003B04" w:rsidRDefault="00EE4290" w:rsidP="00EE4290">
            <w:pPr>
              <w:jc w:val="both"/>
              <w:rPr>
                <w:sz w:val="20"/>
                <w:lang w:val="fr-CA"/>
              </w:rPr>
            </w:pPr>
            <w:r w:rsidRPr="00003B04">
              <w:rPr>
                <w:rStyle w:val="SCCFileNumberChar"/>
                <w:sz w:val="20"/>
                <w:szCs w:val="20"/>
                <w:lang w:val="fr-CA"/>
              </w:rPr>
              <w:t>37324</w:t>
            </w:r>
          </w:p>
        </w:tc>
        <w:tc>
          <w:tcPr>
            <w:tcW w:w="4457" w:type="pct"/>
            <w:gridSpan w:val="3"/>
          </w:tcPr>
          <w:p w:rsidR="00EE4290" w:rsidRPr="00003B04" w:rsidRDefault="00EE4290" w:rsidP="00767A6B">
            <w:pPr>
              <w:pStyle w:val="SCCLsocParty"/>
              <w:jc w:val="both"/>
              <w:rPr>
                <w:sz w:val="20"/>
              </w:rPr>
            </w:pPr>
            <w:proofErr w:type="spellStart"/>
            <w:r w:rsidRPr="00003B04">
              <w:rPr>
                <w:b/>
                <w:sz w:val="20"/>
                <w:szCs w:val="20"/>
              </w:rPr>
              <w:t>Awet</w:t>
            </w:r>
            <w:proofErr w:type="spellEnd"/>
            <w:r w:rsidRPr="00003B04">
              <w:rPr>
                <w:b/>
                <w:sz w:val="20"/>
                <w:szCs w:val="20"/>
              </w:rPr>
              <w:t xml:space="preserve"> </w:t>
            </w:r>
            <w:proofErr w:type="spellStart"/>
            <w:r w:rsidRPr="00003B04">
              <w:rPr>
                <w:b/>
                <w:sz w:val="20"/>
                <w:szCs w:val="20"/>
              </w:rPr>
              <w:t>Asfaha</w:t>
            </w:r>
            <w:proofErr w:type="spellEnd"/>
            <w:r w:rsidRPr="00003B04">
              <w:rPr>
                <w:b/>
                <w:sz w:val="20"/>
                <w:szCs w:val="20"/>
              </w:rPr>
              <w:t xml:space="preserve"> c. Sa Majesté la Reine</w:t>
            </w:r>
            <w:r w:rsidR="00767A6B" w:rsidRPr="00003B04">
              <w:rPr>
                <w:b/>
                <w:sz w:val="20"/>
                <w:szCs w:val="20"/>
              </w:rPr>
              <w:t xml:space="preserve"> </w:t>
            </w:r>
            <w:r w:rsidRPr="00003B04">
              <w:rPr>
                <w:sz w:val="20"/>
              </w:rPr>
              <w:t>(Ont.) (Criminelle) (Sur autorisation)</w:t>
            </w:r>
          </w:p>
          <w:p w:rsidR="00767A6B" w:rsidRPr="00003B04" w:rsidRDefault="00767A6B" w:rsidP="00767A6B">
            <w:pPr>
              <w:rPr>
                <w:lang w:val="fr-CA"/>
              </w:rPr>
            </w:pPr>
          </w:p>
        </w:tc>
      </w:tr>
      <w:tr w:rsidR="00D310D9" w:rsidRPr="00C3697D" w:rsidTr="00EE4290">
        <w:tc>
          <w:tcPr>
            <w:tcW w:w="543" w:type="pct"/>
          </w:tcPr>
          <w:p w:rsidR="00D310D9" w:rsidRPr="00003B04" w:rsidRDefault="00D310D9" w:rsidP="00EE4290">
            <w:pPr>
              <w:jc w:val="both"/>
              <w:rPr>
                <w:rStyle w:val="SCCFileNumberChar"/>
                <w:sz w:val="20"/>
                <w:szCs w:val="20"/>
                <w:lang w:val="fr-CA"/>
              </w:rPr>
            </w:pPr>
            <w:r w:rsidRPr="00003B04">
              <w:rPr>
                <w:rStyle w:val="SCCFileNumberChar"/>
                <w:sz w:val="20"/>
                <w:szCs w:val="20"/>
                <w:lang w:val="fr-CA"/>
              </w:rPr>
              <w:t>Coram :</w:t>
            </w:r>
          </w:p>
        </w:tc>
        <w:tc>
          <w:tcPr>
            <w:tcW w:w="4457" w:type="pct"/>
            <w:gridSpan w:val="3"/>
          </w:tcPr>
          <w:p w:rsidR="00D310D9" w:rsidRPr="00003B04" w:rsidRDefault="000E7F29" w:rsidP="00EE4290">
            <w:pPr>
              <w:pStyle w:val="SCCLsocParty"/>
              <w:jc w:val="both"/>
              <w:rPr>
                <w:rFonts w:eastAsiaTheme="minorEastAsia"/>
                <w:sz w:val="20"/>
                <w:szCs w:val="20"/>
              </w:rPr>
            </w:pPr>
            <w:r w:rsidRPr="00003B04">
              <w:rPr>
                <w:rFonts w:eastAsiaTheme="minorEastAsia"/>
                <w:sz w:val="20"/>
                <w:szCs w:val="20"/>
                <w:lang w:val="fr-FR"/>
              </w:rPr>
              <w:t xml:space="preserve">La juge en chef </w:t>
            </w:r>
            <w:proofErr w:type="spellStart"/>
            <w:r w:rsidRPr="00003B04">
              <w:rPr>
                <w:rFonts w:eastAsiaTheme="minorEastAsia"/>
                <w:sz w:val="20"/>
                <w:szCs w:val="20"/>
                <w:lang w:val="fr-FR"/>
              </w:rPr>
              <w:t>McLachlin</w:t>
            </w:r>
            <w:proofErr w:type="spellEnd"/>
            <w:r w:rsidRPr="00003B04">
              <w:rPr>
                <w:rFonts w:eastAsiaTheme="minorEastAsia"/>
                <w:sz w:val="20"/>
                <w:szCs w:val="20"/>
                <w:lang w:val="fr-FR"/>
              </w:rPr>
              <w:t xml:space="preserve"> et les juges Abella, </w:t>
            </w:r>
            <w:proofErr w:type="spellStart"/>
            <w:r w:rsidRPr="00003B04">
              <w:rPr>
                <w:rFonts w:eastAsiaTheme="minorEastAsia"/>
                <w:sz w:val="20"/>
                <w:szCs w:val="20"/>
              </w:rPr>
              <w:t>Moldaver</w:t>
            </w:r>
            <w:proofErr w:type="spellEnd"/>
            <w:r w:rsidRPr="00003B04">
              <w:rPr>
                <w:rFonts w:eastAsiaTheme="minorEastAsia"/>
                <w:sz w:val="20"/>
                <w:szCs w:val="20"/>
              </w:rPr>
              <w:t xml:space="preserve">, </w:t>
            </w:r>
            <w:proofErr w:type="spellStart"/>
            <w:r w:rsidRPr="00003B04">
              <w:rPr>
                <w:rFonts w:eastAsiaTheme="minorEastAsia"/>
                <w:sz w:val="20"/>
                <w:szCs w:val="20"/>
              </w:rPr>
              <w:t>Karakatsanis</w:t>
            </w:r>
            <w:proofErr w:type="spellEnd"/>
            <w:r w:rsidRPr="00003B04">
              <w:rPr>
                <w:rFonts w:eastAsiaTheme="minorEastAsia"/>
                <w:sz w:val="20"/>
                <w:szCs w:val="20"/>
              </w:rPr>
              <w:t>, Wagner, Gascon, Côté, Brown et Rowe</w:t>
            </w:r>
          </w:p>
          <w:p w:rsidR="000E7F29" w:rsidRPr="00003B04" w:rsidRDefault="000E7F29" w:rsidP="000E7F29">
            <w:pPr>
              <w:rPr>
                <w:lang w:val="fr-CA"/>
              </w:rPr>
            </w:pPr>
          </w:p>
        </w:tc>
      </w:tr>
      <w:tr w:rsidR="00D310D9" w:rsidRPr="00C3697D" w:rsidTr="00D310D9">
        <w:tc>
          <w:tcPr>
            <w:tcW w:w="5000" w:type="pct"/>
            <w:gridSpan w:val="4"/>
          </w:tcPr>
          <w:p w:rsidR="00D310D9" w:rsidRPr="00003B04" w:rsidRDefault="000E7F29" w:rsidP="00EE4290">
            <w:pPr>
              <w:pStyle w:val="SCCLsocParty"/>
              <w:jc w:val="both"/>
              <w:rPr>
                <w:sz w:val="20"/>
                <w:szCs w:val="20"/>
              </w:rPr>
            </w:pPr>
            <w:r w:rsidRPr="00003B04">
              <w:rPr>
                <w:sz w:val="20"/>
                <w:szCs w:val="20"/>
              </w:rPr>
              <w:t xml:space="preserve">La requête en prorogation du délai de signification et de dépôt de la demande d’autorisation d’appel est accueillie. La demande d’autorisation d’appel de l’arrêt de la </w:t>
            </w:r>
            <w:r w:rsidRPr="00003B04">
              <w:rPr>
                <w:sz w:val="20"/>
                <w:szCs w:val="20"/>
                <w:lang w:val="fr-FR"/>
              </w:rPr>
              <w:t>Cour d’appel de l’Ontario</w:t>
            </w:r>
            <w:r w:rsidRPr="00003B04">
              <w:rPr>
                <w:sz w:val="20"/>
                <w:szCs w:val="20"/>
              </w:rPr>
              <w:t xml:space="preserve">, numéro </w:t>
            </w:r>
            <w:r w:rsidRPr="00003B04">
              <w:rPr>
                <w:sz w:val="20"/>
                <w:szCs w:val="20"/>
                <w:lang w:val="fr-FR"/>
              </w:rPr>
              <w:t>C57008, 2015 ONCA 880</w:t>
            </w:r>
            <w:r w:rsidRPr="00003B04">
              <w:rPr>
                <w:sz w:val="20"/>
                <w:szCs w:val="20"/>
              </w:rPr>
              <w:t xml:space="preserve">, daté du </w:t>
            </w:r>
            <w:r w:rsidRPr="00003B04">
              <w:rPr>
                <w:sz w:val="20"/>
                <w:szCs w:val="20"/>
                <w:lang w:val="fr-FR"/>
              </w:rPr>
              <w:t>14 décembre 2015</w:t>
            </w:r>
            <w:r w:rsidRPr="00003B04">
              <w:rPr>
                <w:sz w:val="20"/>
                <w:szCs w:val="20"/>
              </w:rPr>
              <w:t>, est rejetée.</w:t>
            </w:r>
          </w:p>
          <w:p w:rsidR="000E7F29" w:rsidRPr="00003B04" w:rsidRDefault="000E7F29" w:rsidP="000E7F29">
            <w:pPr>
              <w:rPr>
                <w:lang w:val="fr-CA"/>
              </w:rPr>
            </w:pPr>
          </w:p>
        </w:tc>
      </w:tr>
      <w:tr w:rsidR="00EE4290" w:rsidRPr="00C3697D" w:rsidTr="00EE4290">
        <w:tc>
          <w:tcPr>
            <w:tcW w:w="5000" w:type="pct"/>
            <w:gridSpan w:val="4"/>
          </w:tcPr>
          <w:p w:rsidR="00EE4290" w:rsidRPr="00003B04" w:rsidRDefault="00EE4290" w:rsidP="00EE4290">
            <w:pPr>
              <w:jc w:val="both"/>
              <w:rPr>
                <w:sz w:val="20"/>
                <w:lang w:val="fr-CA"/>
              </w:rPr>
            </w:pPr>
            <w:r w:rsidRPr="00003B04">
              <w:rPr>
                <w:sz w:val="20"/>
                <w:lang w:val="fr-CA"/>
              </w:rPr>
              <w:t xml:space="preserve">Droit criminel – Exposé au jury – Preuve – Sélection des jurés – Le juge du procès </w:t>
            </w:r>
            <w:proofErr w:type="spellStart"/>
            <w:r w:rsidRPr="00003B04">
              <w:rPr>
                <w:sz w:val="20"/>
                <w:lang w:val="fr-CA"/>
              </w:rPr>
              <w:t>a-t-il</w:t>
            </w:r>
            <w:proofErr w:type="spellEnd"/>
            <w:r w:rsidRPr="00003B04">
              <w:rPr>
                <w:sz w:val="20"/>
                <w:lang w:val="fr-CA"/>
              </w:rPr>
              <w:t xml:space="preserve"> eu tort de dire au jury dans son exposé qu’une preuve sous forme de description par des témoins oculaires est intrinsèquement fragile – Le juge du procès </w:t>
            </w:r>
            <w:proofErr w:type="spellStart"/>
            <w:r w:rsidRPr="00003B04">
              <w:rPr>
                <w:sz w:val="20"/>
                <w:lang w:val="fr-CA"/>
              </w:rPr>
              <w:t>a-t-il</w:t>
            </w:r>
            <w:proofErr w:type="spellEnd"/>
            <w:r w:rsidRPr="00003B04">
              <w:rPr>
                <w:sz w:val="20"/>
                <w:lang w:val="fr-CA"/>
              </w:rPr>
              <w:t xml:space="preserve"> donné des directives erronées au jury en ce qui concerne l’intérêt de l’accusé quant à l’issue du procès? – Le jury </w:t>
            </w:r>
            <w:proofErr w:type="spellStart"/>
            <w:r w:rsidRPr="00003B04">
              <w:rPr>
                <w:sz w:val="20"/>
                <w:lang w:val="fr-CA"/>
              </w:rPr>
              <w:t>a-t-il</w:t>
            </w:r>
            <w:proofErr w:type="spellEnd"/>
            <w:r w:rsidRPr="00003B04">
              <w:rPr>
                <w:sz w:val="20"/>
                <w:lang w:val="fr-CA"/>
              </w:rPr>
              <w:t xml:space="preserve"> été dûment constitué?</w:t>
            </w:r>
          </w:p>
        </w:tc>
      </w:tr>
      <w:tr w:rsidR="00EE4290" w:rsidRPr="00C3697D" w:rsidTr="00EE4290">
        <w:tc>
          <w:tcPr>
            <w:tcW w:w="5000" w:type="pct"/>
            <w:gridSpan w:val="4"/>
          </w:tcPr>
          <w:p w:rsidR="00EE4290" w:rsidRPr="00003B04" w:rsidRDefault="00EE4290" w:rsidP="00EE4290">
            <w:pPr>
              <w:jc w:val="both"/>
              <w:rPr>
                <w:sz w:val="20"/>
                <w:lang w:val="fr-CA"/>
              </w:rPr>
            </w:pPr>
          </w:p>
        </w:tc>
      </w:tr>
      <w:tr w:rsidR="00EE4290" w:rsidRPr="00C3697D" w:rsidTr="00EE4290">
        <w:tc>
          <w:tcPr>
            <w:tcW w:w="5000" w:type="pct"/>
            <w:gridSpan w:val="4"/>
          </w:tcPr>
          <w:p w:rsidR="00EE4290" w:rsidRPr="00003B04" w:rsidRDefault="00EE4290" w:rsidP="00EE4290">
            <w:pPr>
              <w:jc w:val="both"/>
              <w:rPr>
                <w:sz w:val="20"/>
                <w:lang w:val="fr-CA"/>
              </w:rPr>
            </w:pPr>
            <w:r w:rsidRPr="00003B04">
              <w:rPr>
                <w:sz w:val="20"/>
                <w:lang w:val="fr-CA"/>
              </w:rPr>
              <w:t>À la suite d’une fusillade mortelle, M. </w:t>
            </w:r>
            <w:proofErr w:type="spellStart"/>
            <w:r w:rsidRPr="00003B04">
              <w:rPr>
                <w:sz w:val="20"/>
                <w:lang w:val="fr-CA"/>
              </w:rPr>
              <w:t>Asfaha</w:t>
            </w:r>
            <w:proofErr w:type="spellEnd"/>
            <w:r w:rsidRPr="00003B04">
              <w:rPr>
                <w:sz w:val="20"/>
                <w:lang w:val="fr-CA"/>
              </w:rPr>
              <w:t xml:space="preserve"> et un coaccusé ont subi leur procès devant jury pour meurtre au premier degré. Pendant la sélection des jurés, des récusations motivées ont été tranchées à l’aide de vérificateurs sans rotation sans qu’il n’y ait eu de demande expresse en application du par. </w:t>
            </w:r>
            <w:r w:rsidRPr="00003B04">
              <w:rPr>
                <w:color w:val="000000"/>
                <w:sz w:val="20"/>
                <w:lang w:val="fr-CA"/>
              </w:rPr>
              <w:t xml:space="preserve">640(2.l) du </w:t>
            </w:r>
            <w:r w:rsidRPr="00003B04">
              <w:rPr>
                <w:i/>
                <w:iCs/>
                <w:color w:val="000000"/>
                <w:sz w:val="20"/>
                <w:lang w:val="fr-CA"/>
              </w:rPr>
              <w:t>Code criminel</w:t>
            </w:r>
            <w:r w:rsidRPr="00003B04">
              <w:rPr>
                <w:iCs/>
                <w:color w:val="000000"/>
                <w:sz w:val="20"/>
                <w:lang w:val="fr-CA"/>
              </w:rPr>
              <w:t>.</w:t>
            </w:r>
            <w:r w:rsidRPr="00003B04">
              <w:rPr>
                <w:sz w:val="20"/>
                <w:lang w:val="fr-CA" w:eastAsia="en-CA"/>
              </w:rPr>
              <w:t xml:space="preserve"> Le coaccusé de </w:t>
            </w:r>
            <w:r w:rsidRPr="00003B04">
              <w:rPr>
                <w:sz w:val="20"/>
                <w:lang w:val="fr-CA"/>
              </w:rPr>
              <w:t>M. </w:t>
            </w:r>
            <w:proofErr w:type="spellStart"/>
            <w:r w:rsidRPr="00003B04">
              <w:rPr>
                <w:sz w:val="20"/>
                <w:lang w:val="fr-CA"/>
              </w:rPr>
              <w:t>Asfaha</w:t>
            </w:r>
            <w:proofErr w:type="spellEnd"/>
            <w:r w:rsidRPr="00003B04">
              <w:rPr>
                <w:sz w:val="20"/>
                <w:lang w:val="fr-CA"/>
              </w:rPr>
              <w:t xml:space="preserve"> a témoigné que M. </w:t>
            </w:r>
            <w:proofErr w:type="spellStart"/>
            <w:r w:rsidRPr="00003B04">
              <w:rPr>
                <w:sz w:val="20"/>
                <w:lang w:val="fr-CA"/>
              </w:rPr>
              <w:t>Asfaha</w:t>
            </w:r>
            <w:proofErr w:type="spellEnd"/>
            <w:r w:rsidRPr="00003B04">
              <w:rPr>
                <w:sz w:val="20"/>
                <w:lang w:val="fr-CA"/>
              </w:rPr>
              <w:t xml:space="preserve"> était le tireur. Monsieur </w:t>
            </w:r>
            <w:proofErr w:type="spellStart"/>
            <w:r w:rsidRPr="00003B04">
              <w:rPr>
                <w:sz w:val="20"/>
                <w:lang w:val="fr-CA"/>
              </w:rPr>
              <w:t>Asfaha</w:t>
            </w:r>
            <w:proofErr w:type="spellEnd"/>
            <w:r w:rsidRPr="00003B04">
              <w:rPr>
                <w:sz w:val="20"/>
                <w:lang w:val="fr-CA"/>
              </w:rPr>
              <w:t xml:space="preserve"> a témoigné qu’il se trouvait innocemment dans la voiture de son coaccusé, qu’un inconnu portant les cheveux longs, foncés et tressés, était le tireur et que son coaccusé avait agi comme chauffeur de cet homme pour fuir les lieux. Un témoin oculaire a affirmé que le tireur avait les cheveux tressés à l’Africaine. Un autre témoin oculaire a affirmé avoir vu dans le voisinage, avant l’incident, un homme qui portait de longues tresses. Lorsque M. </w:t>
            </w:r>
            <w:proofErr w:type="spellStart"/>
            <w:r w:rsidRPr="00003B04">
              <w:rPr>
                <w:sz w:val="20"/>
                <w:lang w:val="fr-CA"/>
              </w:rPr>
              <w:t>Asfaha</w:t>
            </w:r>
            <w:proofErr w:type="spellEnd"/>
            <w:r w:rsidRPr="00003B04">
              <w:rPr>
                <w:sz w:val="20"/>
                <w:lang w:val="fr-CA"/>
              </w:rPr>
              <w:t xml:space="preserve"> a été arrêté le soir de la fusillade, sa coiffure ne correspondait pas à ces descriptions. Dans ses observations finales, l’avocat du ministère public a parlé de l’intérêt de l’accusé dans l’issue du procès. L’exposé au jury a traité des descriptions par témoins oculaires et de l’intérêt de l’accusé dans l’issue du procès.</w:t>
            </w:r>
          </w:p>
          <w:p w:rsidR="00EE4290" w:rsidRPr="00003B04" w:rsidRDefault="00EE4290" w:rsidP="00EE4290">
            <w:pPr>
              <w:jc w:val="both"/>
              <w:rPr>
                <w:sz w:val="20"/>
                <w:lang w:val="fr-CA"/>
              </w:rPr>
            </w:pPr>
          </w:p>
        </w:tc>
      </w:tr>
      <w:tr w:rsidR="00EE4290" w:rsidRPr="00C3697D" w:rsidTr="00EE4290">
        <w:tc>
          <w:tcPr>
            <w:tcW w:w="2427" w:type="pct"/>
            <w:gridSpan w:val="2"/>
          </w:tcPr>
          <w:p w:rsidR="00EE4290" w:rsidRPr="00003B04" w:rsidRDefault="00EE4290" w:rsidP="00EE4290">
            <w:pPr>
              <w:jc w:val="both"/>
              <w:rPr>
                <w:sz w:val="20"/>
                <w:lang w:val="fr-CA"/>
              </w:rPr>
            </w:pPr>
            <w:r w:rsidRPr="00003B04">
              <w:rPr>
                <w:sz w:val="20"/>
                <w:lang w:val="fr-CA"/>
              </w:rPr>
              <w:t>5 juillet 2012</w:t>
            </w:r>
          </w:p>
          <w:p w:rsidR="00EE4290" w:rsidRPr="00003B04" w:rsidRDefault="00EE4290" w:rsidP="00EE4290">
            <w:pPr>
              <w:jc w:val="both"/>
              <w:rPr>
                <w:sz w:val="20"/>
                <w:lang w:val="fr-CA"/>
              </w:rPr>
            </w:pPr>
            <w:r w:rsidRPr="00003B04">
              <w:rPr>
                <w:sz w:val="20"/>
                <w:lang w:val="fr-CA"/>
              </w:rPr>
              <w:t xml:space="preserve">Cour supérieure de justice de l’Ontario </w:t>
            </w:r>
          </w:p>
          <w:p w:rsidR="00EE4290" w:rsidRPr="00003B04" w:rsidRDefault="00EE4290" w:rsidP="00EE4290">
            <w:pPr>
              <w:jc w:val="both"/>
              <w:rPr>
                <w:sz w:val="20"/>
                <w:lang w:val="fr-CA"/>
              </w:rPr>
            </w:pPr>
            <w:r w:rsidRPr="00003B04">
              <w:rPr>
                <w:sz w:val="20"/>
                <w:lang w:val="fr-CA"/>
              </w:rPr>
              <w:t xml:space="preserve">(Juge </w:t>
            </w:r>
            <w:proofErr w:type="spellStart"/>
            <w:r w:rsidRPr="00003B04">
              <w:rPr>
                <w:sz w:val="20"/>
                <w:lang w:val="fr-CA"/>
              </w:rPr>
              <w:t>Ewaschuk</w:t>
            </w:r>
            <w:proofErr w:type="spellEnd"/>
            <w:r w:rsidRPr="00003B04">
              <w:rPr>
                <w:sz w:val="20"/>
                <w:lang w:val="fr-CA"/>
              </w:rPr>
              <w:t>)</w:t>
            </w:r>
          </w:p>
          <w:p w:rsidR="00EE4290" w:rsidRPr="00003B04" w:rsidRDefault="00EE4290" w:rsidP="00EE4290">
            <w:pPr>
              <w:tabs>
                <w:tab w:val="left" w:pos="1110"/>
              </w:tabs>
              <w:jc w:val="both"/>
              <w:rPr>
                <w:sz w:val="20"/>
                <w:lang w:val="fr-CA"/>
              </w:rPr>
            </w:pPr>
            <w:r w:rsidRPr="00003B04">
              <w:rPr>
                <w:sz w:val="20"/>
                <w:lang w:val="fr-CA"/>
              </w:rPr>
              <w:t>5-133-12 (non publié)</w:t>
            </w:r>
          </w:p>
          <w:p w:rsidR="00EE4290" w:rsidRPr="00003B04" w:rsidRDefault="00EE4290" w:rsidP="00EE4290">
            <w:pPr>
              <w:tabs>
                <w:tab w:val="left" w:pos="1110"/>
              </w:tabs>
              <w:jc w:val="both"/>
              <w:rPr>
                <w:sz w:val="20"/>
                <w:lang w:val="fr-CA"/>
              </w:rPr>
            </w:pPr>
          </w:p>
        </w:tc>
        <w:tc>
          <w:tcPr>
            <w:tcW w:w="243" w:type="pct"/>
          </w:tcPr>
          <w:p w:rsidR="00EE4290" w:rsidRPr="00003B04" w:rsidRDefault="00EE4290" w:rsidP="00EE4290">
            <w:pPr>
              <w:jc w:val="both"/>
              <w:rPr>
                <w:sz w:val="20"/>
                <w:lang w:val="fr-CA"/>
              </w:rPr>
            </w:pPr>
          </w:p>
        </w:tc>
        <w:tc>
          <w:tcPr>
            <w:tcW w:w="2330" w:type="pct"/>
          </w:tcPr>
          <w:p w:rsidR="00EE4290" w:rsidRPr="00003B04" w:rsidRDefault="00EE4290" w:rsidP="00EE4290">
            <w:pPr>
              <w:jc w:val="both"/>
              <w:rPr>
                <w:sz w:val="20"/>
                <w:lang w:val="fr-CA"/>
              </w:rPr>
            </w:pPr>
            <w:r w:rsidRPr="00003B04">
              <w:rPr>
                <w:sz w:val="20"/>
                <w:lang w:val="fr-CA"/>
              </w:rPr>
              <w:t>Déclaration de culpabilité par un jury de meurtre au premier degré</w:t>
            </w:r>
          </w:p>
          <w:p w:rsidR="00EE4290" w:rsidRPr="00003B04" w:rsidRDefault="00EE4290" w:rsidP="00EE4290">
            <w:pPr>
              <w:jc w:val="both"/>
              <w:rPr>
                <w:sz w:val="20"/>
                <w:lang w:val="fr-CA"/>
              </w:rPr>
            </w:pPr>
          </w:p>
        </w:tc>
      </w:tr>
      <w:tr w:rsidR="00EE4290" w:rsidRPr="00003B04" w:rsidTr="00EE4290">
        <w:tc>
          <w:tcPr>
            <w:tcW w:w="2427" w:type="pct"/>
            <w:gridSpan w:val="2"/>
          </w:tcPr>
          <w:p w:rsidR="00EE4290" w:rsidRPr="00003B04" w:rsidRDefault="00EE4290" w:rsidP="00EE4290">
            <w:pPr>
              <w:jc w:val="both"/>
              <w:rPr>
                <w:sz w:val="20"/>
                <w:lang w:val="fr-CA"/>
              </w:rPr>
            </w:pPr>
            <w:r w:rsidRPr="00003B04">
              <w:rPr>
                <w:sz w:val="20"/>
                <w:lang w:val="fr-CA"/>
              </w:rPr>
              <w:t>14 décembre 2015</w:t>
            </w:r>
          </w:p>
          <w:p w:rsidR="00EE4290" w:rsidRPr="00003B04" w:rsidRDefault="00EE4290" w:rsidP="00EE4290">
            <w:pPr>
              <w:jc w:val="both"/>
              <w:rPr>
                <w:sz w:val="20"/>
                <w:lang w:val="fr-CA"/>
              </w:rPr>
            </w:pPr>
            <w:r w:rsidRPr="00003B04">
              <w:rPr>
                <w:sz w:val="20"/>
                <w:lang w:val="fr-CA"/>
              </w:rPr>
              <w:t xml:space="preserve">Cour d’appel de l’Ontario </w:t>
            </w:r>
          </w:p>
          <w:p w:rsidR="00EE4290" w:rsidRPr="00003B04" w:rsidRDefault="00EE4290" w:rsidP="00EE4290">
            <w:pPr>
              <w:jc w:val="both"/>
              <w:rPr>
                <w:sz w:val="20"/>
                <w:lang w:val="fr-CA"/>
              </w:rPr>
            </w:pPr>
            <w:r w:rsidRPr="00003B04">
              <w:rPr>
                <w:sz w:val="20"/>
                <w:lang w:val="fr-CA"/>
              </w:rPr>
              <w:t xml:space="preserve">(Juges </w:t>
            </w:r>
            <w:proofErr w:type="spellStart"/>
            <w:r w:rsidRPr="00003B04">
              <w:rPr>
                <w:sz w:val="20"/>
                <w:lang w:val="fr-CA"/>
              </w:rPr>
              <w:t>Strathy</w:t>
            </w:r>
            <w:proofErr w:type="spellEnd"/>
            <w:r w:rsidRPr="00003B04">
              <w:rPr>
                <w:sz w:val="20"/>
                <w:lang w:val="fr-CA"/>
              </w:rPr>
              <w:t xml:space="preserve">, </w:t>
            </w:r>
            <w:proofErr w:type="spellStart"/>
            <w:r w:rsidRPr="00003B04">
              <w:rPr>
                <w:sz w:val="20"/>
                <w:lang w:val="fr-CA"/>
              </w:rPr>
              <w:t>MacPherson</w:t>
            </w:r>
            <w:proofErr w:type="spellEnd"/>
            <w:r w:rsidRPr="00003B04">
              <w:rPr>
                <w:sz w:val="20"/>
                <w:lang w:val="fr-CA"/>
              </w:rPr>
              <w:t xml:space="preserve"> et Watt)</w:t>
            </w:r>
          </w:p>
          <w:p w:rsidR="00EE4290" w:rsidRPr="00003B04" w:rsidRDefault="00EE4290" w:rsidP="00EE4290">
            <w:pPr>
              <w:jc w:val="both"/>
              <w:rPr>
                <w:rStyle w:val="Hyperlink"/>
                <w:sz w:val="20"/>
                <w:lang w:val="fr-CA"/>
              </w:rPr>
            </w:pPr>
            <w:r w:rsidRPr="00003B04">
              <w:rPr>
                <w:sz w:val="20"/>
                <w:lang w:val="fr-CA"/>
              </w:rPr>
              <w:t xml:space="preserve">C56713; </w:t>
            </w:r>
            <w:hyperlink r:id="rId68" w:history="1">
              <w:r w:rsidRPr="00003B04">
                <w:rPr>
                  <w:rStyle w:val="Hyperlink"/>
                  <w:sz w:val="20"/>
                  <w:lang w:val="fr-CA"/>
                </w:rPr>
                <w:t>2015 ONCA 880</w:t>
              </w:r>
            </w:hyperlink>
          </w:p>
          <w:p w:rsidR="00EE4290" w:rsidRPr="00003B04" w:rsidRDefault="00EE4290" w:rsidP="00EE4290">
            <w:pPr>
              <w:jc w:val="both"/>
              <w:rPr>
                <w:sz w:val="20"/>
                <w:lang w:val="fr-CA"/>
              </w:rPr>
            </w:pPr>
          </w:p>
        </w:tc>
        <w:tc>
          <w:tcPr>
            <w:tcW w:w="243" w:type="pct"/>
          </w:tcPr>
          <w:p w:rsidR="00EE4290" w:rsidRPr="00003B04" w:rsidRDefault="00EE4290" w:rsidP="00EE4290">
            <w:pPr>
              <w:jc w:val="both"/>
              <w:rPr>
                <w:sz w:val="20"/>
                <w:lang w:val="fr-CA"/>
              </w:rPr>
            </w:pPr>
          </w:p>
        </w:tc>
        <w:tc>
          <w:tcPr>
            <w:tcW w:w="2330" w:type="pct"/>
          </w:tcPr>
          <w:p w:rsidR="00EE4290" w:rsidRPr="00003B04" w:rsidRDefault="00EE4290" w:rsidP="00EE4290">
            <w:pPr>
              <w:jc w:val="both"/>
              <w:rPr>
                <w:sz w:val="20"/>
                <w:lang w:val="fr-CA"/>
              </w:rPr>
            </w:pPr>
            <w:r w:rsidRPr="00003B04">
              <w:rPr>
                <w:sz w:val="20"/>
                <w:lang w:val="fr-CA"/>
              </w:rPr>
              <w:t>Rejet de l’appel</w:t>
            </w:r>
          </w:p>
        </w:tc>
      </w:tr>
      <w:tr w:rsidR="00EE4290" w:rsidRPr="00C3697D" w:rsidTr="00EE4290">
        <w:tc>
          <w:tcPr>
            <w:tcW w:w="2427" w:type="pct"/>
            <w:gridSpan w:val="2"/>
          </w:tcPr>
          <w:p w:rsidR="00EE4290" w:rsidRPr="00003B04" w:rsidRDefault="00EE4290" w:rsidP="00EE4290">
            <w:pPr>
              <w:jc w:val="both"/>
              <w:rPr>
                <w:sz w:val="20"/>
                <w:lang w:val="fr-CA"/>
              </w:rPr>
            </w:pPr>
            <w:r w:rsidRPr="00003B04">
              <w:rPr>
                <w:sz w:val="20"/>
                <w:lang w:val="fr-CA"/>
              </w:rPr>
              <w:t>30 novembre 2016</w:t>
            </w:r>
          </w:p>
          <w:p w:rsidR="00EE4290" w:rsidRPr="00003B04" w:rsidRDefault="00EE4290" w:rsidP="00EE4290">
            <w:pPr>
              <w:jc w:val="both"/>
              <w:rPr>
                <w:sz w:val="20"/>
                <w:lang w:val="fr-CA"/>
              </w:rPr>
            </w:pPr>
            <w:r w:rsidRPr="00003B04">
              <w:rPr>
                <w:sz w:val="20"/>
                <w:lang w:val="fr-CA"/>
              </w:rPr>
              <w:t>Cour suprême du Canada</w:t>
            </w:r>
          </w:p>
        </w:tc>
        <w:tc>
          <w:tcPr>
            <w:tcW w:w="243" w:type="pct"/>
          </w:tcPr>
          <w:p w:rsidR="00EE4290" w:rsidRPr="00003B04" w:rsidRDefault="00EE4290" w:rsidP="00EE4290">
            <w:pPr>
              <w:jc w:val="both"/>
              <w:rPr>
                <w:sz w:val="20"/>
                <w:lang w:val="fr-CA"/>
              </w:rPr>
            </w:pPr>
          </w:p>
        </w:tc>
        <w:tc>
          <w:tcPr>
            <w:tcW w:w="2330" w:type="pct"/>
          </w:tcPr>
          <w:p w:rsidR="00EE4290" w:rsidRPr="00003B04" w:rsidRDefault="00EE4290" w:rsidP="00EE4290">
            <w:pPr>
              <w:jc w:val="both"/>
              <w:rPr>
                <w:sz w:val="20"/>
                <w:lang w:val="fr-CA"/>
              </w:rPr>
            </w:pPr>
            <w:r w:rsidRPr="00003B04">
              <w:rPr>
                <w:sz w:val="20"/>
                <w:lang w:val="fr-CA"/>
              </w:rPr>
              <w:t>Dépôt de la demande de prorogation du délai de signification et de dépôt de la demande d’autorisation d’appel et de la demande d’autorisation d’appel</w:t>
            </w:r>
          </w:p>
        </w:tc>
      </w:tr>
    </w:tbl>
    <w:p w:rsidR="00EE4290" w:rsidRPr="00003B04" w:rsidRDefault="00604445" w:rsidP="00EE4290">
      <w:pPr>
        <w:jc w:val="both"/>
        <w:rPr>
          <w:sz w:val="20"/>
          <w:lang w:val="fr-CA"/>
        </w:rPr>
      </w:pPr>
      <w:r>
        <w:rPr>
          <w:sz w:val="20"/>
          <w:szCs w:val="20"/>
        </w:rPr>
        <w:pict>
          <v:rect id="_x0000_i1070" style="width:2in;height:1pt" o:hrpct="0" o:hralign="center" o:hrstd="t" o:hrnoshade="t" o:hr="t" fillcolor="black [3213]" stroked="f"/>
        </w:pict>
      </w:r>
    </w:p>
    <w:p w:rsidR="00EE4290" w:rsidRPr="00003B04" w:rsidRDefault="00EE4290" w:rsidP="00EE4290">
      <w:pPr>
        <w:ind w:left="360" w:hanging="360"/>
        <w:jc w:val="both"/>
        <w:rPr>
          <w:sz w:val="20"/>
          <w:lang w:val="fr-CA" w:eastAsia="en-CA"/>
        </w:rPr>
      </w:pPr>
    </w:p>
    <w:p w:rsidR="008F5EB8" w:rsidRPr="00003B04" w:rsidRDefault="008F5EB8">
      <w:r w:rsidRPr="00003B04">
        <w:br w:type="page"/>
      </w:r>
    </w:p>
    <w:tbl>
      <w:tblPr>
        <w:tblW w:w="5000" w:type="pct"/>
        <w:tblLayout w:type="fixed"/>
        <w:tblCellMar>
          <w:left w:w="0" w:type="dxa"/>
          <w:bottom w:w="99" w:type="dxa"/>
          <w:right w:w="0" w:type="dxa"/>
        </w:tblCellMar>
        <w:tblLook w:val="04A0" w:firstRow="1" w:lastRow="0" w:firstColumn="1" w:lastColumn="0" w:noHBand="0" w:noVBand="1"/>
      </w:tblPr>
      <w:tblGrid>
        <w:gridCol w:w="1034"/>
        <w:gridCol w:w="3526"/>
        <w:gridCol w:w="69"/>
        <w:gridCol w:w="444"/>
        <w:gridCol w:w="19"/>
        <w:gridCol w:w="4440"/>
        <w:gridCol w:w="87"/>
      </w:tblGrid>
      <w:tr w:rsidR="00EE4290" w:rsidRPr="00003B04" w:rsidTr="008F5EB8">
        <w:trPr>
          <w:gridAfter w:val="1"/>
          <w:wAfter w:w="46" w:type="pct"/>
        </w:trPr>
        <w:tc>
          <w:tcPr>
            <w:tcW w:w="537" w:type="pct"/>
          </w:tcPr>
          <w:p w:rsidR="00EE4290" w:rsidRPr="00003B04" w:rsidRDefault="00EE4290" w:rsidP="00EE4290">
            <w:pPr>
              <w:jc w:val="both"/>
              <w:rPr>
                <w:sz w:val="20"/>
              </w:rPr>
            </w:pPr>
            <w:r w:rsidRPr="00003B04">
              <w:rPr>
                <w:rStyle w:val="SCCFileNumberChar"/>
                <w:sz w:val="20"/>
                <w:szCs w:val="20"/>
              </w:rPr>
              <w:lastRenderedPageBreak/>
              <w:t>37298</w:t>
            </w:r>
          </w:p>
        </w:tc>
        <w:tc>
          <w:tcPr>
            <w:tcW w:w="4417" w:type="pct"/>
            <w:gridSpan w:val="5"/>
          </w:tcPr>
          <w:p w:rsidR="00EE4290" w:rsidRPr="00003B04" w:rsidRDefault="00EE4290" w:rsidP="00EE4290">
            <w:pPr>
              <w:pStyle w:val="SCCLsocParty"/>
              <w:jc w:val="both"/>
              <w:rPr>
                <w:b/>
                <w:sz w:val="20"/>
                <w:szCs w:val="20"/>
                <w:lang w:val="en-US"/>
              </w:rPr>
            </w:pPr>
            <w:r w:rsidRPr="00003B04">
              <w:rPr>
                <w:b/>
                <w:sz w:val="20"/>
                <w:szCs w:val="20"/>
                <w:lang w:val="en-US"/>
              </w:rPr>
              <w:t xml:space="preserve">James Richard Smith v. Michael Kenneth </w:t>
            </w:r>
            <w:proofErr w:type="spellStart"/>
            <w:r w:rsidRPr="00003B04">
              <w:rPr>
                <w:b/>
                <w:sz w:val="20"/>
                <w:szCs w:val="20"/>
                <w:lang w:val="en-US"/>
              </w:rPr>
              <w:t>Bjornsson</w:t>
            </w:r>
            <w:proofErr w:type="spellEnd"/>
            <w:r w:rsidRPr="00003B04">
              <w:rPr>
                <w:b/>
                <w:sz w:val="20"/>
                <w:szCs w:val="20"/>
                <w:lang w:val="en-US"/>
              </w:rPr>
              <w:t xml:space="preserve">, Clinton Bjornson, Winnipeg Humane Society and the Estate of Carol Dee </w:t>
            </w:r>
            <w:proofErr w:type="spellStart"/>
            <w:r w:rsidRPr="00003B04">
              <w:rPr>
                <w:b/>
                <w:sz w:val="20"/>
                <w:szCs w:val="20"/>
                <w:lang w:val="en-US"/>
              </w:rPr>
              <w:t>Bjornsson</w:t>
            </w:r>
            <w:proofErr w:type="spellEnd"/>
            <w:r w:rsidRPr="00003B04">
              <w:rPr>
                <w:b/>
                <w:sz w:val="20"/>
                <w:szCs w:val="20"/>
                <w:lang w:val="en-US"/>
              </w:rPr>
              <w:t xml:space="preserve"> through its administrator, Michael Kenneth </w:t>
            </w:r>
            <w:proofErr w:type="spellStart"/>
            <w:r w:rsidRPr="00003B04">
              <w:rPr>
                <w:b/>
                <w:sz w:val="20"/>
                <w:szCs w:val="20"/>
                <w:lang w:val="en-US"/>
              </w:rPr>
              <w:t>Bjornsson</w:t>
            </w:r>
            <w:proofErr w:type="spellEnd"/>
          </w:p>
          <w:p w:rsidR="00EE4290" w:rsidRPr="00003B04" w:rsidRDefault="00EE4290" w:rsidP="00EE4290">
            <w:pPr>
              <w:jc w:val="both"/>
              <w:rPr>
                <w:sz w:val="20"/>
              </w:rPr>
            </w:pPr>
            <w:r w:rsidRPr="00003B04">
              <w:rPr>
                <w:sz w:val="20"/>
              </w:rPr>
              <w:t>(Man.) (Civil) (By Leave)</w:t>
            </w:r>
          </w:p>
        </w:tc>
      </w:tr>
      <w:tr w:rsidR="00D310D9" w:rsidRPr="00003B04" w:rsidTr="008F5EB8">
        <w:trPr>
          <w:gridAfter w:val="1"/>
          <w:wAfter w:w="46" w:type="pct"/>
        </w:trPr>
        <w:tc>
          <w:tcPr>
            <w:tcW w:w="537" w:type="pct"/>
          </w:tcPr>
          <w:p w:rsidR="00D310D9" w:rsidRPr="00003B04" w:rsidRDefault="00D310D9" w:rsidP="00EE4290">
            <w:pPr>
              <w:jc w:val="both"/>
              <w:rPr>
                <w:rStyle w:val="SCCFileNumberChar"/>
                <w:sz w:val="20"/>
                <w:szCs w:val="20"/>
              </w:rPr>
            </w:pPr>
            <w:r w:rsidRPr="00003B04">
              <w:rPr>
                <w:rStyle w:val="SCCFileNumberChar"/>
                <w:sz w:val="20"/>
                <w:szCs w:val="20"/>
              </w:rPr>
              <w:t>Coram:</w:t>
            </w:r>
          </w:p>
        </w:tc>
        <w:tc>
          <w:tcPr>
            <w:tcW w:w="4417" w:type="pct"/>
            <w:gridSpan w:val="5"/>
          </w:tcPr>
          <w:p w:rsidR="00D310D9" w:rsidRPr="00003B04" w:rsidRDefault="000E7F29" w:rsidP="00EE4290">
            <w:pPr>
              <w:pStyle w:val="SCCLsocParty"/>
              <w:jc w:val="both"/>
              <w:rPr>
                <w:sz w:val="20"/>
                <w:szCs w:val="20"/>
                <w:lang w:val="en-US"/>
              </w:rPr>
            </w:pPr>
            <w:proofErr w:type="spellStart"/>
            <w:r w:rsidRPr="00003B04">
              <w:rPr>
                <w:sz w:val="20"/>
                <w:szCs w:val="20"/>
                <w:lang w:val="en-US"/>
              </w:rPr>
              <w:t>McLachlin</w:t>
            </w:r>
            <w:proofErr w:type="spellEnd"/>
            <w:r w:rsidRPr="00003B04">
              <w:rPr>
                <w:sz w:val="20"/>
                <w:szCs w:val="20"/>
                <w:lang w:val="en-US"/>
              </w:rPr>
              <w:t xml:space="preserve"> C.J. and </w:t>
            </w:r>
            <w:proofErr w:type="spellStart"/>
            <w:r w:rsidRPr="00003B04">
              <w:rPr>
                <w:sz w:val="20"/>
                <w:szCs w:val="20"/>
                <w:lang w:val="en-US"/>
              </w:rPr>
              <w:t>Abella</w:t>
            </w:r>
            <w:proofErr w:type="spellEnd"/>
            <w:r w:rsidRPr="00003B04">
              <w:rPr>
                <w:sz w:val="20"/>
                <w:szCs w:val="20"/>
                <w:lang w:val="en-US"/>
              </w:rPr>
              <w:t xml:space="preserve">, </w:t>
            </w:r>
            <w:proofErr w:type="spellStart"/>
            <w:r w:rsidRPr="00003B04">
              <w:rPr>
                <w:sz w:val="20"/>
                <w:szCs w:val="20"/>
                <w:lang w:val="en-US"/>
              </w:rPr>
              <w:t>Moldaver</w:t>
            </w:r>
            <w:proofErr w:type="spellEnd"/>
            <w:r w:rsidRPr="00003B04">
              <w:rPr>
                <w:sz w:val="20"/>
                <w:szCs w:val="20"/>
                <w:lang w:val="en-US"/>
              </w:rPr>
              <w:t xml:space="preserve">, </w:t>
            </w:r>
            <w:proofErr w:type="spellStart"/>
            <w:r w:rsidRPr="00003B04">
              <w:rPr>
                <w:sz w:val="20"/>
                <w:szCs w:val="20"/>
                <w:lang w:val="en-US"/>
              </w:rPr>
              <w:t>Karakatsanis</w:t>
            </w:r>
            <w:proofErr w:type="spellEnd"/>
            <w:r w:rsidRPr="00003B04">
              <w:rPr>
                <w:sz w:val="20"/>
                <w:szCs w:val="20"/>
                <w:lang w:val="en-US"/>
              </w:rPr>
              <w:t xml:space="preserve">, Wagner, </w:t>
            </w:r>
            <w:proofErr w:type="spellStart"/>
            <w:r w:rsidRPr="00003B04">
              <w:rPr>
                <w:sz w:val="20"/>
                <w:szCs w:val="20"/>
                <w:lang w:val="en-US"/>
              </w:rPr>
              <w:t>Gascon</w:t>
            </w:r>
            <w:proofErr w:type="spellEnd"/>
            <w:r w:rsidRPr="00003B04">
              <w:rPr>
                <w:sz w:val="20"/>
                <w:szCs w:val="20"/>
                <w:lang w:val="en-US"/>
              </w:rPr>
              <w:t xml:space="preserve">, </w:t>
            </w:r>
            <w:proofErr w:type="spellStart"/>
            <w:r w:rsidRPr="00003B04">
              <w:rPr>
                <w:sz w:val="20"/>
                <w:szCs w:val="20"/>
                <w:lang w:val="en-US"/>
              </w:rPr>
              <w:t>Côté</w:t>
            </w:r>
            <w:proofErr w:type="spellEnd"/>
            <w:r w:rsidRPr="00003B04">
              <w:rPr>
                <w:sz w:val="20"/>
                <w:szCs w:val="20"/>
                <w:lang w:val="en-US"/>
              </w:rPr>
              <w:t>, Brown and Rowe JJ.</w:t>
            </w:r>
          </w:p>
          <w:p w:rsidR="000E7F29" w:rsidRPr="00003B04" w:rsidRDefault="000E7F29" w:rsidP="000E7F29">
            <w:pPr>
              <w:rPr>
                <w:lang w:val="en-US"/>
              </w:rPr>
            </w:pPr>
          </w:p>
        </w:tc>
      </w:tr>
      <w:tr w:rsidR="00D310D9" w:rsidRPr="00003B04" w:rsidTr="008F5EB8">
        <w:trPr>
          <w:gridAfter w:val="1"/>
          <w:wAfter w:w="46" w:type="pct"/>
        </w:trPr>
        <w:tc>
          <w:tcPr>
            <w:tcW w:w="4954" w:type="pct"/>
            <w:gridSpan w:val="6"/>
          </w:tcPr>
          <w:p w:rsidR="00D310D9" w:rsidRPr="00003B04" w:rsidRDefault="000E7F29" w:rsidP="00EE4290">
            <w:pPr>
              <w:pStyle w:val="SCCLsocParty"/>
              <w:jc w:val="both"/>
              <w:rPr>
                <w:sz w:val="20"/>
                <w:szCs w:val="20"/>
                <w:lang w:val="en-US"/>
              </w:rPr>
            </w:pPr>
            <w:r w:rsidRPr="00003B04">
              <w:rPr>
                <w:sz w:val="20"/>
                <w:szCs w:val="20"/>
                <w:lang w:val="en-US"/>
              </w:rPr>
              <w:t>The application for leave to appeal from the judgment of the Court of Appeal of Manitoba, Number AI15-30-08438, 2016 MBCA 91, dated September 22, 2016, is dismissed with costs.</w:t>
            </w:r>
          </w:p>
          <w:p w:rsidR="000E7F29" w:rsidRPr="00003B04" w:rsidRDefault="000E7F29" w:rsidP="000E7F29">
            <w:pPr>
              <w:rPr>
                <w:lang w:val="en-US"/>
              </w:rPr>
            </w:pPr>
          </w:p>
        </w:tc>
      </w:tr>
      <w:tr w:rsidR="00EE4290" w:rsidRPr="00003B04" w:rsidTr="008F5EB8">
        <w:trPr>
          <w:gridAfter w:val="1"/>
          <w:wAfter w:w="46" w:type="pct"/>
        </w:trPr>
        <w:tc>
          <w:tcPr>
            <w:tcW w:w="4954" w:type="pct"/>
            <w:gridSpan w:val="6"/>
          </w:tcPr>
          <w:p w:rsidR="00EE4290" w:rsidRPr="00003B04" w:rsidRDefault="00EE4290" w:rsidP="00EE4290">
            <w:pPr>
              <w:jc w:val="both"/>
              <w:rPr>
                <w:sz w:val="20"/>
              </w:rPr>
            </w:pPr>
            <w:r w:rsidRPr="00003B04">
              <w:rPr>
                <w:sz w:val="20"/>
              </w:rPr>
              <w:t xml:space="preserve">Law of professions — Barristers and solicitors — Professional liability — Applicant lawyer was sued for conversion of estate property — Law Society of Manitoba assumed conduct of action after compensating respondent beneficiaries out of reimbursement fund and obtaining assignment from them — Whether action being funded by Law Society is product of </w:t>
            </w:r>
            <w:proofErr w:type="spellStart"/>
            <w:r w:rsidRPr="00003B04">
              <w:rPr>
                <w:sz w:val="20"/>
              </w:rPr>
              <w:t>champerty</w:t>
            </w:r>
            <w:proofErr w:type="spellEnd"/>
            <w:r w:rsidRPr="00003B04">
              <w:rPr>
                <w:sz w:val="20"/>
              </w:rPr>
              <w:t xml:space="preserve"> or maintenance — Whether Law Society had legislative jurisdiction to fund and maintain action without being plaintiff or co-plaintiff.</w:t>
            </w:r>
          </w:p>
        </w:tc>
      </w:tr>
      <w:tr w:rsidR="00EE4290" w:rsidRPr="00003B04" w:rsidTr="008F5EB8">
        <w:trPr>
          <w:gridAfter w:val="1"/>
          <w:wAfter w:w="46" w:type="pct"/>
        </w:trPr>
        <w:tc>
          <w:tcPr>
            <w:tcW w:w="4954" w:type="pct"/>
            <w:gridSpan w:val="6"/>
          </w:tcPr>
          <w:p w:rsidR="00EE4290" w:rsidRPr="00003B04" w:rsidRDefault="00EE4290" w:rsidP="00EE4290">
            <w:pPr>
              <w:jc w:val="both"/>
              <w:rPr>
                <w:sz w:val="20"/>
              </w:rPr>
            </w:pPr>
          </w:p>
        </w:tc>
      </w:tr>
      <w:tr w:rsidR="00EE4290" w:rsidRPr="00003B04" w:rsidTr="008F5EB8">
        <w:trPr>
          <w:gridAfter w:val="1"/>
          <w:wAfter w:w="46" w:type="pct"/>
        </w:trPr>
        <w:tc>
          <w:tcPr>
            <w:tcW w:w="4954" w:type="pct"/>
            <w:gridSpan w:val="6"/>
          </w:tcPr>
          <w:p w:rsidR="00EE4290" w:rsidRPr="00003B04" w:rsidRDefault="00EE4290" w:rsidP="00EE4290">
            <w:pPr>
              <w:jc w:val="both"/>
              <w:rPr>
                <w:sz w:val="20"/>
              </w:rPr>
            </w:pPr>
            <w:r w:rsidRPr="00003B04">
              <w:rPr>
                <w:sz w:val="20"/>
              </w:rPr>
              <w:t xml:space="preserve">The applicant, Mr. James Richard Smith, was the executor and lawyer of the estate of Ms. Carol Dee </w:t>
            </w:r>
            <w:proofErr w:type="spellStart"/>
            <w:r w:rsidRPr="00003B04">
              <w:rPr>
                <w:sz w:val="20"/>
              </w:rPr>
              <w:t>Bjornsson</w:t>
            </w:r>
            <w:proofErr w:type="spellEnd"/>
            <w:r w:rsidRPr="00003B04">
              <w:rPr>
                <w:sz w:val="20"/>
              </w:rPr>
              <w:t xml:space="preserve">, who died October 10, 2006. The respondents include the beneficiaries of the estate. They commenced an action after Mr. Smith sold the major asset of the estate, a home, below market value without disclosing that the purchaser was his wife. The Law Society of Manitoba (the LSM) subsequently compensated the beneficiaries from its reimbursement fund for Mr. Smith’s conversion of the estate property, obtained a release and assignment from the respondents and assumed conduct of the action. In defence, Mr. Smith argued that the action, being funded by the LSM, was the product of </w:t>
            </w:r>
            <w:proofErr w:type="spellStart"/>
            <w:r w:rsidRPr="00003B04">
              <w:rPr>
                <w:sz w:val="20"/>
              </w:rPr>
              <w:t>champerty</w:t>
            </w:r>
            <w:proofErr w:type="spellEnd"/>
            <w:r w:rsidRPr="00003B04">
              <w:rPr>
                <w:sz w:val="20"/>
              </w:rPr>
              <w:t xml:space="preserve"> or maintenance and that the LSM had no legislative jurisdiction to fund and maintain the action, and was only permitted to participate in it as a plaintiff or co-plaintiff. A Senior Master</w:t>
            </w:r>
            <w:r w:rsidRPr="00003B04">
              <w:rPr>
                <w:b/>
                <w:sz w:val="20"/>
              </w:rPr>
              <w:t xml:space="preserve"> </w:t>
            </w:r>
            <w:r w:rsidRPr="00003B04">
              <w:rPr>
                <w:sz w:val="20"/>
              </w:rPr>
              <w:t>of the Court of Queen’s Bench dismissed Mr. Smith’s motion to strike the respondents’ statement of claim, a judge of that court dismissed the appeal and a unanimous Court of Appeal dismissed the subsequent appeal.</w:t>
            </w:r>
          </w:p>
          <w:p w:rsidR="00EE4290" w:rsidRPr="00003B04" w:rsidRDefault="00EE4290" w:rsidP="00EE4290">
            <w:pPr>
              <w:jc w:val="both"/>
              <w:rPr>
                <w:sz w:val="20"/>
              </w:rPr>
            </w:pPr>
          </w:p>
        </w:tc>
      </w:tr>
      <w:tr w:rsidR="00EE4290" w:rsidRPr="00003B04" w:rsidTr="008F5EB8">
        <w:trPr>
          <w:gridAfter w:val="1"/>
          <w:wAfter w:w="46" w:type="pct"/>
        </w:trPr>
        <w:tc>
          <w:tcPr>
            <w:tcW w:w="2406" w:type="pct"/>
            <w:gridSpan w:val="3"/>
          </w:tcPr>
          <w:p w:rsidR="00EE4290" w:rsidRPr="00003B04" w:rsidRDefault="00EE4290" w:rsidP="00EE4290">
            <w:pPr>
              <w:jc w:val="both"/>
              <w:rPr>
                <w:sz w:val="20"/>
              </w:rPr>
            </w:pPr>
            <w:r w:rsidRPr="00003B04">
              <w:rPr>
                <w:sz w:val="20"/>
              </w:rPr>
              <w:t>January 15, 2015</w:t>
            </w:r>
          </w:p>
          <w:p w:rsidR="00EE4290" w:rsidRPr="00003B04" w:rsidRDefault="00EE4290" w:rsidP="00EE4290">
            <w:pPr>
              <w:jc w:val="both"/>
              <w:rPr>
                <w:sz w:val="20"/>
              </w:rPr>
            </w:pPr>
            <w:r w:rsidRPr="00003B04">
              <w:rPr>
                <w:sz w:val="20"/>
              </w:rPr>
              <w:t>Court of Queen’s Bench of Manitoba</w:t>
            </w:r>
          </w:p>
          <w:p w:rsidR="00EE4290" w:rsidRPr="00003B04" w:rsidRDefault="00EE4290" w:rsidP="00EE4290">
            <w:pPr>
              <w:jc w:val="both"/>
              <w:rPr>
                <w:sz w:val="20"/>
              </w:rPr>
            </w:pPr>
            <w:r w:rsidRPr="00003B04">
              <w:rPr>
                <w:sz w:val="20"/>
              </w:rPr>
              <w:t>(Senior Master Lee)</w:t>
            </w:r>
          </w:p>
          <w:p w:rsidR="00EE4290" w:rsidRPr="00003B04" w:rsidRDefault="00EE4290" w:rsidP="00EE4290">
            <w:pPr>
              <w:jc w:val="both"/>
              <w:rPr>
                <w:sz w:val="20"/>
              </w:rPr>
            </w:pPr>
          </w:p>
        </w:tc>
        <w:tc>
          <w:tcPr>
            <w:tcW w:w="241" w:type="pct"/>
            <w:gridSpan w:val="2"/>
          </w:tcPr>
          <w:p w:rsidR="00EE4290" w:rsidRPr="00003B04" w:rsidRDefault="00EE4290" w:rsidP="00EE4290">
            <w:pPr>
              <w:jc w:val="both"/>
              <w:rPr>
                <w:sz w:val="20"/>
              </w:rPr>
            </w:pPr>
          </w:p>
        </w:tc>
        <w:tc>
          <w:tcPr>
            <w:tcW w:w="2308" w:type="pct"/>
          </w:tcPr>
          <w:p w:rsidR="00EE4290" w:rsidRPr="00003B04" w:rsidRDefault="00EE4290" w:rsidP="00EE4290">
            <w:pPr>
              <w:jc w:val="both"/>
              <w:rPr>
                <w:sz w:val="20"/>
              </w:rPr>
            </w:pPr>
            <w:r w:rsidRPr="00003B04">
              <w:rPr>
                <w:sz w:val="20"/>
              </w:rPr>
              <w:t xml:space="preserve">Applicant’s motion to strike respondents’ statement of claim dismissed. </w:t>
            </w:r>
          </w:p>
          <w:p w:rsidR="00EE4290" w:rsidRPr="00003B04" w:rsidRDefault="00EE4290" w:rsidP="00EE4290">
            <w:pPr>
              <w:jc w:val="both"/>
              <w:rPr>
                <w:sz w:val="20"/>
              </w:rPr>
            </w:pPr>
          </w:p>
        </w:tc>
      </w:tr>
      <w:tr w:rsidR="00EE4290" w:rsidRPr="00003B04" w:rsidTr="008F5EB8">
        <w:trPr>
          <w:gridAfter w:val="1"/>
          <w:wAfter w:w="46" w:type="pct"/>
        </w:trPr>
        <w:tc>
          <w:tcPr>
            <w:tcW w:w="2406" w:type="pct"/>
            <w:gridSpan w:val="3"/>
          </w:tcPr>
          <w:p w:rsidR="00EE4290" w:rsidRPr="00003B04" w:rsidRDefault="00EE4290" w:rsidP="00EE4290">
            <w:pPr>
              <w:jc w:val="both"/>
              <w:rPr>
                <w:sz w:val="20"/>
              </w:rPr>
            </w:pPr>
            <w:r w:rsidRPr="00003B04">
              <w:rPr>
                <w:sz w:val="20"/>
              </w:rPr>
              <w:t>June 1, 2015</w:t>
            </w:r>
          </w:p>
          <w:p w:rsidR="00EE4290" w:rsidRPr="00003B04" w:rsidRDefault="00EE4290" w:rsidP="00EE4290">
            <w:pPr>
              <w:jc w:val="both"/>
              <w:rPr>
                <w:sz w:val="20"/>
              </w:rPr>
            </w:pPr>
            <w:r w:rsidRPr="00003B04">
              <w:rPr>
                <w:sz w:val="20"/>
              </w:rPr>
              <w:t>Court of Queen’s Bench of Manitoba</w:t>
            </w:r>
          </w:p>
          <w:p w:rsidR="00EE4290" w:rsidRPr="00003B04" w:rsidRDefault="00EE4290" w:rsidP="00EE4290">
            <w:pPr>
              <w:jc w:val="both"/>
              <w:rPr>
                <w:sz w:val="20"/>
              </w:rPr>
            </w:pPr>
            <w:r w:rsidRPr="00003B04">
              <w:rPr>
                <w:sz w:val="20"/>
              </w:rPr>
              <w:t>(Rempel J.)</w:t>
            </w:r>
          </w:p>
          <w:p w:rsidR="00EE4290" w:rsidRPr="00003B04" w:rsidRDefault="00EE4290" w:rsidP="00EE4290">
            <w:pPr>
              <w:jc w:val="both"/>
              <w:rPr>
                <w:sz w:val="20"/>
              </w:rPr>
            </w:pPr>
          </w:p>
        </w:tc>
        <w:tc>
          <w:tcPr>
            <w:tcW w:w="241" w:type="pct"/>
            <w:gridSpan w:val="2"/>
          </w:tcPr>
          <w:p w:rsidR="00EE4290" w:rsidRPr="00003B04" w:rsidRDefault="00EE4290" w:rsidP="00EE4290">
            <w:pPr>
              <w:jc w:val="both"/>
              <w:rPr>
                <w:sz w:val="20"/>
              </w:rPr>
            </w:pPr>
          </w:p>
        </w:tc>
        <w:tc>
          <w:tcPr>
            <w:tcW w:w="2308" w:type="pct"/>
          </w:tcPr>
          <w:p w:rsidR="00EE4290" w:rsidRPr="00003B04" w:rsidRDefault="00EE4290" w:rsidP="00EE4290">
            <w:pPr>
              <w:jc w:val="both"/>
              <w:rPr>
                <w:sz w:val="20"/>
              </w:rPr>
            </w:pPr>
            <w:r w:rsidRPr="00003B04">
              <w:rPr>
                <w:sz w:val="20"/>
              </w:rPr>
              <w:t>Appeal dismissed.</w:t>
            </w:r>
          </w:p>
          <w:p w:rsidR="00EE4290" w:rsidRPr="00003B04" w:rsidRDefault="00EE4290" w:rsidP="00EE4290">
            <w:pPr>
              <w:jc w:val="both"/>
              <w:rPr>
                <w:sz w:val="20"/>
              </w:rPr>
            </w:pPr>
          </w:p>
        </w:tc>
      </w:tr>
      <w:tr w:rsidR="00EE4290" w:rsidRPr="00003B04" w:rsidTr="008F5EB8">
        <w:trPr>
          <w:gridAfter w:val="1"/>
          <w:wAfter w:w="46" w:type="pct"/>
        </w:trPr>
        <w:tc>
          <w:tcPr>
            <w:tcW w:w="2406" w:type="pct"/>
            <w:gridSpan w:val="3"/>
          </w:tcPr>
          <w:p w:rsidR="00EE4290" w:rsidRPr="00003B04" w:rsidRDefault="00EE4290" w:rsidP="00EE4290">
            <w:pPr>
              <w:jc w:val="both"/>
              <w:rPr>
                <w:sz w:val="20"/>
              </w:rPr>
            </w:pPr>
            <w:r w:rsidRPr="00003B04">
              <w:rPr>
                <w:sz w:val="20"/>
              </w:rPr>
              <w:t>September 22, 2016</w:t>
            </w:r>
          </w:p>
          <w:p w:rsidR="00EE4290" w:rsidRPr="00003B04" w:rsidRDefault="00EE4290" w:rsidP="00EE4290">
            <w:pPr>
              <w:jc w:val="both"/>
              <w:rPr>
                <w:sz w:val="20"/>
              </w:rPr>
            </w:pPr>
            <w:r w:rsidRPr="00003B04">
              <w:rPr>
                <w:sz w:val="20"/>
              </w:rPr>
              <w:t>Court of Appeal of Manitoba</w:t>
            </w:r>
          </w:p>
          <w:p w:rsidR="00EE4290" w:rsidRPr="00003B04" w:rsidRDefault="00EE4290" w:rsidP="00EE4290">
            <w:pPr>
              <w:jc w:val="both"/>
              <w:rPr>
                <w:sz w:val="20"/>
              </w:rPr>
            </w:pPr>
            <w:r w:rsidRPr="00003B04">
              <w:rPr>
                <w:sz w:val="20"/>
              </w:rPr>
              <w:t>(</w:t>
            </w:r>
            <w:proofErr w:type="spellStart"/>
            <w:r w:rsidRPr="00003B04">
              <w:rPr>
                <w:sz w:val="20"/>
              </w:rPr>
              <w:t>MacInnes</w:t>
            </w:r>
            <w:proofErr w:type="spellEnd"/>
            <w:r w:rsidRPr="00003B04">
              <w:rPr>
                <w:sz w:val="20"/>
              </w:rPr>
              <w:t xml:space="preserve">, Monnin and </w:t>
            </w:r>
            <w:proofErr w:type="spellStart"/>
            <w:r w:rsidRPr="00003B04">
              <w:rPr>
                <w:sz w:val="20"/>
              </w:rPr>
              <w:t>leMaistre</w:t>
            </w:r>
            <w:proofErr w:type="spellEnd"/>
            <w:r w:rsidRPr="00003B04">
              <w:rPr>
                <w:sz w:val="20"/>
              </w:rPr>
              <w:t xml:space="preserve"> JJ.A.)</w:t>
            </w:r>
          </w:p>
          <w:p w:rsidR="00EE4290" w:rsidRPr="00003B04" w:rsidRDefault="00604445" w:rsidP="00EE4290">
            <w:pPr>
              <w:jc w:val="both"/>
              <w:rPr>
                <w:rStyle w:val="Hyperlink"/>
                <w:sz w:val="20"/>
              </w:rPr>
            </w:pPr>
            <w:hyperlink r:id="rId69" w:history="1">
              <w:r w:rsidR="00EE4290" w:rsidRPr="00003B04">
                <w:rPr>
                  <w:rStyle w:val="Hyperlink"/>
                  <w:sz w:val="20"/>
                </w:rPr>
                <w:t>2016 MBCA 91</w:t>
              </w:r>
            </w:hyperlink>
          </w:p>
          <w:p w:rsidR="00EE4290" w:rsidRPr="00003B04" w:rsidRDefault="00EE4290" w:rsidP="00EE4290">
            <w:pPr>
              <w:jc w:val="both"/>
              <w:rPr>
                <w:sz w:val="20"/>
              </w:rPr>
            </w:pPr>
          </w:p>
        </w:tc>
        <w:tc>
          <w:tcPr>
            <w:tcW w:w="241" w:type="pct"/>
            <w:gridSpan w:val="2"/>
          </w:tcPr>
          <w:p w:rsidR="00EE4290" w:rsidRPr="00003B04" w:rsidRDefault="00EE4290" w:rsidP="00EE4290">
            <w:pPr>
              <w:jc w:val="both"/>
              <w:rPr>
                <w:sz w:val="20"/>
              </w:rPr>
            </w:pPr>
          </w:p>
        </w:tc>
        <w:tc>
          <w:tcPr>
            <w:tcW w:w="2308" w:type="pct"/>
          </w:tcPr>
          <w:p w:rsidR="00EE4290" w:rsidRPr="00003B04" w:rsidRDefault="00EE4290" w:rsidP="00EE4290">
            <w:pPr>
              <w:jc w:val="both"/>
              <w:rPr>
                <w:sz w:val="20"/>
              </w:rPr>
            </w:pPr>
            <w:r w:rsidRPr="00003B04">
              <w:rPr>
                <w:sz w:val="20"/>
              </w:rPr>
              <w:t>Further appeal dismissed.</w:t>
            </w:r>
          </w:p>
          <w:p w:rsidR="00EE4290" w:rsidRPr="00003B04" w:rsidRDefault="00EE4290" w:rsidP="00EE4290">
            <w:pPr>
              <w:jc w:val="both"/>
              <w:rPr>
                <w:sz w:val="20"/>
              </w:rPr>
            </w:pPr>
          </w:p>
        </w:tc>
      </w:tr>
      <w:tr w:rsidR="00EE4290" w:rsidRPr="00003B04" w:rsidTr="008F5EB8">
        <w:tblPrEx>
          <w:tblCellMar>
            <w:bottom w:w="0" w:type="dxa"/>
          </w:tblCellMar>
        </w:tblPrEx>
        <w:tc>
          <w:tcPr>
            <w:tcW w:w="2370" w:type="pct"/>
            <w:gridSpan w:val="2"/>
          </w:tcPr>
          <w:p w:rsidR="00EE4290" w:rsidRPr="00003B04" w:rsidRDefault="00EE4290" w:rsidP="00EE4290">
            <w:pPr>
              <w:jc w:val="both"/>
              <w:rPr>
                <w:sz w:val="20"/>
              </w:rPr>
            </w:pPr>
            <w:r w:rsidRPr="00003B04">
              <w:rPr>
                <w:sz w:val="20"/>
              </w:rPr>
              <w:t>November 14, 2016</w:t>
            </w:r>
          </w:p>
          <w:p w:rsidR="00EE4290" w:rsidRPr="00003B04" w:rsidRDefault="00EE4290" w:rsidP="00EE4290">
            <w:pPr>
              <w:jc w:val="both"/>
              <w:rPr>
                <w:sz w:val="20"/>
              </w:rPr>
            </w:pPr>
            <w:r w:rsidRPr="00003B04">
              <w:rPr>
                <w:sz w:val="20"/>
              </w:rPr>
              <w:t>Supreme Court of Canada</w:t>
            </w:r>
          </w:p>
        </w:tc>
        <w:tc>
          <w:tcPr>
            <w:tcW w:w="267" w:type="pct"/>
            <w:gridSpan w:val="2"/>
          </w:tcPr>
          <w:p w:rsidR="00EE4290" w:rsidRPr="00003B04" w:rsidRDefault="00EE4290" w:rsidP="00EE4290">
            <w:pPr>
              <w:jc w:val="both"/>
              <w:rPr>
                <w:sz w:val="20"/>
              </w:rPr>
            </w:pPr>
          </w:p>
        </w:tc>
        <w:tc>
          <w:tcPr>
            <w:tcW w:w="2364" w:type="pct"/>
            <w:gridSpan w:val="3"/>
          </w:tcPr>
          <w:p w:rsidR="00EE4290" w:rsidRPr="00003B04" w:rsidRDefault="00EE4290" w:rsidP="00EE4290">
            <w:pPr>
              <w:jc w:val="both"/>
              <w:rPr>
                <w:sz w:val="20"/>
              </w:rPr>
            </w:pPr>
            <w:r w:rsidRPr="00003B04">
              <w:rPr>
                <w:sz w:val="20"/>
              </w:rPr>
              <w:t>Application for leave to appeal filed.</w:t>
            </w:r>
          </w:p>
        </w:tc>
      </w:tr>
    </w:tbl>
    <w:p w:rsidR="00EE4290" w:rsidRPr="00003B04" w:rsidRDefault="00604445" w:rsidP="00EE4290">
      <w:pPr>
        <w:jc w:val="both"/>
        <w:rPr>
          <w:sz w:val="20"/>
        </w:rPr>
      </w:pPr>
      <w:r>
        <w:rPr>
          <w:sz w:val="20"/>
          <w:szCs w:val="20"/>
        </w:rPr>
        <w:pict>
          <v:rect id="_x0000_i1071" style="width:2in;height:1pt" o:hrpct="0" o:hralign="center" o:hrstd="t" o:hrnoshade="t" o:hr="t" fillcolor="black [3213]" stroked="f"/>
        </w:pict>
      </w:r>
    </w:p>
    <w:p w:rsidR="00EE4290" w:rsidRPr="00003B04" w:rsidRDefault="00EE4290" w:rsidP="00EE4290">
      <w:pPr>
        <w:jc w:val="both"/>
        <w:rPr>
          <w:sz w:val="20"/>
        </w:rPr>
      </w:pPr>
    </w:p>
    <w:p w:rsidR="008F5EB8" w:rsidRPr="00003B04" w:rsidRDefault="008F5EB8">
      <w:r w:rsidRPr="00003B04">
        <w:br w:type="page"/>
      </w:r>
    </w:p>
    <w:tbl>
      <w:tblPr>
        <w:tblW w:w="5000" w:type="pct"/>
        <w:tblLayout w:type="fixed"/>
        <w:tblCellMar>
          <w:left w:w="0" w:type="dxa"/>
          <w:bottom w:w="99" w:type="dxa"/>
          <w:right w:w="0" w:type="dxa"/>
        </w:tblCellMar>
        <w:tblLook w:val="04A0" w:firstRow="1" w:lastRow="0" w:firstColumn="1" w:lastColumn="0" w:noHBand="0" w:noVBand="1"/>
      </w:tblPr>
      <w:tblGrid>
        <w:gridCol w:w="1034"/>
        <w:gridCol w:w="3526"/>
        <w:gridCol w:w="69"/>
        <w:gridCol w:w="444"/>
        <w:gridCol w:w="19"/>
        <w:gridCol w:w="4440"/>
        <w:gridCol w:w="87"/>
      </w:tblGrid>
      <w:tr w:rsidR="00EE4290" w:rsidRPr="00003B04" w:rsidTr="008F5EB8">
        <w:trPr>
          <w:gridAfter w:val="1"/>
          <w:wAfter w:w="46" w:type="pct"/>
        </w:trPr>
        <w:tc>
          <w:tcPr>
            <w:tcW w:w="537" w:type="pct"/>
          </w:tcPr>
          <w:p w:rsidR="00EE4290" w:rsidRPr="00003B04" w:rsidRDefault="00EE4290" w:rsidP="00EE4290">
            <w:pPr>
              <w:jc w:val="both"/>
              <w:rPr>
                <w:sz w:val="20"/>
                <w:lang w:val="fr-CA"/>
              </w:rPr>
            </w:pPr>
            <w:r w:rsidRPr="00003B04">
              <w:rPr>
                <w:rStyle w:val="SCCFileNumberChar"/>
                <w:sz w:val="20"/>
                <w:szCs w:val="20"/>
                <w:lang w:val="fr-CA"/>
              </w:rPr>
              <w:lastRenderedPageBreak/>
              <w:t>37298</w:t>
            </w:r>
          </w:p>
        </w:tc>
        <w:tc>
          <w:tcPr>
            <w:tcW w:w="4417" w:type="pct"/>
            <w:gridSpan w:val="5"/>
          </w:tcPr>
          <w:p w:rsidR="00767A6B" w:rsidRPr="00003B04" w:rsidRDefault="00EE4290" w:rsidP="000E7F29">
            <w:pPr>
              <w:pStyle w:val="SCCLsocParty"/>
              <w:jc w:val="both"/>
            </w:pPr>
            <w:r w:rsidRPr="00003B04">
              <w:rPr>
                <w:b/>
                <w:sz w:val="20"/>
                <w:szCs w:val="20"/>
              </w:rPr>
              <w:t xml:space="preserve">James Richard Smith c. Michael Kenneth </w:t>
            </w:r>
            <w:proofErr w:type="spellStart"/>
            <w:r w:rsidRPr="00003B04">
              <w:rPr>
                <w:b/>
                <w:sz w:val="20"/>
                <w:szCs w:val="20"/>
              </w:rPr>
              <w:t>Bjornsson</w:t>
            </w:r>
            <w:proofErr w:type="spellEnd"/>
            <w:r w:rsidRPr="00003B04">
              <w:rPr>
                <w:b/>
                <w:sz w:val="20"/>
                <w:szCs w:val="20"/>
              </w:rPr>
              <w:t xml:space="preserve">, Clinton Bjornson, Winnipeg Humane Society et la succession de Carol Dee </w:t>
            </w:r>
            <w:proofErr w:type="spellStart"/>
            <w:r w:rsidRPr="00003B04">
              <w:rPr>
                <w:b/>
                <w:sz w:val="20"/>
                <w:szCs w:val="20"/>
              </w:rPr>
              <w:t>Bjornsson</w:t>
            </w:r>
            <w:proofErr w:type="spellEnd"/>
            <w:r w:rsidRPr="00003B04">
              <w:rPr>
                <w:b/>
                <w:sz w:val="20"/>
                <w:szCs w:val="20"/>
              </w:rPr>
              <w:t xml:space="preserve">, représentée par son administrateur, Michael Kenneth </w:t>
            </w:r>
            <w:proofErr w:type="spellStart"/>
            <w:r w:rsidRPr="00003B04">
              <w:rPr>
                <w:b/>
                <w:sz w:val="20"/>
                <w:szCs w:val="20"/>
              </w:rPr>
              <w:t>Bjornsson</w:t>
            </w:r>
            <w:proofErr w:type="spellEnd"/>
            <w:r w:rsidR="00767A6B" w:rsidRPr="00003B04">
              <w:rPr>
                <w:b/>
                <w:sz w:val="20"/>
                <w:szCs w:val="20"/>
              </w:rPr>
              <w:t xml:space="preserve"> </w:t>
            </w:r>
            <w:r w:rsidRPr="00003B04">
              <w:rPr>
                <w:sz w:val="20"/>
              </w:rPr>
              <w:t>(Man.) (Civile) (Sur autorisation)</w:t>
            </w:r>
          </w:p>
        </w:tc>
      </w:tr>
      <w:tr w:rsidR="00D310D9" w:rsidRPr="00C3697D" w:rsidTr="008F5EB8">
        <w:trPr>
          <w:gridAfter w:val="1"/>
          <w:wAfter w:w="46" w:type="pct"/>
        </w:trPr>
        <w:tc>
          <w:tcPr>
            <w:tcW w:w="537" w:type="pct"/>
          </w:tcPr>
          <w:p w:rsidR="00D310D9" w:rsidRPr="00003B04" w:rsidRDefault="00D310D9" w:rsidP="00EE4290">
            <w:pPr>
              <w:jc w:val="both"/>
              <w:rPr>
                <w:rStyle w:val="SCCFileNumberChar"/>
                <w:sz w:val="20"/>
                <w:szCs w:val="20"/>
                <w:lang w:val="fr-CA"/>
              </w:rPr>
            </w:pPr>
            <w:r w:rsidRPr="00003B04">
              <w:rPr>
                <w:rStyle w:val="SCCFileNumberChar"/>
                <w:sz w:val="20"/>
                <w:szCs w:val="20"/>
                <w:lang w:val="fr-CA"/>
              </w:rPr>
              <w:t>Coram :</w:t>
            </w:r>
          </w:p>
        </w:tc>
        <w:tc>
          <w:tcPr>
            <w:tcW w:w="4417" w:type="pct"/>
            <w:gridSpan w:val="5"/>
          </w:tcPr>
          <w:p w:rsidR="00D310D9" w:rsidRPr="00003B04" w:rsidRDefault="000E7F29" w:rsidP="00EE4290">
            <w:pPr>
              <w:pStyle w:val="SCCLsocParty"/>
              <w:jc w:val="both"/>
              <w:rPr>
                <w:sz w:val="20"/>
                <w:szCs w:val="20"/>
                <w:lang w:val="fr-FR"/>
              </w:rPr>
            </w:pPr>
            <w:r w:rsidRPr="00003B04">
              <w:rPr>
                <w:sz w:val="20"/>
                <w:szCs w:val="20"/>
                <w:lang w:val="fr-FR"/>
              </w:rPr>
              <w:t xml:space="preserve">La juge en chef </w:t>
            </w:r>
            <w:proofErr w:type="spellStart"/>
            <w:r w:rsidRPr="00003B04">
              <w:rPr>
                <w:sz w:val="20"/>
                <w:szCs w:val="20"/>
                <w:lang w:val="fr-FR"/>
              </w:rPr>
              <w:t>McLachlin</w:t>
            </w:r>
            <w:proofErr w:type="spellEnd"/>
            <w:r w:rsidRPr="00003B04">
              <w:rPr>
                <w:sz w:val="20"/>
                <w:szCs w:val="20"/>
                <w:lang w:val="fr-FR"/>
              </w:rPr>
              <w:t xml:space="preserve"> et les juges Abella, </w:t>
            </w:r>
            <w:proofErr w:type="spellStart"/>
            <w:r w:rsidRPr="00003B04">
              <w:rPr>
                <w:sz w:val="20"/>
                <w:szCs w:val="20"/>
                <w:lang w:val="fr-FR"/>
              </w:rPr>
              <w:t>Moldaver</w:t>
            </w:r>
            <w:proofErr w:type="spellEnd"/>
            <w:r w:rsidRPr="00003B04">
              <w:rPr>
                <w:sz w:val="20"/>
                <w:szCs w:val="20"/>
                <w:lang w:val="fr-FR"/>
              </w:rPr>
              <w:t xml:space="preserve">, </w:t>
            </w:r>
            <w:proofErr w:type="spellStart"/>
            <w:r w:rsidRPr="00003B04">
              <w:rPr>
                <w:sz w:val="20"/>
                <w:szCs w:val="20"/>
                <w:lang w:val="fr-FR"/>
              </w:rPr>
              <w:t>Karakatsanis</w:t>
            </w:r>
            <w:proofErr w:type="spellEnd"/>
            <w:r w:rsidRPr="00003B04">
              <w:rPr>
                <w:sz w:val="20"/>
                <w:szCs w:val="20"/>
                <w:lang w:val="fr-FR"/>
              </w:rPr>
              <w:t>, Wagner, Gascon, Côté, Brown et Rowe</w:t>
            </w:r>
          </w:p>
          <w:p w:rsidR="000E7F29" w:rsidRPr="00003B04" w:rsidRDefault="000E7F29" w:rsidP="000E7F29">
            <w:pPr>
              <w:rPr>
                <w:lang w:val="fr-FR"/>
              </w:rPr>
            </w:pPr>
          </w:p>
        </w:tc>
      </w:tr>
      <w:tr w:rsidR="00D310D9" w:rsidRPr="00C3697D" w:rsidTr="008F5EB8">
        <w:trPr>
          <w:gridAfter w:val="1"/>
          <w:wAfter w:w="46" w:type="pct"/>
        </w:trPr>
        <w:tc>
          <w:tcPr>
            <w:tcW w:w="4954" w:type="pct"/>
            <w:gridSpan w:val="6"/>
          </w:tcPr>
          <w:p w:rsidR="00D310D9" w:rsidRPr="00003B04" w:rsidRDefault="000E7F29" w:rsidP="00EE4290">
            <w:pPr>
              <w:pStyle w:val="SCCLsocParty"/>
              <w:jc w:val="both"/>
              <w:rPr>
                <w:sz w:val="20"/>
                <w:szCs w:val="20"/>
              </w:rPr>
            </w:pPr>
            <w:r w:rsidRPr="00003B04">
              <w:rPr>
                <w:sz w:val="20"/>
                <w:szCs w:val="20"/>
              </w:rPr>
              <w:t xml:space="preserve">La demande d’autorisation d’appel de l’arrêt de la </w:t>
            </w:r>
            <w:r w:rsidRPr="00003B04">
              <w:rPr>
                <w:sz w:val="20"/>
                <w:szCs w:val="20"/>
                <w:lang w:val="fr-FR"/>
              </w:rPr>
              <w:t>Cour d’appel du Manitoba</w:t>
            </w:r>
            <w:r w:rsidRPr="00003B04">
              <w:rPr>
                <w:sz w:val="20"/>
                <w:szCs w:val="20"/>
              </w:rPr>
              <w:t xml:space="preserve">, numéro </w:t>
            </w:r>
            <w:r w:rsidRPr="00003B04">
              <w:rPr>
                <w:sz w:val="20"/>
                <w:szCs w:val="20"/>
                <w:lang w:val="fr-FR"/>
              </w:rPr>
              <w:t>AI15-30-08438, 2016 MBCA 91</w:t>
            </w:r>
            <w:r w:rsidRPr="00003B04">
              <w:rPr>
                <w:sz w:val="20"/>
                <w:szCs w:val="20"/>
              </w:rPr>
              <w:t xml:space="preserve">, daté du </w:t>
            </w:r>
            <w:r w:rsidRPr="00003B04">
              <w:rPr>
                <w:sz w:val="20"/>
                <w:szCs w:val="20"/>
                <w:lang w:val="fr-FR"/>
              </w:rPr>
              <w:t>22 septembre 2016</w:t>
            </w:r>
            <w:r w:rsidRPr="00003B04">
              <w:rPr>
                <w:sz w:val="20"/>
                <w:szCs w:val="20"/>
              </w:rPr>
              <w:t>, est rejetée avec dépens.</w:t>
            </w:r>
          </w:p>
          <w:p w:rsidR="000E7F29" w:rsidRPr="00003B04" w:rsidRDefault="000E7F29" w:rsidP="000E7F29">
            <w:pPr>
              <w:rPr>
                <w:lang w:val="fr-CA"/>
              </w:rPr>
            </w:pPr>
          </w:p>
        </w:tc>
      </w:tr>
      <w:tr w:rsidR="00EE4290" w:rsidRPr="00C3697D" w:rsidTr="008F5EB8">
        <w:trPr>
          <w:gridAfter w:val="1"/>
          <w:wAfter w:w="46" w:type="pct"/>
        </w:trPr>
        <w:tc>
          <w:tcPr>
            <w:tcW w:w="4954" w:type="pct"/>
            <w:gridSpan w:val="6"/>
          </w:tcPr>
          <w:p w:rsidR="00EE4290" w:rsidRPr="00003B04" w:rsidRDefault="00EE4290" w:rsidP="00EE4290">
            <w:pPr>
              <w:jc w:val="both"/>
              <w:rPr>
                <w:sz w:val="20"/>
                <w:lang w:val="fr-CA"/>
              </w:rPr>
            </w:pPr>
            <w:r w:rsidRPr="00003B04">
              <w:rPr>
                <w:sz w:val="20"/>
                <w:lang w:val="fr-CA"/>
              </w:rPr>
              <w:t>Droit des professions — Avocats et procureurs — Responsabilité professionnelle — L’avocat demandeur a été poursuivi pour détournement de biens successoraux — La Société du Barreau du Manitoba a assumé la direction de l’action après avoir indemnisé les intimés bénéficiaires à partir d’un fonds de remboursement et obtenu une cession de leur part — L’action financée par la Société du Barreau est-elle le produit d’un pacte d’honoraires d’avocat (</w:t>
            </w:r>
            <w:proofErr w:type="spellStart"/>
            <w:r w:rsidRPr="00003B04">
              <w:rPr>
                <w:sz w:val="20"/>
                <w:lang w:val="fr-CA"/>
              </w:rPr>
              <w:t>champartie</w:t>
            </w:r>
            <w:proofErr w:type="spellEnd"/>
            <w:r w:rsidRPr="00003B04">
              <w:rPr>
                <w:sz w:val="20"/>
                <w:lang w:val="fr-CA"/>
              </w:rPr>
              <w:t>) ou d’un soutien abusif à une poursuite? — La Société du Barreau a-t-elle compétence législative pour financer et exercer une action sans être demanderesse ou codemanderesse?</w:t>
            </w:r>
          </w:p>
        </w:tc>
      </w:tr>
      <w:tr w:rsidR="00EE4290" w:rsidRPr="00C3697D" w:rsidTr="008F5EB8">
        <w:trPr>
          <w:gridAfter w:val="1"/>
          <w:wAfter w:w="46" w:type="pct"/>
        </w:trPr>
        <w:tc>
          <w:tcPr>
            <w:tcW w:w="4954" w:type="pct"/>
            <w:gridSpan w:val="6"/>
          </w:tcPr>
          <w:p w:rsidR="00EE4290" w:rsidRPr="00003B04" w:rsidRDefault="00EE4290" w:rsidP="00EE4290">
            <w:pPr>
              <w:jc w:val="both"/>
              <w:rPr>
                <w:sz w:val="20"/>
                <w:lang w:val="fr-CA"/>
              </w:rPr>
            </w:pPr>
          </w:p>
        </w:tc>
      </w:tr>
      <w:tr w:rsidR="00EE4290" w:rsidRPr="00C3697D" w:rsidTr="008F5EB8">
        <w:trPr>
          <w:gridAfter w:val="1"/>
          <w:wAfter w:w="46" w:type="pct"/>
        </w:trPr>
        <w:tc>
          <w:tcPr>
            <w:tcW w:w="4954" w:type="pct"/>
            <w:gridSpan w:val="6"/>
          </w:tcPr>
          <w:p w:rsidR="00EE4290" w:rsidRPr="00003B04" w:rsidRDefault="00EE4290" w:rsidP="00EE4290">
            <w:pPr>
              <w:jc w:val="both"/>
              <w:rPr>
                <w:sz w:val="20"/>
                <w:lang w:val="fr-CA"/>
              </w:rPr>
            </w:pPr>
            <w:r w:rsidRPr="00003B04">
              <w:rPr>
                <w:sz w:val="20"/>
                <w:lang w:val="fr-CA"/>
              </w:rPr>
              <w:t>Le demandeur, M</w:t>
            </w:r>
            <w:r w:rsidRPr="00003B04">
              <w:rPr>
                <w:sz w:val="20"/>
                <w:vertAlign w:val="superscript"/>
                <w:lang w:val="fr-CA"/>
              </w:rPr>
              <w:t>e</w:t>
            </w:r>
            <w:r w:rsidRPr="00003B04">
              <w:rPr>
                <w:sz w:val="20"/>
                <w:lang w:val="fr-CA"/>
              </w:rPr>
              <w:t xml:space="preserve"> James Richard Smith, était l’exécuteur et l’avocat de la succession de Mme Carol Dee </w:t>
            </w:r>
            <w:proofErr w:type="spellStart"/>
            <w:r w:rsidRPr="00003B04">
              <w:rPr>
                <w:sz w:val="20"/>
                <w:lang w:val="fr-CA"/>
              </w:rPr>
              <w:t>Bjornsson</w:t>
            </w:r>
            <w:proofErr w:type="spellEnd"/>
            <w:r w:rsidRPr="00003B04">
              <w:rPr>
                <w:sz w:val="20"/>
                <w:lang w:val="fr-CA"/>
              </w:rPr>
              <w:t>, décédée le 10 octobre 2006. Les intimés sont des bénéficiaires de la succession. Ils ont intenté une action après que M</w:t>
            </w:r>
            <w:r w:rsidRPr="00003B04">
              <w:rPr>
                <w:sz w:val="20"/>
                <w:vertAlign w:val="superscript"/>
                <w:lang w:val="fr-CA"/>
              </w:rPr>
              <w:t>e</w:t>
            </w:r>
            <w:r w:rsidRPr="00003B04">
              <w:rPr>
                <w:sz w:val="20"/>
                <w:lang w:val="fr-CA"/>
              </w:rPr>
              <w:t> Smith eut vendu à un prix inférieur à la valeur marchande un important élément d’actif de la succession, une maison, sans révéler que l’acheteuse était son épouse. La Société du Barreau du Manitoba (la SBM) a subséquemment indemnisé les bénéficiaires, à partir de son fonds de remboursement, du détournement des biens successoraux par M</w:t>
            </w:r>
            <w:r w:rsidRPr="00003B04">
              <w:rPr>
                <w:sz w:val="20"/>
                <w:vertAlign w:val="superscript"/>
                <w:lang w:val="fr-CA"/>
              </w:rPr>
              <w:t>e</w:t>
            </w:r>
            <w:r w:rsidRPr="00003B04">
              <w:rPr>
                <w:sz w:val="20"/>
                <w:lang w:val="fr-CA"/>
              </w:rPr>
              <w:t> Smith, obtenu une mainlevée et une cession de la part des intimés et assumé la direction de l’action. En défense, M</w:t>
            </w:r>
            <w:r w:rsidRPr="00003B04">
              <w:rPr>
                <w:sz w:val="20"/>
                <w:vertAlign w:val="superscript"/>
                <w:lang w:val="fr-CA"/>
              </w:rPr>
              <w:t>e</w:t>
            </w:r>
            <w:r w:rsidRPr="00003B04">
              <w:rPr>
                <w:sz w:val="20"/>
                <w:lang w:val="fr-CA"/>
              </w:rPr>
              <w:t> Smith a plaidé que l’action, parce qu’elle était financée par la SBM, était le produit d’un pacte d’honoraires d’avocat (</w:t>
            </w:r>
            <w:proofErr w:type="spellStart"/>
            <w:r w:rsidRPr="00003B04">
              <w:rPr>
                <w:sz w:val="20"/>
                <w:lang w:val="fr-CA"/>
              </w:rPr>
              <w:t>champartie</w:t>
            </w:r>
            <w:proofErr w:type="spellEnd"/>
            <w:r w:rsidRPr="00003B04">
              <w:rPr>
                <w:sz w:val="20"/>
                <w:lang w:val="fr-CA"/>
              </w:rPr>
              <w:t>) ou d’un soutien abusif à une poursuite, que la SBM n’avait pas compétence législative pour financer et exercer l’action et qu’elle ne pouvait y participer qu’à titre de demanderesse ou de codemanderesse. Un conseiller-maître principal de la Cour du Banc de la Reine a rejeté la motion de M</w:t>
            </w:r>
            <w:r w:rsidRPr="00003B04">
              <w:rPr>
                <w:sz w:val="20"/>
                <w:vertAlign w:val="superscript"/>
                <w:lang w:val="fr-CA"/>
              </w:rPr>
              <w:t>e</w:t>
            </w:r>
            <w:r w:rsidRPr="00003B04">
              <w:rPr>
                <w:sz w:val="20"/>
                <w:lang w:val="fr-CA"/>
              </w:rPr>
              <w:t> Smith en radiation de la déclaration des intimés, un juge de cette cour a rejeté l’appel et la Cour d’appel a, à l’unanimité, rejeté l’appel subséquent.</w:t>
            </w:r>
          </w:p>
          <w:p w:rsidR="00EE4290" w:rsidRPr="00003B04" w:rsidRDefault="00EE4290" w:rsidP="00EE4290">
            <w:pPr>
              <w:jc w:val="both"/>
              <w:rPr>
                <w:sz w:val="20"/>
                <w:lang w:val="fr-CA"/>
              </w:rPr>
            </w:pPr>
          </w:p>
        </w:tc>
      </w:tr>
      <w:tr w:rsidR="00EE4290" w:rsidRPr="00C3697D" w:rsidTr="008F5EB8">
        <w:trPr>
          <w:gridAfter w:val="1"/>
          <w:wAfter w:w="46" w:type="pct"/>
        </w:trPr>
        <w:tc>
          <w:tcPr>
            <w:tcW w:w="2406" w:type="pct"/>
            <w:gridSpan w:val="3"/>
          </w:tcPr>
          <w:p w:rsidR="00EE4290" w:rsidRPr="00003B04" w:rsidRDefault="00EE4290" w:rsidP="00EE4290">
            <w:pPr>
              <w:jc w:val="both"/>
              <w:rPr>
                <w:sz w:val="20"/>
                <w:lang w:val="fr-CA"/>
              </w:rPr>
            </w:pPr>
            <w:r w:rsidRPr="00003B04">
              <w:rPr>
                <w:sz w:val="20"/>
                <w:lang w:val="fr-CA"/>
              </w:rPr>
              <w:t>15 janvier 2015</w:t>
            </w:r>
          </w:p>
          <w:p w:rsidR="00EE4290" w:rsidRPr="00003B04" w:rsidRDefault="00EE4290" w:rsidP="00EE4290">
            <w:pPr>
              <w:jc w:val="both"/>
              <w:rPr>
                <w:sz w:val="20"/>
                <w:lang w:val="fr-CA"/>
              </w:rPr>
            </w:pPr>
            <w:r w:rsidRPr="00003B04">
              <w:rPr>
                <w:sz w:val="20"/>
                <w:lang w:val="fr-CA"/>
              </w:rPr>
              <w:t xml:space="preserve">Cour du Banc de la Reine du Manitoba </w:t>
            </w:r>
          </w:p>
          <w:p w:rsidR="00EE4290" w:rsidRPr="00003B04" w:rsidRDefault="00EE4290" w:rsidP="00EE4290">
            <w:pPr>
              <w:jc w:val="both"/>
              <w:rPr>
                <w:sz w:val="20"/>
                <w:lang w:val="fr-CA"/>
              </w:rPr>
            </w:pPr>
            <w:r w:rsidRPr="00003B04">
              <w:rPr>
                <w:sz w:val="20"/>
                <w:lang w:val="fr-CA"/>
              </w:rPr>
              <w:t>(Conseiller-maître principal Lee)</w:t>
            </w:r>
          </w:p>
          <w:p w:rsidR="00EE4290" w:rsidRPr="00003B04" w:rsidRDefault="00EE4290" w:rsidP="00EE4290">
            <w:pPr>
              <w:jc w:val="both"/>
              <w:rPr>
                <w:sz w:val="20"/>
                <w:lang w:val="fr-CA"/>
              </w:rPr>
            </w:pPr>
          </w:p>
        </w:tc>
        <w:tc>
          <w:tcPr>
            <w:tcW w:w="241" w:type="pct"/>
            <w:gridSpan w:val="2"/>
          </w:tcPr>
          <w:p w:rsidR="00EE4290" w:rsidRPr="00003B04" w:rsidRDefault="00EE4290" w:rsidP="00EE4290">
            <w:pPr>
              <w:jc w:val="both"/>
              <w:rPr>
                <w:sz w:val="20"/>
                <w:lang w:val="fr-CA"/>
              </w:rPr>
            </w:pPr>
          </w:p>
        </w:tc>
        <w:tc>
          <w:tcPr>
            <w:tcW w:w="2308" w:type="pct"/>
          </w:tcPr>
          <w:p w:rsidR="00EE4290" w:rsidRPr="00003B04" w:rsidRDefault="00EE4290" w:rsidP="00EE4290">
            <w:pPr>
              <w:jc w:val="both"/>
              <w:rPr>
                <w:sz w:val="20"/>
                <w:lang w:val="fr-CA"/>
              </w:rPr>
            </w:pPr>
            <w:r w:rsidRPr="00003B04">
              <w:rPr>
                <w:sz w:val="20"/>
                <w:lang w:val="fr-CA"/>
              </w:rPr>
              <w:t xml:space="preserve">Rejet de la motion du demandeur en radiation de la déclaration des intimés. </w:t>
            </w:r>
          </w:p>
          <w:p w:rsidR="00EE4290" w:rsidRPr="00003B04" w:rsidRDefault="00EE4290" w:rsidP="00EE4290">
            <w:pPr>
              <w:jc w:val="both"/>
              <w:rPr>
                <w:sz w:val="20"/>
                <w:lang w:val="fr-CA"/>
              </w:rPr>
            </w:pPr>
          </w:p>
        </w:tc>
      </w:tr>
      <w:tr w:rsidR="00EE4290" w:rsidRPr="00003B04" w:rsidTr="008F5EB8">
        <w:trPr>
          <w:gridAfter w:val="1"/>
          <w:wAfter w:w="46" w:type="pct"/>
        </w:trPr>
        <w:tc>
          <w:tcPr>
            <w:tcW w:w="2406" w:type="pct"/>
            <w:gridSpan w:val="3"/>
          </w:tcPr>
          <w:p w:rsidR="00EE4290" w:rsidRPr="00003B04" w:rsidRDefault="00EE4290" w:rsidP="00EE4290">
            <w:pPr>
              <w:jc w:val="both"/>
              <w:rPr>
                <w:sz w:val="20"/>
                <w:lang w:val="fr-CA"/>
              </w:rPr>
            </w:pPr>
            <w:r w:rsidRPr="00003B04">
              <w:rPr>
                <w:sz w:val="20"/>
                <w:lang w:val="fr-CA"/>
              </w:rPr>
              <w:t>1</w:t>
            </w:r>
            <w:r w:rsidRPr="00003B04">
              <w:rPr>
                <w:sz w:val="20"/>
                <w:vertAlign w:val="superscript"/>
                <w:lang w:val="fr-CA"/>
              </w:rPr>
              <w:t>er</w:t>
            </w:r>
            <w:r w:rsidRPr="00003B04">
              <w:rPr>
                <w:sz w:val="20"/>
                <w:lang w:val="fr-CA"/>
              </w:rPr>
              <w:t xml:space="preserve"> juin 2015</w:t>
            </w:r>
          </w:p>
          <w:p w:rsidR="00EE4290" w:rsidRPr="00003B04" w:rsidRDefault="00EE4290" w:rsidP="00EE4290">
            <w:pPr>
              <w:jc w:val="both"/>
              <w:rPr>
                <w:sz w:val="20"/>
                <w:lang w:val="fr-CA"/>
              </w:rPr>
            </w:pPr>
            <w:r w:rsidRPr="00003B04">
              <w:rPr>
                <w:sz w:val="20"/>
                <w:lang w:val="fr-CA"/>
              </w:rPr>
              <w:t xml:space="preserve">Cour du Banc de la Reine du Manitoba </w:t>
            </w:r>
          </w:p>
          <w:p w:rsidR="00EE4290" w:rsidRPr="00003B04" w:rsidRDefault="00EE4290" w:rsidP="00EE4290">
            <w:pPr>
              <w:jc w:val="both"/>
              <w:rPr>
                <w:sz w:val="20"/>
                <w:lang w:val="fr-CA"/>
              </w:rPr>
            </w:pPr>
            <w:r w:rsidRPr="00003B04">
              <w:rPr>
                <w:sz w:val="20"/>
                <w:lang w:val="fr-CA"/>
              </w:rPr>
              <w:t xml:space="preserve">(Juge </w:t>
            </w:r>
            <w:proofErr w:type="spellStart"/>
            <w:r w:rsidRPr="00003B04">
              <w:rPr>
                <w:sz w:val="20"/>
                <w:lang w:val="fr-CA"/>
              </w:rPr>
              <w:t>Rempel</w:t>
            </w:r>
            <w:proofErr w:type="spellEnd"/>
            <w:r w:rsidRPr="00003B04">
              <w:rPr>
                <w:sz w:val="20"/>
                <w:lang w:val="fr-CA"/>
              </w:rPr>
              <w:t>)</w:t>
            </w:r>
          </w:p>
          <w:p w:rsidR="00EE4290" w:rsidRPr="00003B04" w:rsidRDefault="00EE4290" w:rsidP="00EE4290">
            <w:pPr>
              <w:jc w:val="both"/>
              <w:rPr>
                <w:sz w:val="20"/>
                <w:lang w:val="fr-CA"/>
              </w:rPr>
            </w:pPr>
          </w:p>
        </w:tc>
        <w:tc>
          <w:tcPr>
            <w:tcW w:w="241" w:type="pct"/>
            <w:gridSpan w:val="2"/>
          </w:tcPr>
          <w:p w:rsidR="00EE4290" w:rsidRPr="00003B04" w:rsidRDefault="00EE4290" w:rsidP="00EE4290">
            <w:pPr>
              <w:jc w:val="both"/>
              <w:rPr>
                <w:sz w:val="20"/>
                <w:lang w:val="fr-CA"/>
              </w:rPr>
            </w:pPr>
          </w:p>
        </w:tc>
        <w:tc>
          <w:tcPr>
            <w:tcW w:w="2308" w:type="pct"/>
          </w:tcPr>
          <w:p w:rsidR="00EE4290" w:rsidRPr="00003B04" w:rsidRDefault="00EE4290" w:rsidP="00EE4290">
            <w:pPr>
              <w:jc w:val="both"/>
              <w:rPr>
                <w:sz w:val="20"/>
                <w:lang w:val="fr-CA"/>
              </w:rPr>
            </w:pPr>
            <w:r w:rsidRPr="00003B04">
              <w:rPr>
                <w:sz w:val="20"/>
                <w:lang w:val="fr-CA"/>
              </w:rPr>
              <w:t>Rejet de l’appel.</w:t>
            </w:r>
          </w:p>
          <w:p w:rsidR="00EE4290" w:rsidRPr="00003B04" w:rsidRDefault="00EE4290" w:rsidP="00EE4290">
            <w:pPr>
              <w:jc w:val="both"/>
              <w:rPr>
                <w:sz w:val="20"/>
                <w:lang w:val="fr-CA"/>
              </w:rPr>
            </w:pPr>
          </w:p>
        </w:tc>
      </w:tr>
      <w:tr w:rsidR="00EE4290" w:rsidRPr="00003B04" w:rsidTr="008F5EB8">
        <w:trPr>
          <w:gridAfter w:val="1"/>
          <w:wAfter w:w="46" w:type="pct"/>
        </w:trPr>
        <w:tc>
          <w:tcPr>
            <w:tcW w:w="2406" w:type="pct"/>
            <w:gridSpan w:val="3"/>
          </w:tcPr>
          <w:p w:rsidR="00EE4290" w:rsidRPr="00003B04" w:rsidRDefault="00EE4290" w:rsidP="00EE4290">
            <w:pPr>
              <w:jc w:val="both"/>
              <w:rPr>
                <w:sz w:val="20"/>
                <w:lang w:val="fr-CA"/>
              </w:rPr>
            </w:pPr>
            <w:r w:rsidRPr="00003B04">
              <w:rPr>
                <w:sz w:val="20"/>
                <w:lang w:val="fr-CA"/>
              </w:rPr>
              <w:t>22 septembre 2016</w:t>
            </w:r>
          </w:p>
          <w:p w:rsidR="00EE4290" w:rsidRPr="00003B04" w:rsidRDefault="00EE4290" w:rsidP="00EE4290">
            <w:pPr>
              <w:jc w:val="both"/>
              <w:rPr>
                <w:sz w:val="20"/>
                <w:lang w:val="fr-CA"/>
              </w:rPr>
            </w:pPr>
            <w:r w:rsidRPr="00003B04">
              <w:rPr>
                <w:sz w:val="20"/>
                <w:lang w:val="fr-CA"/>
              </w:rPr>
              <w:t xml:space="preserve">Cour d’appel du Manitoba </w:t>
            </w:r>
          </w:p>
          <w:p w:rsidR="00EE4290" w:rsidRPr="00003B04" w:rsidRDefault="00EE4290" w:rsidP="00EE4290">
            <w:pPr>
              <w:jc w:val="both"/>
              <w:rPr>
                <w:sz w:val="20"/>
                <w:lang w:val="fr-CA"/>
              </w:rPr>
            </w:pPr>
            <w:r w:rsidRPr="00003B04">
              <w:rPr>
                <w:sz w:val="20"/>
                <w:lang w:val="fr-CA"/>
              </w:rPr>
              <w:t xml:space="preserve">(Juges </w:t>
            </w:r>
            <w:proofErr w:type="spellStart"/>
            <w:r w:rsidRPr="00003B04">
              <w:rPr>
                <w:sz w:val="20"/>
                <w:lang w:val="fr-CA"/>
              </w:rPr>
              <w:t>MacInnes</w:t>
            </w:r>
            <w:proofErr w:type="spellEnd"/>
            <w:r w:rsidRPr="00003B04">
              <w:rPr>
                <w:sz w:val="20"/>
                <w:lang w:val="fr-CA"/>
              </w:rPr>
              <w:t xml:space="preserve">, </w:t>
            </w:r>
            <w:proofErr w:type="spellStart"/>
            <w:r w:rsidRPr="00003B04">
              <w:rPr>
                <w:sz w:val="20"/>
                <w:lang w:val="fr-CA"/>
              </w:rPr>
              <w:t>Monnin</w:t>
            </w:r>
            <w:proofErr w:type="spellEnd"/>
            <w:r w:rsidRPr="00003B04">
              <w:rPr>
                <w:sz w:val="20"/>
                <w:lang w:val="fr-CA"/>
              </w:rPr>
              <w:t xml:space="preserve"> et </w:t>
            </w:r>
            <w:proofErr w:type="spellStart"/>
            <w:r w:rsidRPr="00003B04">
              <w:rPr>
                <w:sz w:val="20"/>
                <w:lang w:val="fr-CA"/>
              </w:rPr>
              <w:t>leMaistre</w:t>
            </w:r>
            <w:proofErr w:type="spellEnd"/>
            <w:r w:rsidRPr="00003B04">
              <w:rPr>
                <w:sz w:val="20"/>
                <w:lang w:val="fr-CA"/>
              </w:rPr>
              <w:t>)</w:t>
            </w:r>
          </w:p>
          <w:p w:rsidR="00EE4290" w:rsidRPr="00003B04" w:rsidRDefault="00604445" w:rsidP="00EE4290">
            <w:pPr>
              <w:jc w:val="both"/>
              <w:rPr>
                <w:rStyle w:val="Hyperlink"/>
                <w:sz w:val="20"/>
                <w:lang w:val="fr-CA"/>
              </w:rPr>
            </w:pPr>
            <w:hyperlink r:id="rId70" w:history="1">
              <w:r w:rsidR="00EE4290" w:rsidRPr="00003B04">
                <w:rPr>
                  <w:rStyle w:val="Hyperlink"/>
                  <w:sz w:val="20"/>
                  <w:lang w:val="fr-CA"/>
                </w:rPr>
                <w:t>2016 MBCA 91</w:t>
              </w:r>
            </w:hyperlink>
          </w:p>
          <w:p w:rsidR="00EE4290" w:rsidRPr="00003B04" w:rsidRDefault="00EE4290" w:rsidP="00EE4290">
            <w:pPr>
              <w:jc w:val="both"/>
              <w:rPr>
                <w:sz w:val="20"/>
                <w:lang w:val="fr-CA"/>
              </w:rPr>
            </w:pPr>
          </w:p>
        </w:tc>
        <w:tc>
          <w:tcPr>
            <w:tcW w:w="241" w:type="pct"/>
            <w:gridSpan w:val="2"/>
          </w:tcPr>
          <w:p w:rsidR="00EE4290" w:rsidRPr="00003B04" w:rsidRDefault="00EE4290" w:rsidP="00EE4290">
            <w:pPr>
              <w:jc w:val="both"/>
              <w:rPr>
                <w:sz w:val="20"/>
                <w:lang w:val="fr-CA"/>
              </w:rPr>
            </w:pPr>
          </w:p>
        </w:tc>
        <w:tc>
          <w:tcPr>
            <w:tcW w:w="2308" w:type="pct"/>
          </w:tcPr>
          <w:p w:rsidR="00EE4290" w:rsidRPr="00003B04" w:rsidRDefault="00EE4290" w:rsidP="00EE4290">
            <w:pPr>
              <w:jc w:val="both"/>
              <w:rPr>
                <w:sz w:val="20"/>
                <w:lang w:val="fr-CA"/>
              </w:rPr>
            </w:pPr>
            <w:r w:rsidRPr="00003B04">
              <w:rPr>
                <w:sz w:val="20"/>
                <w:lang w:val="fr-CA"/>
              </w:rPr>
              <w:t>Rejet de l’appel subséquent.</w:t>
            </w:r>
          </w:p>
          <w:p w:rsidR="00EE4290" w:rsidRPr="00003B04" w:rsidRDefault="00EE4290" w:rsidP="00EE4290">
            <w:pPr>
              <w:jc w:val="both"/>
              <w:rPr>
                <w:sz w:val="20"/>
                <w:lang w:val="fr-CA"/>
              </w:rPr>
            </w:pPr>
          </w:p>
        </w:tc>
      </w:tr>
      <w:tr w:rsidR="00EE4290" w:rsidRPr="00C3697D" w:rsidTr="008F5EB8">
        <w:tblPrEx>
          <w:tblCellMar>
            <w:bottom w:w="0" w:type="dxa"/>
          </w:tblCellMar>
        </w:tblPrEx>
        <w:tc>
          <w:tcPr>
            <w:tcW w:w="2370" w:type="pct"/>
            <w:gridSpan w:val="2"/>
          </w:tcPr>
          <w:p w:rsidR="00EE4290" w:rsidRPr="00003B04" w:rsidRDefault="00EE4290" w:rsidP="00EE4290">
            <w:pPr>
              <w:jc w:val="both"/>
              <w:rPr>
                <w:sz w:val="20"/>
                <w:lang w:val="fr-CA"/>
              </w:rPr>
            </w:pPr>
            <w:r w:rsidRPr="00003B04">
              <w:rPr>
                <w:sz w:val="20"/>
                <w:lang w:val="fr-CA"/>
              </w:rPr>
              <w:t>14 novembre 2016</w:t>
            </w:r>
          </w:p>
          <w:p w:rsidR="00EE4290" w:rsidRPr="00003B04" w:rsidRDefault="00EE4290" w:rsidP="00EE4290">
            <w:pPr>
              <w:jc w:val="both"/>
              <w:rPr>
                <w:sz w:val="20"/>
                <w:lang w:val="fr-CA"/>
              </w:rPr>
            </w:pPr>
            <w:r w:rsidRPr="00003B04">
              <w:rPr>
                <w:sz w:val="20"/>
                <w:lang w:val="fr-CA"/>
              </w:rPr>
              <w:t>Cour suprême du Canada</w:t>
            </w:r>
          </w:p>
        </w:tc>
        <w:tc>
          <w:tcPr>
            <w:tcW w:w="267" w:type="pct"/>
            <w:gridSpan w:val="2"/>
          </w:tcPr>
          <w:p w:rsidR="00EE4290" w:rsidRPr="00003B04" w:rsidRDefault="00EE4290" w:rsidP="00EE4290">
            <w:pPr>
              <w:jc w:val="both"/>
              <w:rPr>
                <w:sz w:val="20"/>
                <w:lang w:val="fr-CA"/>
              </w:rPr>
            </w:pPr>
          </w:p>
        </w:tc>
        <w:tc>
          <w:tcPr>
            <w:tcW w:w="2364" w:type="pct"/>
            <w:gridSpan w:val="3"/>
          </w:tcPr>
          <w:p w:rsidR="00EE4290" w:rsidRPr="00003B04" w:rsidRDefault="00EE4290" w:rsidP="00EE4290">
            <w:pPr>
              <w:jc w:val="both"/>
              <w:rPr>
                <w:sz w:val="20"/>
                <w:lang w:val="fr-CA"/>
              </w:rPr>
            </w:pPr>
            <w:r w:rsidRPr="00003B04">
              <w:rPr>
                <w:sz w:val="20"/>
                <w:lang w:val="fr-CA"/>
              </w:rPr>
              <w:t>Dépôt de la demande d’autorisation d’appel.</w:t>
            </w:r>
          </w:p>
        </w:tc>
      </w:tr>
    </w:tbl>
    <w:p w:rsidR="00EE4290" w:rsidRPr="00003B04" w:rsidRDefault="00604445" w:rsidP="00EE4290">
      <w:pPr>
        <w:jc w:val="both"/>
        <w:rPr>
          <w:sz w:val="20"/>
          <w:lang w:val="fr-CA"/>
        </w:rPr>
      </w:pPr>
      <w:r>
        <w:rPr>
          <w:sz w:val="20"/>
          <w:szCs w:val="20"/>
        </w:rPr>
        <w:pict>
          <v:rect id="_x0000_i1072" style="width:2in;height:1pt" o:hrpct="0" o:hralign="center" o:hrstd="t" o:hrnoshade="t" o:hr="t" fillcolor="black [3213]" stroked="f"/>
        </w:pict>
      </w:r>
    </w:p>
    <w:p w:rsidR="00EE4290" w:rsidRPr="00003B04" w:rsidRDefault="00EE4290" w:rsidP="00EE4290">
      <w:pPr>
        <w:ind w:left="360" w:hanging="360"/>
        <w:jc w:val="both"/>
        <w:rPr>
          <w:sz w:val="20"/>
          <w:lang w:val="fr-CA" w:eastAsia="en-CA"/>
        </w:rPr>
      </w:pPr>
    </w:p>
    <w:p w:rsidR="008F5EB8" w:rsidRPr="00003B04" w:rsidRDefault="008F5EB8">
      <w:r w:rsidRPr="00003B04">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E4290" w:rsidRPr="00003B04" w:rsidTr="00EE4290">
        <w:tc>
          <w:tcPr>
            <w:tcW w:w="543" w:type="pct"/>
          </w:tcPr>
          <w:p w:rsidR="00EE4290" w:rsidRPr="00003B04" w:rsidRDefault="00EE4290" w:rsidP="00EE4290">
            <w:pPr>
              <w:jc w:val="both"/>
              <w:rPr>
                <w:sz w:val="20"/>
              </w:rPr>
            </w:pPr>
            <w:r w:rsidRPr="00003B04">
              <w:rPr>
                <w:rStyle w:val="SCCFileNumberChar"/>
                <w:sz w:val="20"/>
                <w:szCs w:val="20"/>
              </w:rPr>
              <w:lastRenderedPageBreak/>
              <w:t>37288</w:t>
            </w:r>
          </w:p>
        </w:tc>
        <w:tc>
          <w:tcPr>
            <w:tcW w:w="4457" w:type="pct"/>
            <w:gridSpan w:val="3"/>
          </w:tcPr>
          <w:p w:rsidR="00EE4290" w:rsidRPr="00003B04" w:rsidRDefault="00EE4290" w:rsidP="00767A6B">
            <w:pPr>
              <w:pStyle w:val="SCCLsocParty"/>
              <w:jc w:val="both"/>
              <w:rPr>
                <w:sz w:val="20"/>
                <w:lang w:val="en-US"/>
              </w:rPr>
            </w:pPr>
            <w:r w:rsidRPr="00003B04">
              <w:rPr>
                <w:b/>
                <w:sz w:val="20"/>
                <w:szCs w:val="20"/>
                <w:lang w:val="en-US"/>
              </w:rPr>
              <w:t>Nick Angelis v. Her Majesty the Queen</w:t>
            </w:r>
            <w:r w:rsidR="00767A6B" w:rsidRPr="00003B04">
              <w:rPr>
                <w:b/>
                <w:sz w:val="20"/>
                <w:szCs w:val="20"/>
                <w:lang w:val="en-US"/>
              </w:rPr>
              <w:t xml:space="preserve"> </w:t>
            </w:r>
            <w:r w:rsidRPr="00003B04">
              <w:rPr>
                <w:sz w:val="20"/>
                <w:lang w:val="en-US"/>
              </w:rPr>
              <w:t>(Ont.) (Criminal) (By Leave)</w:t>
            </w:r>
          </w:p>
          <w:p w:rsidR="00767A6B" w:rsidRPr="00003B04" w:rsidRDefault="00767A6B" w:rsidP="00767A6B">
            <w:pPr>
              <w:rPr>
                <w:lang w:val="en-US"/>
              </w:rPr>
            </w:pPr>
          </w:p>
        </w:tc>
      </w:tr>
      <w:tr w:rsidR="00D310D9" w:rsidRPr="00003B04" w:rsidTr="00EE4290">
        <w:tc>
          <w:tcPr>
            <w:tcW w:w="543" w:type="pct"/>
          </w:tcPr>
          <w:p w:rsidR="00D310D9" w:rsidRPr="00003B04" w:rsidRDefault="00D310D9" w:rsidP="00EE4290">
            <w:pPr>
              <w:jc w:val="both"/>
              <w:rPr>
                <w:rStyle w:val="SCCFileNumberChar"/>
                <w:sz w:val="20"/>
                <w:szCs w:val="20"/>
              </w:rPr>
            </w:pPr>
            <w:r w:rsidRPr="00003B04">
              <w:rPr>
                <w:rStyle w:val="SCCFileNumberChar"/>
                <w:sz w:val="20"/>
                <w:szCs w:val="20"/>
              </w:rPr>
              <w:t>Coram:</w:t>
            </w:r>
          </w:p>
        </w:tc>
        <w:tc>
          <w:tcPr>
            <w:tcW w:w="4457" w:type="pct"/>
            <w:gridSpan w:val="3"/>
          </w:tcPr>
          <w:p w:rsidR="00D310D9" w:rsidRPr="00003B04" w:rsidRDefault="002B2A73" w:rsidP="00EE4290">
            <w:pPr>
              <w:pStyle w:val="SCCLsocParty"/>
              <w:jc w:val="both"/>
              <w:rPr>
                <w:rFonts w:eastAsiaTheme="minorEastAsia"/>
                <w:sz w:val="20"/>
                <w:szCs w:val="20"/>
                <w:lang w:val="en-US" w:eastAsia="en-CA"/>
              </w:rPr>
            </w:pPr>
            <w:proofErr w:type="spellStart"/>
            <w:r w:rsidRPr="00003B04">
              <w:rPr>
                <w:rFonts w:eastAsiaTheme="minorEastAsia"/>
                <w:sz w:val="20"/>
                <w:szCs w:val="20"/>
                <w:lang w:val="en-US" w:eastAsia="en-CA"/>
              </w:rPr>
              <w:t>McLachlin</w:t>
            </w:r>
            <w:proofErr w:type="spellEnd"/>
            <w:r w:rsidRPr="00003B04">
              <w:rPr>
                <w:rFonts w:eastAsiaTheme="minorEastAsia"/>
                <w:sz w:val="20"/>
                <w:szCs w:val="20"/>
                <w:lang w:val="en-US" w:eastAsia="en-CA"/>
              </w:rPr>
              <w:t xml:space="preserve"> C.J. and </w:t>
            </w:r>
            <w:proofErr w:type="spellStart"/>
            <w:r w:rsidRPr="00003B04">
              <w:rPr>
                <w:rFonts w:eastAsiaTheme="minorEastAsia"/>
                <w:sz w:val="20"/>
                <w:szCs w:val="20"/>
                <w:lang w:val="en-US" w:eastAsia="en-CA"/>
              </w:rPr>
              <w:t>Abella</w:t>
            </w:r>
            <w:proofErr w:type="spellEnd"/>
            <w:r w:rsidRPr="00003B04">
              <w:rPr>
                <w:rFonts w:eastAsiaTheme="minorEastAsia"/>
                <w:sz w:val="20"/>
                <w:szCs w:val="20"/>
                <w:lang w:val="en-US" w:eastAsia="en-CA"/>
              </w:rPr>
              <w:t xml:space="preserve">, </w:t>
            </w:r>
            <w:proofErr w:type="spellStart"/>
            <w:r w:rsidRPr="00003B04">
              <w:rPr>
                <w:rFonts w:eastAsiaTheme="minorEastAsia"/>
                <w:sz w:val="20"/>
                <w:szCs w:val="20"/>
                <w:lang w:val="en-US" w:eastAsia="en-CA"/>
              </w:rPr>
              <w:t>Moldaver</w:t>
            </w:r>
            <w:proofErr w:type="spellEnd"/>
            <w:r w:rsidRPr="00003B04">
              <w:rPr>
                <w:rFonts w:eastAsiaTheme="minorEastAsia"/>
                <w:sz w:val="20"/>
                <w:szCs w:val="20"/>
                <w:lang w:val="en-US" w:eastAsia="en-CA"/>
              </w:rPr>
              <w:t xml:space="preserve">, Wagner, </w:t>
            </w:r>
            <w:proofErr w:type="spellStart"/>
            <w:r w:rsidRPr="00003B04">
              <w:rPr>
                <w:rFonts w:eastAsiaTheme="minorEastAsia"/>
                <w:sz w:val="20"/>
                <w:szCs w:val="20"/>
                <w:lang w:val="en-US" w:eastAsia="en-CA"/>
              </w:rPr>
              <w:t>Gascon</w:t>
            </w:r>
            <w:proofErr w:type="spellEnd"/>
            <w:r w:rsidRPr="00003B04">
              <w:rPr>
                <w:rFonts w:eastAsiaTheme="minorEastAsia"/>
                <w:sz w:val="20"/>
                <w:szCs w:val="20"/>
                <w:lang w:val="en-US" w:eastAsia="en-CA"/>
              </w:rPr>
              <w:t xml:space="preserve">, </w:t>
            </w:r>
            <w:proofErr w:type="spellStart"/>
            <w:r w:rsidRPr="00003B04">
              <w:rPr>
                <w:rFonts w:eastAsiaTheme="minorEastAsia"/>
                <w:sz w:val="20"/>
                <w:szCs w:val="20"/>
                <w:lang w:val="en-US" w:eastAsia="en-CA"/>
              </w:rPr>
              <w:t>Côté</w:t>
            </w:r>
            <w:proofErr w:type="spellEnd"/>
            <w:r w:rsidRPr="00003B04">
              <w:rPr>
                <w:rFonts w:eastAsiaTheme="minorEastAsia"/>
                <w:sz w:val="20"/>
                <w:szCs w:val="20"/>
                <w:lang w:val="en-US" w:eastAsia="en-CA"/>
              </w:rPr>
              <w:t>, Brown and Rowe JJ.</w:t>
            </w:r>
          </w:p>
          <w:p w:rsidR="002B2A73" w:rsidRPr="00003B04" w:rsidRDefault="002B2A73" w:rsidP="002B2A73">
            <w:pPr>
              <w:rPr>
                <w:lang w:val="en-US" w:eastAsia="en-CA"/>
              </w:rPr>
            </w:pPr>
          </w:p>
        </w:tc>
      </w:tr>
      <w:tr w:rsidR="00D310D9" w:rsidRPr="00003B04" w:rsidTr="00D310D9">
        <w:tc>
          <w:tcPr>
            <w:tcW w:w="5000" w:type="pct"/>
            <w:gridSpan w:val="4"/>
          </w:tcPr>
          <w:p w:rsidR="00D310D9" w:rsidRPr="00003B04" w:rsidRDefault="002B2A73" w:rsidP="00D310D9">
            <w:pPr>
              <w:pStyle w:val="SCCLsocParty"/>
              <w:tabs>
                <w:tab w:val="left" w:pos="1560"/>
              </w:tabs>
              <w:jc w:val="both"/>
              <w:rPr>
                <w:sz w:val="20"/>
                <w:szCs w:val="20"/>
                <w:lang w:val="en-US"/>
              </w:rPr>
            </w:pPr>
            <w:r w:rsidRPr="00003B04">
              <w:rPr>
                <w:sz w:val="20"/>
                <w:szCs w:val="20"/>
                <w:lang w:val="en-US"/>
              </w:rPr>
              <w:t>The application for leave to appeal from the judgment of the Court of Appeal for Ontario, Number C56824, 2016 ONCA 675, dated September 13, 2016, is dismissed.</w:t>
            </w:r>
          </w:p>
          <w:p w:rsidR="002B2A73" w:rsidRPr="00003B04" w:rsidRDefault="002B2A73" w:rsidP="002B2A73">
            <w:pPr>
              <w:rPr>
                <w:lang w:val="en-US"/>
              </w:rPr>
            </w:pPr>
          </w:p>
        </w:tc>
      </w:tr>
      <w:tr w:rsidR="00EE4290" w:rsidRPr="00003B04" w:rsidTr="00EE4290">
        <w:tc>
          <w:tcPr>
            <w:tcW w:w="5000" w:type="pct"/>
            <w:gridSpan w:val="4"/>
          </w:tcPr>
          <w:p w:rsidR="00EE4290" w:rsidRPr="00003B04" w:rsidRDefault="00EE4290" w:rsidP="00EE4290">
            <w:pPr>
              <w:jc w:val="both"/>
              <w:rPr>
                <w:sz w:val="20"/>
              </w:rPr>
            </w:pPr>
            <w:r w:rsidRPr="00003B04">
              <w:rPr>
                <w:sz w:val="20"/>
              </w:rPr>
              <w:t xml:space="preserve">Criminal law – Sentencing – Fine in lieu of forfeiture – Whether the Court of Appeal erred – In deciding whether to impose a fine in lieu of forfeiture under s. 462.37(3) of the </w:t>
            </w:r>
            <w:r w:rsidRPr="00003B04">
              <w:rPr>
                <w:i/>
                <w:sz w:val="20"/>
              </w:rPr>
              <w:t>Criminal Code</w:t>
            </w:r>
            <w:r w:rsidRPr="00003B04">
              <w:rPr>
                <w:sz w:val="20"/>
              </w:rPr>
              <w:t xml:space="preserve">, can courts consider whether offenders have been deprived of the proceeds of crime by other lawful means without frustrating the objectives of Part XII.2 (Proceeds of Crime) – In exercising their discretion under s. 462.37(3) of the </w:t>
            </w:r>
            <w:r w:rsidRPr="00003B04">
              <w:rPr>
                <w:i/>
                <w:sz w:val="20"/>
              </w:rPr>
              <w:t>Criminal Code</w:t>
            </w:r>
            <w:r w:rsidRPr="00003B04">
              <w:rPr>
                <w:sz w:val="20"/>
              </w:rPr>
              <w:t xml:space="preserve">, can courts consider the impact that a fine in lieu of forfeiture might have on the proper functioning of the offender’s sentence – Section 462.37(3) of the </w:t>
            </w:r>
            <w:r w:rsidRPr="00003B04">
              <w:rPr>
                <w:i/>
                <w:sz w:val="20"/>
              </w:rPr>
              <w:t>Criminal Code</w:t>
            </w:r>
            <w:r w:rsidRPr="00003B04">
              <w:rPr>
                <w:sz w:val="20"/>
              </w:rPr>
              <w:t>, R.S.C. 1986, c. C-46.</w:t>
            </w:r>
          </w:p>
        </w:tc>
      </w:tr>
      <w:tr w:rsidR="00EE4290" w:rsidRPr="00003B04" w:rsidTr="00EE4290">
        <w:tc>
          <w:tcPr>
            <w:tcW w:w="5000" w:type="pct"/>
            <w:gridSpan w:val="4"/>
          </w:tcPr>
          <w:p w:rsidR="00EE4290" w:rsidRPr="00003B04" w:rsidRDefault="00EE4290" w:rsidP="00EE4290">
            <w:pPr>
              <w:jc w:val="both"/>
              <w:rPr>
                <w:sz w:val="20"/>
              </w:rPr>
            </w:pPr>
          </w:p>
        </w:tc>
      </w:tr>
      <w:tr w:rsidR="00EE4290" w:rsidRPr="00003B04" w:rsidTr="00EE4290">
        <w:tc>
          <w:tcPr>
            <w:tcW w:w="5000" w:type="pct"/>
            <w:gridSpan w:val="4"/>
          </w:tcPr>
          <w:p w:rsidR="00EE4290" w:rsidRPr="00003B04" w:rsidRDefault="00EE4290" w:rsidP="00EE4290">
            <w:pPr>
              <w:jc w:val="both"/>
              <w:rPr>
                <w:sz w:val="20"/>
              </w:rPr>
            </w:pPr>
            <w:r w:rsidRPr="00003B04">
              <w:rPr>
                <w:sz w:val="20"/>
              </w:rPr>
              <w:t xml:space="preserve">The applicant, Nick Angelis, was the accounting manager of </w:t>
            </w:r>
            <w:proofErr w:type="spellStart"/>
            <w:r w:rsidRPr="00003B04">
              <w:rPr>
                <w:sz w:val="20"/>
              </w:rPr>
              <w:t>Dayco</w:t>
            </w:r>
            <w:proofErr w:type="spellEnd"/>
            <w:r w:rsidRPr="00003B04">
              <w:rPr>
                <w:sz w:val="20"/>
              </w:rPr>
              <w:t xml:space="preserve"> Canada Corporation (“</w:t>
            </w:r>
            <w:proofErr w:type="spellStart"/>
            <w:r w:rsidRPr="00003B04">
              <w:rPr>
                <w:sz w:val="20"/>
              </w:rPr>
              <w:t>Dayco</w:t>
            </w:r>
            <w:proofErr w:type="spellEnd"/>
            <w:r w:rsidRPr="00003B04">
              <w:rPr>
                <w:sz w:val="20"/>
              </w:rPr>
              <w:t xml:space="preserve">”). Mr. Angelis acquired cash, goods and services valued at over $900,000 during a five year period between 2000 and 2006. Mr. Angelis was arrested and pleaded guilty. The sentencing judge concluded that the amount of the fraud was $936,000. Mr. Angelis also pleaded guilty to three counts of fraud alleged to have been committed during the years 2011 and 2012 while he was on judicial interim release on the </w:t>
            </w:r>
            <w:proofErr w:type="spellStart"/>
            <w:r w:rsidRPr="00003B04">
              <w:rPr>
                <w:sz w:val="20"/>
              </w:rPr>
              <w:t>Dayco</w:t>
            </w:r>
            <w:proofErr w:type="spellEnd"/>
            <w:r w:rsidRPr="00003B04">
              <w:rPr>
                <w:sz w:val="20"/>
              </w:rPr>
              <w:t xml:space="preserve"> fraud. At his sentencing hearing, Mr. Angelis told the judge that the money was all gone and there were no proceeds of crime to forfeit. So the Crown asked the judge to order Mr. Angelis to pay a fine in lieu of forfeiture. The sentencing judge imposed a sentence that included a term of imprisonment of four years, three months, which he reduced to three years after deducting credit for pre-disposition custody, and three free-standing restitution orders in favour of each of the victims of the lesser frauds, totalling $100,750. The sentencing judge declined to make a restitution order in favour of </w:t>
            </w:r>
            <w:proofErr w:type="spellStart"/>
            <w:r w:rsidRPr="00003B04">
              <w:rPr>
                <w:sz w:val="20"/>
              </w:rPr>
              <w:t>Dayco</w:t>
            </w:r>
            <w:proofErr w:type="spellEnd"/>
            <w:r w:rsidRPr="00003B04">
              <w:rPr>
                <w:sz w:val="20"/>
              </w:rPr>
              <w:t xml:space="preserve"> whose loss had been covered by insurance. The sentencing judge declined to order restitution to the insurer. The sentencing judge concluded that it was a proper case for the exercise of discretion, pursuant to s. 462.37(3) of the </w:t>
            </w:r>
            <w:r w:rsidRPr="00003B04">
              <w:rPr>
                <w:i/>
                <w:sz w:val="20"/>
              </w:rPr>
              <w:t>Criminal Code</w:t>
            </w:r>
            <w:r w:rsidRPr="00003B04">
              <w:rPr>
                <w:sz w:val="20"/>
              </w:rPr>
              <w:t xml:space="preserve">, R.S.C. 1986, </w:t>
            </w:r>
            <w:proofErr w:type="gramStart"/>
            <w:r w:rsidRPr="00003B04">
              <w:rPr>
                <w:sz w:val="20"/>
              </w:rPr>
              <w:t>c</w:t>
            </w:r>
            <w:proofErr w:type="gramEnd"/>
            <w:r w:rsidRPr="00003B04">
              <w:rPr>
                <w:sz w:val="20"/>
              </w:rPr>
              <w:t>. C-46, not to order a fine in lieu of forfeiture. The Crown appealed. The Court of Appeal held that the sentencing judge erred and granted the Crown leave to appeal, allowed the appeal and required Mr. Angelis to pay a fine in lieu of forfeiture in the amount of $1,036,750. The Court of Appeal gave him 10 years to pay that fine and, in default of payment, imposed a sentence of 10 years to be served consecutively to any other sentence he is then serving.</w:t>
            </w:r>
          </w:p>
          <w:p w:rsidR="00EE4290" w:rsidRPr="00003B04" w:rsidRDefault="00EE4290" w:rsidP="00EE4290">
            <w:pPr>
              <w:jc w:val="both"/>
              <w:rPr>
                <w:sz w:val="20"/>
              </w:rPr>
            </w:pPr>
          </w:p>
        </w:tc>
      </w:tr>
      <w:tr w:rsidR="00EE4290" w:rsidRPr="00003B04" w:rsidTr="00EE4290">
        <w:tc>
          <w:tcPr>
            <w:tcW w:w="2427" w:type="pct"/>
            <w:gridSpan w:val="2"/>
          </w:tcPr>
          <w:p w:rsidR="00EE4290" w:rsidRPr="00003B04" w:rsidRDefault="00EE4290" w:rsidP="00EE4290">
            <w:pPr>
              <w:jc w:val="both"/>
              <w:rPr>
                <w:sz w:val="20"/>
              </w:rPr>
            </w:pPr>
            <w:r w:rsidRPr="00003B04">
              <w:rPr>
                <w:sz w:val="20"/>
              </w:rPr>
              <w:t>February 22, 2013</w:t>
            </w:r>
          </w:p>
          <w:p w:rsidR="00EE4290" w:rsidRPr="00003B04" w:rsidRDefault="00EE4290" w:rsidP="00EE4290">
            <w:pPr>
              <w:jc w:val="both"/>
              <w:rPr>
                <w:sz w:val="20"/>
              </w:rPr>
            </w:pPr>
            <w:r w:rsidRPr="00003B04">
              <w:rPr>
                <w:sz w:val="20"/>
              </w:rPr>
              <w:t>Ontario Superior Court of Justice</w:t>
            </w:r>
          </w:p>
          <w:p w:rsidR="00EE4290" w:rsidRPr="00003B04" w:rsidRDefault="00EE4290" w:rsidP="00EE4290">
            <w:pPr>
              <w:jc w:val="both"/>
              <w:rPr>
                <w:sz w:val="20"/>
              </w:rPr>
            </w:pPr>
            <w:r w:rsidRPr="00003B04">
              <w:rPr>
                <w:sz w:val="20"/>
              </w:rPr>
              <w:t>(Code J.)</w:t>
            </w:r>
          </w:p>
          <w:p w:rsidR="00EE4290" w:rsidRPr="00003B04" w:rsidRDefault="00EE4290" w:rsidP="00EE4290">
            <w:pPr>
              <w:jc w:val="both"/>
              <w:rPr>
                <w:sz w:val="20"/>
              </w:rPr>
            </w:pPr>
          </w:p>
        </w:tc>
        <w:tc>
          <w:tcPr>
            <w:tcW w:w="243" w:type="pct"/>
          </w:tcPr>
          <w:p w:rsidR="00EE4290" w:rsidRPr="00003B04" w:rsidRDefault="00EE4290" w:rsidP="00EE4290">
            <w:pPr>
              <w:jc w:val="both"/>
              <w:rPr>
                <w:sz w:val="20"/>
              </w:rPr>
            </w:pPr>
          </w:p>
        </w:tc>
        <w:tc>
          <w:tcPr>
            <w:tcW w:w="2330" w:type="pct"/>
          </w:tcPr>
          <w:p w:rsidR="00EE4290" w:rsidRPr="00003B04" w:rsidRDefault="00EE4290" w:rsidP="00EE4290">
            <w:pPr>
              <w:jc w:val="both"/>
              <w:rPr>
                <w:sz w:val="20"/>
              </w:rPr>
            </w:pPr>
            <w:r w:rsidRPr="00003B04">
              <w:rPr>
                <w:sz w:val="20"/>
              </w:rPr>
              <w:t>Order: declined to order a fine in lieu of forfeiture</w:t>
            </w:r>
          </w:p>
          <w:p w:rsidR="00EE4290" w:rsidRPr="00003B04" w:rsidRDefault="00EE4290" w:rsidP="00EE4290">
            <w:pPr>
              <w:jc w:val="both"/>
              <w:rPr>
                <w:sz w:val="20"/>
              </w:rPr>
            </w:pPr>
          </w:p>
          <w:p w:rsidR="00EE4290" w:rsidRPr="00003B04" w:rsidRDefault="00EE4290" w:rsidP="00EE4290">
            <w:pPr>
              <w:jc w:val="both"/>
              <w:rPr>
                <w:sz w:val="20"/>
              </w:rPr>
            </w:pPr>
          </w:p>
        </w:tc>
      </w:tr>
      <w:tr w:rsidR="00EE4290" w:rsidRPr="00003B04" w:rsidTr="00EE4290">
        <w:tc>
          <w:tcPr>
            <w:tcW w:w="2427" w:type="pct"/>
            <w:gridSpan w:val="2"/>
          </w:tcPr>
          <w:p w:rsidR="00EE4290" w:rsidRPr="00003B04" w:rsidRDefault="00EE4290" w:rsidP="00EE4290">
            <w:pPr>
              <w:jc w:val="both"/>
              <w:rPr>
                <w:sz w:val="20"/>
              </w:rPr>
            </w:pPr>
            <w:r w:rsidRPr="00003B04">
              <w:rPr>
                <w:sz w:val="20"/>
              </w:rPr>
              <w:t>September 13, 2016</w:t>
            </w:r>
          </w:p>
          <w:p w:rsidR="00EE4290" w:rsidRPr="00003B04" w:rsidRDefault="00EE4290" w:rsidP="00EE4290">
            <w:pPr>
              <w:jc w:val="both"/>
              <w:rPr>
                <w:sz w:val="20"/>
              </w:rPr>
            </w:pPr>
            <w:r w:rsidRPr="00003B04">
              <w:rPr>
                <w:sz w:val="20"/>
              </w:rPr>
              <w:t>Court of Appeal for Ontario</w:t>
            </w:r>
          </w:p>
          <w:p w:rsidR="00EE4290" w:rsidRPr="00003B04" w:rsidRDefault="00EE4290" w:rsidP="00EE4290">
            <w:pPr>
              <w:jc w:val="both"/>
              <w:rPr>
                <w:sz w:val="20"/>
              </w:rPr>
            </w:pPr>
            <w:r w:rsidRPr="00003B04">
              <w:rPr>
                <w:sz w:val="20"/>
              </w:rPr>
              <w:t>(</w:t>
            </w:r>
            <w:proofErr w:type="spellStart"/>
            <w:r w:rsidRPr="00003B04">
              <w:rPr>
                <w:sz w:val="20"/>
              </w:rPr>
              <w:t>Gillese</w:t>
            </w:r>
            <w:proofErr w:type="spellEnd"/>
            <w:r w:rsidRPr="00003B04">
              <w:rPr>
                <w:sz w:val="20"/>
              </w:rPr>
              <w:t>, Watt, Tulloch JJ.A.)</w:t>
            </w:r>
          </w:p>
          <w:p w:rsidR="00EE4290" w:rsidRPr="00003B04" w:rsidRDefault="00EE4290" w:rsidP="00EE4290">
            <w:pPr>
              <w:jc w:val="both"/>
              <w:rPr>
                <w:sz w:val="20"/>
              </w:rPr>
            </w:pPr>
            <w:r w:rsidRPr="00003B04">
              <w:rPr>
                <w:sz w:val="20"/>
              </w:rPr>
              <w:t>2016 ONCA 675; C56824</w:t>
            </w:r>
          </w:p>
          <w:p w:rsidR="00EE4290" w:rsidRPr="00003B04" w:rsidRDefault="00604445" w:rsidP="00EE4290">
            <w:pPr>
              <w:jc w:val="both"/>
              <w:rPr>
                <w:sz w:val="20"/>
              </w:rPr>
            </w:pPr>
            <w:hyperlink r:id="rId71" w:history="1">
              <w:r w:rsidR="00EE4290" w:rsidRPr="00003B04">
                <w:rPr>
                  <w:rStyle w:val="Hyperlink"/>
                  <w:sz w:val="20"/>
                </w:rPr>
                <w:t>http://canlii.ca/t/gtnvn</w:t>
              </w:r>
            </w:hyperlink>
          </w:p>
          <w:p w:rsidR="00EE4290" w:rsidRPr="00003B04" w:rsidRDefault="00EE4290" w:rsidP="00EE4290">
            <w:pPr>
              <w:jc w:val="both"/>
              <w:rPr>
                <w:sz w:val="20"/>
              </w:rPr>
            </w:pPr>
          </w:p>
        </w:tc>
        <w:tc>
          <w:tcPr>
            <w:tcW w:w="243" w:type="pct"/>
          </w:tcPr>
          <w:p w:rsidR="00EE4290" w:rsidRPr="00003B04" w:rsidRDefault="00EE4290" w:rsidP="00EE4290">
            <w:pPr>
              <w:jc w:val="both"/>
              <w:rPr>
                <w:sz w:val="20"/>
              </w:rPr>
            </w:pPr>
          </w:p>
        </w:tc>
        <w:tc>
          <w:tcPr>
            <w:tcW w:w="2330" w:type="pct"/>
          </w:tcPr>
          <w:p w:rsidR="00EE4290" w:rsidRPr="00003B04" w:rsidRDefault="00EE4290" w:rsidP="00EE4290">
            <w:pPr>
              <w:jc w:val="both"/>
              <w:rPr>
                <w:sz w:val="20"/>
              </w:rPr>
            </w:pPr>
            <w:r w:rsidRPr="00003B04">
              <w:rPr>
                <w:sz w:val="20"/>
              </w:rPr>
              <w:t>Leave to appeal granted and appeal allowed: applicant ordered to pay a fine in lieu of forfeiture in the amount of $1,036,750</w:t>
            </w:r>
          </w:p>
          <w:p w:rsidR="00EE4290" w:rsidRPr="00003B04" w:rsidRDefault="00EE4290" w:rsidP="00EE4290">
            <w:pPr>
              <w:jc w:val="both"/>
              <w:rPr>
                <w:sz w:val="20"/>
              </w:rPr>
            </w:pPr>
          </w:p>
          <w:p w:rsidR="00EE4290" w:rsidRPr="00003B04" w:rsidRDefault="00EE4290" w:rsidP="00EE4290">
            <w:pPr>
              <w:jc w:val="both"/>
              <w:rPr>
                <w:sz w:val="20"/>
              </w:rPr>
            </w:pPr>
          </w:p>
        </w:tc>
      </w:tr>
      <w:tr w:rsidR="00EE4290" w:rsidRPr="00003B04" w:rsidTr="00EE4290">
        <w:tc>
          <w:tcPr>
            <w:tcW w:w="2427" w:type="pct"/>
            <w:gridSpan w:val="2"/>
          </w:tcPr>
          <w:p w:rsidR="00EE4290" w:rsidRPr="00003B04" w:rsidRDefault="00EE4290" w:rsidP="00EE4290">
            <w:pPr>
              <w:jc w:val="both"/>
              <w:rPr>
                <w:sz w:val="20"/>
              </w:rPr>
            </w:pPr>
            <w:r w:rsidRPr="00003B04">
              <w:rPr>
                <w:sz w:val="20"/>
              </w:rPr>
              <w:t>November 14, 2016</w:t>
            </w:r>
          </w:p>
          <w:p w:rsidR="00EE4290" w:rsidRPr="00003B04" w:rsidRDefault="00EE4290" w:rsidP="00EE4290">
            <w:pPr>
              <w:jc w:val="both"/>
              <w:rPr>
                <w:sz w:val="20"/>
              </w:rPr>
            </w:pPr>
            <w:r w:rsidRPr="00003B04">
              <w:rPr>
                <w:sz w:val="20"/>
              </w:rPr>
              <w:t>Supreme Court of Canada</w:t>
            </w:r>
          </w:p>
        </w:tc>
        <w:tc>
          <w:tcPr>
            <w:tcW w:w="243" w:type="pct"/>
          </w:tcPr>
          <w:p w:rsidR="00EE4290" w:rsidRPr="00003B04" w:rsidRDefault="00EE4290" w:rsidP="00EE4290">
            <w:pPr>
              <w:jc w:val="both"/>
              <w:rPr>
                <w:sz w:val="20"/>
              </w:rPr>
            </w:pPr>
          </w:p>
        </w:tc>
        <w:tc>
          <w:tcPr>
            <w:tcW w:w="2330" w:type="pct"/>
          </w:tcPr>
          <w:p w:rsidR="00EE4290" w:rsidRPr="00003B04" w:rsidRDefault="00EE4290" w:rsidP="00EE4290">
            <w:pPr>
              <w:jc w:val="both"/>
              <w:rPr>
                <w:sz w:val="20"/>
              </w:rPr>
            </w:pPr>
            <w:r w:rsidRPr="00003B04">
              <w:rPr>
                <w:sz w:val="20"/>
              </w:rPr>
              <w:t>Application for leave to appeal filed</w:t>
            </w:r>
          </w:p>
          <w:p w:rsidR="00EE4290" w:rsidRPr="00003B04" w:rsidRDefault="00EE4290" w:rsidP="00EE4290">
            <w:pPr>
              <w:jc w:val="both"/>
              <w:rPr>
                <w:sz w:val="20"/>
              </w:rPr>
            </w:pPr>
          </w:p>
        </w:tc>
      </w:tr>
    </w:tbl>
    <w:p w:rsidR="00EE4290" w:rsidRPr="00003B04" w:rsidRDefault="00604445" w:rsidP="00EE4290">
      <w:pPr>
        <w:jc w:val="both"/>
        <w:rPr>
          <w:sz w:val="20"/>
        </w:rPr>
      </w:pPr>
      <w:r>
        <w:rPr>
          <w:sz w:val="20"/>
          <w:szCs w:val="20"/>
        </w:rPr>
        <w:pict>
          <v:rect id="_x0000_i1073" style="width:2in;height:1pt" o:hrpct="0" o:hralign="center" o:hrstd="t" o:hrnoshade="t" o:hr="t" fillcolor="black [3213]" stroked="f"/>
        </w:pict>
      </w:r>
    </w:p>
    <w:p w:rsidR="00EE4290" w:rsidRPr="00003B04" w:rsidRDefault="00EE4290" w:rsidP="00EE4290">
      <w:pPr>
        <w:jc w:val="both"/>
        <w:rPr>
          <w:sz w:val="20"/>
        </w:rPr>
      </w:pPr>
    </w:p>
    <w:p w:rsidR="008F5EB8" w:rsidRPr="00003B04" w:rsidRDefault="008F5EB8">
      <w:r w:rsidRPr="00003B04">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E4290" w:rsidRPr="00003B04" w:rsidTr="00EE4290">
        <w:tc>
          <w:tcPr>
            <w:tcW w:w="543" w:type="pct"/>
          </w:tcPr>
          <w:p w:rsidR="00EE4290" w:rsidRPr="00003B04" w:rsidRDefault="00EE4290" w:rsidP="00EE4290">
            <w:pPr>
              <w:jc w:val="both"/>
              <w:rPr>
                <w:sz w:val="20"/>
                <w:lang w:val="fr-CA"/>
              </w:rPr>
            </w:pPr>
            <w:r w:rsidRPr="00003B04">
              <w:rPr>
                <w:rStyle w:val="SCCFileNumberChar"/>
                <w:sz w:val="20"/>
                <w:szCs w:val="20"/>
                <w:lang w:val="fr-CA"/>
              </w:rPr>
              <w:lastRenderedPageBreak/>
              <w:t>37288</w:t>
            </w:r>
          </w:p>
        </w:tc>
        <w:tc>
          <w:tcPr>
            <w:tcW w:w="4457" w:type="pct"/>
            <w:gridSpan w:val="3"/>
          </w:tcPr>
          <w:p w:rsidR="00EE4290" w:rsidRPr="00003B04" w:rsidRDefault="00EE4290" w:rsidP="00767A6B">
            <w:pPr>
              <w:pStyle w:val="SCCLsocParty"/>
              <w:jc w:val="both"/>
              <w:rPr>
                <w:sz w:val="20"/>
              </w:rPr>
            </w:pPr>
            <w:r w:rsidRPr="00003B04">
              <w:rPr>
                <w:b/>
                <w:sz w:val="20"/>
                <w:szCs w:val="20"/>
              </w:rPr>
              <w:t xml:space="preserve">Nick </w:t>
            </w:r>
            <w:proofErr w:type="spellStart"/>
            <w:r w:rsidRPr="00003B04">
              <w:rPr>
                <w:b/>
                <w:sz w:val="20"/>
                <w:szCs w:val="20"/>
              </w:rPr>
              <w:t>Angelis</w:t>
            </w:r>
            <w:proofErr w:type="spellEnd"/>
            <w:r w:rsidRPr="00003B04">
              <w:rPr>
                <w:b/>
                <w:sz w:val="20"/>
                <w:szCs w:val="20"/>
              </w:rPr>
              <w:t xml:space="preserve"> c. Sa Majesté la Reine</w:t>
            </w:r>
            <w:r w:rsidR="00767A6B" w:rsidRPr="00003B04">
              <w:rPr>
                <w:b/>
                <w:sz w:val="20"/>
                <w:szCs w:val="20"/>
              </w:rPr>
              <w:t xml:space="preserve"> </w:t>
            </w:r>
            <w:r w:rsidRPr="00003B04">
              <w:rPr>
                <w:sz w:val="20"/>
              </w:rPr>
              <w:t>(Ont.) (Criminelle) (Sur autorisation)</w:t>
            </w:r>
          </w:p>
          <w:p w:rsidR="00767A6B" w:rsidRPr="00003B04" w:rsidRDefault="00767A6B" w:rsidP="00767A6B">
            <w:pPr>
              <w:rPr>
                <w:lang w:val="fr-CA"/>
              </w:rPr>
            </w:pPr>
          </w:p>
        </w:tc>
      </w:tr>
      <w:tr w:rsidR="00D310D9" w:rsidRPr="00C3697D" w:rsidTr="00EE4290">
        <w:tc>
          <w:tcPr>
            <w:tcW w:w="543" w:type="pct"/>
          </w:tcPr>
          <w:p w:rsidR="00D310D9" w:rsidRPr="00003B04" w:rsidRDefault="00D310D9" w:rsidP="00EE4290">
            <w:pPr>
              <w:jc w:val="both"/>
              <w:rPr>
                <w:rStyle w:val="SCCFileNumberChar"/>
                <w:sz w:val="20"/>
                <w:szCs w:val="20"/>
                <w:lang w:val="fr-CA"/>
              </w:rPr>
            </w:pPr>
            <w:r w:rsidRPr="00003B04">
              <w:rPr>
                <w:rStyle w:val="SCCFileNumberChar"/>
                <w:sz w:val="20"/>
                <w:szCs w:val="20"/>
                <w:lang w:val="fr-CA"/>
              </w:rPr>
              <w:t>Coram :</w:t>
            </w:r>
          </w:p>
        </w:tc>
        <w:tc>
          <w:tcPr>
            <w:tcW w:w="4457" w:type="pct"/>
            <w:gridSpan w:val="3"/>
          </w:tcPr>
          <w:p w:rsidR="00D310D9" w:rsidRPr="00003B04" w:rsidRDefault="002B2A73" w:rsidP="00EE4290">
            <w:pPr>
              <w:pStyle w:val="SCCLsocParty"/>
              <w:jc w:val="both"/>
              <w:rPr>
                <w:rFonts w:eastAsiaTheme="minorEastAsia"/>
                <w:sz w:val="20"/>
                <w:szCs w:val="20"/>
              </w:rPr>
            </w:pPr>
            <w:r w:rsidRPr="00003B04">
              <w:rPr>
                <w:rFonts w:eastAsiaTheme="minorEastAsia"/>
                <w:sz w:val="20"/>
                <w:szCs w:val="20"/>
                <w:lang w:val="fr-FR"/>
              </w:rPr>
              <w:t xml:space="preserve">La juge en chef </w:t>
            </w:r>
            <w:proofErr w:type="spellStart"/>
            <w:r w:rsidRPr="00003B04">
              <w:rPr>
                <w:rFonts w:eastAsiaTheme="minorEastAsia"/>
                <w:sz w:val="20"/>
                <w:szCs w:val="20"/>
                <w:lang w:val="fr-FR"/>
              </w:rPr>
              <w:t>McLachlin</w:t>
            </w:r>
            <w:proofErr w:type="spellEnd"/>
            <w:r w:rsidRPr="00003B04">
              <w:rPr>
                <w:rFonts w:eastAsiaTheme="minorEastAsia"/>
                <w:sz w:val="20"/>
                <w:szCs w:val="20"/>
                <w:lang w:val="fr-FR"/>
              </w:rPr>
              <w:t xml:space="preserve"> et les juges Abella, </w:t>
            </w:r>
            <w:proofErr w:type="spellStart"/>
            <w:r w:rsidRPr="00003B04">
              <w:rPr>
                <w:rFonts w:eastAsiaTheme="minorEastAsia"/>
                <w:sz w:val="20"/>
                <w:szCs w:val="20"/>
              </w:rPr>
              <w:t>Moldaver</w:t>
            </w:r>
            <w:proofErr w:type="spellEnd"/>
            <w:r w:rsidRPr="00003B04">
              <w:rPr>
                <w:rFonts w:eastAsiaTheme="minorEastAsia"/>
                <w:sz w:val="20"/>
                <w:szCs w:val="20"/>
              </w:rPr>
              <w:t>, Wagner, Gascon, Côté, Brown et Rowe</w:t>
            </w:r>
          </w:p>
          <w:p w:rsidR="002B2A73" w:rsidRPr="00003B04" w:rsidRDefault="002B2A73" w:rsidP="002B2A73">
            <w:pPr>
              <w:rPr>
                <w:lang w:val="fr-CA"/>
              </w:rPr>
            </w:pPr>
          </w:p>
        </w:tc>
      </w:tr>
      <w:tr w:rsidR="00D310D9" w:rsidRPr="00C3697D" w:rsidTr="00D310D9">
        <w:tc>
          <w:tcPr>
            <w:tcW w:w="5000" w:type="pct"/>
            <w:gridSpan w:val="4"/>
          </w:tcPr>
          <w:p w:rsidR="00D310D9" w:rsidRPr="00003B04" w:rsidRDefault="002B2A73" w:rsidP="00EE4290">
            <w:pPr>
              <w:pStyle w:val="SCCLsocParty"/>
              <w:jc w:val="both"/>
              <w:rPr>
                <w:sz w:val="20"/>
                <w:szCs w:val="20"/>
              </w:rPr>
            </w:pPr>
            <w:r w:rsidRPr="00003B04">
              <w:rPr>
                <w:sz w:val="20"/>
                <w:szCs w:val="20"/>
              </w:rPr>
              <w:t>La demande d’autorisation d’appel de l’arrêt de la Cour d’appel de l’Ontario, numéro C56824, 2016 ONCA 675, daté du 13 septembre 2016, est rejetée.</w:t>
            </w:r>
          </w:p>
          <w:p w:rsidR="002B2A73" w:rsidRPr="00003B04" w:rsidRDefault="002B2A73" w:rsidP="002B2A73">
            <w:pPr>
              <w:rPr>
                <w:lang w:val="fr-CA"/>
              </w:rPr>
            </w:pPr>
          </w:p>
        </w:tc>
      </w:tr>
      <w:tr w:rsidR="00EE4290" w:rsidRPr="00003B04" w:rsidTr="00EE4290">
        <w:tc>
          <w:tcPr>
            <w:tcW w:w="5000" w:type="pct"/>
            <w:gridSpan w:val="4"/>
          </w:tcPr>
          <w:p w:rsidR="00EE4290" w:rsidRPr="00003B04" w:rsidRDefault="00EE4290" w:rsidP="00EE4290">
            <w:pPr>
              <w:jc w:val="both"/>
              <w:rPr>
                <w:sz w:val="20"/>
                <w:lang w:val="fr-CA"/>
              </w:rPr>
            </w:pPr>
            <w:r w:rsidRPr="00003B04">
              <w:rPr>
                <w:sz w:val="20"/>
                <w:lang w:val="fr-CA"/>
              </w:rPr>
              <w:t xml:space="preserve">Droit criminel – Détermination de la peine – Remplacement de la confiscation par une amende – La Cour d’appel a-t-elle commis une erreur? – En statuant sur l’opportunité d’infliger une amende plutôt que d’ordonner la confiscation en application du par. 462.37(3) du </w:t>
            </w:r>
            <w:r w:rsidRPr="00003B04">
              <w:rPr>
                <w:i/>
                <w:sz w:val="20"/>
                <w:lang w:val="fr-CA"/>
              </w:rPr>
              <w:t>Code criminel</w:t>
            </w:r>
            <w:r w:rsidRPr="00003B04">
              <w:rPr>
                <w:sz w:val="20"/>
                <w:lang w:val="fr-CA"/>
              </w:rPr>
              <w:t xml:space="preserve">, les tribunaux peuvent-ils se demander si les délinquants ont été privés des produits de la criminalité par d’autres moyens licites sans outrepasser les objectifs de la Partie XII.2 (Produits de la criminalité)? – En exerçant leur pouvoir discrétionnaire en application du par. 462.37(3) du </w:t>
            </w:r>
            <w:r w:rsidRPr="00003B04">
              <w:rPr>
                <w:i/>
                <w:sz w:val="20"/>
                <w:lang w:val="fr-CA"/>
              </w:rPr>
              <w:t>Code criminel</w:t>
            </w:r>
            <w:r w:rsidRPr="00003B04">
              <w:rPr>
                <w:sz w:val="20"/>
                <w:lang w:val="fr-CA"/>
              </w:rPr>
              <w:t xml:space="preserve">, les tribunaux peuvent-ils prendre en compte l’effet que pourrait avoir le remplacement de la confiscation par une amende sur le bon fonctionnement de la peine infligée au délinquant? – Paragraphe 462.37(3) du </w:t>
            </w:r>
            <w:r w:rsidRPr="00003B04">
              <w:rPr>
                <w:i/>
                <w:sz w:val="20"/>
                <w:lang w:val="fr-CA"/>
              </w:rPr>
              <w:t>Code criminel</w:t>
            </w:r>
            <w:r w:rsidRPr="00003B04">
              <w:rPr>
                <w:sz w:val="20"/>
                <w:lang w:val="fr-CA"/>
              </w:rPr>
              <w:t>, L.R.C. 1986, ch. C-46.</w:t>
            </w:r>
          </w:p>
        </w:tc>
      </w:tr>
      <w:tr w:rsidR="00EE4290" w:rsidRPr="00003B04" w:rsidTr="00EE4290">
        <w:tc>
          <w:tcPr>
            <w:tcW w:w="5000" w:type="pct"/>
            <w:gridSpan w:val="4"/>
          </w:tcPr>
          <w:p w:rsidR="00EE4290" w:rsidRPr="00003B04" w:rsidRDefault="00EE4290" w:rsidP="00EE4290">
            <w:pPr>
              <w:jc w:val="both"/>
              <w:rPr>
                <w:sz w:val="20"/>
                <w:lang w:val="fr-CA"/>
              </w:rPr>
            </w:pPr>
          </w:p>
        </w:tc>
      </w:tr>
      <w:tr w:rsidR="00EE4290" w:rsidRPr="00C3697D" w:rsidTr="00EE4290">
        <w:tc>
          <w:tcPr>
            <w:tcW w:w="5000" w:type="pct"/>
            <w:gridSpan w:val="4"/>
          </w:tcPr>
          <w:p w:rsidR="00EE4290" w:rsidRPr="00003B04" w:rsidRDefault="00EE4290" w:rsidP="00EE4290">
            <w:pPr>
              <w:jc w:val="both"/>
              <w:rPr>
                <w:sz w:val="20"/>
                <w:lang w:val="fr-CA"/>
              </w:rPr>
            </w:pPr>
            <w:r w:rsidRPr="00003B04">
              <w:rPr>
                <w:sz w:val="20"/>
                <w:lang w:val="fr-CA"/>
              </w:rPr>
              <w:t xml:space="preserve">Le demandeur, Nick </w:t>
            </w:r>
            <w:proofErr w:type="spellStart"/>
            <w:r w:rsidRPr="00003B04">
              <w:rPr>
                <w:sz w:val="20"/>
                <w:lang w:val="fr-CA"/>
              </w:rPr>
              <w:t>Angelis</w:t>
            </w:r>
            <w:proofErr w:type="spellEnd"/>
            <w:r w:rsidRPr="00003B04">
              <w:rPr>
                <w:sz w:val="20"/>
                <w:lang w:val="fr-CA"/>
              </w:rPr>
              <w:t xml:space="preserve">, était le directeur de la comptabilité de </w:t>
            </w:r>
            <w:proofErr w:type="spellStart"/>
            <w:r w:rsidRPr="00003B04">
              <w:rPr>
                <w:sz w:val="20"/>
                <w:lang w:val="fr-CA"/>
              </w:rPr>
              <w:t>Dayco</w:t>
            </w:r>
            <w:proofErr w:type="spellEnd"/>
            <w:r w:rsidRPr="00003B04">
              <w:rPr>
                <w:sz w:val="20"/>
                <w:lang w:val="fr-CA"/>
              </w:rPr>
              <w:t xml:space="preserve"> Canada Corporation (« </w:t>
            </w:r>
            <w:proofErr w:type="spellStart"/>
            <w:r w:rsidRPr="00003B04">
              <w:rPr>
                <w:sz w:val="20"/>
                <w:lang w:val="fr-CA"/>
              </w:rPr>
              <w:t>Dayco</w:t>
            </w:r>
            <w:proofErr w:type="spellEnd"/>
            <w:r w:rsidRPr="00003B04">
              <w:rPr>
                <w:sz w:val="20"/>
                <w:lang w:val="fr-CA"/>
              </w:rPr>
              <w:t> »). Sur une période de cinq ans, soit de 2000 à 2006, M. </w:t>
            </w:r>
            <w:proofErr w:type="spellStart"/>
            <w:r w:rsidRPr="00003B04">
              <w:rPr>
                <w:sz w:val="20"/>
                <w:lang w:val="fr-CA"/>
              </w:rPr>
              <w:t>Angelis</w:t>
            </w:r>
            <w:proofErr w:type="spellEnd"/>
            <w:r w:rsidRPr="00003B04">
              <w:rPr>
                <w:sz w:val="20"/>
                <w:lang w:val="fr-CA"/>
              </w:rPr>
              <w:t xml:space="preserve"> a acquis de l’argent comptant, des biens et des services évalués à plus de 900 000 $. Monsieur </w:t>
            </w:r>
            <w:proofErr w:type="spellStart"/>
            <w:r w:rsidRPr="00003B04">
              <w:rPr>
                <w:sz w:val="20"/>
                <w:lang w:val="fr-CA"/>
              </w:rPr>
              <w:t>Angelis</w:t>
            </w:r>
            <w:proofErr w:type="spellEnd"/>
            <w:r w:rsidRPr="00003B04">
              <w:rPr>
                <w:sz w:val="20"/>
                <w:lang w:val="fr-CA"/>
              </w:rPr>
              <w:t xml:space="preserve"> a été arrêté et il a reconnu sa culpabilité. Le juge chargé de déterminer la peine a conclu que le montant de la fraude s’élevait à 936 000 $. Monsieur </w:t>
            </w:r>
            <w:proofErr w:type="spellStart"/>
            <w:r w:rsidRPr="00003B04">
              <w:rPr>
                <w:sz w:val="20"/>
                <w:lang w:val="fr-CA"/>
              </w:rPr>
              <w:t>Angelis</w:t>
            </w:r>
            <w:proofErr w:type="spellEnd"/>
            <w:r w:rsidRPr="00003B04">
              <w:rPr>
                <w:sz w:val="20"/>
                <w:lang w:val="fr-CA"/>
              </w:rPr>
              <w:t xml:space="preserve"> a également plaidé coupable sous trois chefs d’accusation de fraudes qui auraient été commises pendant les années 2011 et 2012, alors qu’il était l’objet d’une ordonnance de mise en liberté provisoire relativement à la fraude commise à l’égard de </w:t>
            </w:r>
            <w:proofErr w:type="spellStart"/>
            <w:r w:rsidRPr="00003B04">
              <w:rPr>
                <w:sz w:val="20"/>
                <w:lang w:val="fr-CA"/>
              </w:rPr>
              <w:t>Dayco</w:t>
            </w:r>
            <w:proofErr w:type="spellEnd"/>
            <w:r w:rsidRPr="00003B04">
              <w:rPr>
                <w:sz w:val="20"/>
                <w:lang w:val="fr-CA"/>
              </w:rPr>
              <w:t>. À l’audience de détermination de sa peine, M. </w:t>
            </w:r>
            <w:proofErr w:type="spellStart"/>
            <w:r w:rsidRPr="00003B04">
              <w:rPr>
                <w:sz w:val="20"/>
                <w:lang w:val="fr-CA"/>
              </w:rPr>
              <w:t>Angelis</w:t>
            </w:r>
            <w:proofErr w:type="spellEnd"/>
            <w:r w:rsidRPr="00003B04">
              <w:rPr>
                <w:sz w:val="20"/>
                <w:lang w:val="fr-CA"/>
              </w:rPr>
              <w:t xml:space="preserve"> a dit au juge que l’argent avait complètement disparu et qu’il n’y avait aucun produit de la criminalité à confisquer. Le ministère public a donc demandé au juge d’imposer une amende à M. </w:t>
            </w:r>
            <w:proofErr w:type="spellStart"/>
            <w:r w:rsidRPr="00003B04">
              <w:rPr>
                <w:sz w:val="20"/>
                <w:lang w:val="fr-CA"/>
              </w:rPr>
              <w:t>Angelis</w:t>
            </w:r>
            <w:proofErr w:type="spellEnd"/>
            <w:r w:rsidRPr="00003B04">
              <w:rPr>
                <w:sz w:val="20"/>
                <w:lang w:val="fr-CA"/>
              </w:rPr>
              <w:t xml:space="preserve"> au lieu de prononcer une ordonnance de confiscation. Le juge chargé de déterminer la peine a imposé une peine qui comprenait un emprisonnement d’une durée de quatre ans et trois mois qu’il a réduite à trois ans en tenant compte de la détention </w:t>
            </w:r>
            <w:proofErr w:type="spellStart"/>
            <w:r w:rsidRPr="00003B04">
              <w:rPr>
                <w:sz w:val="20"/>
                <w:lang w:val="fr-CA"/>
              </w:rPr>
              <w:t>présentencielle</w:t>
            </w:r>
            <w:proofErr w:type="spellEnd"/>
            <w:r w:rsidRPr="00003B04">
              <w:rPr>
                <w:sz w:val="20"/>
                <w:lang w:val="fr-CA"/>
              </w:rPr>
              <w:t xml:space="preserve">, et trois ordonnances distinctes de restitution en faveur de chacune des victimes des fraudes de moindre importance, totalisant 100 750 $. Le juge chargé de déterminer la peine a refusé de prononcer une ordonnance de restitution en faveur de </w:t>
            </w:r>
            <w:proofErr w:type="spellStart"/>
            <w:r w:rsidRPr="00003B04">
              <w:rPr>
                <w:sz w:val="20"/>
                <w:lang w:val="fr-CA"/>
              </w:rPr>
              <w:t>Dayco</w:t>
            </w:r>
            <w:proofErr w:type="spellEnd"/>
            <w:r w:rsidRPr="00003B04">
              <w:rPr>
                <w:sz w:val="20"/>
                <w:lang w:val="fr-CA"/>
              </w:rPr>
              <w:t xml:space="preserve">, dont la perte avait été couverte par une assurance. Le juge a refusé de prononcer une ordonnance de restitution en faveur de l’assureur. Le juge a conclu qu’en l’espèce, il était opportun d’exercer son pouvoir discrétionnaire, en application du par. 462.37(3) du </w:t>
            </w:r>
            <w:r w:rsidRPr="00003B04">
              <w:rPr>
                <w:i/>
                <w:sz w:val="20"/>
                <w:lang w:val="fr-CA"/>
              </w:rPr>
              <w:t>Code criminel</w:t>
            </w:r>
            <w:r w:rsidRPr="00003B04">
              <w:rPr>
                <w:sz w:val="20"/>
                <w:lang w:val="fr-CA"/>
              </w:rPr>
              <w:t>, L.R.C. 1986, ch. C-46, de ne pas infliger une amende à la place de la confiscation. Le ministère public a interjeté appel. La Cour d’appel a conclu que le juge chargé de déterminer la peine avait commis une erreur et a autorisé le ministère public à interjeter appel, accueilli l’appel et infligé à M. </w:t>
            </w:r>
            <w:proofErr w:type="spellStart"/>
            <w:r w:rsidRPr="00003B04">
              <w:rPr>
                <w:sz w:val="20"/>
                <w:lang w:val="fr-CA"/>
              </w:rPr>
              <w:t>Angelis</w:t>
            </w:r>
            <w:proofErr w:type="spellEnd"/>
            <w:r w:rsidRPr="00003B04">
              <w:rPr>
                <w:sz w:val="20"/>
                <w:lang w:val="fr-CA"/>
              </w:rPr>
              <w:t xml:space="preserve"> une amende de 1 036 750 $ en remplacement de la confiscation. La Cour d’appel lui a accordé un délai de 10 ans pour payer l’amende et, à défaut de paiement, lui a imposé une peine d’emprisonnement de 10 ans à être purgée de façon consécutive à toute autre peine qu’il purge alors.</w:t>
            </w:r>
          </w:p>
          <w:p w:rsidR="00EE4290" w:rsidRPr="00003B04" w:rsidRDefault="00EE4290" w:rsidP="00EE4290">
            <w:pPr>
              <w:jc w:val="both"/>
              <w:rPr>
                <w:sz w:val="20"/>
                <w:lang w:val="fr-CA"/>
              </w:rPr>
            </w:pPr>
          </w:p>
        </w:tc>
      </w:tr>
      <w:tr w:rsidR="00EE4290" w:rsidRPr="00C3697D" w:rsidTr="00EE4290">
        <w:tc>
          <w:tcPr>
            <w:tcW w:w="2427" w:type="pct"/>
            <w:gridSpan w:val="2"/>
          </w:tcPr>
          <w:p w:rsidR="00EE4290" w:rsidRPr="00003B04" w:rsidRDefault="00EE4290" w:rsidP="00EE4290">
            <w:pPr>
              <w:jc w:val="both"/>
              <w:rPr>
                <w:sz w:val="20"/>
                <w:lang w:val="fr-CA"/>
              </w:rPr>
            </w:pPr>
            <w:r w:rsidRPr="00003B04">
              <w:rPr>
                <w:sz w:val="20"/>
                <w:lang w:val="fr-CA"/>
              </w:rPr>
              <w:t>22 février 2013</w:t>
            </w:r>
          </w:p>
          <w:p w:rsidR="00EE4290" w:rsidRPr="00003B04" w:rsidRDefault="00EE4290" w:rsidP="00EE4290">
            <w:pPr>
              <w:jc w:val="both"/>
              <w:rPr>
                <w:sz w:val="20"/>
                <w:lang w:val="fr-CA"/>
              </w:rPr>
            </w:pPr>
            <w:r w:rsidRPr="00003B04">
              <w:rPr>
                <w:sz w:val="20"/>
                <w:lang w:val="fr-CA"/>
              </w:rPr>
              <w:t>Cour supérieure de justice de l’Ontario</w:t>
            </w:r>
          </w:p>
          <w:p w:rsidR="00EE4290" w:rsidRPr="00003B04" w:rsidRDefault="00EE4290" w:rsidP="00EE4290">
            <w:pPr>
              <w:jc w:val="both"/>
              <w:rPr>
                <w:sz w:val="20"/>
                <w:lang w:val="fr-CA"/>
              </w:rPr>
            </w:pPr>
            <w:r w:rsidRPr="00003B04">
              <w:rPr>
                <w:sz w:val="20"/>
                <w:lang w:val="fr-CA"/>
              </w:rPr>
              <w:t>(Juge Code)</w:t>
            </w:r>
          </w:p>
          <w:p w:rsidR="00EE4290" w:rsidRPr="00003B04" w:rsidRDefault="00EE4290" w:rsidP="00EE4290">
            <w:pPr>
              <w:jc w:val="both"/>
              <w:rPr>
                <w:sz w:val="20"/>
                <w:lang w:val="fr-CA"/>
              </w:rPr>
            </w:pPr>
          </w:p>
        </w:tc>
        <w:tc>
          <w:tcPr>
            <w:tcW w:w="243" w:type="pct"/>
          </w:tcPr>
          <w:p w:rsidR="00EE4290" w:rsidRPr="00003B04" w:rsidRDefault="00EE4290" w:rsidP="00EE4290">
            <w:pPr>
              <w:jc w:val="both"/>
              <w:rPr>
                <w:sz w:val="20"/>
                <w:lang w:val="fr-CA"/>
              </w:rPr>
            </w:pPr>
          </w:p>
        </w:tc>
        <w:tc>
          <w:tcPr>
            <w:tcW w:w="2330" w:type="pct"/>
          </w:tcPr>
          <w:p w:rsidR="00EE4290" w:rsidRPr="00003B04" w:rsidRDefault="00EE4290" w:rsidP="00EE4290">
            <w:pPr>
              <w:jc w:val="both"/>
              <w:rPr>
                <w:sz w:val="20"/>
                <w:lang w:val="fr-CA"/>
              </w:rPr>
            </w:pPr>
            <w:r w:rsidRPr="00003B04">
              <w:rPr>
                <w:sz w:val="20"/>
                <w:lang w:val="fr-CA"/>
              </w:rPr>
              <w:t>Ordonnance : refus d’infliger une amende en remplacement de la confiscation</w:t>
            </w:r>
          </w:p>
          <w:p w:rsidR="00EE4290" w:rsidRPr="00003B04" w:rsidRDefault="00EE4290" w:rsidP="00EE4290">
            <w:pPr>
              <w:jc w:val="both"/>
              <w:rPr>
                <w:sz w:val="20"/>
                <w:lang w:val="fr-CA"/>
              </w:rPr>
            </w:pPr>
          </w:p>
        </w:tc>
      </w:tr>
      <w:tr w:rsidR="00EE4290" w:rsidRPr="00C3697D" w:rsidTr="00EE4290">
        <w:tc>
          <w:tcPr>
            <w:tcW w:w="2427" w:type="pct"/>
            <w:gridSpan w:val="2"/>
          </w:tcPr>
          <w:p w:rsidR="00EE4290" w:rsidRPr="00003B04" w:rsidRDefault="00EE4290" w:rsidP="00EE4290">
            <w:pPr>
              <w:jc w:val="both"/>
              <w:rPr>
                <w:sz w:val="20"/>
                <w:lang w:val="fr-CA"/>
              </w:rPr>
            </w:pPr>
            <w:r w:rsidRPr="00003B04">
              <w:rPr>
                <w:sz w:val="20"/>
                <w:lang w:val="fr-CA"/>
              </w:rPr>
              <w:t>13 septembre 2016</w:t>
            </w:r>
          </w:p>
          <w:p w:rsidR="00EE4290" w:rsidRPr="00003B04" w:rsidRDefault="00EE4290" w:rsidP="00EE4290">
            <w:pPr>
              <w:jc w:val="both"/>
              <w:rPr>
                <w:sz w:val="20"/>
                <w:lang w:val="fr-CA"/>
              </w:rPr>
            </w:pPr>
            <w:r w:rsidRPr="00003B04">
              <w:rPr>
                <w:sz w:val="20"/>
                <w:lang w:val="fr-CA"/>
              </w:rPr>
              <w:t>Cour d’appel de l’Ontario</w:t>
            </w:r>
          </w:p>
          <w:p w:rsidR="00EE4290" w:rsidRPr="00003B04" w:rsidRDefault="00EE4290" w:rsidP="00EE4290">
            <w:pPr>
              <w:jc w:val="both"/>
              <w:rPr>
                <w:sz w:val="20"/>
                <w:lang w:val="fr-CA"/>
              </w:rPr>
            </w:pPr>
            <w:r w:rsidRPr="00003B04">
              <w:rPr>
                <w:sz w:val="20"/>
                <w:lang w:val="fr-CA"/>
              </w:rPr>
              <w:t xml:space="preserve">(Juges </w:t>
            </w:r>
            <w:proofErr w:type="spellStart"/>
            <w:r w:rsidRPr="00003B04">
              <w:rPr>
                <w:sz w:val="20"/>
                <w:lang w:val="fr-CA"/>
              </w:rPr>
              <w:t>Gillese</w:t>
            </w:r>
            <w:proofErr w:type="spellEnd"/>
            <w:r w:rsidRPr="00003B04">
              <w:rPr>
                <w:sz w:val="20"/>
                <w:lang w:val="fr-CA"/>
              </w:rPr>
              <w:t xml:space="preserve">, Watt et </w:t>
            </w:r>
            <w:proofErr w:type="spellStart"/>
            <w:r w:rsidRPr="00003B04">
              <w:rPr>
                <w:sz w:val="20"/>
                <w:lang w:val="fr-CA"/>
              </w:rPr>
              <w:t>Tulloch</w:t>
            </w:r>
            <w:proofErr w:type="spellEnd"/>
            <w:r w:rsidRPr="00003B04">
              <w:rPr>
                <w:sz w:val="20"/>
                <w:lang w:val="fr-CA"/>
              </w:rPr>
              <w:t>)</w:t>
            </w:r>
          </w:p>
          <w:p w:rsidR="00EE4290" w:rsidRPr="00003B04" w:rsidRDefault="00EE4290" w:rsidP="00EE4290">
            <w:pPr>
              <w:jc w:val="both"/>
              <w:rPr>
                <w:sz w:val="20"/>
              </w:rPr>
            </w:pPr>
            <w:r w:rsidRPr="00003B04">
              <w:rPr>
                <w:sz w:val="20"/>
              </w:rPr>
              <w:t>2016 ONCA 675; C56824</w:t>
            </w:r>
          </w:p>
          <w:p w:rsidR="00EE4290" w:rsidRPr="00003B04" w:rsidRDefault="00604445" w:rsidP="00EE4290">
            <w:pPr>
              <w:jc w:val="both"/>
              <w:rPr>
                <w:sz w:val="20"/>
              </w:rPr>
            </w:pPr>
            <w:hyperlink r:id="rId72" w:history="1">
              <w:r w:rsidR="00EE4290" w:rsidRPr="00003B04">
                <w:rPr>
                  <w:rStyle w:val="Hyperlink"/>
                  <w:sz w:val="20"/>
                </w:rPr>
                <w:t>http://canlii.ca/t/gtnvn</w:t>
              </w:r>
            </w:hyperlink>
          </w:p>
          <w:p w:rsidR="00EE4290" w:rsidRPr="00003B04" w:rsidRDefault="00EE4290" w:rsidP="00EE4290">
            <w:pPr>
              <w:jc w:val="both"/>
              <w:rPr>
                <w:sz w:val="20"/>
              </w:rPr>
            </w:pPr>
          </w:p>
        </w:tc>
        <w:tc>
          <w:tcPr>
            <w:tcW w:w="243" w:type="pct"/>
          </w:tcPr>
          <w:p w:rsidR="00EE4290" w:rsidRPr="00003B04" w:rsidRDefault="00EE4290" w:rsidP="00EE4290">
            <w:pPr>
              <w:jc w:val="both"/>
              <w:rPr>
                <w:sz w:val="20"/>
              </w:rPr>
            </w:pPr>
          </w:p>
        </w:tc>
        <w:tc>
          <w:tcPr>
            <w:tcW w:w="2330" w:type="pct"/>
          </w:tcPr>
          <w:p w:rsidR="00EE4290" w:rsidRPr="00003B04" w:rsidRDefault="00EE4290" w:rsidP="00EE4290">
            <w:pPr>
              <w:jc w:val="both"/>
              <w:rPr>
                <w:sz w:val="20"/>
                <w:lang w:val="fr-CA"/>
              </w:rPr>
            </w:pPr>
            <w:r w:rsidRPr="00003B04">
              <w:rPr>
                <w:sz w:val="20"/>
                <w:lang w:val="fr-CA"/>
              </w:rPr>
              <w:t xml:space="preserve">Arrêt accordant l’autorisation d’interjeter appel, accueillant l’appel et ordonnant au demandeur de payer une amende de 1 036 750 $ en remplacement de la confiscation </w:t>
            </w:r>
          </w:p>
          <w:p w:rsidR="00EE4290" w:rsidRPr="00003B04" w:rsidRDefault="00EE4290" w:rsidP="00EE4290">
            <w:pPr>
              <w:jc w:val="both"/>
              <w:rPr>
                <w:sz w:val="20"/>
                <w:lang w:val="fr-CA"/>
              </w:rPr>
            </w:pPr>
          </w:p>
        </w:tc>
      </w:tr>
      <w:tr w:rsidR="00EE4290" w:rsidRPr="00C3697D" w:rsidTr="00EE4290">
        <w:tc>
          <w:tcPr>
            <w:tcW w:w="2427" w:type="pct"/>
            <w:gridSpan w:val="2"/>
          </w:tcPr>
          <w:p w:rsidR="00EE4290" w:rsidRPr="00003B04" w:rsidRDefault="00EE4290" w:rsidP="00EE4290">
            <w:pPr>
              <w:jc w:val="both"/>
              <w:rPr>
                <w:sz w:val="20"/>
                <w:lang w:val="fr-CA"/>
              </w:rPr>
            </w:pPr>
            <w:r w:rsidRPr="00003B04">
              <w:rPr>
                <w:sz w:val="20"/>
                <w:lang w:val="fr-CA"/>
              </w:rPr>
              <w:t>14 novembre 2016</w:t>
            </w:r>
          </w:p>
          <w:p w:rsidR="00EE4290" w:rsidRPr="00003B04" w:rsidRDefault="00EE4290" w:rsidP="00EE4290">
            <w:pPr>
              <w:jc w:val="both"/>
              <w:rPr>
                <w:sz w:val="20"/>
                <w:lang w:val="fr-CA"/>
              </w:rPr>
            </w:pPr>
            <w:r w:rsidRPr="00003B04">
              <w:rPr>
                <w:sz w:val="20"/>
                <w:lang w:val="fr-CA"/>
              </w:rPr>
              <w:t>Cour suprême du Canada</w:t>
            </w:r>
          </w:p>
        </w:tc>
        <w:tc>
          <w:tcPr>
            <w:tcW w:w="243" w:type="pct"/>
          </w:tcPr>
          <w:p w:rsidR="00EE4290" w:rsidRPr="00003B04" w:rsidRDefault="00EE4290" w:rsidP="00EE4290">
            <w:pPr>
              <w:jc w:val="both"/>
              <w:rPr>
                <w:sz w:val="20"/>
                <w:lang w:val="fr-CA"/>
              </w:rPr>
            </w:pPr>
          </w:p>
        </w:tc>
        <w:tc>
          <w:tcPr>
            <w:tcW w:w="2330" w:type="pct"/>
          </w:tcPr>
          <w:p w:rsidR="00EE4290" w:rsidRPr="00003B04" w:rsidRDefault="00EE4290" w:rsidP="00EE4290">
            <w:pPr>
              <w:jc w:val="both"/>
              <w:rPr>
                <w:sz w:val="20"/>
                <w:lang w:val="fr-CA"/>
              </w:rPr>
            </w:pPr>
            <w:r w:rsidRPr="00003B04">
              <w:rPr>
                <w:sz w:val="20"/>
                <w:lang w:val="fr-CA"/>
              </w:rPr>
              <w:t>Dépôt de la demande d’autorisation d’appel</w:t>
            </w:r>
          </w:p>
          <w:p w:rsidR="00EE4290" w:rsidRPr="00003B04" w:rsidRDefault="00EE4290" w:rsidP="00EE4290">
            <w:pPr>
              <w:jc w:val="both"/>
              <w:rPr>
                <w:sz w:val="20"/>
                <w:lang w:val="fr-CA"/>
              </w:rPr>
            </w:pPr>
          </w:p>
        </w:tc>
      </w:tr>
    </w:tbl>
    <w:p w:rsidR="00EE4290" w:rsidRPr="00003B04" w:rsidRDefault="00604445" w:rsidP="00EE4290">
      <w:pPr>
        <w:jc w:val="both"/>
        <w:rPr>
          <w:sz w:val="20"/>
          <w:szCs w:val="20"/>
        </w:rPr>
      </w:pPr>
      <w:r>
        <w:rPr>
          <w:sz w:val="20"/>
          <w:szCs w:val="20"/>
        </w:rPr>
        <w:pict>
          <v:rect id="_x0000_i1074" style="width:2in;height:1pt" o:hrpct="0" o:hralign="center" o:hrstd="t" o:hrnoshade="t" o:hr="t" fillcolor="black [3213]" stroked="f"/>
        </w:pict>
      </w:r>
    </w:p>
    <w:p w:rsidR="00B32F99" w:rsidRPr="00003B04" w:rsidRDefault="00B32F99" w:rsidP="00EE4290">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32F99" w:rsidRPr="00003B04" w:rsidTr="00581D21">
        <w:tc>
          <w:tcPr>
            <w:tcW w:w="543" w:type="pct"/>
          </w:tcPr>
          <w:p w:rsidR="00B32F99" w:rsidRPr="00003B04" w:rsidRDefault="00B32F99" w:rsidP="00581D21">
            <w:pPr>
              <w:rPr>
                <w:sz w:val="20"/>
                <w:szCs w:val="20"/>
              </w:rPr>
            </w:pPr>
            <w:r w:rsidRPr="00003B04">
              <w:rPr>
                <w:rStyle w:val="SCCFileNumberChar"/>
                <w:sz w:val="20"/>
                <w:szCs w:val="20"/>
              </w:rPr>
              <w:lastRenderedPageBreak/>
              <w:t>37245</w:t>
            </w:r>
          </w:p>
        </w:tc>
        <w:tc>
          <w:tcPr>
            <w:tcW w:w="4457" w:type="pct"/>
            <w:gridSpan w:val="3"/>
          </w:tcPr>
          <w:p w:rsidR="00B32F99" w:rsidRPr="00003B04" w:rsidRDefault="00B32F99" w:rsidP="00B32F99">
            <w:pPr>
              <w:pStyle w:val="SCCLsocParty"/>
              <w:jc w:val="left"/>
              <w:rPr>
                <w:b/>
                <w:sz w:val="20"/>
                <w:szCs w:val="20"/>
                <w:lang w:val="en-US"/>
              </w:rPr>
            </w:pPr>
            <w:r w:rsidRPr="00003B04">
              <w:rPr>
                <w:b/>
                <w:sz w:val="20"/>
                <w:szCs w:val="20"/>
                <w:lang w:val="en-US"/>
              </w:rPr>
              <w:t xml:space="preserve">Ira </w:t>
            </w:r>
            <w:proofErr w:type="spellStart"/>
            <w:r w:rsidRPr="00003B04">
              <w:rPr>
                <w:b/>
                <w:sz w:val="20"/>
                <w:szCs w:val="20"/>
                <w:lang w:val="en-US"/>
              </w:rPr>
              <w:t>Schecter</w:t>
            </w:r>
            <w:proofErr w:type="spellEnd"/>
            <w:r w:rsidRPr="00003B04">
              <w:rPr>
                <w:b/>
                <w:sz w:val="20"/>
                <w:szCs w:val="20"/>
                <w:lang w:val="en-US"/>
              </w:rPr>
              <w:t xml:space="preserve">, Michael </w:t>
            </w:r>
            <w:proofErr w:type="spellStart"/>
            <w:r w:rsidRPr="00003B04">
              <w:rPr>
                <w:b/>
                <w:sz w:val="20"/>
                <w:szCs w:val="20"/>
                <w:lang w:val="en-US"/>
              </w:rPr>
              <w:t>Schecter</w:t>
            </w:r>
            <w:proofErr w:type="spellEnd"/>
            <w:r w:rsidRPr="00003B04">
              <w:rPr>
                <w:b/>
                <w:sz w:val="20"/>
                <w:szCs w:val="20"/>
                <w:lang w:val="en-US"/>
              </w:rPr>
              <w:t xml:space="preserve"> and </w:t>
            </w:r>
            <w:proofErr w:type="spellStart"/>
            <w:r w:rsidRPr="00003B04">
              <w:rPr>
                <w:b/>
                <w:sz w:val="20"/>
                <w:szCs w:val="20"/>
                <w:lang w:val="en-US"/>
              </w:rPr>
              <w:t>Schecter</w:t>
            </w:r>
            <w:proofErr w:type="spellEnd"/>
            <w:r w:rsidRPr="00003B04">
              <w:rPr>
                <w:b/>
                <w:sz w:val="20"/>
                <w:szCs w:val="20"/>
                <w:lang w:val="en-US"/>
              </w:rPr>
              <w:t xml:space="preserve"> Dental v. Marie </w:t>
            </w:r>
            <w:proofErr w:type="spellStart"/>
            <w:r w:rsidRPr="00003B04">
              <w:rPr>
                <w:b/>
                <w:sz w:val="20"/>
                <w:szCs w:val="20"/>
                <w:lang w:val="en-US"/>
              </w:rPr>
              <w:t>Sanzone</w:t>
            </w:r>
            <w:proofErr w:type="spellEnd"/>
          </w:p>
          <w:p w:rsidR="00B32F99" w:rsidRPr="00003B04" w:rsidRDefault="00B32F99" w:rsidP="00581D21">
            <w:pPr>
              <w:rPr>
                <w:sz w:val="20"/>
                <w:szCs w:val="20"/>
              </w:rPr>
            </w:pPr>
            <w:r w:rsidRPr="00003B04">
              <w:rPr>
                <w:sz w:val="20"/>
                <w:szCs w:val="20"/>
              </w:rPr>
              <w:t>(Ont.) (Civil) (By Leave)</w:t>
            </w:r>
          </w:p>
        </w:tc>
      </w:tr>
      <w:tr w:rsidR="002B2A73" w:rsidRPr="00003B04" w:rsidTr="00581D21">
        <w:tc>
          <w:tcPr>
            <w:tcW w:w="543" w:type="pct"/>
          </w:tcPr>
          <w:p w:rsidR="002B2A73" w:rsidRPr="00003B04" w:rsidRDefault="002B2A73" w:rsidP="00581D21">
            <w:pPr>
              <w:rPr>
                <w:rStyle w:val="SCCFileNumberChar"/>
                <w:sz w:val="20"/>
                <w:szCs w:val="20"/>
              </w:rPr>
            </w:pPr>
            <w:r w:rsidRPr="00003B04">
              <w:rPr>
                <w:rStyle w:val="SCCFileNumberChar"/>
                <w:sz w:val="20"/>
                <w:szCs w:val="20"/>
              </w:rPr>
              <w:t>Coram:</w:t>
            </w:r>
          </w:p>
        </w:tc>
        <w:tc>
          <w:tcPr>
            <w:tcW w:w="4457" w:type="pct"/>
            <w:gridSpan w:val="3"/>
          </w:tcPr>
          <w:p w:rsidR="002B2A73" w:rsidRPr="00003B04" w:rsidRDefault="002B2A73" w:rsidP="00B32F99">
            <w:pPr>
              <w:pStyle w:val="SCCLsocParty"/>
              <w:jc w:val="left"/>
              <w:rPr>
                <w:rFonts w:eastAsiaTheme="minorEastAsia"/>
                <w:sz w:val="20"/>
                <w:szCs w:val="20"/>
                <w:lang w:val="en-US" w:eastAsia="en-CA"/>
              </w:rPr>
            </w:pPr>
            <w:proofErr w:type="spellStart"/>
            <w:r w:rsidRPr="00003B04">
              <w:rPr>
                <w:rFonts w:eastAsiaTheme="minorEastAsia"/>
                <w:sz w:val="20"/>
                <w:szCs w:val="20"/>
                <w:lang w:val="en-US" w:eastAsia="en-CA"/>
              </w:rPr>
              <w:t>McLachlin</w:t>
            </w:r>
            <w:proofErr w:type="spellEnd"/>
            <w:r w:rsidRPr="00003B04">
              <w:rPr>
                <w:rFonts w:eastAsiaTheme="minorEastAsia"/>
                <w:sz w:val="20"/>
                <w:szCs w:val="20"/>
                <w:lang w:val="en-US" w:eastAsia="en-CA"/>
              </w:rPr>
              <w:t xml:space="preserve"> C.J. and </w:t>
            </w:r>
            <w:proofErr w:type="spellStart"/>
            <w:r w:rsidRPr="00003B04">
              <w:rPr>
                <w:rFonts w:eastAsiaTheme="minorEastAsia"/>
                <w:sz w:val="20"/>
                <w:szCs w:val="20"/>
                <w:lang w:val="en-US" w:eastAsia="en-CA"/>
              </w:rPr>
              <w:t>Abella</w:t>
            </w:r>
            <w:proofErr w:type="spellEnd"/>
            <w:r w:rsidRPr="00003B04">
              <w:rPr>
                <w:rFonts w:eastAsiaTheme="minorEastAsia"/>
                <w:sz w:val="20"/>
                <w:szCs w:val="20"/>
                <w:lang w:val="en-US" w:eastAsia="en-CA"/>
              </w:rPr>
              <w:t xml:space="preserve">, </w:t>
            </w:r>
            <w:proofErr w:type="spellStart"/>
            <w:r w:rsidRPr="00003B04">
              <w:rPr>
                <w:rFonts w:eastAsiaTheme="minorEastAsia"/>
                <w:sz w:val="20"/>
                <w:szCs w:val="20"/>
                <w:lang w:val="en-US" w:eastAsia="en-CA"/>
              </w:rPr>
              <w:t>Moldaver</w:t>
            </w:r>
            <w:proofErr w:type="spellEnd"/>
            <w:r w:rsidRPr="00003B04">
              <w:rPr>
                <w:rFonts w:eastAsiaTheme="minorEastAsia"/>
                <w:sz w:val="20"/>
                <w:szCs w:val="20"/>
                <w:lang w:val="en-US" w:eastAsia="en-CA"/>
              </w:rPr>
              <w:t xml:space="preserve">, </w:t>
            </w:r>
            <w:proofErr w:type="spellStart"/>
            <w:r w:rsidRPr="00003B04">
              <w:rPr>
                <w:rFonts w:eastAsiaTheme="minorEastAsia"/>
                <w:sz w:val="20"/>
                <w:szCs w:val="20"/>
                <w:lang w:val="en-US" w:eastAsia="en-CA"/>
              </w:rPr>
              <w:t>Karakatsanis</w:t>
            </w:r>
            <w:proofErr w:type="spellEnd"/>
            <w:r w:rsidRPr="00003B04">
              <w:rPr>
                <w:rFonts w:eastAsiaTheme="minorEastAsia"/>
                <w:sz w:val="20"/>
                <w:szCs w:val="20"/>
                <w:lang w:val="en-US" w:eastAsia="en-CA"/>
              </w:rPr>
              <w:t xml:space="preserve">, Wagner, </w:t>
            </w:r>
            <w:proofErr w:type="spellStart"/>
            <w:r w:rsidRPr="00003B04">
              <w:rPr>
                <w:rFonts w:eastAsiaTheme="minorEastAsia"/>
                <w:sz w:val="20"/>
                <w:szCs w:val="20"/>
                <w:lang w:val="en-US" w:eastAsia="en-CA"/>
              </w:rPr>
              <w:t>Gascon</w:t>
            </w:r>
            <w:proofErr w:type="spellEnd"/>
            <w:r w:rsidRPr="00003B04">
              <w:rPr>
                <w:rFonts w:eastAsiaTheme="minorEastAsia"/>
                <w:sz w:val="20"/>
                <w:szCs w:val="20"/>
                <w:lang w:val="en-US" w:eastAsia="en-CA"/>
              </w:rPr>
              <w:t xml:space="preserve">, </w:t>
            </w:r>
            <w:proofErr w:type="spellStart"/>
            <w:r w:rsidRPr="00003B04">
              <w:rPr>
                <w:rFonts w:eastAsiaTheme="minorEastAsia"/>
                <w:sz w:val="20"/>
                <w:szCs w:val="20"/>
                <w:lang w:val="en-US" w:eastAsia="en-CA"/>
              </w:rPr>
              <w:t>Côté</w:t>
            </w:r>
            <w:proofErr w:type="spellEnd"/>
            <w:r w:rsidRPr="00003B04">
              <w:rPr>
                <w:rFonts w:eastAsiaTheme="minorEastAsia"/>
                <w:sz w:val="20"/>
                <w:szCs w:val="20"/>
                <w:lang w:val="en-US" w:eastAsia="en-CA"/>
              </w:rPr>
              <w:t>, Brown and Rowe JJ.</w:t>
            </w:r>
          </w:p>
          <w:p w:rsidR="002B2A73" w:rsidRPr="00003B04" w:rsidRDefault="002B2A73" w:rsidP="002B2A73">
            <w:pPr>
              <w:rPr>
                <w:lang w:val="en-US" w:eastAsia="en-CA"/>
              </w:rPr>
            </w:pPr>
          </w:p>
        </w:tc>
      </w:tr>
      <w:tr w:rsidR="002B2A73" w:rsidRPr="00003B04" w:rsidTr="002B2A73">
        <w:tc>
          <w:tcPr>
            <w:tcW w:w="5000" w:type="pct"/>
            <w:gridSpan w:val="4"/>
          </w:tcPr>
          <w:p w:rsidR="002B2A73" w:rsidRPr="00003B04" w:rsidRDefault="002B2A73" w:rsidP="002B2A73">
            <w:pPr>
              <w:pStyle w:val="SCCLsocParty"/>
              <w:tabs>
                <w:tab w:val="left" w:pos="1440"/>
              </w:tabs>
              <w:jc w:val="both"/>
              <w:rPr>
                <w:sz w:val="20"/>
                <w:szCs w:val="20"/>
                <w:lang w:val="en-US"/>
              </w:rPr>
            </w:pPr>
            <w:r w:rsidRPr="00003B04">
              <w:rPr>
                <w:sz w:val="20"/>
                <w:szCs w:val="20"/>
                <w:lang w:val="en-US"/>
              </w:rPr>
              <w:t>The motion for an extension of time to serve and file the application for leave to appeal is granted. The application for leave to appeal from the judgment of the Court of Appeal for Ontario, Number C60966, 2016 ONCA 566, dated July 13, 2016, is dismissed with costs.</w:t>
            </w:r>
          </w:p>
        </w:tc>
      </w:tr>
      <w:tr w:rsidR="00B32F99" w:rsidRPr="00003B04" w:rsidTr="00581D21">
        <w:tc>
          <w:tcPr>
            <w:tcW w:w="5000" w:type="pct"/>
            <w:gridSpan w:val="4"/>
          </w:tcPr>
          <w:p w:rsidR="00B32F99" w:rsidRPr="00003B04" w:rsidRDefault="00B32F99" w:rsidP="00581D21">
            <w:pPr>
              <w:rPr>
                <w:sz w:val="20"/>
                <w:szCs w:val="20"/>
              </w:rPr>
            </w:pPr>
          </w:p>
          <w:p w:rsidR="00B32F99" w:rsidRPr="00003B04" w:rsidRDefault="00B32F99" w:rsidP="00581D21">
            <w:pPr>
              <w:rPr>
                <w:sz w:val="20"/>
                <w:szCs w:val="20"/>
              </w:rPr>
            </w:pPr>
            <w:r w:rsidRPr="00003B04">
              <w:rPr>
                <w:sz w:val="20"/>
                <w:szCs w:val="20"/>
              </w:rPr>
              <w:t>Torts – Negligence – Medical malpractice – Dentists – Summary judgment – Whether defendants in actions for professional negligence are required to adduce evidence of the merits of their defence, as a precondition to obtaining summary judgment where plaintiffs have adduced no expert evidence of their own.</w:t>
            </w:r>
          </w:p>
        </w:tc>
      </w:tr>
      <w:tr w:rsidR="00B32F99" w:rsidRPr="00003B04" w:rsidTr="00581D21">
        <w:tc>
          <w:tcPr>
            <w:tcW w:w="5000" w:type="pct"/>
            <w:gridSpan w:val="4"/>
          </w:tcPr>
          <w:p w:rsidR="00B32F99" w:rsidRPr="00003B04" w:rsidRDefault="00B32F99" w:rsidP="00581D21">
            <w:pPr>
              <w:rPr>
                <w:sz w:val="20"/>
                <w:szCs w:val="20"/>
              </w:rPr>
            </w:pPr>
          </w:p>
          <w:p w:rsidR="00B32F99" w:rsidRPr="00003B04" w:rsidRDefault="00B32F99" w:rsidP="00581D21">
            <w:pPr>
              <w:rPr>
                <w:sz w:val="20"/>
                <w:szCs w:val="20"/>
              </w:rPr>
            </w:pPr>
            <w:r w:rsidRPr="00003B04">
              <w:rPr>
                <w:sz w:val="20"/>
                <w:szCs w:val="20"/>
              </w:rPr>
              <w:t>The Respondent, Ms. </w:t>
            </w:r>
            <w:proofErr w:type="spellStart"/>
            <w:r w:rsidRPr="00003B04">
              <w:rPr>
                <w:sz w:val="20"/>
                <w:szCs w:val="20"/>
              </w:rPr>
              <w:t>Sanzone</w:t>
            </w:r>
            <w:proofErr w:type="spellEnd"/>
            <w:r w:rsidRPr="00003B04">
              <w:rPr>
                <w:sz w:val="20"/>
                <w:szCs w:val="20"/>
              </w:rPr>
              <w:t xml:space="preserve"> commenced a malpractice action in 2011 seeking damages against the Applicants, Ira </w:t>
            </w:r>
            <w:proofErr w:type="spellStart"/>
            <w:r w:rsidRPr="00003B04">
              <w:rPr>
                <w:sz w:val="20"/>
                <w:szCs w:val="20"/>
              </w:rPr>
              <w:t>Schecter</w:t>
            </w:r>
            <w:proofErr w:type="spellEnd"/>
            <w:r w:rsidRPr="00003B04">
              <w:rPr>
                <w:sz w:val="20"/>
                <w:szCs w:val="20"/>
              </w:rPr>
              <w:t xml:space="preserve">, Michael </w:t>
            </w:r>
            <w:proofErr w:type="spellStart"/>
            <w:r w:rsidRPr="00003B04">
              <w:rPr>
                <w:sz w:val="20"/>
                <w:szCs w:val="20"/>
              </w:rPr>
              <w:t>Schecter</w:t>
            </w:r>
            <w:proofErr w:type="spellEnd"/>
            <w:r w:rsidRPr="00003B04">
              <w:rPr>
                <w:sz w:val="20"/>
                <w:szCs w:val="20"/>
              </w:rPr>
              <w:t xml:space="preserve"> and </w:t>
            </w:r>
            <w:proofErr w:type="spellStart"/>
            <w:r w:rsidRPr="00003B04">
              <w:rPr>
                <w:sz w:val="20"/>
                <w:szCs w:val="20"/>
              </w:rPr>
              <w:t>Schecter</w:t>
            </w:r>
            <w:proofErr w:type="spellEnd"/>
            <w:r w:rsidRPr="00003B04">
              <w:rPr>
                <w:sz w:val="20"/>
                <w:szCs w:val="20"/>
              </w:rPr>
              <w:t xml:space="preserve"> Dental for dental surgery performed in 2009. Ms. </w:t>
            </w:r>
            <w:proofErr w:type="spellStart"/>
            <w:r w:rsidRPr="00003B04">
              <w:rPr>
                <w:sz w:val="20"/>
                <w:szCs w:val="20"/>
              </w:rPr>
              <w:t>Sanzone</w:t>
            </w:r>
            <w:proofErr w:type="spellEnd"/>
            <w:r w:rsidRPr="00003B04">
              <w:rPr>
                <w:sz w:val="20"/>
                <w:szCs w:val="20"/>
              </w:rPr>
              <w:t xml:space="preserve"> represented herself throughout much of the proceedings. The Applicants successfully moved for summary judgment, dismissing Ms. </w:t>
            </w:r>
            <w:proofErr w:type="spellStart"/>
            <w:r w:rsidRPr="00003B04">
              <w:rPr>
                <w:sz w:val="20"/>
                <w:szCs w:val="20"/>
              </w:rPr>
              <w:t>Sanzone’s</w:t>
            </w:r>
            <w:proofErr w:type="spellEnd"/>
            <w:r w:rsidRPr="00003B04">
              <w:rPr>
                <w:sz w:val="20"/>
                <w:szCs w:val="20"/>
              </w:rPr>
              <w:t xml:space="preserve"> action. The Court of Appeal allowed the appeal and set aside the judgment finding that the Applicants had failed to discharge their obligation to put their best evidentiary foot forward on their motion.</w:t>
            </w:r>
          </w:p>
        </w:tc>
      </w:tr>
      <w:tr w:rsidR="00B32F99" w:rsidRPr="00003B04" w:rsidTr="00581D21">
        <w:tc>
          <w:tcPr>
            <w:tcW w:w="5000" w:type="pct"/>
            <w:gridSpan w:val="4"/>
          </w:tcPr>
          <w:p w:rsidR="00B32F99" w:rsidRPr="00003B04" w:rsidRDefault="00B32F99" w:rsidP="00581D21">
            <w:pPr>
              <w:rPr>
                <w:sz w:val="20"/>
                <w:szCs w:val="20"/>
              </w:rPr>
            </w:pPr>
          </w:p>
        </w:tc>
      </w:tr>
      <w:tr w:rsidR="00B32F99" w:rsidRPr="00003B04" w:rsidTr="00581D21">
        <w:tc>
          <w:tcPr>
            <w:tcW w:w="2427" w:type="pct"/>
            <w:gridSpan w:val="2"/>
          </w:tcPr>
          <w:p w:rsidR="00B32F99" w:rsidRPr="00003B04" w:rsidRDefault="00B32F99" w:rsidP="00581D21">
            <w:pPr>
              <w:rPr>
                <w:sz w:val="20"/>
                <w:szCs w:val="20"/>
              </w:rPr>
            </w:pPr>
            <w:r w:rsidRPr="00003B04">
              <w:rPr>
                <w:sz w:val="20"/>
                <w:szCs w:val="20"/>
              </w:rPr>
              <w:t>July 30, 2015</w:t>
            </w:r>
          </w:p>
          <w:p w:rsidR="00B32F99" w:rsidRPr="00003B04" w:rsidRDefault="00B32F99" w:rsidP="00581D21">
            <w:pPr>
              <w:rPr>
                <w:sz w:val="20"/>
                <w:szCs w:val="20"/>
              </w:rPr>
            </w:pPr>
            <w:r w:rsidRPr="00003B04">
              <w:rPr>
                <w:sz w:val="20"/>
                <w:szCs w:val="20"/>
              </w:rPr>
              <w:t>Ontario Superior Court of Justice</w:t>
            </w:r>
          </w:p>
          <w:p w:rsidR="00B32F99" w:rsidRPr="00003B04" w:rsidRDefault="00B32F99" w:rsidP="00581D21">
            <w:pPr>
              <w:rPr>
                <w:sz w:val="20"/>
                <w:szCs w:val="20"/>
              </w:rPr>
            </w:pPr>
            <w:r w:rsidRPr="00003B04">
              <w:rPr>
                <w:sz w:val="20"/>
                <w:szCs w:val="20"/>
              </w:rPr>
              <w:t>(Akhtar J.)</w:t>
            </w:r>
          </w:p>
          <w:p w:rsidR="00B32F99" w:rsidRPr="00003B04" w:rsidRDefault="00604445" w:rsidP="00581D21">
            <w:pPr>
              <w:rPr>
                <w:sz w:val="20"/>
                <w:szCs w:val="20"/>
              </w:rPr>
            </w:pPr>
            <w:hyperlink r:id="rId73" w:history="1">
              <w:r w:rsidR="00B32F99" w:rsidRPr="00003B04">
                <w:rPr>
                  <w:rStyle w:val="Hyperlink"/>
                  <w:sz w:val="20"/>
                  <w:szCs w:val="20"/>
                </w:rPr>
                <w:t>2015 ONSC 4829</w:t>
              </w:r>
            </w:hyperlink>
            <w:r w:rsidR="00B32F99" w:rsidRPr="00003B04">
              <w:rPr>
                <w:sz w:val="20"/>
                <w:szCs w:val="20"/>
              </w:rPr>
              <w:t>; CV-11-434476</w:t>
            </w:r>
          </w:p>
          <w:p w:rsidR="00B32F99" w:rsidRPr="00003B04" w:rsidRDefault="00B32F99" w:rsidP="00581D21">
            <w:pPr>
              <w:rPr>
                <w:sz w:val="20"/>
                <w:szCs w:val="20"/>
              </w:rPr>
            </w:pPr>
          </w:p>
        </w:tc>
        <w:tc>
          <w:tcPr>
            <w:tcW w:w="243" w:type="pct"/>
          </w:tcPr>
          <w:p w:rsidR="00B32F99" w:rsidRPr="00003B04" w:rsidRDefault="00B32F99" w:rsidP="00581D21">
            <w:pPr>
              <w:rPr>
                <w:sz w:val="20"/>
                <w:szCs w:val="20"/>
              </w:rPr>
            </w:pPr>
          </w:p>
        </w:tc>
        <w:tc>
          <w:tcPr>
            <w:tcW w:w="2330" w:type="pct"/>
          </w:tcPr>
          <w:p w:rsidR="00B32F99" w:rsidRPr="00003B04" w:rsidRDefault="00B32F99" w:rsidP="00581D21">
            <w:pPr>
              <w:rPr>
                <w:sz w:val="20"/>
                <w:szCs w:val="20"/>
              </w:rPr>
            </w:pPr>
            <w:r w:rsidRPr="00003B04">
              <w:rPr>
                <w:sz w:val="20"/>
                <w:szCs w:val="20"/>
              </w:rPr>
              <w:t>Respondent’s action dismissed</w:t>
            </w:r>
          </w:p>
          <w:p w:rsidR="00B32F99" w:rsidRPr="00003B04" w:rsidRDefault="00B32F99" w:rsidP="00581D21">
            <w:pPr>
              <w:rPr>
                <w:sz w:val="20"/>
                <w:szCs w:val="20"/>
              </w:rPr>
            </w:pPr>
          </w:p>
        </w:tc>
      </w:tr>
      <w:tr w:rsidR="00B32F99" w:rsidRPr="00003B04" w:rsidTr="00581D21">
        <w:tc>
          <w:tcPr>
            <w:tcW w:w="2427" w:type="pct"/>
            <w:gridSpan w:val="2"/>
          </w:tcPr>
          <w:p w:rsidR="00B32F99" w:rsidRPr="00003B04" w:rsidRDefault="00B32F99" w:rsidP="00581D21">
            <w:pPr>
              <w:rPr>
                <w:sz w:val="20"/>
                <w:szCs w:val="20"/>
              </w:rPr>
            </w:pPr>
            <w:r w:rsidRPr="00003B04">
              <w:rPr>
                <w:sz w:val="20"/>
                <w:szCs w:val="20"/>
              </w:rPr>
              <w:t>July 13, 2016</w:t>
            </w:r>
          </w:p>
          <w:p w:rsidR="00B32F99" w:rsidRPr="00003B04" w:rsidRDefault="00B32F99" w:rsidP="00581D21">
            <w:pPr>
              <w:rPr>
                <w:sz w:val="20"/>
                <w:szCs w:val="20"/>
              </w:rPr>
            </w:pPr>
            <w:r w:rsidRPr="00003B04">
              <w:rPr>
                <w:sz w:val="20"/>
                <w:szCs w:val="20"/>
              </w:rPr>
              <w:t>Court of Appeal for Ontario</w:t>
            </w:r>
          </w:p>
          <w:p w:rsidR="00B32F99" w:rsidRPr="00003B04" w:rsidRDefault="00B32F99" w:rsidP="00581D21">
            <w:pPr>
              <w:rPr>
                <w:sz w:val="20"/>
                <w:szCs w:val="20"/>
              </w:rPr>
            </w:pPr>
            <w:r w:rsidRPr="00003B04">
              <w:rPr>
                <w:sz w:val="20"/>
                <w:szCs w:val="20"/>
              </w:rPr>
              <w:t xml:space="preserve">(Strathy C.J. and Brown and </w:t>
            </w:r>
            <w:proofErr w:type="spellStart"/>
            <w:r w:rsidRPr="00003B04">
              <w:rPr>
                <w:sz w:val="20"/>
                <w:szCs w:val="20"/>
              </w:rPr>
              <w:t>Huscroft</w:t>
            </w:r>
            <w:proofErr w:type="spellEnd"/>
            <w:r w:rsidRPr="00003B04">
              <w:rPr>
                <w:sz w:val="20"/>
                <w:szCs w:val="20"/>
              </w:rPr>
              <w:t xml:space="preserve"> JJ.A.)</w:t>
            </w:r>
          </w:p>
          <w:p w:rsidR="00B32F99" w:rsidRPr="00003B04" w:rsidRDefault="00604445" w:rsidP="00581D21">
            <w:pPr>
              <w:rPr>
                <w:sz w:val="20"/>
                <w:szCs w:val="20"/>
              </w:rPr>
            </w:pPr>
            <w:hyperlink r:id="rId74" w:history="1">
              <w:r w:rsidR="00B32F99" w:rsidRPr="00003B04">
                <w:rPr>
                  <w:rStyle w:val="Hyperlink"/>
                  <w:sz w:val="20"/>
                  <w:szCs w:val="20"/>
                </w:rPr>
                <w:t>2016 ONCA 566</w:t>
              </w:r>
            </w:hyperlink>
            <w:r w:rsidR="00B32F99" w:rsidRPr="00003B04">
              <w:rPr>
                <w:sz w:val="20"/>
                <w:szCs w:val="20"/>
              </w:rPr>
              <w:t>; C60966</w:t>
            </w:r>
          </w:p>
          <w:p w:rsidR="00B32F99" w:rsidRPr="00003B04" w:rsidRDefault="00B32F99" w:rsidP="00581D21">
            <w:pPr>
              <w:rPr>
                <w:sz w:val="20"/>
                <w:szCs w:val="20"/>
              </w:rPr>
            </w:pPr>
          </w:p>
        </w:tc>
        <w:tc>
          <w:tcPr>
            <w:tcW w:w="243" w:type="pct"/>
          </w:tcPr>
          <w:p w:rsidR="00B32F99" w:rsidRPr="00003B04" w:rsidRDefault="00B32F99" w:rsidP="00581D21">
            <w:pPr>
              <w:rPr>
                <w:sz w:val="20"/>
                <w:szCs w:val="20"/>
              </w:rPr>
            </w:pPr>
          </w:p>
        </w:tc>
        <w:tc>
          <w:tcPr>
            <w:tcW w:w="2330" w:type="pct"/>
          </w:tcPr>
          <w:p w:rsidR="00B32F99" w:rsidRPr="00003B04" w:rsidRDefault="00B32F99" w:rsidP="00581D21">
            <w:pPr>
              <w:rPr>
                <w:sz w:val="20"/>
                <w:szCs w:val="20"/>
              </w:rPr>
            </w:pPr>
            <w:r w:rsidRPr="00003B04">
              <w:rPr>
                <w:sz w:val="20"/>
                <w:szCs w:val="20"/>
              </w:rPr>
              <w:t>Appeal allowed; summary judgment dismissing action set aside</w:t>
            </w:r>
          </w:p>
        </w:tc>
      </w:tr>
      <w:tr w:rsidR="00B32F99" w:rsidRPr="00003B04" w:rsidTr="00581D21">
        <w:tc>
          <w:tcPr>
            <w:tcW w:w="2427" w:type="pct"/>
            <w:gridSpan w:val="2"/>
          </w:tcPr>
          <w:p w:rsidR="00B32F99" w:rsidRPr="00003B04" w:rsidRDefault="00B32F99" w:rsidP="00581D21">
            <w:pPr>
              <w:rPr>
                <w:sz w:val="20"/>
                <w:szCs w:val="20"/>
              </w:rPr>
            </w:pPr>
            <w:r w:rsidRPr="00003B04">
              <w:rPr>
                <w:sz w:val="20"/>
                <w:szCs w:val="20"/>
              </w:rPr>
              <w:t>October 11, 2016</w:t>
            </w:r>
          </w:p>
          <w:p w:rsidR="00B32F99" w:rsidRPr="00003B04" w:rsidRDefault="00B32F99" w:rsidP="00581D21">
            <w:pPr>
              <w:rPr>
                <w:sz w:val="20"/>
                <w:szCs w:val="20"/>
              </w:rPr>
            </w:pPr>
            <w:r w:rsidRPr="00003B04">
              <w:rPr>
                <w:sz w:val="20"/>
                <w:szCs w:val="20"/>
              </w:rPr>
              <w:t>Supreme Court of Canada</w:t>
            </w:r>
          </w:p>
          <w:p w:rsidR="00B32F99" w:rsidRPr="00003B04" w:rsidRDefault="00B32F99" w:rsidP="00581D21">
            <w:pPr>
              <w:rPr>
                <w:sz w:val="20"/>
                <w:szCs w:val="20"/>
              </w:rPr>
            </w:pPr>
          </w:p>
        </w:tc>
        <w:tc>
          <w:tcPr>
            <w:tcW w:w="243" w:type="pct"/>
          </w:tcPr>
          <w:p w:rsidR="00B32F99" w:rsidRPr="00003B04" w:rsidRDefault="00B32F99" w:rsidP="00581D21">
            <w:pPr>
              <w:rPr>
                <w:sz w:val="20"/>
                <w:szCs w:val="20"/>
              </w:rPr>
            </w:pPr>
          </w:p>
        </w:tc>
        <w:tc>
          <w:tcPr>
            <w:tcW w:w="2330" w:type="pct"/>
          </w:tcPr>
          <w:p w:rsidR="00B32F99" w:rsidRPr="00003B04" w:rsidRDefault="00B32F99" w:rsidP="00581D21">
            <w:pPr>
              <w:rPr>
                <w:sz w:val="20"/>
                <w:szCs w:val="20"/>
              </w:rPr>
            </w:pPr>
            <w:r w:rsidRPr="00003B04">
              <w:rPr>
                <w:sz w:val="20"/>
                <w:szCs w:val="20"/>
              </w:rPr>
              <w:t>Motion for extension of time to serve and file leave application and Application for leave to appeal filed</w:t>
            </w:r>
          </w:p>
        </w:tc>
      </w:tr>
    </w:tbl>
    <w:p w:rsidR="00EE4290" w:rsidRPr="00003B04" w:rsidRDefault="00EE4290" w:rsidP="00EE4290">
      <w:pPr>
        <w:ind w:left="360" w:hanging="360"/>
        <w:jc w:val="both"/>
        <w:rPr>
          <w:sz w:val="20"/>
          <w:lang w:eastAsia="en-CA"/>
        </w:rPr>
      </w:pPr>
    </w:p>
    <w:p w:rsidR="00EE4290" w:rsidRPr="00003B04" w:rsidRDefault="00604445" w:rsidP="00EE4290">
      <w:pPr>
        <w:jc w:val="both"/>
        <w:rPr>
          <w:sz w:val="20"/>
        </w:rPr>
      </w:pPr>
      <w:r>
        <w:rPr>
          <w:sz w:val="20"/>
          <w:szCs w:val="20"/>
        </w:rPr>
        <w:pict>
          <v:rect id="_x0000_i1075" style="width:2in;height:1pt" o:hrpct="0" o:hralign="center" o:hrstd="t" o:hrnoshade="t" o:hr="t" fillcolor="black [3213]" stroked="f"/>
        </w:pict>
      </w:r>
    </w:p>
    <w:p w:rsidR="00EE4290" w:rsidRPr="00003B04" w:rsidRDefault="00EE4290" w:rsidP="00EE429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E4290" w:rsidRPr="00003B04" w:rsidTr="00EE4290">
        <w:tc>
          <w:tcPr>
            <w:tcW w:w="543" w:type="pct"/>
          </w:tcPr>
          <w:p w:rsidR="00EE4290" w:rsidRPr="00003B04" w:rsidRDefault="00EE4290" w:rsidP="00EE4290">
            <w:pPr>
              <w:jc w:val="both"/>
              <w:rPr>
                <w:sz w:val="20"/>
              </w:rPr>
            </w:pPr>
            <w:r w:rsidRPr="00003B04">
              <w:rPr>
                <w:rStyle w:val="SCCFileNumberChar"/>
                <w:sz w:val="20"/>
                <w:szCs w:val="20"/>
              </w:rPr>
              <w:t>37245</w:t>
            </w:r>
          </w:p>
        </w:tc>
        <w:tc>
          <w:tcPr>
            <w:tcW w:w="4457" w:type="pct"/>
            <w:gridSpan w:val="3"/>
          </w:tcPr>
          <w:p w:rsidR="00EE4290" w:rsidRPr="00003B04" w:rsidRDefault="00EE4290" w:rsidP="00767A6B">
            <w:pPr>
              <w:pStyle w:val="SCCLsocParty"/>
              <w:jc w:val="both"/>
              <w:rPr>
                <w:sz w:val="20"/>
              </w:rPr>
            </w:pPr>
            <w:r w:rsidRPr="00003B04">
              <w:rPr>
                <w:b/>
                <w:sz w:val="20"/>
                <w:szCs w:val="20"/>
              </w:rPr>
              <w:t xml:space="preserve">Ira </w:t>
            </w:r>
            <w:proofErr w:type="spellStart"/>
            <w:r w:rsidRPr="00003B04">
              <w:rPr>
                <w:b/>
                <w:sz w:val="20"/>
                <w:szCs w:val="20"/>
              </w:rPr>
              <w:t>Schecter</w:t>
            </w:r>
            <w:proofErr w:type="spellEnd"/>
            <w:r w:rsidRPr="00003B04">
              <w:rPr>
                <w:b/>
                <w:sz w:val="20"/>
                <w:szCs w:val="20"/>
              </w:rPr>
              <w:t xml:space="preserve">, Michael </w:t>
            </w:r>
            <w:proofErr w:type="spellStart"/>
            <w:r w:rsidRPr="00003B04">
              <w:rPr>
                <w:b/>
                <w:sz w:val="20"/>
                <w:szCs w:val="20"/>
              </w:rPr>
              <w:t>Schecter</w:t>
            </w:r>
            <w:proofErr w:type="spellEnd"/>
            <w:r w:rsidRPr="00003B04">
              <w:rPr>
                <w:b/>
                <w:sz w:val="20"/>
                <w:szCs w:val="20"/>
              </w:rPr>
              <w:t xml:space="preserve"> et </w:t>
            </w:r>
            <w:proofErr w:type="spellStart"/>
            <w:r w:rsidRPr="00003B04">
              <w:rPr>
                <w:b/>
                <w:sz w:val="20"/>
                <w:szCs w:val="20"/>
              </w:rPr>
              <w:t>Schecter</w:t>
            </w:r>
            <w:proofErr w:type="spellEnd"/>
            <w:r w:rsidRPr="00003B04">
              <w:rPr>
                <w:b/>
                <w:sz w:val="20"/>
                <w:szCs w:val="20"/>
              </w:rPr>
              <w:t xml:space="preserve"> Dental c. Marie </w:t>
            </w:r>
            <w:proofErr w:type="spellStart"/>
            <w:r w:rsidRPr="00003B04">
              <w:rPr>
                <w:b/>
                <w:sz w:val="20"/>
                <w:szCs w:val="20"/>
              </w:rPr>
              <w:t>Sanzone</w:t>
            </w:r>
            <w:proofErr w:type="spellEnd"/>
            <w:r w:rsidR="00767A6B" w:rsidRPr="00003B04">
              <w:rPr>
                <w:b/>
                <w:sz w:val="20"/>
                <w:szCs w:val="20"/>
              </w:rPr>
              <w:t xml:space="preserve"> </w:t>
            </w:r>
            <w:r w:rsidRPr="00003B04">
              <w:rPr>
                <w:sz w:val="20"/>
              </w:rPr>
              <w:t>(Ont.) (Civile) (Sur autorisation)</w:t>
            </w:r>
            <w:r w:rsidR="00767A6B" w:rsidRPr="00003B04">
              <w:rPr>
                <w:sz w:val="20"/>
              </w:rPr>
              <w:t xml:space="preserve"> </w:t>
            </w:r>
          </w:p>
          <w:p w:rsidR="00767A6B" w:rsidRPr="00003B04" w:rsidRDefault="00767A6B" w:rsidP="00767A6B">
            <w:pPr>
              <w:rPr>
                <w:lang w:val="fr-CA"/>
              </w:rPr>
            </w:pPr>
          </w:p>
        </w:tc>
      </w:tr>
      <w:tr w:rsidR="00336812" w:rsidRPr="00C3697D" w:rsidTr="00EE4290">
        <w:tc>
          <w:tcPr>
            <w:tcW w:w="543" w:type="pct"/>
          </w:tcPr>
          <w:p w:rsidR="00336812" w:rsidRPr="00003B04" w:rsidRDefault="00336812" w:rsidP="00EE4290">
            <w:pPr>
              <w:jc w:val="both"/>
              <w:rPr>
                <w:rStyle w:val="SCCFileNumberChar"/>
                <w:sz w:val="20"/>
                <w:szCs w:val="20"/>
              </w:rPr>
            </w:pPr>
            <w:r w:rsidRPr="00003B04">
              <w:rPr>
                <w:rStyle w:val="SCCFileNumberChar"/>
                <w:sz w:val="20"/>
                <w:szCs w:val="20"/>
              </w:rPr>
              <w:t>Coram:</w:t>
            </w:r>
          </w:p>
        </w:tc>
        <w:tc>
          <w:tcPr>
            <w:tcW w:w="4457" w:type="pct"/>
            <w:gridSpan w:val="3"/>
          </w:tcPr>
          <w:p w:rsidR="00336812" w:rsidRPr="00003B04" w:rsidRDefault="000B5E80" w:rsidP="00EE4290">
            <w:pPr>
              <w:pStyle w:val="SCCLsocParty"/>
              <w:jc w:val="both"/>
              <w:rPr>
                <w:sz w:val="20"/>
                <w:szCs w:val="20"/>
              </w:rPr>
            </w:pPr>
            <w:r w:rsidRPr="00003B04">
              <w:rPr>
                <w:rFonts w:eastAsiaTheme="minorEastAsia"/>
                <w:sz w:val="20"/>
                <w:szCs w:val="20"/>
                <w:lang w:val="fr-FR" w:eastAsia="en-CA"/>
              </w:rPr>
              <w:t xml:space="preserve">La juge en chef </w:t>
            </w:r>
            <w:proofErr w:type="spellStart"/>
            <w:r w:rsidRPr="00003B04">
              <w:rPr>
                <w:rFonts w:eastAsiaTheme="minorEastAsia"/>
                <w:sz w:val="20"/>
                <w:szCs w:val="20"/>
                <w:lang w:val="fr-FR" w:eastAsia="en-CA"/>
              </w:rPr>
              <w:t>McLachlin</w:t>
            </w:r>
            <w:proofErr w:type="spellEnd"/>
            <w:r w:rsidRPr="00003B04">
              <w:rPr>
                <w:rFonts w:eastAsiaTheme="minorEastAsia"/>
                <w:sz w:val="20"/>
                <w:szCs w:val="20"/>
                <w:lang w:val="fr-FR" w:eastAsia="en-CA"/>
              </w:rPr>
              <w:t xml:space="preserve"> et les juges Abella, </w:t>
            </w:r>
            <w:proofErr w:type="spellStart"/>
            <w:r w:rsidRPr="00003B04">
              <w:rPr>
                <w:rFonts w:eastAsiaTheme="minorEastAsia"/>
                <w:sz w:val="20"/>
                <w:szCs w:val="20"/>
                <w:lang w:eastAsia="en-CA"/>
              </w:rPr>
              <w:t>Moldaver</w:t>
            </w:r>
            <w:proofErr w:type="spellEnd"/>
            <w:r w:rsidRPr="00003B04">
              <w:rPr>
                <w:rFonts w:eastAsiaTheme="minorEastAsia"/>
                <w:sz w:val="20"/>
                <w:szCs w:val="20"/>
                <w:lang w:eastAsia="en-CA"/>
              </w:rPr>
              <w:t xml:space="preserve">, </w:t>
            </w:r>
            <w:proofErr w:type="spellStart"/>
            <w:r w:rsidRPr="00003B04">
              <w:rPr>
                <w:rFonts w:eastAsiaTheme="minorEastAsia"/>
                <w:sz w:val="20"/>
                <w:szCs w:val="20"/>
                <w:lang w:eastAsia="en-CA"/>
              </w:rPr>
              <w:t>Karakatsanis</w:t>
            </w:r>
            <w:proofErr w:type="spellEnd"/>
            <w:r w:rsidRPr="00003B04">
              <w:rPr>
                <w:rFonts w:eastAsiaTheme="minorEastAsia"/>
                <w:sz w:val="20"/>
                <w:szCs w:val="20"/>
                <w:lang w:eastAsia="en-CA"/>
              </w:rPr>
              <w:t>, Wagner, Gascon, Côté, Brown et Rowe</w:t>
            </w:r>
            <w:r w:rsidRPr="00003B04">
              <w:rPr>
                <w:sz w:val="20"/>
                <w:szCs w:val="20"/>
              </w:rPr>
              <w:t xml:space="preserve"> </w:t>
            </w:r>
          </w:p>
          <w:p w:rsidR="000B5E80" w:rsidRPr="00003B04" w:rsidRDefault="000B5E80" w:rsidP="000B5E80">
            <w:pPr>
              <w:rPr>
                <w:lang w:val="fr-CA"/>
              </w:rPr>
            </w:pPr>
          </w:p>
        </w:tc>
      </w:tr>
      <w:tr w:rsidR="00336812" w:rsidRPr="00C3697D" w:rsidTr="00336812">
        <w:tc>
          <w:tcPr>
            <w:tcW w:w="5000" w:type="pct"/>
            <w:gridSpan w:val="4"/>
          </w:tcPr>
          <w:p w:rsidR="002B2A73" w:rsidRPr="00003B04" w:rsidRDefault="000B5E80" w:rsidP="002B2A73">
            <w:pPr>
              <w:rPr>
                <w:sz w:val="20"/>
                <w:szCs w:val="20"/>
                <w:lang w:val="fr-CA"/>
              </w:rPr>
            </w:pPr>
            <w:r w:rsidRPr="00003B04">
              <w:rPr>
                <w:sz w:val="20"/>
                <w:szCs w:val="20"/>
                <w:lang w:val="fr-CA"/>
              </w:rPr>
              <w:t>La requête en prorogation du délai de signification et de dépôt de la demande d’autorisation d’appel est accueillie. La demande d’autorisation d’appel de l’arrêt de la Cour d’appel de l’Ontario, numéro C60966, 2016 ONCA 566, daté du 13 juillet 2016, est rejetée avec dépens.</w:t>
            </w:r>
          </w:p>
          <w:p w:rsidR="000B5E80" w:rsidRPr="00003B04" w:rsidRDefault="000B5E80" w:rsidP="002B2A73">
            <w:pPr>
              <w:rPr>
                <w:lang w:val="fr-CA"/>
              </w:rPr>
            </w:pPr>
          </w:p>
        </w:tc>
      </w:tr>
      <w:tr w:rsidR="00EE4290" w:rsidRPr="00C3697D" w:rsidTr="00EE4290">
        <w:tc>
          <w:tcPr>
            <w:tcW w:w="5000" w:type="pct"/>
            <w:gridSpan w:val="4"/>
          </w:tcPr>
          <w:p w:rsidR="00EE4290" w:rsidRPr="00003B04" w:rsidRDefault="00EE4290" w:rsidP="00EE4290">
            <w:pPr>
              <w:jc w:val="both"/>
              <w:rPr>
                <w:sz w:val="20"/>
                <w:lang w:val="fr-CA"/>
              </w:rPr>
            </w:pPr>
            <w:r w:rsidRPr="00003B04">
              <w:rPr>
                <w:sz w:val="20"/>
                <w:lang w:val="fr-CA"/>
              </w:rPr>
              <w:t>Responsabilité délictuelle – Négligence – Faute médicale – Dentistes – Jugement sommaire – Les défendeurs dans une action pour négligence professionnelle doivent-ils faire la preuve du bien-fondé de leur défense avant d’obtenir un jugement sommaire si les demandeurs n’ont pas déposé leur propre preuve d’expert?</w:t>
            </w:r>
          </w:p>
          <w:p w:rsidR="00EE4290" w:rsidRPr="00003B04" w:rsidRDefault="00EE4290" w:rsidP="00EE4290">
            <w:pPr>
              <w:jc w:val="both"/>
              <w:rPr>
                <w:sz w:val="20"/>
                <w:lang w:val="fr-CA"/>
              </w:rPr>
            </w:pPr>
          </w:p>
        </w:tc>
      </w:tr>
      <w:tr w:rsidR="00EE4290" w:rsidRPr="00604445" w:rsidTr="00EE4290">
        <w:tc>
          <w:tcPr>
            <w:tcW w:w="5000" w:type="pct"/>
            <w:gridSpan w:val="4"/>
          </w:tcPr>
          <w:p w:rsidR="00EE4290" w:rsidRPr="00003B04" w:rsidRDefault="00EE4290" w:rsidP="00EE4290">
            <w:pPr>
              <w:jc w:val="both"/>
              <w:rPr>
                <w:sz w:val="20"/>
                <w:lang w:val="fr-CA"/>
              </w:rPr>
            </w:pPr>
            <w:r w:rsidRPr="00003B04">
              <w:rPr>
                <w:sz w:val="20"/>
                <w:lang w:val="fr-CA"/>
              </w:rPr>
              <w:lastRenderedPageBreak/>
              <w:t>L’intimée, M</w:t>
            </w:r>
            <w:r w:rsidRPr="00003B04">
              <w:rPr>
                <w:sz w:val="20"/>
                <w:vertAlign w:val="superscript"/>
                <w:lang w:val="fr-CA"/>
              </w:rPr>
              <w:t>me</w:t>
            </w:r>
            <w:r w:rsidRPr="00003B04">
              <w:rPr>
                <w:sz w:val="20"/>
                <w:lang w:val="fr-CA"/>
              </w:rPr>
              <w:t xml:space="preserve"> </w:t>
            </w:r>
            <w:proofErr w:type="spellStart"/>
            <w:r w:rsidRPr="00003B04">
              <w:rPr>
                <w:sz w:val="20"/>
                <w:lang w:val="fr-CA"/>
              </w:rPr>
              <w:t>Sanzone</w:t>
            </w:r>
            <w:proofErr w:type="spellEnd"/>
            <w:r w:rsidRPr="00003B04">
              <w:rPr>
                <w:sz w:val="20"/>
                <w:lang w:val="fr-CA"/>
              </w:rPr>
              <w:t xml:space="preserve">, a intenté en 2011 une action en dommages-intérêts pour faute médicale contre les demandeurs, Ira </w:t>
            </w:r>
            <w:proofErr w:type="spellStart"/>
            <w:r w:rsidRPr="00003B04">
              <w:rPr>
                <w:sz w:val="20"/>
                <w:lang w:val="fr-CA"/>
              </w:rPr>
              <w:t>Schecter</w:t>
            </w:r>
            <w:proofErr w:type="spellEnd"/>
            <w:r w:rsidRPr="00003B04">
              <w:rPr>
                <w:sz w:val="20"/>
                <w:lang w:val="fr-CA"/>
              </w:rPr>
              <w:t xml:space="preserve">, Michael </w:t>
            </w:r>
            <w:proofErr w:type="spellStart"/>
            <w:r w:rsidRPr="00003B04">
              <w:rPr>
                <w:sz w:val="20"/>
                <w:lang w:val="fr-CA"/>
              </w:rPr>
              <w:t>Schecter</w:t>
            </w:r>
            <w:proofErr w:type="spellEnd"/>
            <w:r w:rsidRPr="00003B04">
              <w:rPr>
                <w:sz w:val="20"/>
                <w:lang w:val="fr-CA"/>
              </w:rPr>
              <w:t xml:space="preserve"> et </w:t>
            </w:r>
            <w:proofErr w:type="spellStart"/>
            <w:r w:rsidRPr="00003B04">
              <w:rPr>
                <w:sz w:val="20"/>
                <w:lang w:val="fr-CA"/>
              </w:rPr>
              <w:t>Schecter</w:t>
            </w:r>
            <w:proofErr w:type="spellEnd"/>
            <w:r w:rsidRPr="00003B04">
              <w:rPr>
                <w:sz w:val="20"/>
                <w:lang w:val="fr-CA"/>
              </w:rPr>
              <w:t xml:space="preserve"> Dental, à la suite d’une chirurgie dentaire effectuée en 2009. M</w:t>
            </w:r>
            <w:r w:rsidRPr="00003B04">
              <w:rPr>
                <w:sz w:val="20"/>
                <w:vertAlign w:val="superscript"/>
                <w:lang w:val="fr-CA"/>
              </w:rPr>
              <w:t>me</w:t>
            </w:r>
            <w:r w:rsidRPr="00003B04">
              <w:rPr>
                <w:sz w:val="20"/>
                <w:lang w:val="fr-CA"/>
              </w:rPr>
              <w:t> </w:t>
            </w:r>
            <w:proofErr w:type="spellStart"/>
            <w:r w:rsidRPr="00003B04">
              <w:rPr>
                <w:sz w:val="20"/>
                <w:lang w:val="fr-CA"/>
              </w:rPr>
              <w:t>Sanzone</w:t>
            </w:r>
            <w:proofErr w:type="spellEnd"/>
            <w:r w:rsidRPr="00003B04">
              <w:rPr>
                <w:sz w:val="20"/>
                <w:lang w:val="fr-CA"/>
              </w:rPr>
              <w:t xml:space="preserve"> s’est défendue seule durant une bonne partie de l’instance. Les demandeurs ont obtenu un jugement sommaire rejetant l’action de M</w:t>
            </w:r>
            <w:r w:rsidRPr="00003B04">
              <w:rPr>
                <w:sz w:val="20"/>
                <w:vertAlign w:val="superscript"/>
                <w:lang w:val="fr-CA"/>
              </w:rPr>
              <w:t>me</w:t>
            </w:r>
            <w:r w:rsidRPr="00003B04">
              <w:rPr>
                <w:sz w:val="20"/>
                <w:lang w:val="fr-CA"/>
              </w:rPr>
              <w:t> </w:t>
            </w:r>
            <w:proofErr w:type="spellStart"/>
            <w:r w:rsidRPr="00003B04">
              <w:rPr>
                <w:sz w:val="20"/>
                <w:lang w:val="fr-CA"/>
              </w:rPr>
              <w:t>Sanzone</w:t>
            </w:r>
            <w:proofErr w:type="spellEnd"/>
            <w:r w:rsidRPr="00003B04">
              <w:rPr>
                <w:sz w:val="20"/>
                <w:lang w:val="fr-CA"/>
              </w:rPr>
              <w:t xml:space="preserve">. La Cour d’appel a fait </w:t>
            </w:r>
            <w:proofErr w:type="gramStart"/>
            <w:r w:rsidRPr="00003B04">
              <w:rPr>
                <w:sz w:val="20"/>
                <w:lang w:val="fr-CA"/>
              </w:rPr>
              <w:t>droit</w:t>
            </w:r>
            <w:proofErr w:type="gramEnd"/>
            <w:r w:rsidRPr="00003B04">
              <w:rPr>
                <w:sz w:val="20"/>
                <w:lang w:val="fr-CA"/>
              </w:rPr>
              <w:t xml:space="preserve"> à l’appel et annulé le jugement, estimant que les demandeurs ne s’étaient pas acquittés de leur obligation de produire la meilleure preuve possible à l’appui de leur motion. </w:t>
            </w:r>
          </w:p>
        </w:tc>
      </w:tr>
      <w:tr w:rsidR="00EE4290" w:rsidRPr="00604445" w:rsidTr="00EE4290">
        <w:tc>
          <w:tcPr>
            <w:tcW w:w="5000" w:type="pct"/>
            <w:gridSpan w:val="4"/>
          </w:tcPr>
          <w:p w:rsidR="00EE4290" w:rsidRPr="00003B04" w:rsidRDefault="00EE4290" w:rsidP="00EE4290">
            <w:pPr>
              <w:jc w:val="both"/>
              <w:rPr>
                <w:sz w:val="20"/>
                <w:lang w:val="fr-CA"/>
              </w:rPr>
            </w:pPr>
          </w:p>
        </w:tc>
      </w:tr>
      <w:tr w:rsidR="00EE4290" w:rsidRPr="00C3697D" w:rsidTr="00EE4290">
        <w:tc>
          <w:tcPr>
            <w:tcW w:w="2427" w:type="pct"/>
            <w:gridSpan w:val="2"/>
          </w:tcPr>
          <w:p w:rsidR="00EE4290" w:rsidRPr="00003B04" w:rsidRDefault="00EE4290" w:rsidP="00EE4290">
            <w:pPr>
              <w:jc w:val="both"/>
              <w:rPr>
                <w:sz w:val="20"/>
                <w:lang w:val="fr-CA"/>
              </w:rPr>
            </w:pPr>
            <w:r w:rsidRPr="00003B04">
              <w:rPr>
                <w:sz w:val="20"/>
                <w:lang w:val="fr-CA"/>
              </w:rPr>
              <w:t>30 juillet 2015</w:t>
            </w:r>
          </w:p>
          <w:p w:rsidR="00EE4290" w:rsidRPr="00003B04" w:rsidRDefault="00EE4290" w:rsidP="00EE4290">
            <w:pPr>
              <w:jc w:val="both"/>
              <w:rPr>
                <w:sz w:val="20"/>
                <w:lang w:val="fr-CA"/>
              </w:rPr>
            </w:pPr>
            <w:r w:rsidRPr="00003B04">
              <w:rPr>
                <w:sz w:val="20"/>
                <w:lang w:val="fr-CA"/>
              </w:rPr>
              <w:t>Cour supérieure de justice de l’Ontario</w:t>
            </w:r>
          </w:p>
          <w:p w:rsidR="00EE4290" w:rsidRPr="00003B04" w:rsidRDefault="00EE4290" w:rsidP="00EE4290">
            <w:pPr>
              <w:jc w:val="both"/>
              <w:rPr>
                <w:sz w:val="20"/>
              </w:rPr>
            </w:pPr>
            <w:r w:rsidRPr="00003B04">
              <w:rPr>
                <w:sz w:val="20"/>
              </w:rPr>
              <w:t>(</w:t>
            </w:r>
            <w:proofErr w:type="spellStart"/>
            <w:r w:rsidRPr="00003B04">
              <w:rPr>
                <w:sz w:val="20"/>
              </w:rPr>
              <w:t>Juge</w:t>
            </w:r>
            <w:proofErr w:type="spellEnd"/>
            <w:r w:rsidRPr="00003B04">
              <w:rPr>
                <w:sz w:val="20"/>
              </w:rPr>
              <w:t xml:space="preserve"> Akhtar)</w:t>
            </w:r>
          </w:p>
          <w:p w:rsidR="00EE4290" w:rsidRPr="00003B04" w:rsidRDefault="00604445" w:rsidP="00EE4290">
            <w:pPr>
              <w:jc w:val="both"/>
              <w:rPr>
                <w:sz w:val="20"/>
              </w:rPr>
            </w:pPr>
            <w:hyperlink r:id="rId75" w:history="1">
              <w:r w:rsidR="00EE4290" w:rsidRPr="00003B04">
                <w:rPr>
                  <w:rStyle w:val="Hyperlink"/>
                  <w:sz w:val="20"/>
                </w:rPr>
                <w:t>2015 ONSC 4829</w:t>
              </w:r>
            </w:hyperlink>
            <w:r w:rsidR="00EE4290" w:rsidRPr="00003B04">
              <w:rPr>
                <w:sz w:val="20"/>
              </w:rPr>
              <w:t>; CV-11-434476</w:t>
            </w:r>
          </w:p>
          <w:p w:rsidR="00EE4290" w:rsidRPr="00003B04" w:rsidRDefault="00EE4290" w:rsidP="00EE4290">
            <w:pPr>
              <w:jc w:val="both"/>
              <w:rPr>
                <w:sz w:val="20"/>
              </w:rPr>
            </w:pPr>
          </w:p>
        </w:tc>
        <w:tc>
          <w:tcPr>
            <w:tcW w:w="243" w:type="pct"/>
          </w:tcPr>
          <w:p w:rsidR="00EE4290" w:rsidRPr="00003B04" w:rsidRDefault="00EE4290" w:rsidP="00EE4290">
            <w:pPr>
              <w:jc w:val="both"/>
              <w:rPr>
                <w:sz w:val="20"/>
              </w:rPr>
            </w:pPr>
          </w:p>
        </w:tc>
        <w:tc>
          <w:tcPr>
            <w:tcW w:w="2330" w:type="pct"/>
          </w:tcPr>
          <w:p w:rsidR="00EE4290" w:rsidRPr="00003B04" w:rsidRDefault="00EE4290" w:rsidP="00EE4290">
            <w:pPr>
              <w:jc w:val="both"/>
              <w:rPr>
                <w:sz w:val="20"/>
                <w:lang w:val="fr-CA"/>
              </w:rPr>
            </w:pPr>
            <w:r w:rsidRPr="00003B04">
              <w:rPr>
                <w:sz w:val="20"/>
                <w:lang w:val="fr-CA"/>
              </w:rPr>
              <w:t>Rejet de l’action intentée par l’intimée</w:t>
            </w:r>
          </w:p>
          <w:p w:rsidR="00EE4290" w:rsidRPr="00003B04" w:rsidRDefault="00EE4290" w:rsidP="00EE4290">
            <w:pPr>
              <w:jc w:val="both"/>
              <w:rPr>
                <w:sz w:val="20"/>
                <w:lang w:val="fr-CA"/>
              </w:rPr>
            </w:pPr>
          </w:p>
        </w:tc>
      </w:tr>
      <w:tr w:rsidR="00EE4290" w:rsidRPr="00C3697D" w:rsidTr="00EE4290">
        <w:tc>
          <w:tcPr>
            <w:tcW w:w="2427" w:type="pct"/>
            <w:gridSpan w:val="2"/>
          </w:tcPr>
          <w:p w:rsidR="00EE4290" w:rsidRPr="00003B04" w:rsidRDefault="00EE4290" w:rsidP="00EE4290">
            <w:pPr>
              <w:jc w:val="both"/>
              <w:rPr>
                <w:sz w:val="20"/>
                <w:lang w:val="fr-CA"/>
              </w:rPr>
            </w:pPr>
            <w:r w:rsidRPr="00003B04">
              <w:rPr>
                <w:sz w:val="20"/>
                <w:lang w:val="fr-CA"/>
              </w:rPr>
              <w:t>13 juillet 2016</w:t>
            </w:r>
          </w:p>
          <w:p w:rsidR="00EE4290" w:rsidRPr="00003B04" w:rsidRDefault="00EE4290" w:rsidP="00EE4290">
            <w:pPr>
              <w:jc w:val="both"/>
              <w:rPr>
                <w:sz w:val="20"/>
                <w:lang w:val="fr-CA"/>
              </w:rPr>
            </w:pPr>
            <w:r w:rsidRPr="00003B04">
              <w:rPr>
                <w:sz w:val="20"/>
                <w:lang w:val="fr-CA"/>
              </w:rPr>
              <w:t>Cour d’appel de l’Ontario</w:t>
            </w:r>
          </w:p>
          <w:p w:rsidR="00EE4290" w:rsidRPr="00003B04" w:rsidRDefault="00EE4290" w:rsidP="00EE4290">
            <w:pPr>
              <w:jc w:val="both"/>
              <w:rPr>
                <w:sz w:val="20"/>
                <w:lang w:val="fr-CA"/>
              </w:rPr>
            </w:pPr>
            <w:r w:rsidRPr="00003B04">
              <w:rPr>
                <w:sz w:val="20"/>
                <w:lang w:val="fr-CA"/>
              </w:rPr>
              <w:t xml:space="preserve">(Juge en chef </w:t>
            </w:r>
            <w:proofErr w:type="spellStart"/>
            <w:r w:rsidRPr="00003B04">
              <w:rPr>
                <w:sz w:val="20"/>
                <w:lang w:val="fr-CA"/>
              </w:rPr>
              <w:t>Strathy</w:t>
            </w:r>
            <w:proofErr w:type="spellEnd"/>
            <w:r w:rsidRPr="00003B04">
              <w:rPr>
                <w:sz w:val="20"/>
                <w:lang w:val="fr-CA"/>
              </w:rPr>
              <w:t xml:space="preserve"> et juges Brown et </w:t>
            </w:r>
            <w:proofErr w:type="spellStart"/>
            <w:r w:rsidRPr="00003B04">
              <w:rPr>
                <w:sz w:val="20"/>
                <w:lang w:val="fr-CA"/>
              </w:rPr>
              <w:t>Huscroft</w:t>
            </w:r>
            <w:proofErr w:type="spellEnd"/>
            <w:r w:rsidRPr="00003B04">
              <w:rPr>
                <w:sz w:val="20"/>
                <w:lang w:val="fr-CA"/>
              </w:rPr>
              <w:t>)</w:t>
            </w:r>
          </w:p>
          <w:p w:rsidR="00EE4290" w:rsidRPr="00003B04" w:rsidRDefault="00604445" w:rsidP="00EE4290">
            <w:pPr>
              <w:jc w:val="both"/>
              <w:rPr>
                <w:sz w:val="20"/>
              </w:rPr>
            </w:pPr>
            <w:hyperlink r:id="rId76" w:history="1">
              <w:r w:rsidR="00EE4290" w:rsidRPr="00003B04">
                <w:rPr>
                  <w:rStyle w:val="Hyperlink"/>
                  <w:sz w:val="20"/>
                </w:rPr>
                <w:t>2016 ONCA 566</w:t>
              </w:r>
            </w:hyperlink>
            <w:r w:rsidR="00EE4290" w:rsidRPr="00003B04">
              <w:rPr>
                <w:sz w:val="20"/>
              </w:rPr>
              <w:t>; C60966</w:t>
            </w:r>
          </w:p>
          <w:p w:rsidR="00EE4290" w:rsidRPr="00003B04" w:rsidRDefault="00EE4290" w:rsidP="00EE4290">
            <w:pPr>
              <w:jc w:val="both"/>
              <w:rPr>
                <w:sz w:val="20"/>
              </w:rPr>
            </w:pPr>
          </w:p>
        </w:tc>
        <w:tc>
          <w:tcPr>
            <w:tcW w:w="243" w:type="pct"/>
          </w:tcPr>
          <w:p w:rsidR="00EE4290" w:rsidRPr="00003B04" w:rsidRDefault="00EE4290" w:rsidP="00EE4290">
            <w:pPr>
              <w:jc w:val="both"/>
              <w:rPr>
                <w:sz w:val="20"/>
              </w:rPr>
            </w:pPr>
          </w:p>
        </w:tc>
        <w:tc>
          <w:tcPr>
            <w:tcW w:w="2330" w:type="pct"/>
          </w:tcPr>
          <w:p w:rsidR="00EE4290" w:rsidRPr="00003B04" w:rsidRDefault="00EE4290" w:rsidP="00EE4290">
            <w:pPr>
              <w:jc w:val="both"/>
              <w:rPr>
                <w:sz w:val="20"/>
                <w:lang w:val="fr-CA"/>
              </w:rPr>
            </w:pPr>
            <w:r w:rsidRPr="00003B04">
              <w:rPr>
                <w:sz w:val="20"/>
                <w:lang w:val="fr-CA"/>
              </w:rPr>
              <w:t>Appel accueilli; annulation du jugement sommaire rejetant l’action</w:t>
            </w:r>
          </w:p>
        </w:tc>
      </w:tr>
      <w:tr w:rsidR="00EE4290" w:rsidRPr="00C3697D" w:rsidTr="00EE4290">
        <w:tc>
          <w:tcPr>
            <w:tcW w:w="2427" w:type="pct"/>
            <w:gridSpan w:val="2"/>
          </w:tcPr>
          <w:p w:rsidR="00EE4290" w:rsidRPr="00003B04" w:rsidRDefault="00EE4290" w:rsidP="00EE4290">
            <w:pPr>
              <w:jc w:val="both"/>
              <w:rPr>
                <w:sz w:val="20"/>
                <w:lang w:val="fr-CA"/>
              </w:rPr>
            </w:pPr>
            <w:r w:rsidRPr="00003B04">
              <w:rPr>
                <w:sz w:val="20"/>
                <w:lang w:val="fr-CA"/>
              </w:rPr>
              <w:t>11 octobre 2016</w:t>
            </w:r>
          </w:p>
          <w:p w:rsidR="00EE4290" w:rsidRPr="00003B04" w:rsidRDefault="00EE4290" w:rsidP="00EE4290">
            <w:pPr>
              <w:jc w:val="both"/>
              <w:rPr>
                <w:sz w:val="20"/>
                <w:lang w:val="fr-CA"/>
              </w:rPr>
            </w:pPr>
            <w:r w:rsidRPr="00003B04">
              <w:rPr>
                <w:sz w:val="20"/>
                <w:lang w:val="fr-CA"/>
              </w:rPr>
              <w:t>Cour suprême du Canada</w:t>
            </w:r>
          </w:p>
        </w:tc>
        <w:tc>
          <w:tcPr>
            <w:tcW w:w="243" w:type="pct"/>
          </w:tcPr>
          <w:p w:rsidR="00EE4290" w:rsidRPr="00003B04" w:rsidRDefault="00EE4290" w:rsidP="00EE4290">
            <w:pPr>
              <w:jc w:val="both"/>
              <w:rPr>
                <w:sz w:val="20"/>
                <w:lang w:val="fr-CA"/>
              </w:rPr>
            </w:pPr>
          </w:p>
        </w:tc>
        <w:tc>
          <w:tcPr>
            <w:tcW w:w="2330" w:type="pct"/>
          </w:tcPr>
          <w:p w:rsidR="00EE4290" w:rsidRPr="00003B04" w:rsidRDefault="00EE4290" w:rsidP="00EE4290">
            <w:pPr>
              <w:jc w:val="both"/>
              <w:rPr>
                <w:sz w:val="20"/>
                <w:lang w:val="fr-CA"/>
              </w:rPr>
            </w:pPr>
            <w:r w:rsidRPr="00003B04">
              <w:rPr>
                <w:sz w:val="20"/>
                <w:lang w:val="fr-CA"/>
              </w:rPr>
              <w:t>Dépôt de la requête en prorogation du délai pour signifier et déposer la demande d’autorisation d’appel ainsi que de la demande d’autorisation d’appel</w:t>
            </w:r>
          </w:p>
        </w:tc>
      </w:tr>
    </w:tbl>
    <w:p w:rsidR="00EE4290" w:rsidRPr="00003B04" w:rsidRDefault="00604445" w:rsidP="00EE4290">
      <w:pPr>
        <w:jc w:val="both"/>
        <w:rPr>
          <w:sz w:val="20"/>
          <w:lang w:val="fr-CA"/>
        </w:rPr>
      </w:pPr>
      <w:r>
        <w:rPr>
          <w:sz w:val="20"/>
          <w:szCs w:val="20"/>
        </w:rPr>
        <w:pict>
          <v:rect id="_x0000_i1076" style="width:2in;height:1pt" o:hrpct="0" o:hralign="center" o:hrstd="t" o:hrnoshade="t" o:hr="t" fillcolor="black [3213]" stroked="f"/>
        </w:pict>
      </w:r>
    </w:p>
    <w:p w:rsidR="00EE4290" w:rsidRPr="00003B04" w:rsidRDefault="00EE4290" w:rsidP="00EE4290">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E4290" w:rsidRPr="00003B04" w:rsidTr="00EE4290">
        <w:tc>
          <w:tcPr>
            <w:tcW w:w="543" w:type="pct"/>
          </w:tcPr>
          <w:p w:rsidR="00EE4290" w:rsidRPr="00003B04" w:rsidRDefault="00EE4290" w:rsidP="00EE4290">
            <w:pPr>
              <w:jc w:val="both"/>
              <w:rPr>
                <w:sz w:val="20"/>
              </w:rPr>
            </w:pPr>
            <w:r w:rsidRPr="00003B04">
              <w:rPr>
                <w:rStyle w:val="SCCFileNumberChar"/>
                <w:sz w:val="20"/>
                <w:szCs w:val="20"/>
              </w:rPr>
              <w:t>37275</w:t>
            </w:r>
          </w:p>
        </w:tc>
        <w:tc>
          <w:tcPr>
            <w:tcW w:w="4457" w:type="pct"/>
          </w:tcPr>
          <w:p w:rsidR="00EE4290" w:rsidRPr="00003B04" w:rsidRDefault="00EE4290" w:rsidP="00767A6B">
            <w:pPr>
              <w:pStyle w:val="SCCLsocParty"/>
              <w:jc w:val="both"/>
              <w:rPr>
                <w:sz w:val="20"/>
                <w:lang w:val="en-US"/>
              </w:rPr>
            </w:pPr>
            <w:r w:rsidRPr="00003B04">
              <w:rPr>
                <w:b/>
                <w:sz w:val="20"/>
                <w:szCs w:val="20"/>
                <w:lang w:val="en-US"/>
              </w:rPr>
              <w:t>Lawrence Wong (Barrister and Solicitor)</w:t>
            </w:r>
            <w:r w:rsidR="001B621B" w:rsidRPr="00003B04">
              <w:rPr>
                <w:b/>
                <w:sz w:val="20"/>
                <w:szCs w:val="20"/>
                <w:lang w:val="en-US"/>
              </w:rPr>
              <w:t xml:space="preserve"> and</w:t>
            </w:r>
            <w:r w:rsidRPr="00003B04">
              <w:rPr>
                <w:b/>
                <w:sz w:val="20"/>
                <w:szCs w:val="20"/>
                <w:lang w:val="en-US"/>
              </w:rPr>
              <w:t xml:space="preserve"> Kai Zhan Liang v. Minister of Citizenship and Immigration</w:t>
            </w:r>
            <w:r w:rsidR="00767A6B" w:rsidRPr="00003B04">
              <w:rPr>
                <w:b/>
                <w:sz w:val="20"/>
                <w:szCs w:val="20"/>
                <w:lang w:val="en-US"/>
              </w:rPr>
              <w:t xml:space="preserve"> </w:t>
            </w:r>
            <w:r w:rsidRPr="00003B04">
              <w:rPr>
                <w:sz w:val="20"/>
                <w:lang w:val="en-US"/>
              </w:rPr>
              <w:t>(F</w:t>
            </w:r>
            <w:r w:rsidR="00336812" w:rsidRPr="00003B04">
              <w:rPr>
                <w:sz w:val="20"/>
                <w:lang w:val="en-US"/>
              </w:rPr>
              <w:t>.</w:t>
            </w:r>
            <w:r w:rsidRPr="00003B04">
              <w:rPr>
                <w:sz w:val="20"/>
                <w:lang w:val="en-US"/>
              </w:rPr>
              <w:t>C</w:t>
            </w:r>
            <w:r w:rsidR="00336812" w:rsidRPr="00003B04">
              <w:rPr>
                <w:sz w:val="20"/>
                <w:lang w:val="en-US"/>
              </w:rPr>
              <w:t>.</w:t>
            </w:r>
            <w:r w:rsidRPr="00003B04">
              <w:rPr>
                <w:sz w:val="20"/>
                <w:lang w:val="en-US"/>
              </w:rPr>
              <w:t>) (Civil) (By Leave)</w:t>
            </w:r>
          </w:p>
          <w:p w:rsidR="00767A6B" w:rsidRPr="00003B04" w:rsidRDefault="00767A6B" w:rsidP="00767A6B">
            <w:pPr>
              <w:rPr>
                <w:lang w:val="en-US"/>
              </w:rPr>
            </w:pPr>
          </w:p>
        </w:tc>
      </w:tr>
      <w:tr w:rsidR="00336812" w:rsidRPr="00003B04" w:rsidTr="00EE4290">
        <w:tc>
          <w:tcPr>
            <w:tcW w:w="543" w:type="pct"/>
          </w:tcPr>
          <w:p w:rsidR="00336812" w:rsidRPr="00003B04" w:rsidRDefault="00336812" w:rsidP="00EE4290">
            <w:pPr>
              <w:jc w:val="both"/>
              <w:rPr>
                <w:rStyle w:val="SCCFileNumberChar"/>
                <w:sz w:val="20"/>
                <w:szCs w:val="20"/>
              </w:rPr>
            </w:pPr>
            <w:r w:rsidRPr="00003B04">
              <w:rPr>
                <w:rStyle w:val="SCCFileNumberChar"/>
                <w:sz w:val="20"/>
                <w:szCs w:val="20"/>
              </w:rPr>
              <w:t>Coram:</w:t>
            </w:r>
          </w:p>
        </w:tc>
        <w:tc>
          <w:tcPr>
            <w:tcW w:w="4457" w:type="pct"/>
          </w:tcPr>
          <w:p w:rsidR="00336812" w:rsidRPr="00003B04" w:rsidRDefault="005A5AB4" w:rsidP="00EE4290">
            <w:pPr>
              <w:pStyle w:val="SCCLsocParty"/>
              <w:jc w:val="both"/>
              <w:rPr>
                <w:rFonts w:eastAsiaTheme="minorEastAsia"/>
                <w:sz w:val="20"/>
                <w:szCs w:val="20"/>
                <w:lang w:val="en-US" w:eastAsia="en-CA"/>
              </w:rPr>
            </w:pPr>
            <w:proofErr w:type="spellStart"/>
            <w:r w:rsidRPr="00003B04">
              <w:rPr>
                <w:rFonts w:eastAsiaTheme="minorEastAsia"/>
                <w:sz w:val="20"/>
                <w:szCs w:val="20"/>
                <w:lang w:val="en-US" w:eastAsia="en-CA"/>
              </w:rPr>
              <w:t>McLachlin</w:t>
            </w:r>
            <w:proofErr w:type="spellEnd"/>
            <w:r w:rsidRPr="00003B04">
              <w:rPr>
                <w:rFonts w:eastAsiaTheme="minorEastAsia"/>
                <w:sz w:val="20"/>
                <w:szCs w:val="20"/>
                <w:lang w:val="en-US" w:eastAsia="en-CA"/>
              </w:rPr>
              <w:t xml:space="preserve"> C.J. and </w:t>
            </w:r>
            <w:proofErr w:type="spellStart"/>
            <w:r w:rsidRPr="00003B04">
              <w:rPr>
                <w:rFonts w:eastAsiaTheme="minorEastAsia"/>
                <w:sz w:val="20"/>
                <w:szCs w:val="20"/>
                <w:lang w:val="en-US" w:eastAsia="en-CA"/>
              </w:rPr>
              <w:t>Abella</w:t>
            </w:r>
            <w:proofErr w:type="spellEnd"/>
            <w:r w:rsidRPr="00003B04">
              <w:rPr>
                <w:rFonts w:eastAsiaTheme="minorEastAsia"/>
                <w:sz w:val="20"/>
                <w:szCs w:val="20"/>
                <w:lang w:val="en-US" w:eastAsia="en-CA"/>
              </w:rPr>
              <w:t xml:space="preserve">, </w:t>
            </w:r>
            <w:proofErr w:type="spellStart"/>
            <w:r w:rsidRPr="00003B04">
              <w:rPr>
                <w:rFonts w:eastAsiaTheme="minorEastAsia"/>
                <w:sz w:val="20"/>
                <w:szCs w:val="20"/>
                <w:lang w:val="en-US" w:eastAsia="en-CA"/>
              </w:rPr>
              <w:t>Moldaver</w:t>
            </w:r>
            <w:proofErr w:type="spellEnd"/>
            <w:r w:rsidRPr="00003B04">
              <w:rPr>
                <w:rFonts w:eastAsiaTheme="minorEastAsia"/>
                <w:sz w:val="20"/>
                <w:szCs w:val="20"/>
                <w:lang w:val="en-US" w:eastAsia="en-CA"/>
              </w:rPr>
              <w:t xml:space="preserve">, </w:t>
            </w:r>
            <w:proofErr w:type="spellStart"/>
            <w:r w:rsidRPr="00003B04">
              <w:rPr>
                <w:rFonts w:eastAsiaTheme="minorEastAsia"/>
                <w:sz w:val="20"/>
                <w:szCs w:val="20"/>
                <w:lang w:val="en-US" w:eastAsia="en-CA"/>
              </w:rPr>
              <w:t>Karakatsanis</w:t>
            </w:r>
            <w:proofErr w:type="spellEnd"/>
            <w:r w:rsidRPr="00003B04">
              <w:rPr>
                <w:rFonts w:eastAsiaTheme="minorEastAsia"/>
                <w:sz w:val="20"/>
                <w:szCs w:val="20"/>
                <w:lang w:val="en-US" w:eastAsia="en-CA"/>
              </w:rPr>
              <w:t xml:space="preserve">, Wagner, </w:t>
            </w:r>
            <w:proofErr w:type="spellStart"/>
            <w:r w:rsidRPr="00003B04">
              <w:rPr>
                <w:rFonts w:eastAsiaTheme="minorEastAsia"/>
                <w:sz w:val="20"/>
                <w:szCs w:val="20"/>
                <w:lang w:val="en-US" w:eastAsia="en-CA"/>
              </w:rPr>
              <w:t>Gascon</w:t>
            </w:r>
            <w:proofErr w:type="spellEnd"/>
            <w:r w:rsidRPr="00003B04">
              <w:rPr>
                <w:rFonts w:eastAsiaTheme="minorEastAsia"/>
                <w:sz w:val="20"/>
                <w:szCs w:val="20"/>
                <w:lang w:val="en-US" w:eastAsia="en-CA"/>
              </w:rPr>
              <w:t xml:space="preserve">, </w:t>
            </w:r>
            <w:proofErr w:type="spellStart"/>
            <w:r w:rsidRPr="00003B04">
              <w:rPr>
                <w:rFonts w:eastAsiaTheme="minorEastAsia"/>
                <w:sz w:val="20"/>
                <w:szCs w:val="20"/>
                <w:lang w:val="en-US" w:eastAsia="en-CA"/>
              </w:rPr>
              <w:t>Côté</w:t>
            </w:r>
            <w:proofErr w:type="spellEnd"/>
            <w:r w:rsidRPr="00003B04">
              <w:rPr>
                <w:rFonts w:eastAsiaTheme="minorEastAsia"/>
                <w:sz w:val="20"/>
                <w:szCs w:val="20"/>
                <w:lang w:val="en-US" w:eastAsia="en-CA"/>
              </w:rPr>
              <w:t>, Brown and Rowe JJ.</w:t>
            </w:r>
          </w:p>
          <w:p w:rsidR="002B2A73" w:rsidRPr="00003B04" w:rsidRDefault="002B2A73" w:rsidP="002B2A73">
            <w:pPr>
              <w:rPr>
                <w:lang w:val="en-US" w:eastAsia="en-CA"/>
              </w:rPr>
            </w:pPr>
          </w:p>
        </w:tc>
      </w:tr>
      <w:tr w:rsidR="00336812" w:rsidRPr="00003B04" w:rsidTr="00336812">
        <w:tc>
          <w:tcPr>
            <w:tcW w:w="5000" w:type="pct"/>
            <w:gridSpan w:val="2"/>
          </w:tcPr>
          <w:p w:rsidR="002B2A73" w:rsidRPr="00003B04" w:rsidRDefault="005A5AB4" w:rsidP="002B2A73">
            <w:pPr>
              <w:rPr>
                <w:sz w:val="20"/>
                <w:szCs w:val="20"/>
              </w:rPr>
            </w:pPr>
            <w:r w:rsidRPr="00003B04">
              <w:rPr>
                <w:sz w:val="20"/>
                <w:szCs w:val="20"/>
              </w:rPr>
              <w:t>The application for leave to appeal from the judgment of the Federal Court of Appeal, Number A-235-16, 2016 FCA 229, dated September 15, 2016, is dismissed with costs.</w:t>
            </w:r>
          </w:p>
          <w:p w:rsidR="005A5AB4" w:rsidRPr="00003B04" w:rsidRDefault="005A5AB4" w:rsidP="002B2A73">
            <w:pPr>
              <w:rPr>
                <w:lang w:val="en-US"/>
              </w:rPr>
            </w:pPr>
          </w:p>
        </w:tc>
      </w:tr>
      <w:tr w:rsidR="00EE4290" w:rsidRPr="00003B04" w:rsidTr="00EE4290">
        <w:tc>
          <w:tcPr>
            <w:tcW w:w="5000" w:type="pct"/>
            <w:gridSpan w:val="2"/>
          </w:tcPr>
          <w:p w:rsidR="00EE4290" w:rsidRPr="00003B04" w:rsidRDefault="00EE4290" w:rsidP="00EE4290">
            <w:pPr>
              <w:jc w:val="both"/>
              <w:rPr>
                <w:sz w:val="20"/>
              </w:rPr>
            </w:pPr>
            <w:r w:rsidRPr="00003B04">
              <w:rPr>
                <w:sz w:val="20"/>
              </w:rPr>
              <w:t xml:space="preserve">Courts – Federal Court of Appeal – Jurisdiction – Applicants filing notice of appeal in Federal Court of Appeal from decision of Federal Court judge dismissing motion for reconsideration and awarding costs against applicant Mr. Wong personally – Federal Court of Appeal removing notice of appeal from court file and closing court file on basis of lack of jurisdiction – Whether costs award against counsel personally unconstitutional – Whether applicants have right of appeal to Federal Court of Appeal – Whether s. 74(d) of </w:t>
            </w:r>
            <w:r w:rsidRPr="00003B04">
              <w:rPr>
                <w:i/>
                <w:sz w:val="20"/>
              </w:rPr>
              <w:t>Immigration and Refugee Protection Act</w:t>
            </w:r>
            <w:r w:rsidRPr="00003B04">
              <w:rPr>
                <w:sz w:val="20"/>
              </w:rPr>
              <w:t xml:space="preserve">, S.C. 2001, c. 27, unconstitutional – Whether s. 72(1) of </w:t>
            </w:r>
            <w:r w:rsidRPr="00003B04">
              <w:rPr>
                <w:i/>
                <w:sz w:val="20"/>
              </w:rPr>
              <w:t>Immigration and Refugee Protection Act</w:t>
            </w:r>
            <w:r w:rsidRPr="00003B04">
              <w:rPr>
                <w:sz w:val="20"/>
              </w:rPr>
              <w:t xml:space="preserve"> unconstitutional – </w:t>
            </w:r>
            <w:r w:rsidRPr="00003B04">
              <w:rPr>
                <w:i/>
                <w:sz w:val="20"/>
              </w:rPr>
              <w:t>Federal Courts Act</w:t>
            </w:r>
            <w:r w:rsidRPr="00003B04">
              <w:rPr>
                <w:sz w:val="20"/>
              </w:rPr>
              <w:t xml:space="preserve">, R.S.C. 1985, c. F-7, s. 27 – </w:t>
            </w:r>
            <w:r w:rsidRPr="00003B04">
              <w:rPr>
                <w:i/>
                <w:sz w:val="20"/>
              </w:rPr>
              <w:t>Federal Courts Rules</w:t>
            </w:r>
            <w:r w:rsidRPr="00003B04">
              <w:rPr>
                <w:sz w:val="20"/>
              </w:rPr>
              <w:t xml:space="preserve">, SOR/98-106, r. 74, 397(1) and 404 – </w:t>
            </w:r>
            <w:r w:rsidRPr="00003B04">
              <w:rPr>
                <w:i/>
                <w:sz w:val="20"/>
              </w:rPr>
              <w:t>Immigration and Refugee Protection Act</w:t>
            </w:r>
            <w:r w:rsidRPr="00003B04">
              <w:rPr>
                <w:sz w:val="20"/>
              </w:rPr>
              <w:t>, s. 72(2)(e).</w:t>
            </w:r>
          </w:p>
        </w:tc>
      </w:tr>
      <w:tr w:rsidR="00EE4290" w:rsidRPr="00003B04" w:rsidTr="00EE4290">
        <w:tc>
          <w:tcPr>
            <w:tcW w:w="5000" w:type="pct"/>
            <w:gridSpan w:val="2"/>
          </w:tcPr>
          <w:p w:rsidR="00EE4290" w:rsidRPr="00003B04" w:rsidRDefault="00EE4290" w:rsidP="00EE4290">
            <w:pPr>
              <w:jc w:val="both"/>
              <w:rPr>
                <w:sz w:val="20"/>
              </w:rPr>
            </w:pPr>
          </w:p>
        </w:tc>
      </w:tr>
      <w:tr w:rsidR="00EE4290" w:rsidRPr="00003B04" w:rsidTr="00EE4290">
        <w:tc>
          <w:tcPr>
            <w:tcW w:w="5000" w:type="pct"/>
            <w:gridSpan w:val="2"/>
          </w:tcPr>
          <w:p w:rsidR="00EE4290" w:rsidRPr="00003B04" w:rsidRDefault="00EE4290" w:rsidP="00EE4290">
            <w:pPr>
              <w:jc w:val="both"/>
              <w:rPr>
                <w:sz w:val="20"/>
              </w:rPr>
            </w:pPr>
            <w:r w:rsidRPr="00003B04">
              <w:rPr>
                <w:sz w:val="20"/>
              </w:rPr>
              <w:t xml:space="preserve">In May 2016, the Federal Court dismissed a motion for reconsideration filed by the applicant Mr. Liang. The Federal Court had refused him leave to commence judicial review proceedings from a decision of the appeal division of the Immigration and Refugee Board, and the motion for reconsideration sought to reverse that decision. The applicant Mr. Wong was Mr. Liang’s counsel in the Federal Court on that motion and a costs award amounting to $1,000 was made against him personally on the basis that he had attacked the credibility of the court during his conduct of the motion and had brought the proceeding improperly and without reasonable cause. Mr. Liang and Mr. Wong filed a notice of appeal in the Federal Court of Appeal, but pursuant to R. 74 of the </w:t>
            </w:r>
            <w:r w:rsidRPr="00003B04">
              <w:rPr>
                <w:i/>
                <w:sz w:val="20"/>
              </w:rPr>
              <w:t>Federal Courts Rules</w:t>
            </w:r>
            <w:r w:rsidRPr="00003B04">
              <w:rPr>
                <w:sz w:val="20"/>
              </w:rPr>
              <w:t>, the court ordered that it be removed from the court file and that the file be closed because they had no right of appeal.</w:t>
            </w:r>
          </w:p>
          <w:p w:rsidR="00EE4290" w:rsidRPr="00003B04" w:rsidRDefault="00EE4290" w:rsidP="00EE4290">
            <w:pPr>
              <w:jc w:val="both"/>
              <w:rPr>
                <w:sz w:val="20"/>
              </w:rPr>
            </w:pPr>
          </w:p>
        </w:tc>
      </w:tr>
    </w:tbl>
    <w:p w:rsidR="008F5EB8" w:rsidRPr="00003B04" w:rsidRDefault="008F5EB8">
      <w:r w:rsidRPr="00003B04">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E4290" w:rsidRPr="00003B04" w:rsidTr="00EE4290">
        <w:tc>
          <w:tcPr>
            <w:tcW w:w="2427" w:type="pct"/>
          </w:tcPr>
          <w:p w:rsidR="00EE4290" w:rsidRPr="00003B04" w:rsidRDefault="00EE4290" w:rsidP="00EE4290">
            <w:pPr>
              <w:jc w:val="both"/>
              <w:rPr>
                <w:sz w:val="20"/>
              </w:rPr>
            </w:pPr>
            <w:r w:rsidRPr="00003B04">
              <w:rPr>
                <w:sz w:val="20"/>
              </w:rPr>
              <w:lastRenderedPageBreak/>
              <w:t>May 25, 2016</w:t>
            </w:r>
          </w:p>
          <w:p w:rsidR="00EE4290" w:rsidRPr="00003B04" w:rsidRDefault="00EE4290" w:rsidP="00EE4290">
            <w:pPr>
              <w:jc w:val="both"/>
              <w:rPr>
                <w:sz w:val="20"/>
              </w:rPr>
            </w:pPr>
            <w:r w:rsidRPr="00003B04">
              <w:rPr>
                <w:sz w:val="20"/>
              </w:rPr>
              <w:t>Federal Court</w:t>
            </w:r>
          </w:p>
          <w:p w:rsidR="00EE4290" w:rsidRPr="00003B04" w:rsidRDefault="00EE4290" w:rsidP="00EE4290">
            <w:pPr>
              <w:jc w:val="both"/>
              <w:rPr>
                <w:sz w:val="20"/>
              </w:rPr>
            </w:pPr>
            <w:r w:rsidRPr="00003B04">
              <w:rPr>
                <w:sz w:val="20"/>
              </w:rPr>
              <w:t>(Bell J.)</w:t>
            </w:r>
          </w:p>
          <w:p w:rsidR="00EE4290" w:rsidRPr="00003B04" w:rsidRDefault="00604445" w:rsidP="00EE4290">
            <w:pPr>
              <w:jc w:val="both"/>
              <w:rPr>
                <w:sz w:val="20"/>
              </w:rPr>
            </w:pPr>
            <w:hyperlink r:id="rId77" w:history="1">
              <w:r w:rsidR="00EE4290" w:rsidRPr="00003B04">
                <w:rPr>
                  <w:rStyle w:val="Hyperlink"/>
                  <w:sz w:val="20"/>
                </w:rPr>
                <w:t>2016 FC 569</w:t>
              </w:r>
            </w:hyperlink>
          </w:p>
          <w:p w:rsidR="00EE4290" w:rsidRPr="00003B04" w:rsidRDefault="00EE4290" w:rsidP="00EE4290">
            <w:pPr>
              <w:jc w:val="both"/>
              <w:rPr>
                <w:sz w:val="20"/>
              </w:rPr>
            </w:pPr>
          </w:p>
        </w:tc>
        <w:tc>
          <w:tcPr>
            <w:tcW w:w="243" w:type="pct"/>
          </w:tcPr>
          <w:p w:rsidR="00EE4290" w:rsidRPr="00003B04" w:rsidRDefault="00EE4290" w:rsidP="00EE4290">
            <w:pPr>
              <w:jc w:val="both"/>
              <w:rPr>
                <w:sz w:val="20"/>
              </w:rPr>
            </w:pPr>
          </w:p>
        </w:tc>
        <w:tc>
          <w:tcPr>
            <w:tcW w:w="2330" w:type="pct"/>
          </w:tcPr>
          <w:p w:rsidR="00EE4290" w:rsidRPr="00003B04" w:rsidRDefault="00EE4290" w:rsidP="00EE4290">
            <w:pPr>
              <w:jc w:val="both"/>
              <w:rPr>
                <w:sz w:val="20"/>
              </w:rPr>
            </w:pPr>
            <w:r w:rsidRPr="00003B04">
              <w:rPr>
                <w:sz w:val="20"/>
              </w:rPr>
              <w:t>Motion for reconsideration dismissed</w:t>
            </w:r>
          </w:p>
          <w:p w:rsidR="00EE4290" w:rsidRPr="00003B04" w:rsidRDefault="00EE4290" w:rsidP="00EE4290">
            <w:pPr>
              <w:jc w:val="both"/>
              <w:rPr>
                <w:sz w:val="20"/>
              </w:rPr>
            </w:pPr>
          </w:p>
        </w:tc>
      </w:tr>
      <w:tr w:rsidR="00EE4290" w:rsidRPr="00003B04" w:rsidTr="00EE4290">
        <w:tc>
          <w:tcPr>
            <w:tcW w:w="2427" w:type="pct"/>
          </w:tcPr>
          <w:p w:rsidR="00EE4290" w:rsidRPr="00003B04" w:rsidRDefault="00EE4290" w:rsidP="00EE4290">
            <w:pPr>
              <w:jc w:val="both"/>
              <w:rPr>
                <w:sz w:val="20"/>
              </w:rPr>
            </w:pPr>
            <w:r w:rsidRPr="00003B04">
              <w:rPr>
                <w:sz w:val="20"/>
              </w:rPr>
              <w:t>September 15, 2016</w:t>
            </w:r>
          </w:p>
          <w:p w:rsidR="00EE4290" w:rsidRPr="00003B04" w:rsidRDefault="00EE4290" w:rsidP="00EE4290">
            <w:pPr>
              <w:jc w:val="both"/>
              <w:rPr>
                <w:sz w:val="20"/>
              </w:rPr>
            </w:pPr>
            <w:r w:rsidRPr="00003B04">
              <w:rPr>
                <w:sz w:val="20"/>
              </w:rPr>
              <w:t>Federal Court of Appeal</w:t>
            </w:r>
          </w:p>
          <w:p w:rsidR="00EE4290" w:rsidRPr="00003B04" w:rsidRDefault="00EE4290" w:rsidP="00EE4290">
            <w:pPr>
              <w:jc w:val="both"/>
              <w:rPr>
                <w:sz w:val="20"/>
              </w:rPr>
            </w:pPr>
            <w:r w:rsidRPr="00003B04">
              <w:rPr>
                <w:sz w:val="20"/>
              </w:rPr>
              <w:t xml:space="preserve">(Noël C.J. and Dawson, and </w:t>
            </w:r>
            <w:proofErr w:type="spellStart"/>
            <w:r w:rsidRPr="00003B04">
              <w:rPr>
                <w:sz w:val="20"/>
              </w:rPr>
              <w:t>Stratas</w:t>
            </w:r>
            <w:proofErr w:type="spellEnd"/>
            <w:r w:rsidRPr="00003B04">
              <w:rPr>
                <w:sz w:val="20"/>
              </w:rPr>
              <w:t xml:space="preserve"> JJ.A.)</w:t>
            </w:r>
          </w:p>
          <w:p w:rsidR="00EE4290" w:rsidRPr="00003B04" w:rsidRDefault="00604445" w:rsidP="00EE4290">
            <w:pPr>
              <w:jc w:val="both"/>
              <w:rPr>
                <w:sz w:val="20"/>
              </w:rPr>
            </w:pPr>
            <w:hyperlink r:id="rId78" w:history="1">
              <w:r w:rsidR="00EE4290" w:rsidRPr="00003B04">
                <w:rPr>
                  <w:rStyle w:val="Hyperlink"/>
                  <w:sz w:val="20"/>
                </w:rPr>
                <w:t>2016 FCA 229</w:t>
              </w:r>
            </w:hyperlink>
          </w:p>
          <w:p w:rsidR="00EE4290" w:rsidRPr="00003B04" w:rsidRDefault="00EE4290" w:rsidP="00EE4290">
            <w:pPr>
              <w:jc w:val="both"/>
              <w:rPr>
                <w:sz w:val="20"/>
              </w:rPr>
            </w:pPr>
          </w:p>
        </w:tc>
        <w:tc>
          <w:tcPr>
            <w:tcW w:w="243" w:type="pct"/>
          </w:tcPr>
          <w:p w:rsidR="00EE4290" w:rsidRPr="00003B04" w:rsidRDefault="00EE4290" w:rsidP="00EE4290">
            <w:pPr>
              <w:jc w:val="both"/>
              <w:rPr>
                <w:sz w:val="20"/>
              </w:rPr>
            </w:pPr>
          </w:p>
        </w:tc>
        <w:tc>
          <w:tcPr>
            <w:tcW w:w="2330" w:type="pct"/>
          </w:tcPr>
          <w:p w:rsidR="00EE4290" w:rsidRPr="00003B04" w:rsidRDefault="00EE4290" w:rsidP="00EE4290">
            <w:pPr>
              <w:jc w:val="both"/>
              <w:rPr>
                <w:sz w:val="20"/>
              </w:rPr>
            </w:pPr>
            <w:r w:rsidRPr="00003B04">
              <w:rPr>
                <w:sz w:val="20"/>
              </w:rPr>
              <w:t>Notice of Appeal removed from court file and court file closed pursuant</w:t>
            </w:r>
          </w:p>
          <w:p w:rsidR="00EE4290" w:rsidRPr="00003B04" w:rsidRDefault="00EE4290" w:rsidP="00EE4290">
            <w:pPr>
              <w:jc w:val="both"/>
              <w:rPr>
                <w:sz w:val="20"/>
              </w:rPr>
            </w:pPr>
          </w:p>
        </w:tc>
      </w:tr>
      <w:tr w:rsidR="00EE4290" w:rsidRPr="00003B04" w:rsidTr="00EE4290">
        <w:tc>
          <w:tcPr>
            <w:tcW w:w="2427" w:type="pct"/>
          </w:tcPr>
          <w:p w:rsidR="00EE4290" w:rsidRPr="00003B04" w:rsidRDefault="00EE4290" w:rsidP="00EE4290">
            <w:pPr>
              <w:jc w:val="both"/>
              <w:rPr>
                <w:sz w:val="20"/>
              </w:rPr>
            </w:pPr>
            <w:r w:rsidRPr="00003B04">
              <w:rPr>
                <w:sz w:val="20"/>
              </w:rPr>
              <w:t>November 7, 2016</w:t>
            </w:r>
          </w:p>
          <w:p w:rsidR="00EE4290" w:rsidRPr="00003B04" w:rsidRDefault="00EE4290" w:rsidP="00EE4290">
            <w:pPr>
              <w:jc w:val="both"/>
              <w:rPr>
                <w:sz w:val="20"/>
              </w:rPr>
            </w:pPr>
            <w:r w:rsidRPr="00003B04">
              <w:rPr>
                <w:sz w:val="20"/>
              </w:rPr>
              <w:t>Supreme Court of Canada</w:t>
            </w:r>
          </w:p>
        </w:tc>
        <w:tc>
          <w:tcPr>
            <w:tcW w:w="243" w:type="pct"/>
          </w:tcPr>
          <w:p w:rsidR="00EE4290" w:rsidRPr="00003B04" w:rsidRDefault="00EE4290" w:rsidP="00EE4290">
            <w:pPr>
              <w:jc w:val="both"/>
              <w:rPr>
                <w:sz w:val="20"/>
              </w:rPr>
            </w:pPr>
          </w:p>
        </w:tc>
        <w:tc>
          <w:tcPr>
            <w:tcW w:w="2330" w:type="pct"/>
          </w:tcPr>
          <w:p w:rsidR="00EE4290" w:rsidRPr="00003B04" w:rsidRDefault="00EE4290" w:rsidP="00EE4290">
            <w:pPr>
              <w:jc w:val="both"/>
              <w:rPr>
                <w:sz w:val="20"/>
              </w:rPr>
            </w:pPr>
            <w:r w:rsidRPr="00003B04">
              <w:rPr>
                <w:sz w:val="20"/>
              </w:rPr>
              <w:t>Application for leave to appeal filed</w:t>
            </w:r>
          </w:p>
          <w:p w:rsidR="00EE4290" w:rsidRPr="00003B04" w:rsidRDefault="00EE4290" w:rsidP="00EE4290">
            <w:pPr>
              <w:jc w:val="both"/>
              <w:rPr>
                <w:sz w:val="20"/>
              </w:rPr>
            </w:pPr>
          </w:p>
        </w:tc>
      </w:tr>
    </w:tbl>
    <w:p w:rsidR="00EE4290" w:rsidRPr="00003B04" w:rsidRDefault="00604445" w:rsidP="00EE4290">
      <w:pPr>
        <w:jc w:val="both"/>
        <w:rPr>
          <w:sz w:val="20"/>
        </w:rPr>
      </w:pPr>
      <w:r>
        <w:rPr>
          <w:sz w:val="20"/>
          <w:szCs w:val="20"/>
        </w:rPr>
        <w:pict>
          <v:rect id="_x0000_i1077" style="width:2in;height:1pt" o:hrpct="0" o:hralign="center" o:hrstd="t" o:hrnoshade="t" o:hr="t" fillcolor="black [3213]" stroked="f"/>
        </w:pict>
      </w:r>
    </w:p>
    <w:p w:rsidR="00EE4290" w:rsidRPr="00003B04" w:rsidRDefault="00EE4290" w:rsidP="00EE429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E4290" w:rsidRPr="00C3697D" w:rsidTr="00EE4290">
        <w:tc>
          <w:tcPr>
            <w:tcW w:w="543" w:type="pct"/>
          </w:tcPr>
          <w:p w:rsidR="00EE4290" w:rsidRPr="00003B04" w:rsidRDefault="00EE4290" w:rsidP="00EE4290">
            <w:pPr>
              <w:jc w:val="both"/>
              <w:rPr>
                <w:sz w:val="20"/>
                <w:lang w:val="fr-CA"/>
              </w:rPr>
            </w:pPr>
            <w:r w:rsidRPr="00003B04">
              <w:rPr>
                <w:rStyle w:val="SCCFileNumberChar"/>
                <w:sz w:val="20"/>
                <w:szCs w:val="20"/>
                <w:lang w:val="fr-CA"/>
              </w:rPr>
              <w:t>37275</w:t>
            </w:r>
          </w:p>
        </w:tc>
        <w:tc>
          <w:tcPr>
            <w:tcW w:w="4457" w:type="pct"/>
            <w:gridSpan w:val="3"/>
          </w:tcPr>
          <w:p w:rsidR="00EE4290" w:rsidRPr="00003B04" w:rsidRDefault="00EE4290" w:rsidP="00EE4290">
            <w:pPr>
              <w:pStyle w:val="SCCLsocParty"/>
              <w:jc w:val="both"/>
              <w:rPr>
                <w:b/>
                <w:sz w:val="20"/>
                <w:szCs w:val="20"/>
              </w:rPr>
            </w:pPr>
            <w:r w:rsidRPr="00003B04">
              <w:rPr>
                <w:b/>
                <w:sz w:val="20"/>
                <w:szCs w:val="20"/>
              </w:rPr>
              <w:t>Lawrence Wong (avocat)</w:t>
            </w:r>
            <w:r w:rsidR="001B621B" w:rsidRPr="00003B04">
              <w:rPr>
                <w:b/>
                <w:sz w:val="20"/>
                <w:szCs w:val="20"/>
              </w:rPr>
              <w:t xml:space="preserve"> et</w:t>
            </w:r>
            <w:r w:rsidRPr="00003B04">
              <w:rPr>
                <w:b/>
                <w:sz w:val="20"/>
                <w:szCs w:val="20"/>
              </w:rPr>
              <w:t xml:space="preserve"> Kai </w:t>
            </w:r>
            <w:proofErr w:type="spellStart"/>
            <w:r w:rsidRPr="00003B04">
              <w:rPr>
                <w:b/>
                <w:sz w:val="20"/>
                <w:szCs w:val="20"/>
              </w:rPr>
              <w:t>Zhan</w:t>
            </w:r>
            <w:proofErr w:type="spellEnd"/>
            <w:r w:rsidRPr="00003B04">
              <w:rPr>
                <w:b/>
                <w:sz w:val="20"/>
                <w:szCs w:val="20"/>
              </w:rPr>
              <w:t xml:space="preserve"> Liang c. Ministre de la Citoyenneté et de l’Immigration</w:t>
            </w:r>
          </w:p>
          <w:p w:rsidR="00EE4290" w:rsidRPr="00003B04" w:rsidRDefault="00EE4290" w:rsidP="00EE4290">
            <w:pPr>
              <w:jc w:val="both"/>
              <w:rPr>
                <w:sz w:val="20"/>
                <w:lang w:val="fr-CA"/>
              </w:rPr>
            </w:pPr>
            <w:r w:rsidRPr="00003B04">
              <w:rPr>
                <w:sz w:val="20"/>
                <w:lang w:val="fr-CA"/>
              </w:rPr>
              <w:t>(C</w:t>
            </w:r>
            <w:r w:rsidR="00336812" w:rsidRPr="00003B04">
              <w:rPr>
                <w:sz w:val="20"/>
                <w:lang w:val="fr-CA"/>
              </w:rPr>
              <w:t>.</w:t>
            </w:r>
            <w:r w:rsidRPr="00003B04">
              <w:rPr>
                <w:sz w:val="20"/>
                <w:lang w:val="fr-CA"/>
              </w:rPr>
              <w:t>F</w:t>
            </w:r>
            <w:r w:rsidR="00336812" w:rsidRPr="00003B04">
              <w:rPr>
                <w:sz w:val="20"/>
                <w:lang w:val="fr-CA"/>
              </w:rPr>
              <w:t>.</w:t>
            </w:r>
            <w:r w:rsidRPr="00003B04">
              <w:rPr>
                <w:sz w:val="20"/>
                <w:lang w:val="fr-CA"/>
              </w:rPr>
              <w:t>) (Civile) (Sur autorisation)</w:t>
            </w:r>
          </w:p>
        </w:tc>
      </w:tr>
      <w:tr w:rsidR="00336812" w:rsidRPr="00C3697D" w:rsidTr="00EE4290">
        <w:tc>
          <w:tcPr>
            <w:tcW w:w="543" w:type="pct"/>
          </w:tcPr>
          <w:p w:rsidR="00336812" w:rsidRPr="00003B04" w:rsidRDefault="00336812" w:rsidP="00EE4290">
            <w:pPr>
              <w:jc w:val="both"/>
              <w:rPr>
                <w:rStyle w:val="SCCFileNumberChar"/>
                <w:sz w:val="20"/>
                <w:szCs w:val="20"/>
                <w:lang w:val="fr-CA"/>
              </w:rPr>
            </w:pPr>
            <w:r w:rsidRPr="00003B04">
              <w:rPr>
                <w:rStyle w:val="SCCFileNumberChar"/>
                <w:sz w:val="20"/>
                <w:szCs w:val="20"/>
                <w:lang w:val="fr-CA"/>
              </w:rPr>
              <w:t>Coram :</w:t>
            </w:r>
          </w:p>
        </w:tc>
        <w:tc>
          <w:tcPr>
            <w:tcW w:w="4457" w:type="pct"/>
            <w:gridSpan w:val="3"/>
          </w:tcPr>
          <w:p w:rsidR="002B2A73" w:rsidRPr="00003B04" w:rsidRDefault="005A5AB4" w:rsidP="002B2A73">
            <w:pPr>
              <w:rPr>
                <w:lang w:val="fr-CA" w:eastAsia="en-CA"/>
              </w:rPr>
            </w:pPr>
            <w:r w:rsidRPr="00003B04">
              <w:rPr>
                <w:rFonts w:eastAsiaTheme="minorEastAsia" w:cs="Times New Roman"/>
                <w:sz w:val="20"/>
                <w:szCs w:val="20"/>
                <w:lang w:val="fr-FR" w:eastAsia="en-CA"/>
              </w:rPr>
              <w:t xml:space="preserve">La juge en chef </w:t>
            </w:r>
            <w:proofErr w:type="spellStart"/>
            <w:r w:rsidRPr="00003B04">
              <w:rPr>
                <w:rFonts w:eastAsiaTheme="minorEastAsia" w:cs="Times New Roman"/>
                <w:sz w:val="20"/>
                <w:szCs w:val="20"/>
                <w:lang w:val="fr-FR" w:eastAsia="en-CA"/>
              </w:rPr>
              <w:t>McLachlin</w:t>
            </w:r>
            <w:proofErr w:type="spellEnd"/>
            <w:r w:rsidRPr="00003B04">
              <w:rPr>
                <w:rFonts w:eastAsiaTheme="minorEastAsia" w:cs="Times New Roman"/>
                <w:sz w:val="20"/>
                <w:szCs w:val="20"/>
                <w:lang w:val="fr-FR" w:eastAsia="en-CA"/>
              </w:rPr>
              <w:t xml:space="preserve"> et les juges Abella, </w:t>
            </w:r>
            <w:proofErr w:type="spellStart"/>
            <w:r w:rsidRPr="00003B04">
              <w:rPr>
                <w:rFonts w:eastAsiaTheme="minorEastAsia" w:cs="Times New Roman"/>
                <w:sz w:val="20"/>
                <w:szCs w:val="20"/>
                <w:lang w:val="fr-CA" w:eastAsia="en-CA"/>
              </w:rPr>
              <w:t>Moldaver</w:t>
            </w:r>
            <w:proofErr w:type="spellEnd"/>
            <w:r w:rsidRPr="00003B04">
              <w:rPr>
                <w:rFonts w:eastAsiaTheme="minorEastAsia" w:cs="Times New Roman"/>
                <w:sz w:val="20"/>
                <w:szCs w:val="20"/>
                <w:lang w:val="fr-CA" w:eastAsia="en-CA"/>
              </w:rPr>
              <w:t xml:space="preserve">, </w:t>
            </w:r>
            <w:proofErr w:type="spellStart"/>
            <w:r w:rsidRPr="00003B04">
              <w:rPr>
                <w:rFonts w:eastAsiaTheme="minorEastAsia" w:cs="Times New Roman"/>
                <w:sz w:val="20"/>
                <w:szCs w:val="20"/>
                <w:lang w:val="fr-CA" w:eastAsia="en-CA"/>
              </w:rPr>
              <w:t>Karakatsanis</w:t>
            </w:r>
            <w:proofErr w:type="spellEnd"/>
            <w:r w:rsidRPr="00003B04">
              <w:rPr>
                <w:rFonts w:eastAsiaTheme="minorEastAsia" w:cs="Times New Roman"/>
                <w:sz w:val="20"/>
                <w:szCs w:val="20"/>
                <w:lang w:val="fr-CA" w:eastAsia="en-CA"/>
              </w:rPr>
              <w:t>, Wagner, Gascon, Côté, Brown et Rowe</w:t>
            </w:r>
            <w:r w:rsidRPr="00003B04">
              <w:rPr>
                <w:lang w:val="fr-CA" w:eastAsia="en-CA"/>
              </w:rPr>
              <w:t xml:space="preserve"> </w:t>
            </w:r>
          </w:p>
          <w:p w:rsidR="005A5AB4" w:rsidRPr="00003B04" w:rsidRDefault="005A5AB4" w:rsidP="002B2A73">
            <w:pPr>
              <w:rPr>
                <w:lang w:val="fr-CA" w:eastAsia="en-CA"/>
              </w:rPr>
            </w:pPr>
          </w:p>
        </w:tc>
      </w:tr>
      <w:tr w:rsidR="00336812" w:rsidRPr="00C3697D" w:rsidTr="00336812">
        <w:tc>
          <w:tcPr>
            <w:tcW w:w="5000" w:type="pct"/>
            <w:gridSpan w:val="4"/>
          </w:tcPr>
          <w:p w:rsidR="002B2A73" w:rsidRPr="00003B04" w:rsidRDefault="005A5AB4" w:rsidP="002B2A73">
            <w:pPr>
              <w:rPr>
                <w:sz w:val="20"/>
                <w:szCs w:val="20"/>
                <w:lang w:val="fr-CA"/>
              </w:rPr>
            </w:pPr>
            <w:r w:rsidRPr="00003B04">
              <w:rPr>
                <w:sz w:val="20"/>
                <w:szCs w:val="20"/>
                <w:lang w:val="fr-CA"/>
              </w:rPr>
              <w:t>La demande d’autorisation d’appel de l’arrêt de la Cour d’appel fédérale, numéro A-235-16, 2016 CAF 229, daté du 15 septembre 2016, est rejetée avec dépens.</w:t>
            </w:r>
          </w:p>
          <w:p w:rsidR="005A5AB4" w:rsidRPr="00003B04" w:rsidRDefault="005A5AB4" w:rsidP="002B2A73">
            <w:pPr>
              <w:rPr>
                <w:lang w:val="fr-CA"/>
              </w:rPr>
            </w:pPr>
          </w:p>
        </w:tc>
      </w:tr>
      <w:tr w:rsidR="00EE4290" w:rsidRPr="00C3697D" w:rsidTr="00EE4290">
        <w:tc>
          <w:tcPr>
            <w:tcW w:w="5000" w:type="pct"/>
            <w:gridSpan w:val="4"/>
          </w:tcPr>
          <w:p w:rsidR="00EE4290" w:rsidRPr="00003B04" w:rsidRDefault="00EE4290" w:rsidP="00EE4290">
            <w:pPr>
              <w:jc w:val="both"/>
              <w:rPr>
                <w:sz w:val="20"/>
                <w:lang w:val="fr-CA"/>
              </w:rPr>
            </w:pPr>
            <w:r w:rsidRPr="00003B04">
              <w:rPr>
                <w:sz w:val="20"/>
                <w:lang w:val="fr-CA"/>
              </w:rPr>
              <w:t>Tribunaux – Cour d’appel fédérale – Compétence – Les demandeurs ont déposé en Cour d’appel fédérale un avis d’appel d’une décision d’un juge de la Cour fédérale qui avait rejeté une requête en réexamen et avait condamné personnellement le demandeur, M</w:t>
            </w:r>
            <w:r w:rsidRPr="00003B04">
              <w:rPr>
                <w:sz w:val="20"/>
                <w:vertAlign w:val="superscript"/>
                <w:lang w:val="fr-CA"/>
              </w:rPr>
              <w:t>e</w:t>
            </w:r>
            <w:r w:rsidRPr="00003B04">
              <w:rPr>
                <w:sz w:val="20"/>
                <w:lang w:val="fr-CA"/>
              </w:rPr>
              <w:t xml:space="preserve"> Wong, aux dépens – La Cour d’appel fédérale a retiré l’avis d’appel du dossier de la Cour et a fermé ce dossier, se déclarant incompétente – La condamnation de l’avocat aux dépens personnellement est-elle inconstitutionnelle? – Les demandeurs ont-ils un droit d’appel à la Cour d’appel fédérale? – L’al. 74d) de la </w:t>
            </w:r>
            <w:r w:rsidRPr="00003B04">
              <w:rPr>
                <w:i/>
                <w:sz w:val="20"/>
                <w:lang w:val="fr-CA"/>
              </w:rPr>
              <w:t>Loi sur l’immigration et la protection des réfugiés</w:t>
            </w:r>
            <w:r w:rsidRPr="00003B04">
              <w:rPr>
                <w:sz w:val="20"/>
                <w:lang w:val="fr-CA"/>
              </w:rPr>
              <w:t>, L.C. 2001, ch. 27, est-il inconstitutionnel? – Le par. 72(1) de la</w:t>
            </w:r>
            <w:r w:rsidRPr="00003B04">
              <w:rPr>
                <w:i/>
                <w:sz w:val="20"/>
                <w:lang w:val="fr-CA"/>
              </w:rPr>
              <w:t xml:space="preserve"> Loi sur l’immigration et la protection des réfugiés</w:t>
            </w:r>
            <w:r w:rsidRPr="00003B04">
              <w:rPr>
                <w:sz w:val="20"/>
                <w:lang w:val="fr-CA"/>
              </w:rPr>
              <w:t xml:space="preserve"> est-il inconstitutionnel? – </w:t>
            </w:r>
            <w:r w:rsidRPr="00003B04">
              <w:rPr>
                <w:i/>
                <w:sz w:val="20"/>
                <w:lang w:val="fr-CA"/>
              </w:rPr>
              <w:t>Loi sur les Cours fédérales</w:t>
            </w:r>
            <w:r w:rsidRPr="00003B04">
              <w:rPr>
                <w:sz w:val="20"/>
                <w:lang w:val="fr-CA"/>
              </w:rPr>
              <w:t xml:space="preserve">, L.R.C. 1985, ch. F-7, art. 27 – </w:t>
            </w:r>
            <w:r w:rsidRPr="00003B04">
              <w:rPr>
                <w:i/>
                <w:sz w:val="20"/>
                <w:lang w:val="fr-CA"/>
              </w:rPr>
              <w:t>Règles des Cours fédérales</w:t>
            </w:r>
            <w:r w:rsidRPr="00003B04">
              <w:rPr>
                <w:sz w:val="20"/>
                <w:lang w:val="fr-CA"/>
              </w:rPr>
              <w:t xml:space="preserve">, DORS/98-106, art. 74, 397(1) et 404 – </w:t>
            </w:r>
            <w:r w:rsidRPr="00003B04">
              <w:rPr>
                <w:i/>
                <w:sz w:val="20"/>
                <w:lang w:val="fr-CA"/>
              </w:rPr>
              <w:t>Loi sur l’immigration et la protection des réfugiés</w:t>
            </w:r>
            <w:r w:rsidRPr="00003B04">
              <w:rPr>
                <w:sz w:val="20"/>
                <w:lang w:val="fr-CA"/>
              </w:rPr>
              <w:t>, al. 72(2)e).</w:t>
            </w:r>
          </w:p>
        </w:tc>
      </w:tr>
      <w:tr w:rsidR="00EE4290" w:rsidRPr="00C3697D" w:rsidTr="00EE4290">
        <w:tc>
          <w:tcPr>
            <w:tcW w:w="5000" w:type="pct"/>
            <w:gridSpan w:val="4"/>
          </w:tcPr>
          <w:p w:rsidR="00EE4290" w:rsidRPr="00003B04" w:rsidRDefault="00EE4290" w:rsidP="00EE4290">
            <w:pPr>
              <w:jc w:val="both"/>
              <w:rPr>
                <w:sz w:val="20"/>
                <w:lang w:val="fr-CA"/>
              </w:rPr>
            </w:pPr>
          </w:p>
        </w:tc>
      </w:tr>
      <w:tr w:rsidR="00EE4290" w:rsidRPr="00C3697D" w:rsidTr="00EE4290">
        <w:tc>
          <w:tcPr>
            <w:tcW w:w="5000" w:type="pct"/>
            <w:gridSpan w:val="4"/>
          </w:tcPr>
          <w:p w:rsidR="00EE4290" w:rsidRPr="00003B04" w:rsidRDefault="00EE4290" w:rsidP="00EE4290">
            <w:pPr>
              <w:jc w:val="both"/>
              <w:rPr>
                <w:sz w:val="20"/>
                <w:lang w:val="fr-CA"/>
              </w:rPr>
            </w:pPr>
            <w:r w:rsidRPr="00003B04">
              <w:rPr>
                <w:sz w:val="20"/>
                <w:lang w:val="fr-CA"/>
              </w:rPr>
              <w:t>En mai 2016, la Cour fédérale a rejeté une requête en réexamen déposée par le demandeur, M. Liang. La Cour fédérale lui avait refusé l’autorisation de demander le contrôle judiciaire d’une décision de la Section d’appel de la Commission de l’immigration et du statut de réfugié et la requête en réexamen avait pour but d’infirmer cette décision. Le demandeur M</w:t>
            </w:r>
            <w:r w:rsidRPr="00003B04">
              <w:rPr>
                <w:sz w:val="20"/>
                <w:vertAlign w:val="superscript"/>
                <w:lang w:val="fr-CA"/>
              </w:rPr>
              <w:t>e</w:t>
            </w:r>
            <w:r w:rsidRPr="00003B04">
              <w:rPr>
                <w:sz w:val="20"/>
                <w:lang w:val="fr-CA"/>
              </w:rPr>
              <w:t> Wong était l’avocat de M. Liang devant la Cour fédérale relativement à cette requête et il a été personnellement condamné à des dépens de 1 000 $ au motif qu’il avait attaqué la crédibilité de la Cour pendant sa présentation de la requête et qu’il avait déposé la requête à tort et sans motif valable. Monsieur Liang et M</w:t>
            </w:r>
            <w:r w:rsidRPr="00003B04">
              <w:rPr>
                <w:sz w:val="20"/>
                <w:vertAlign w:val="superscript"/>
                <w:lang w:val="fr-CA"/>
              </w:rPr>
              <w:t>e</w:t>
            </w:r>
            <w:r w:rsidRPr="00003B04">
              <w:rPr>
                <w:sz w:val="20"/>
                <w:lang w:val="fr-CA"/>
              </w:rPr>
              <w:t xml:space="preserve"> Wong ont déposé un avis d’appel en Cour d’appel fédérale, mais, en application de l’art. 74 des </w:t>
            </w:r>
            <w:r w:rsidRPr="00003B04">
              <w:rPr>
                <w:i/>
                <w:sz w:val="20"/>
                <w:lang w:val="fr-CA"/>
              </w:rPr>
              <w:t>Règles des Cours fédérales</w:t>
            </w:r>
            <w:r w:rsidRPr="00003B04">
              <w:rPr>
                <w:sz w:val="20"/>
                <w:lang w:val="fr-CA"/>
              </w:rPr>
              <w:t>, la Cour a ordonné que l’avis soit retiré du dossier de la Cour et que le dossier soit fermé parce que les demandeurs n’avaient aucun droit d’appel.</w:t>
            </w:r>
          </w:p>
          <w:p w:rsidR="00EE4290" w:rsidRPr="00003B04" w:rsidRDefault="00EE4290" w:rsidP="00EE4290">
            <w:pPr>
              <w:jc w:val="both"/>
              <w:rPr>
                <w:sz w:val="20"/>
                <w:lang w:val="fr-CA"/>
              </w:rPr>
            </w:pPr>
          </w:p>
        </w:tc>
      </w:tr>
      <w:tr w:rsidR="00EE4290" w:rsidRPr="00C3697D" w:rsidTr="00EE4290">
        <w:tc>
          <w:tcPr>
            <w:tcW w:w="2427" w:type="pct"/>
            <w:gridSpan w:val="2"/>
          </w:tcPr>
          <w:p w:rsidR="00EE4290" w:rsidRPr="00003B04" w:rsidRDefault="00EE4290" w:rsidP="00EE4290">
            <w:pPr>
              <w:jc w:val="both"/>
              <w:rPr>
                <w:sz w:val="20"/>
                <w:lang w:val="fr-CA"/>
              </w:rPr>
            </w:pPr>
            <w:r w:rsidRPr="00003B04">
              <w:rPr>
                <w:sz w:val="20"/>
                <w:lang w:val="fr-CA"/>
              </w:rPr>
              <w:t>25 mai 2016</w:t>
            </w:r>
          </w:p>
          <w:p w:rsidR="00EE4290" w:rsidRPr="00003B04" w:rsidRDefault="00EE4290" w:rsidP="00EE4290">
            <w:pPr>
              <w:jc w:val="both"/>
              <w:rPr>
                <w:sz w:val="20"/>
                <w:lang w:val="fr-CA"/>
              </w:rPr>
            </w:pPr>
            <w:r w:rsidRPr="00003B04">
              <w:rPr>
                <w:sz w:val="20"/>
                <w:lang w:val="fr-CA"/>
              </w:rPr>
              <w:t>Cour fédérale</w:t>
            </w:r>
          </w:p>
          <w:p w:rsidR="00EE4290" w:rsidRPr="00003B04" w:rsidRDefault="00EE4290" w:rsidP="00EE4290">
            <w:pPr>
              <w:jc w:val="both"/>
              <w:rPr>
                <w:sz w:val="20"/>
                <w:lang w:val="fr-CA"/>
              </w:rPr>
            </w:pPr>
            <w:r w:rsidRPr="00003B04">
              <w:rPr>
                <w:sz w:val="20"/>
                <w:lang w:val="fr-CA"/>
              </w:rPr>
              <w:t>(Juge Bell)</w:t>
            </w:r>
          </w:p>
          <w:p w:rsidR="00EE4290" w:rsidRPr="00003B04" w:rsidRDefault="00604445" w:rsidP="00EE4290">
            <w:pPr>
              <w:jc w:val="both"/>
              <w:rPr>
                <w:sz w:val="20"/>
                <w:lang w:val="fr-CA"/>
              </w:rPr>
            </w:pPr>
            <w:hyperlink r:id="rId79" w:history="1">
              <w:r w:rsidR="00EE4290" w:rsidRPr="00003B04">
                <w:rPr>
                  <w:rStyle w:val="Hyperlink"/>
                  <w:sz w:val="20"/>
                  <w:lang w:val="fr-CA"/>
                </w:rPr>
                <w:t>2016 FC 569</w:t>
              </w:r>
            </w:hyperlink>
          </w:p>
          <w:p w:rsidR="00EE4290" w:rsidRPr="00003B04" w:rsidRDefault="00EE4290" w:rsidP="00EE4290">
            <w:pPr>
              <w:jc w:val="both"/>
              <w:rPr>
                <w:sz w:val="20"/>
                <w:lang w:val="fr-CA"/>
              </w:rPr>
            </w:pPr>
          </w:p>
        </w:tc>
        <w:tc>
          <w:tcPr>
            <w:tcW w:w="243" w:type="pct"/>
          </w:tcPr>
          <w:p w:rsidR="00EE4290" w:rsidRPr="00003B04" w:rsidRDefault="00EE4290" w:rsidP="00EE4290">
            <w:pPr>
              <w:jc w:val="both"/>
              <w:rPr>
                <w:sz w:val="20"/>
                <w:lang w:val="fr-CA"/>
              </w:rPr>
            </w:pPr>
          </w:p>
        </w:tc>
        <w:tc>
          <w:tcPr>
            <w:tcW w:w="2330" w:type="pct"/>
          </w:tcPr>
          <w:p w:rsidR="00EE4290" w:rsidRPr="00003B04" w:rsidRDefault="00EE4290" w:rsidP="00EE4290">
            <w:pPr>
              <w:jc w:val="both"/>
              <w:rPr>
                <w:sz w:val="20"/>
                <w:lang w:val="fr-CA"/>
              </w:rPr>
            </w:pPr>
            <w:r w:rsidRPr="00003B04">
              <w:rPr>
                <w:sz w:val="20"/>
                <w:lang w:val="fr-CA"/>
              </w:rPr>
              <w:t>Rejet de la requête en réexamen</w:t>
            </w:r>
          </w:p>
          <w:p w:rsidR="00EE4290" w:rsidRPr="00003B04" w:rsidRDefault="00EE4290" w:rsidP="00EE4290">
            <w:pPr>
              <w:jc w:val="both"/>
              <w:rPr>
                <w:sz w:val="20"/>
                <w:lang w:val="fr-CA"/>
              </w:rPr>
            </w:pPr>
          </w:p>
        </w:tc>
      </w:tr>
    </w:tbl>
    <w:p w:rsidR="008F5EB8" w:rsidRPr="00003B04" w:rsidRDefault="008F5EB8">
      <w:pPr>
        <w:rPr>
          <w:lang w:val="fr-CA"/>
        </w:rPr>
      </w:pPr>
      <w:r w:rsidRPr="00003B04">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E4290" w:rsidRPr="00C3697D" w:rsidTr="00EE4290">
        <w:tc>
          <w:tcPr>
            <w:tcW w:w="2427" w:type="pct"/>
          </w:tcPr>
          <w:p w:rsidR="00EE4290" w:rsidRPr="00003B04" w:rsidRDefault="00EE4290" w:rsidP="00EE4290">
            <w:pPr>
              <w:jc w:val="both"/>
              <w:rPr>
                <w:sz w:val="20"/>
                <w:lang w:val="fr-CA"/>
              </w:rPr>
            </w:pPr>
            <w:r w:rsidRPr="00003B04">
              <w:rPr>
                <w:sz w:val="20"/>
                <w:lang w:val="fr-CA"/>
              </w:rPr>
              <w:lastRenderedPageBreak/>
              <w:t>15 septembre 2016</w:t>
            </w:r>
          </w:p>
          <w:p w:rsidR="00EE4290" w:rsidRPr="00003B04" w:rsidRDefault="00EE4290" w:rsidP="00EE4290">
            <w:pPr>
              <w:jc w:val="both"/>
              <w:rPr>
                <w:sz w:val="20"/>
                <w:lang w:val="fr-CA"/>
              </w:rPr>
            </w:pPr>
            <w:r w:rsidRPr="00003B04">
              <w:rPr>
                <w:sz w:val="20"/>
                <w:lang w:val="fr-CA"/>
              </w:rPr>
              <w:t>Cour d’appel fédérale</w:t>
            </w:r>
          </w:p>
          <w:p w:rsidR="00EE4290" w:rsidRPr="00003B04" w:rsidRDefault="00EE4290" w:rsidP="00EE4290">
            <w:pPr>
              <w:jc w:val="both"/>
              <w:rPr>
                <w:sz w:val="20"/>
                <w:lang w:val="fr-CA"/>
              </w:rPr>
            </w:pPr>
            <w:r w:rsidRPr="00003B04">
              <w:rPr>
                <w:sz w:val="20"/>
                <w:lang w:val="fr-CA"/>
              </w:rPr>
              <w:t xml:space="preserve">(Juge en chef Noël, juges Dawson et </w:t>
            </w:r>
            <w:proofErr w:type="spellStart"/>
            <w:r w:rsidRPr="00003B04">
              <w:rPr>
                <w:sz w:val="20"/>
                <w:lang w:val="fr-CA"/>
              </w:rPr>
              <w:t>Stratas</w:t>
            </w:r>
            <w:proofErr w:type="spellEnd"/>
            <w:r w:rsidRPr="00003B04">
              <w:rPr>
                <w:sz w:val="20"/>
                <w:lang w:val="fr-CA"/>
              </w:rPr>
              <w:t>)</w:t>
            </w:r>
          </w:p>
          <w:p w:rsidR="00EE4290" w:rsidRPr="00003B04" w:rsidRDefault="00604445" w:rsidP="00EE4290">
            <w:pPr>
              <w:jc w:val="both"/>
              <w:rPr>
                <w:sz w:val="20"/>
                <w:lang w:val="fr-CA"/>
              </w:rPr>
            </w:pPr>
            <w:hyperlink r:id="rId80" w:history="1">
              <w:r w:rsidR="00EE4290" w:rsidRPr="00003B04">
                <w:rPr>
                  <w:rStyle w:val="Hyperlink"/>
                  <w:sz w:val="20"/>
                  <w:lang w:val="fr-CA"/>
                </w:rPr>
                <w:t>2016 FCA 229</w:t>
              </w:r>
            </w:hyperlink>
          </w:p>
          <w:p w:rsidR="00EE4290" w:rsidRPr="00003B04" w:rsidRDefault="00EE4290" w:rsidP="00EE4290">
            <w:pPr>
              <w:jc w:val="both"/>
              <w:rPr>
                <w:sz w:val="20"/>
                <w:lang w:val="fr-CA"/>
              </w:rPr>
            </w:pPr>
          </w:p>
        </w:tc>
        <w:tc>
          <w:tcPr>
            <w:tcW w:w="243" w:type="pct"/>
          </w:tcPr>
          <w:p w:rsidR="00EE4290" w:rsidRPr="00003B04" w:rsidRDefault="00EE4290" w:rsidP="00EE4290">
            <w:pPr>
              <w:jc w:val="both"/>
              <w:rPr>
                <w:sz w:val="20"/>
                <w:lang w:val="fr-CA"/>
              </w:rPr>
            </w:pPr>
          </w:p>
        </w:tc>
        <w:tc>
          <w:tcPr>
            <w:tcW w:w="2330" w:type="pct"/>
          </w:tcPr>
          <w:p w:rsidR="00EE4290" w:rsidRPr="00003B04" w:rsidRDefault="00EE4290" w:rsidP="00EE4290">
            <w:pPr>
              <w:jc w:val="both"/>
              <w:rPr>
                <w:sz w:val="20"/>
                <w:lang w:val="fr-CA"/>
              </w:rPr>
            </w:pPr>
            <w:r w:rsidRPr="00003B04">
              <w:rPr>
                <w:sz w:val="20"/>
                <w:lang w:val="fr-CA"/>
              </w:rPr>
              <w:t>Retrait de l’avis d’appel du dossier de la Cour et fermeture du dossier de la Cour en conséquence</w:t>
            </w:r>
          </w:p>
          <w:p w:rsidR="00EE4290" w:rsidRPr="00003B04" w:rsidRDefault="00EE4290" w:rsidP="00EE4290">
            <w:pPr>
              <w:jc w:val="both"/>
              <w:rPr>
                <w:sz w:val="20"/>
                <w:lang w:val="fr-CA"/>
              </w:rPr>
            </w:pPr>
          </w:p>
        </w:tc>
      </w:tr>
      <w:tr w:rsidR="00EE4290" w:rsidRPr="00C3697D" w:rsidTr="00EE4290">
        <w:tc>
          <w:tcPr>
            <w:tcW w:w="2427" w:type="pct"/>
          </w:tcPr>
          <w:p w:rsidR="00EE4290" w:rsidRPr="00003B04" w:rsidRDefault="00EE4290" w:rsidP="00EE4290">
            <w:pPr>
              <w:jc w:val="both"/>
              <w:rPr>
                <w:sz w:val="20"/>
                <w:lang w:val="fr-CA"/>
              </w:rPr>
            </w:pPr>
            <w:r w:rsidRPr="00003B04">
              <w:rPr>
                <w:sz w:val="20"/>
                <w:lang w:val="fr-CA"/>
              </w:rPr>
              <w:t>7 novembre 2016</w:t>
            </w:r>
          </w:p>
          <w:p w:rsidR="00EE4290" w:rsidRPr="00003B04" w:rsidRDefault="00EE4290" w:rsidP="00EE4290">
            <w:pPr>
              <w:jc w:val="both"/>
              <w:rPr>
                <w:sz w:val="20"/>
                <w:lang w:val="fr-CA"/>
              </w:rPr>
            </w:pPr>
            <w:r w:rsidRPr="00003B04">
              <w:rPr>
                <w:sz w:val="20"/>
                <w:lang w:val="fr-CA"/>
              </w:rPr>
              <w:t>Cour suprême du Canada</w:t>
            </w:r>
          </w:p>
        </w:tc>
        <w:tc>
          <w:tcPr>
            <w:tcW w:w="243" w:type="pct"/>
          </w:tcPr>
          <w:p w:rsidR="00EE4290" w:rsidRPr="00003B04" w:rsidRDefault="00EE4290" w:rsidP="00EE4290">
            <w:pPr>
              <w:jc w:val="both"/>
              <w:rPr>
                <w:sz w:val="20"/>
                <w:lang w:val="fr-CA"/>
              </w:rPr>
            </w:pPr>
          </w:p>
        </w:tc>
        <w:tc>
          <w:tcPr>
            <w:tcW w:w="2330" w:type="pct"/>
          </w:tcPr>
          <w:p w:rsidR="00EE4290" w:rsidRPr="00003B04" w:rsidRDefault="00EE4290" w:rsidP="00EE4290">
            <w:pPr>
              <w:jc w:val="both"/>
              <w:rPr>
                <w:sz w:val="20"/>
                <w:lang w:val="fr-CA"/>
              </w:rPr>
            </w:pPr>
            <w:r w:rsidRPr="00003B04">
              <w:rPr>
                <w:sz w:val="20"/>
                <w:lang w:val="fr-CA"/>
              </w:rPr>
              <w:t>Dépôt de la demande d’autorisation d’appel</w:t>
            </w:r>
          </w:p>
          <w:p w:rsidR="00EE4290" w:rsidRPr="00003B04" w:rsidRDefault="00EE4290" w:rsidP="00EE4290">
            <w:pPr>
              <w:jc w:val="both"/>
              <w:rPr>
                <w:sz w:val="20"/>
                <w:lang w:val="fr-CA"/>
              </w:rPr>
            </w:pPr>
          </w:p>
        </w:tc>
      </w:tr>
    </w:tbl>
    <w:p w:rsidR="00EE4290" w:rsidRPr="00003B04" w:rsidRDefault="00604445" w:rsidP="00EE4290">
      <w:pPr>
        <w:jc w:val="both"/>
        <w:rPr>
          <w:sz w:val="20"/>
          <w:lang w:val="fr-CA"/>
        </w:rPr>
      </w:pPr>
      <w:r>
        <w:rPr>
          <w:sz w:val="20"/>
          <w:szCs w:val="20"/>
        </w:rPr>
        <w:pict>
          <v:rect id="_x0000_i1078" style="width:2in;height:1pt" o:hrpct="0" o:hralign="center" o:hrstd="t" o:hrnoshade="t" o:hr="t" fillcolor="black [3213]" stroked="f"/>
        </w:pict>
      </w:r>
    </w:p>
    <w:p w:rsidR="00EE4290" w:rsidRPr="00003B04" w:rsidRDefault="00EE4290" w:rsidP="00EE4290">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E4290" w:rsidRPr="00003B04" w:rsidTr="00EE4290">
        <w:tc>
          <w:tcPr>
            <w:tcW w:w="543" w:type="pct"/>
          </w:tcPr>
          <w:p w:rsidR="00EE4290" w:rsidRPr="00003B04" w:rsidRDefault="00EE4290" w:rsidP="00EE4290">
            <w:pPr>
              <w:jc w:val="both"/>
              <w:rPr>
                <w:sz w:val="20"/>
              </w:rPr>
            </w:pPr>
            <w:r w:rsidRPr="00003B04">
              <w:rPr>
                <w:rStyle w:val="SCCFileNumberChar"/>
                <w:sz w:val="20"/>
                <w:szCs w:val="20"/>
              </w:rPr>
              <w:t>37203</w:t>
            </w:r>
          </w:p>
        </w:tc>
        <w:tc>
          <w:tcPr>
            <w:tcW w:w="4457" w:type="pct"/>
            <w:gridSpan w:val="3"/>
          </w:tcPr>
          <w:p w:rsidR="00EE4290" w:rsidRPr="00003B04" w:rsidRDefault="00EE4290" w:rsidP="00767A6B">
            <w:pPr>
              <w:pStyle w:val="SCCLsocParty"/>
              <w:jc w:val="both"/>
              <w:rPr>
                <w:sz w:val="20"/>
              </w:rPr>
            </w:pPr>
            <w:r w:rsidRPr="00003B04">
              <w:rPr>
                <w:b/>
                <w:sz w:val="20"/>
                <w:szCs w:val="20"/>
                <w:lang w:val="en-US"/>
              </w:rPr>
              <w:t>Tyler Glen Jordan v. Director of Civil Forfeiture</w:t>
            </w:r>
            <w:r w:rsidR="00767A6B" w:rsidRPr="00003B04">
              <w:rPr>
                <w:b/>
                <w:sz w:val="20"/>
                <w:szCs w:val="20"/>
                <w:lang w:val="en-US"/>
              </w:rPr>
              <w:t xml:space="preserve"> </w:t>
            </w:r>
            <w:r w:rsidRPr="00003B04">
              <w:rPr>
                <w:sz w:val="20"/>
                <w:lang w:val="en-US"/>
              </w:rPr>
              <w:t xml:space="preserve">(B.C.) </w:t>
            </w:r>
            <w:r w:rsidRPr="00003B04">
              <w:rPr>
                <w:sz w:val="20"/>
              </w:rPr>
              <w:t xml:space="preserve">(Civil) (By </w:t>
            </w:r>
            <w:proofErr w:type="spellStart"/>
            <w:r w:rsidRPr="00003B04">
              <w:rPr>
                <w:sz w:val="20"/>
              </w:rPr>
              <w:t>Leave</w:t>
            </w:r>
            <w:proofErr w:type="spellEnd"/>
            <w:r w:rsidRPr="00003B04">
              <w:rPr>
                <w:sz w:val="20"/>
              </w:rPr>
              <w:t>)</w:t>
            </w:r>
          </w:p>
          <w:p w:rsidR="00767A6B" w:rsidRPr="00003B04" w:rsidRDefault="00767A6B" w:rsidP="00767A6B">
            <w:pPr>
              <w:rPr>
                <w:lang w:val="fr-CA"/>
              </w:rPr>
            </w:pPr>
          </w:p>
        </w:tc>
      </w:tr>
      <w:tr w:rsidR="004F14EC" w:rsidRPr="00003B04" w:rsidTr="00EE4290">
        <w:tc>
          <w:tcPr>
            <w:tcW w:w="543" w:type="pct"/>
          </w:tcPr>
          <w:p w:rsidR="004F14EC" w:rsidRPr="00003B04" w:rsidRDefault="004F14EC" w:rsidP="00EE4290">
            <w:pPr>
              <w:jc w:val="both"/>
              <w:rPr>
                <w:rStyle w:val="SCCFileNumberChar"/>
                <w:sz w:val="20"/>
                <w:szCs w:val="20"/>
              </w:rPr>
            </w:pPr>
            <w:r w:rsidRPr="00003B04">
              <w:rPr>
                <w:rStyle w:val="SCCFileNumberChar"/>
                <w:sz w:val="20"/>
                <w:szCs w:val="20"/>
              </w:rPr>
              <w:t>Coram:</w:t>
            </w:r>
          </w:p>
        </w:tc>
        <w:tc>
          <w:tcPr>
            <w:tcW w:w="4457" w:type="pct"/>
            <w:gridSpan w:val="3"/>
          </w:tcPr>
          <w:p w:rsidR="002B2A73" w:rsidRPr="00003B04" w:rsidRDefault="005A5AB4" w:rsidP="002B2A73">
            <w:pPr>
              <w:rPr>
                <w:rFonts w:eastAsiaTheme="minorEastAsia" w:cs="Times New Roman"/>
                <w:sz w:val="20"/>
                <w:szCs w:val="20"/>
                <w:lang w:eastAsia="en-CA"/>
              </w:rPr>
            </w:pPr>
            <w:proofErr w:type="spellStart"/>
            <w:r w:rsidRPr="00003B04">
              <w:rPr>
                <w:rFonts w:eastAsiaTheme="minorEastAsia" w:cs="Times New Roman"/>
                <w:sz w:val="20"/>
                <w:szCs w:val="20"/>
                <w:lang w:eastAsia="en-CA"/>
              </w:rPr>
              <w:t>McLachlin</w:t>
            </w:r>
            <w:proofErr w:type="spellEnd"/>
            <w:r w:rsidRPr="00003B04">
              <w:rPr>
                <w:rFonts w:eastAsiaTheme="minorEastAsia" w:cs="Times New Roman"/>
                <w:sz w:val="20"/>
                <w:szCs w:val="20"/>
                <w:lang w:eastAsia="en-CA"/>
              </w:rPr>
              <w:t xml:space="preserve"> C.J. and </w:t>
            </w:r>
            <w:proofErr w:type="spellStart"/>
            <w:r w:rsidRPr="00003B04">
              <w:rPr>
                <w:rFonts w:eastAsiaTheme="minorEastAsia" w:cs="Times New Roman"/>
                <w:sz w:val="20"/>
                <w:szCs w:val="20"/>
                <w:lang w:eastAsia="en-CA"/>
              </w:rPr>
              <w:t>Abella</w:t>
            </w:r>
            <w:proofErr w:type="spellEnd"/>
            <w:r w:rsidRPr="00003B04">
              <w:rPr>
                <w:rFonts w:eastAsiaTheme="minorEastAsia" w:cs="Times New Roman"/>
                <w:sz w:val="20"/>
                <w:szCs w:val="20"/>
                <w:lang w:eastAsia="en-CA"/>
              </w:rPr>
              <w:t xml:space="preserve">, </w:t>
            </w:r>
            <w:proofErr w:type="spellStart"/>
            <w:r w:rsidRPr="00003B04">
              <w:rPr>
                <w:rFonts w:eastAsiaTheme="minorEastAsia" w:cs="Times New Roman"/>
                <w:sz w:val="20"/>
                <w:szCs w:val="20"/>
                <w:lang w:eastAsia="en-CA"/>
              </w:rPr>
              <w:t>Moldaver</w:t>
            </w:r>
            <w:proofErr w:type="spellEnd"/>
            <w:r w:rsidRPr="00003B04">
              <w:rPr>
                <w:rFonts w:eastAsiaTheme="minorEastAsia" w:cs="Times New Roman"/>
                <w:sz w:val="20"/>
                <w:szCs w:val="20"/>
                <w:lang w:eastAsia="en-CA"/>
              </w:rPr>
              <w:t xml:space="preserve">, </w:t>
            </w:r>
            <w:proofErr w:type="spellStart"/>
            <w:r w:rsidRPr="00003B04">
              <w:rPr>
                <w:rFonts w:eastAsiaTheme="minorEastAsia" w:cs="Times New Roman"/>
                <w:sz w:val="20"/>
                <w:szCs w:val="20"/>
                <w:lang w:eastAsia="en-CA"/>
              </w:rPr>
              <w:t>Karakatsanis</w:t>
            </w:r>
            <w:proofErr w:type="spellEnd"/>
            <w:r w:rsidRPr="00003B04">
              <w:rPr>
                <w:rFonts w:eastAsiaTheme="minorEastAsia" w:cs="Times New Roman"/>
                <w:sz w:val="20"/>
                <w:szCs w:val="20"/>
                <w:lang w:eastAsia="en-CA"/>
              </w:rPr>
              <w:t xml:space="preserve">, Wagner, </w:t>
            </w:r>
            <w:proofErr w:type="spellStart"/>
            <w:r w:rsidRPr="00003B04">
              <w:rPr>
                <w:rFonts w:eastAsiaTheme="minorEastAsia" w:cs="Times New Roman"/>
                <w:sz w:val="20"/>
                <w:szCs w:val="20"/>
                <w:lang w:eastAsia="en-CA"/>
              </w:rPr>
              <w:t>Gascon</w:t>
            </w:r>
            <w:proofErr w:type="spellEnd"/>
            <w:r w:rsidRPr="00003B04">
              <w:rPr>
                <w:rFonts w:eastAsiaTheme="minorEastAsia" w:cs="Times New Roman"/>
                <w:sz w:val="20"/>
                <w:szCs w:val="20"/>
                <w:lang w:eastAsia="en-CA"/>
              </w:rPr>
              <w:t xml:space="preserve">, </w:t>
            </w:r>
            <w:proofErr w:type="spellStart"/>
            <w:r w:rsidRPr="00003B04">
              <w:rPr>
                <w:rFonts w:eastAsiaTheme="minorEastAsia" w:cs="Times New Roman"/>
                <w:sz w:val="20"/>
                <w:szCs w:val="20"/>
                <w:lang w:eastAsia="en-CA"/>
              </w:rPr>
              <w:t>Côté</w:t>
            </w:r>
            <w:proofErr w:type="spellEnd"/>
            <w:r w:rsidRPr="00003B04">
              <w:rPr>
                <w:rFonts w:eastAsiaTheme="minorEastAsia" w:cs="Times New Roman"/>
                <w:sz w:val="20"/>
                <w:szCs w:val="20"/>
                <w:lang w:eastAsia="en-CA"/>
              </w:rPr>
              <w:t>, Brown and Rowe JJ.</w:t>
            </w:r>
          </w:p>
          <w:p w:rsidR="005A5AB4" w:rsidRPr="00003B04" w:rsidRDefault="005A5AB4" w:rsidP="002B2A73">
            <w:pPr>
              <w:rPr>
                <w:lang w:val="en-US" w:eastAsia="en-CA"/>
              </w:rPr>
            </w:pPr>
          </w:p>
        </w:tc>
      </w:tr>
      <w:tr w:rsidR="004F14EC" w:rsidRPr="00003B04" w:rsidTr="004F14EC">
        <w:tc>
          <w:tcPr>
            <w:tcW w:w="5000" w:type="pct"/>
            <w:gridSpan w:val="4"/>
          </w:tcPr>
          <w:p w:rsidR="002B2A73" w:rsidRPr="00003B04" w:rsidRDefault="005A5AB4" w:rsidP="002B2A73">
            <w:pPr>
              <w:rPr>
                <w:sz w:val="20"/>
                <w:szCs w:val="20"/>
              </w:rPr>
            </w:pPr>
            <w:r w:rsidRPr="00003B04">
              <w:rPr>
                <w:sz w:val="20"/>
                <w:szCs w:val="20"/>
              </w:rPr>
              <w:t>The application for leave to appeal from the judgment of the Court of Appeal for British Columbia (Vancouver), Number CA43286, 2016 BCCA 333, dated July 27, 2016, is dismissed with costs.</w:t>
            </w:r>
          </w:p>
          <w:p w:rsidR="005A5AB4" w:rsidRPr="00003B04" w:rsidRDefault="005A5AB4" w:rsidP="002B2A73">
            <w:pPr>
              <w:rPr>
                <w:lang w:val="en-US"/>
              </w:rPr>
            </w:pPr>
          </w:p>
        </w:tc>
      </w:tr>
      <w:tr w:rsidR="00EE4290" w:rsidRPr="00003B04" w:rsidTr="00EE4290">
        <w:tc>
          <w:tcPr>
            <w:tcW w:w="5000" w:type="pct"/>
            <w:gridSpan w:val="4"/>
          </w:tcPr>
          <w:p w:rsidR="00EE4290" w:rsidRPr="00003B04" w:rsidRDefault="00EE4290" w:rsidP="00EE4290">
            <w:pPr>
              <w:jc w:val="both"/>
              <w:rPr>
                <w:sz w:val="20"/>
              </w:rPr>
            </w:pPr>
            <w:r w:rsidRPr="00003B04">
              <w:rPr>
                <w:sz w:val="20"/>
              </w:rPr>
              <w:t xml:space="preserve">Evidence – Admissibility – Civil Procedure – Judgments and Orders – Reasons – Did the Court of Appeal err in dismissing the appeal, despite the improper admission of opinion evidence which was “not scientific or technical”, and which went to the ultimate issue before the Court – Did the Court of Appeal err in finding that there was a serious question to be tried – Did the Court of Appeal err in finding that the chambers judge’s reasons were not “so inadequate as to prevent proper appellate review” – </w:t>
            </w:r>
            <w:r w:rsidRPr="00003B04">
              <w:rPr>
                <w:i/>
                <w:sz w:val="20"/>
              </w:rPr>
              <w:t>Civil Forfeiture Act</w:t>
            </w:r>
            <w:r w:rsidRPr="00003B04">
              <w:rPr>
                <w:sz w:val="20"/>
              </w:rPr>
              <w:t>, S.B.C. 2005 (the “</w:t>
            </w:r>
            <w:r w:rsidRPr="00003B04">
              <w:rPr>
                <w:i/>
                <w:sz w:val="20"/>
              </w:rPr>
              <w:t>Act</w:t>
            </w:r>
            <w:r w:rsidRPr="00003B04">
              <w:rPr>
                <w:sz w:val="20"/>
              </w:rPr>
              <w:t>”).</w:t>
            </w:r>
          </w:p>
          <w:p w:rsidR="00EE4290" w:rsidRPr="00003B04" w:rsidRDefault="00EE4290" w:rsidP="00EE4290">
            <w:pPr>
              <w:jc w:val="both"/>
              <w:rPr>
                <w:sz w:val="20"/>
              </w:rPr>
            </w:pPr>
          </w:p>
          <w:p w:rsidR="00EE4290" w:rsidRPr="00003B04" w:rsidRDefault="00EE4290" w:rsidP="00EE4290">
            <w:pPr>
              <w:jc w:val="both"/>
              <w:rPr>
                <w:sz w:val="20"/>
              </w:rPr>
            </w:pPr>
            <w:r w:rsidRPr="00003B04">
              <w:rPr>
                <w:sz w:val="20"/>
              </w:rPr>
              <w:t>Police stopped a vehicle driven by the applicant as part of an impaired safety road check. The applicant’s insurance had expired. Police noticed a strong odour of vegetative marihuana and a faint odour of smoked marihuana coming from inside the car and, later, an odour of vegetative marihuana coming from his person. He was arrested for possession of marihuana and cautioned. In conducting the search incidental to the arrest, police found on the applicant a large pocket knife, two cellphones and $1,015 in cash that he claimed to have won playing cards. In the vehicle they found: a Blackberry cellphone; two income tax statements in his name; two sleeping bags; a metal pipe; bear spray; a tied-up grocery bag containing six separate bundles of money totalling $28,200, one of which contained $10,000 and was vacuum-sealed; and a hard plastic bag containing a silver bag which the arresting officer later deposed is an item commonly used in transporting marihuana. A police dog trained in the detection of narcotics indicated that he detected the odour of narcotics in three locations inside closed cabinets, in which portions of the currency from the applicant’s vehicle had been hidden. The applicant was charged for possession but the Crown stayed the charge a year later.</w:t>
            </w:r>
          </w:p>
          <w:p w:rsidR="00EE4290" w:rsidRPr="00003B04" w:rsidRDefault="00EE4290" w:rsidP="00EE4290">
            <w:pPr>
              <w:jc w:val="both"/>
              <w:rPr>
                <w:sz w:val="20"/>
              </w:rPr>
            </w:pPr>
          </w:p>
          <w:p w:rsidR="00EE4290" w:rsidRPr="00003B04" w:rsidRDefault="00EE4290" w:rsidP="00EE4290">
            <w:pPr>
              <w:jc w:val="both"/>
              <w:rPr>
                <w:sz w:val="20"/>
              </w:rPr>
            </w:pPr>
            <w:r w:rsidRPr="00003B04">
              <w:rPr>
                <w:sz w:val="20"/>
              </w:rPr>
              <w:t xml:space="preserve">The respondent filed a Notice of Civil Claim – Civil Forfeiture alleging, </w:t>
            </w:r>
            <w:r w:rsidRPr="00003B04">
              <w:rPr>
                <w:i/>
                <w:sz w:val="20"/>
              </w:rPr>
              <w:t>inter alia</w:t>
            </w:r>
            <w:r w:rsidRPr="00003B04">
              <w:rPr>
                <w:sz w:val="20"/>
              </w:rPr>
              <w:t xml:space="preserve">, that the vehicle had been used to facilitate the trafficking of illegal drugs and that the money had been provided by purchasers of illegal drugs. The respondent sought orders that the vehicle, the money and the cellphones and their “fruits or proceeds” be forfeited pursuant to s. 5(2) of the </w:t>
            </w:r>
            <w:r w:rsidRPr="00003B04">
              <w:rPr>
                <w:i/>
                <w:sz w:val="20"/>
              </w:rPr>
              <w:t>Act</w:t>
            </w:r>
            <w:r w:rsidRPr="00003B04">
              <w:rPr>
                <w:sz w:val="20"/>
              </w:rPr>
              <w:t xml:space="preserve">. The applicant opposed the orders, denying that any of the items seized were proceeds or instruments of unlawful activity and asserting that as the searches had been contrary to his </w:t>
            </w:r>
            <w:r w:rsidRPr="00003B04">
              <w:rPr>
                <w:i/>
                <w:sz w:val="20"/>
              </w:rPr>
              <w:t>Charter</w:t>
            </w:r>
            <w:r w:rsidRPr="00003B04">
              <w:rPr>
                <w:sz w:val="20"/>
              </w:rPr>
              <w:t xml:space="preserve"> rights, the evidence should be excluded. The respondent brought an application for a preservation order under s. 8(5) of the </w:t>
            </w:r>
            <w:r w:rsidRPr="00003B04">
              <w:rPr>
                <w:i/>
                <w:sz w:val="20"/>
              </w:rPr>
              <w:t>Act</w:t>
            </w:r>
            <w:r w:rsidRPr="00003B04">
              <w:rPr>
                <w:sz w:val="20"/>
              </w:rPr>
              <w:t>. The Supreme Court of British Columbia granted the application, finding a serious question to be tried. The Court of Appeal for British Columbia dismissed the appeal.</w:t>
            </w:r>
          </w:p>
        </w:tc>
      </w:tr>
      <w:tr w:rsidR="00EE4290" w:rsidRPr="00003B04" w:rsidTr="00EE4290">
        <w:tc>
          <w:tcPr>
            <w:tcW w:w="5000" w:type="pct"/>
            <w:gridSpan w:val="4"/>
          </w:tcPr>
          <w:p w:rsidR="00EE4290" w:rsidRPr="00003B04" w:rsidRDefault="00EE4290" w:rsidP="00EE4290">
            <w:pPr>
              <w:jc w:val="both"/>
              <w:rPr>
                <w:sz w:val="20"/>
              </w:rPr>
            </w:pPr>
          </w:p>
        </w:tc>
      </w:tr>
      <w:tr w:rsidR="00EE4290" w:rsidRPr="00003B04" w:rsidTr="00EE4290">
        <w:tc>
          <w:tcPr>
            <w:tcW w:w="2427" w:type="pct"/>
            <w:gridSpan w:val="2"/>
          </w:tcPr>
          <w:p w:rsidR="00EE4290" w:rsidRPr="00003B04" w:rsidRDefault="00EE4290" w:rsidP="00EE4290">
            <w:pPr>
              <w:jc w:val="both"/>
              <w:rPr>
                <w:sz w:val="20"/>
              </w:rPr>
            </w:pPr>
            <w:r w:rsidRPr="00003B04">
              <w:rPr>
                <w:sz w:val="20"/>
              </w:rPr>
              <w:t>November 5, 2015</w:t>
            </w:r>
          </w:p>
          <w:p w:rsidR="00EE4290" w:rsidRPr="00003B04" w:rsidRDefault="00EE4290" w:rsidP="00EE4290">
            <w:pPr>
              <w:jc w:val="both"/>
              <w:rPr>
                <w:sz w:val="20"/>
              </w:rPr>
            </w:pPr>
            <w:r w:rsidRPr="00003B04">
              <w:rPr>
                <w:sz w:val="20"/>
              </w:rPr>
              <w:t>Supreme Court of British Columbia</w:t>
            </w:r>
          </w:p>
          <w:p w:rsidR="00EE4290" w:rsidRPr="00003B04" w:rsidRDefault="00EE4290" w:rsidP="00EE4290">
            <w:pPr>
              <w:jc w:val="both"/>
              <w:rPr>
                <w:sz w:val="20"/>
              </w:rPr>
            </w:pPr>
            <w:r w:rsidRPr="00003B04">
              <w:rPr>
                <w:sz w:val="20"/>
              </w:rPr>
              <w:t>(Wong J.)</w:t>
            </w:r>
          </w:p>
          <w:p w:rsidR="00EE4290" w:rsidRPr="00003B04" w:rsidRDefault="00EE4290" w:rsidP="00EE4290">
            <w:pPr>
              <w:jc w:val="both"/>
              <w:rPr>
                <w:sz w:val="20"/>
              </w:rPr>
            </w:pPr>
            <w:r w:rsidRPr="00003B04">
              <w:rPr>
                <w:sz w:val="20"/>
              </w:rPr>
              <w:t>15-0544</w:t>
            </w:r>
          </w:p>
          <w:p w:rsidR="00EE4290" w:rsidRPr="00003B04" w:rsidRDefault="00EE4290" w:rsidP="00EE4290">
            <w:pPr>
              <w:jc w:val="both"/>
              <w:rPr>
                <w:sz w:val="20"/>
              </w:rPr>
            </w:pPr>
          </w:p>
        </w:tc>
        <w:tc>
          <w:tcPr>
            <w:tcW w:w="243" w:type="pct"/>
          </w:tcPr>
          <w:p w:rsidR="00EE4290" w:rsidRPr="00003B04" w:rsidRDefault="00EE4290" w:rsidP="00EE4290">
            <w:pPr>
              <w:jc w:val="both"/>
              <w:rPr>
                <w:sz w:val="20"/>
              </w:rPr>
            </w:pPr>
          </w:p>
        </w:tc>
        <w:tc>
          <w:tcPr>
            <w:tcW w:w="2330" w:type="pct"/>
          </w:tcPr>
          <w:p w:rsidR="00EE4290" w:rsidRPr="00003B04" w:rsidRDefault="00EE4290" w:rsidP="00EE4290">
            <w:pPr>
              <w:jc w:val="both"/>
              <w:rPr>
                <w:sz w:val="20"/>
              </w:rPr>
            </w:pPr>
            <w:r w:rsidRPr="00003B04">
              <w:rPr>
                <w:sz w:val="20"/>
              </w:rPr>
              <w:t>Respondent’s application for  an interim preservation order granted</w:t>
            </w:r>
          </w:p>
          <w:p w:rsidR="00EE4290" w:rsidRPr="00003B04" w:rsidRDefault="00EE4290" w:rsidP="00EE4290">
            <w:pPr>
              <w:jc w:val="both"/>
              <w:rPr>
                <w:sz w:val="20"/>
              </w:rPr>
            </w:pPr>
          </w:p>
        </w:tc>
      </w:tr>
    </w:tbl>
    <w:p w:rsidR="008F5EB8" w:rsidRPr="00003B04" w:rsidRDefault="008F5EB8">
      <w:r w:rsidRPr="00003B04">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E4290" w:rsidRPr="00003B04" w:rsidTr="00EE4290">
        <w:tc>
          <w:tcPr>
            <w:tcW w:w="2427" w:type="pct"/>
          </w:tcPr>
          <w:p w:rsidR="00EE4290" w:rsidRPr="00003B04" w:rsidRDefault="00EE4290" w:rsidP="00EE4290">
            <w:pPr>
              <w:jc w:val="both"/>
              <w:rPr>
                <w:sz w:val="20"/>
              </w:rPr>
            </w:pPr>
            <w:r w:rsidRPr="00003B04">
              <w:rPr>
                <w:sz w:val="20"/>
              </w:rPr>
              <w:lastRenderedPageBreak/>
              <w:t>July 27, 2016</w:t>
            </w:r>
          </w:p>
          <w:p w:rsidR="00EE4290" w:rsidRPr="00003B04" w:rsidRDefault="00EE4290" w:rsidP="00EE4290">
            <w:pPr>
              <w:jc w:val="both"/>
              <w:rPr>
                <w:sz w:val="20"/>
              </w:rPr>
            </w:pPr>
            <w:r w:rsidRPr="00003B04">
              <w:rPr>
                <w:sz w:val="20"/>
              </w:rPr>
              <w:t xml:space="preserve">Court of Appeal for British Columbia </w:t>
            </w:r>
          </w:p>
          <w:p w:rsidR="00EE4290" w:rsidRPr="00003B04" w:rsidRDefault="00EE4290" w:rsidP="00EE4290">
            <w:pPr>
              <w:jc w:val="both"/>
              <w:rPr>
                <w:sz w:val="20"/>
              </w:rPr>
            </w:pPr>
            <w:r w:rsidRPr="00003B04">
              <w:rPr>
                <w:sz w:val="20"/>
              </w:rPr>
              <w:t>(Vancouver)</w:t>
            </w:r>
          </w:p>
          <w:p w:rsidR="00EE4290" w:rsidRPr="00003B04" w:rsidRDefault="00EE4290" w:rsidP="00EE4290">
            <w:pPr>
              <w:jc w:val="both"/>
              <w:rPr>
                <w:sz w:val="20"/>
              </w:rPr>
            </w:pPr>
            <w:r w:rsidRPr="00003B04">
              <w:rPr>
                <w:sz w:val="20"/>
              </w:rPr>
              <w:t>(Newbury, Frankel and Savage JJ.A.)</w:t>
            </w:r>
          </w:p>
          <w:p w:rsidR="00EE4290" w:rsidRPr="00003B04" w:rsidRDefault="00604445" w:rsidP="00EE4290">
            <w:pPr>
              <w:jc w:val="both"/>
              <w:rPr>
                <w:sz w:val="20"/>
              </w:rPr>
            </w:pPr>
            <w:hyperlink r:id="rId81" w:history="1">
              <w:r w:rsidR="00EE4290" w:rsidRPr="00003B04">
                <w:rPr>
                  <w:rStyle w:val="Hyperlink"/>
                  <w:sz w:val="20"/>
                </w:rPr>
                <w:t>2016 BCCA 333</w:t>
              </w:r>
            </w:hyperlink>
            <w:r w:rsidR="00EE4290" w:rsidRPr="00003B04">
              <w:rPr>
                <w:sz w:val="20"/>
              </w:rPr>
              <w:t>; CA 43 286</w:t>
            </w:r>
          </w:p>
          <w:p w:rsidR="00EE4290" w:rsidRPr="00003B04" w:rsidRDefault="00EE4290" w:rsidP="00EE4290">
            <w:pPr>
              <w:jc w:val="both"/>
              <w:rPr>
                <w:sz w:val="20"/>
              </w:rPr>
            </w:pPr>
          </w:p>
        </w:tc>
        <w:tc>
          <w:tcPr>
            <w:tcW w:w="243" w:type="pct"/>
          </w:tcPr>
          <w:p w:rsidR="00EE4290" w:rsidRPr="00003B04" w:rsidRDefault="00EE4290" w:rsidP="00EE4290">
            <w:pPr>
              <w:jc w:val="both"/>
              <w:rPr>
                <w:sz w:val="20"/>
              </w:rPr>
            </w:pPr>
          </w:p>
        </w:tc>
        <w:tc>
          <w:tcPr>
            <w:tcW w:w="2330" w:type="pct"/>
          </w:tcPr>
          <w:p w:rsidR="00EE4290" w:rsidRPr="00003B04" w:rsidRDefault="00EE4290" w:rsidP="00EE4290">
            <w:pPr>
              <w:jc w:val="both"/>
              <w:rPr>
                <w:sz w:val="20"/>
              </w:rPr>
            </w:pPr>
            <w:r w:rsidRPr="00003B04">
              <w:rPr>
                <w:sz w:val="20"/>
              </w:rPr>
              <w:t>Appeal dismissed</w:t>
            </w:r>
          </w:p>
          <w:p w:rsidR="00EE4290" w:rsidRPr="00003B04" w:rsidRDefault="00EE4290" w:rsidP="00EE4290">
            <w:pPr>
              <w:jc w:val="both"/>
              <w:rPr>
                <w:sz w:val="20"/>
              </w:rPr>
            </w:pPr>
          </w:p>
        </w:tc>
      </w:tr>
      <w:tr w:rsidR="00EE4290" w:rsidRPr="00003B04" w:rsidTr="00EE4290">
        <w:tc>
          <w:tcPr>
            <w:tcW w:w="2427" w:type="pct"/>
          </w:tcPr>
          <w:p w:rsidR="00EE4290" w:rsidRPr="00003B04" w:rsidRDefault="00EE4290" w:rsidP="00EE4290">
            <w:pPr>
              <w:jc w:val="both"/>
              <w:rPr>
                <w:sz w:val="20"/>
              </w:rPr>
            </w:pPr>
            <w:r w:rsidRPr="00003B04">
              <w:rPr>
                <w:sz w:val="20"/>
              </w:rPr>
              <w:t>September 26, 2016</w:t>
            </w:r>
          </w:p>
          <w:p w:rsidR="00EE4290" w:rsidRPr="00003B04" w:rsidRDefault="00EE4290" w:rsidP="00EE4290">
            <w:pPr>
              <w:jc w:val="both"/>
              <w:rPr>
                <w:sz w:val="20"/>
              </w:rPr>
            </w:pPr>
            <w:r w:rsidRPr="00003B04">
              <w:rPr>
                <w:sz w:val="20"/>
              </w:rPr>
              <w:t>Supreme Court of Canada</w:t>
            </w:r>
          </w:p>
        </w:tc>
        <w:tc>
          <w:tcPr>
            <w:tcW w:w="243" w:type="pct"/>
          </w:tcPr>
          <w:p w:rsidR="00EE4290" w:rsidRPr="00003B04" w:rsidRDefault="00EE4290" w:rsidP="00EE4290">
            <w:pPr>
              <w:jc w:val="both"/>
              <w:rPr>
                <w:sz w:val="20"/>
              </w:rPr>
            </w:pPr>
          </w:p>
        </w:tc>
        <w:tc>
          <w:tcPr>
            <w:tcW w:w="2330" w:type="pct"/>
          </w:tcPr>
          <w:p w:rsidR="00EE4290" w:rsidRPr="00003B04" w:rsidRDefault="00EE4290" w:rsidP="00EE4290">
            <w:pPr>
              <w:jc w:val="both"/>
              <w:rPr>
                <w:sz w:val="20"/>
              </w:rPr>
            </w:pPr>
            <w:r w:rsidRPr="00003B04">
              <w:rPr>
                <w:sz w:val="20"/>
              </w:rPr>
              <w:t>Application for leave to appeal filed</w:t>
            </w:r>
          </w:p>
          <w:p w:rsidR="00EE4290" w:rsidRPr="00003B04" w:rsidRDefault="00EE4290" w:rsidP="00EE4290">
            <w:pPr>
              <w:jc w:val="both"/>
              <w:rPr>
                <w:sz w:val="20"/>
              </w:rPr>
            </w:pPr>
          </w:p>
        </w:tc>
      </w:tr>
    </w:tbl>
    <w:p w:rsidR="00EE4290" w:rsidRPr="00003B04" w:rsidRDefault="00604445" w:rsidP="00EE4290">
      <w:pPr>
        <w:jc w:val="both"/>
        <w:rPr>
          <w:sz w:val="20"/>
        </w:rPr>
      </w:pPr>
      <w:r>
        <w:rPr>
          <w:sz w:val="20"/>
          <w:szCs w:val="20"/>
        </w:rPr>
        <w:pict>
          <v:rect id="_x0000_i1079" style="width:2in;height:1pt" o:hrpct="0" o:hralign="center" o:hrstd="t" o:hrnoshade="t" o:hr="t" fillcolor="black [3213]" stroked="f"/>
        </w:pict>
      </w:r>
    </w:p>
    <w:p w:rsidR="00EE4290" w:rsidRPr="00003B04" w:rsidRDefault="00EE4290" w:rsidP="00EE429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E4290" w:rsidRPr="00003B04" w:rsidTr="00EE4290">
        <w:tc>
          <w:tcPr>
            <w:tcW w:w="543" w:type="pct"/>
          </w:tcPr>
          <w:p w:rsidR="00EE4290" w:rsidRPr="00003B04" w:rsidRDefault="00EE4290" w:rsidP="00EE4290">
            <w:pPr>
              <w:jc w:val="both"/>
              <w:rPr>
                <w:sz w:val="20"/>
                <w:lang w:val="fr-CA"/>
              </w:rPr>
            </w:pPr>
            <w:r w:rsidRPr="00003B04">
              <w:rPr>
                <w:rStyle w:val="SCCFileNumberChar"/>
                <w:sz w:val="20"/>
                <w:szCs w:val="20"/>
                <w:lang w:val="fr-CA"/>
              </w:rPr>
              <w:t>37203</w:t>
            </w:r>
          </w:p>
        </w:tc>
        <w:tc>
          <w:tcPr>
            <w:tcW w:w="4457" w:type="pct"/>
            <w:gridSpan w:val="3"/>
          </w:tcPr>
          <w:p w:rsidR="00EE4290" w:rsidRPr="00003B04" w:rsidRDefault="00EE4290" w:rsidP="00767A6B">
            <w:pPr>
              <w:pStyle w:val="SCCLsocParty"/>
              <w:jc w:val="both"/>
              <w:rPr>
                <w:sz w:val="20"/>
              </w:rPr>
            </w:pPr>
            <w:r w:rsidRPr="00003B04">
              <w:rPr>
                <w:b/>
                <w:sz w:val="20"/>
                <w:szCs w:val="20"/>
                <w:lang w:val="en-US"/>
              </w:rPr>
              <w:t>Tyler Glen Jordan c. Director of Civil Forfeiture</w:t>
            </w:r>
            <w:r w:rsidR="00767A6B" w:rsidRPr="00003B04">
              <w:rPr>
                <w:b/>
                <w:sz w:val="20"/>
                <w:szCs w:val="20"/>
                <w:lang w:val="en-US"/>
              </w:rPr>
              <w:t xml:space="preserve"> </w:t>
            </w:r>
            <w:r w:rsidRPr="00003B04">
              <w:rPr>
                <w:sz w:val="20"/>
                <w:lang w:val="en-US"/>
              </w:rPr>
              <w:t xml:space="preserve">(C.-B.) </w:t>
            </w:r>
            <w:r w:rsidRPr="00003B04">
              <w:rPr>
                <w:sz w:val="20"/>
              </w:rPr>
              <w:t>(Civile) (Sur autorisation)</w:t>
            </w:r>
          </w:p>
          <w:p w:rsidR="00767A6B" w:rsidRPr="00003B04" w:rsidRDefault="00767A6B" w:rsidP="00767A6B">
            <w:pPr>
              <w:rPr>
                <w:lang w:val="fr-CA"/>
              </w:rPr>
            </w:pPr>
          </w:p>
        </w:tc>
      </w:tr>
      <w:tr w:rsidR="004F14EC" w:rsidRPr="00C3697D" w:rsidTr="00EE4290">
        <w:tc>
          <w:tcPr>
            <w:tcW w:w="543" w:type="pct"/>
          </w:tcPr>
          <w:p w:rsidR="004F14EC" w:rsidRPr="00003B04" w:rsidRDefault="004F14EC" w:rsidP="00EE4290">
            <w:pPr>
              <w:jc w:val="both"/>
              <w:rPr>
                <w:rStyle w:val="SCCFileNumberChar"/>
                <w:sz w:val="20"/>
                <w:szCs w:val="20"/>
                <w:lang w:val="fr-CA"/>
              </w:rPr>
            </w:pPr>
            <w:r w:rsidRPr="00003B04">
              <w:rPr>
                <w:rStyle w:val="SCCFileNumberChar"/>
                <w:sz w:val="20"/>
                <w:szCs w:val="20"/>
                <w:lang w:val="fr-CA"/>
              </w:rPr>
              <w:t>Coram :</w:t>
            </w:r>
          </w:p>
        </w:tc>
        <w:tc>
          <w:tcPr>
            <w:tcW w:w="4457" w:type="pct"/>
            <w:gridSpan w:val="3"/>
          </w:tcPr>
          <w:p w:rsidR="002B2A73" w:rsidRPr="00003B04" w:rsidRDefault="005A5AB4" w:rsidP="002B2A73">
            <w:pPr>
              <w:rPr>
                <w:lang w:val="fr-CA" w:eastAsia="en-CA"/>
              </w:rPr>
            </w:pPr>
            <w:r w:rsidRPr="00003B04">
              <w:rPr>
                <w:rFonts w:eastAsiaTheme="minorEastAsia" w:cs="Times New Roman"/>
                <w:sz w:val="20"/>
                <w:szCs w:val="20"/>
                <w:lang w:val="fr-FR" w:eastAsia="en-CA"/>
              </w:rPr>
              <w:t xml:space="preserve">La juge en chef </w:t>
            </w:r>
            <w:proofErr w:type="spellStart"/>
            <w:r w:rsidRPr="00003B04">
              <w:rPr>
                <w:rFonts w:eastAsiaTheme="minorEastAsia" w:cs="Times New Roman"/>
                <w:sz w:val="20"/>
                <w:szCs w:val="20"/>
                <w:lang w:val="fr-FR" w:eastAsia="en-CA"/>
              </w:rPr>
              <w:t>McLachlin</w:t>
            </w:r>
            <w:proofErr w:type="spellEnd"/>
            <w:r w:rsidRPr="00003B04">
              <w:rPr>
                <w:rFonts w:eastAsiaTheme="minorEastAsia" w:cs="Times New Roman"/>
                <w:sz w:val="20"/>
                <w:szCs w:val="20"/>
                <w:lang w:val="fr-FR" w:eastAsia="en-CA"/>
              </w:rPr>
              <w:t xml:space="preserve"> et les juges Abella, </w:t>
            </w:r>
            <w:proofErr w:type="spellStart"/>
            <w:r w:rsidRPr="00003B04">
              <w:rPr>
                <w:rFonts w:eastAsiaTheme="minorEastAsia" w:cs="Times New Roman"/>
                <w:sz w:val="20"/>
                <w:szCs w:val="20"/>
                <w:lang w:val="fr-CA" w:eastAsia="en-CA"/>
              </w:rPr>
              <w:t>Moldaver</w:t>
            </w:r>
            <w:proofErr w:type="spellEnd"/>
            <w:r w:rsidRPr="00003B04">
              <w:rPr>
                <w:rFonts w:eastAsiaTheme="minorEastAsia" w:cs="Times New Roman"/>
                <w:sz w:val="20"/>
                <w:szCs w:val="20"/>
                <w:lang w:val="fr-CA" w:eastAsia="en-CA"/>
              </w:rPr>
              <w:t xml:space="preserve">, </w:t>
            </w:r>
            <w:proofErr w:type="spellStart"/>
            <w:r w:rsidRPr="00003B04">
              <w:rPr>
                <w:rFonts w:eastAsiaTheme="minorEastAsia" w:cs="Times New Roman"/>
                <w:sz w:val="20"/>
                <w:szCs w:val="20"/>
                <w:lang w:val="fr-CA" w:eastAsia="en-CA"/>
              </w:rPr>
              <w:t>Karakatsanis</w:t>
            </w:r>
            <w:proofErr w:type="spellEnd"/>
            <w:r w:rsidRPr="00003B04">
              <w:rPr>
                <w:rFonts w:eastAsiaTheme="minorEastAsia" w:cs="Times New Roman"/>
                <w:sz w:val="20"/>
                <w:szCs w:val="20"/>
                <w:lang w:val="fr-CA" w:eastAsia="en-CA"/>
              </w:rPr>
              <w:t>, Wagner, Gascon, Côté, Brown et Rowe</w:t>
            </w:r>
            <w:r w:rsidRPr="00003B04">
              <w:rPr>
                <w:lang w:val="fr-CA" w:eastAsia="en-CA"/>
              </w:rPr>
              <w:t xml:space="preserve"> </w:t>
            </w:r>
          </w:p>
          <w:p w:rsidR="005A5AB4" w:rsidRPr="00003B04" w:rsidRDefault="005A5AB4" w:rsidP="002B2A73">
            <w:pPr>
              <w:rPr>
                <w:lang w:val="fr-CA" w:eastAsia="en-CA"/>
              </w:rPr>
            </w:pPr>
          </w:p>
        </w:tc>
      </w:tr>
      <w:tr w:rsidR="004F14EC" w:rsidRPr="00C3697D" w:rsidTr="004F14EC">
        <w:tc>
          <w:tcPr>
            <w:tcW w:w="5000" w:type="pct"/>
            <w:gridSpan w:val="4"/>
          </w:tcPr>
          <w:p w:rsidR="002B2A73" w:rsidRPr="00003B04" w:rsidRDefault="005A5AB4" w:rsidP="002B2A73">
            <w:pPr>
              <w:rPr>
                <w:sz w:val="20"/>
                <w:szCs w:val="20"/>
                <w:lang w:val="fr-CA"/>
              </w:rPr>
            </w:pPr>
            <w:r w:rsidRPr="00003B04">
              <w:rPr>
                <w:sz w:val="20"/>
                <w:szCs w:val="20"/>
                <w:lang w:val="fr-CA"/>
              </w:rPr>
              <w:t xml:space="preserve">La demande d’autorisation d’appel de l’arrêt de la Cour d’appel de la Colombie-Britannique (Vancouver), numéro CA43286, 2016 BCCA 333, daté du 27 juillet 2016, est rejetée avec dépens. </w:t>
            </w:r>
          </w:p>
          <w:p w:rsidR="005A5AB4" w:rsidRPr="00003B04" w:rsidRDefault="005A5AB4" w:rsidP="002B2A73">
            <w:pPr>
              <w:rPr>
                <w:lang w:val="fr-CA"/>
              </w:rPr>
            </w:pPr>
          </w:p>
        </w:tc>
      </w:tr>
      <w:tr w:rsidR="00EE4290" w:rsidRPr="00C3697D" w:rsidTr="00EE4290">
        <w:tc>
          <w:tcPr>
            <w:tcW w:w="5000" w:type="pct"/>
            <w:gridSpan w:val="4"/>
          </w:tcPr>
          <w:p w:rsidR="00EE4290" w:rsidRPr="00003B04" w:rsidRDefault="00EE4290" w:rsidP="00EE4290">
            <w:pPr>
              <w:jc w:val="both"/>
              <w:rPr>
                <w:sz w:val="20"/>
                <w:lang w:val="fr-CA"/>
              </w:rPr>
            </w:pPr>
            <w:r w:rsidRPr="00003B04">
              <w:rPr>
                <w:sz w:val="20"/>
                <w:lang w:val="fr-CA"/>
              </w:rPr>
              <w:t>Preuve – Admissibilité – Procédure civile – Jugements et ordonnances – Motifs – La Cour d’appel a-t-elle eu tort de rejeter l’appel, malgré l’admission irrégulière d’une preuve d’opinion qui [</w:t>
            </w:r>
            <w:r w:rsidRPr="00003B04">
              <w:rPr>
                <w:smallCaps/>
                <w:sz w:val="20"/>
                <w:lang w:val="fr-CA"/>
              </w:rPr>
              <w:t>traduction</w:t>
            </w:r>
            <w:r w:rsidRPr="00003B04">
              <w:rPr>
                <w:sz w:val="20"/>
                <w:lang w:val="fr-CA"/>
              </w:rPr>
              <w:t>] « n’était pas de nature scientifique ou technique » et qui portait sur la question ultime que la Cour devait trancher? – La Cour d’appel a-t-elle eu tort de conclure qu’il y avait une question sérieuse à juger? – La Cour d’appel a-t-elle eu tort de conclure que les motifs du juge siégeant en cabinet n’étaient pas [</w:t>
            </w:r>
            <w:r w:rsidRPr="00003B04">
              <w:rPr>
                <w:smallCaps/>
                <w:sz w:val="20"/>
                <w:lang w:val="fr-CA"/>
              </w:rPr>
              <w:t>traduction</w:t>
            </w:r>
            <w:r w:rsidRPr="00003B04">
              <w:rPr>
                <w:sz w:val="20"/>
                <w:lang w:val="fr-CA"/>
              </w:rPr>
              <w:t xml:space="preserve">] « inadéquats au point d’empêcher un examen convenable en appel »? – </w:t>
            </w:r>
            <w:r w:rsidRPr="00003B04">
              <w:rPr>
                <w:i/>
                <w:sz w:val="20"/>
                <w:lang w:val="fr-CA"/>
              </w:rPr>
              <w:t xml:space="preserve">Civil </w:t>
            </w:r>
            <w:proofErr w:type="spellStart"/>
            <w:r w:rsidRPr="00003B04">
              <w:rPr>
                <w:i/>
                <w:sz w:val="20"/>
                <w:lang w:val="fr-CA"/>
              </w:rPr>
              <w:t>Forfeiture</w:t>
            </w:r>
            <w:proofErr w:type="spellEnd"/>
            <w:r w:rsidRPr="00003B04">
              <w:rPr>
                <w:i/>
                <w:sz w:val="20"/>
                <w:lang w:val="fr-CA"/>
              </w:rPr>
              <w:t xml:space="preserve"> </w:t>
            </w:r>
            <w:proofErr w:type="spellStart"/>
            <w:r w:rsidRPr="00003B04">
              <w:rPr>
                <w:i/>
                <w:sz w:val="20"/>
                <w:lang w:val="fr-CA"/>
              </w:rPr>
              <w:t>Act</w:t>
            </w:r>
            <w:proofErr w:type="spellEnd"/>
            <w:r w:rsidRPr="00003B04">
              <w:rPr>
                <w:sz w:val="20"/>
                <w:lang w:val="fr-CA"/>
              </w:rPr>
              <w:t>, S.B.C. 2005 (la « </w:t>
            </w:r>
            <w:r w:rsidRPr="00003B04">
              <w:rPr>
                <w:i/>
                <w:sz w:val="20"/>
                <w:lang w:val="fr-CA"/>
              </w:rPr>
              <w:t>Loi</w:t>
            </w:r>
            <w:r w:rsidRPr="00003B04">
              <w:rPr>
                <w:sz w:val="20"/>
                <w:lang w:val="fr-CA"/>
              </w:rPr>
              <w:t> »).</w:t>
            </w:r>
          </w:p>
          <w:p w:rsidR="00EE4290" w:rsidRPr="00003B04" w:rsidRDefault="00EE4290" w:rsidP="00EE4290">
            <w:pPr>
              <w:jc w:val="both"/>
              <w:rPr>
                <w:sz w:val="20"/>
                <w:lang w:val="fr-CA"/>
              </w:rPr>
            </w:pPr>
          </w:p>
          <w:p w:rsidR="00EE4290" w:rsidRPr="00003B04" w:rsidRDefault="00EE4290" w:rsidP="00EE4290">
            <w:pPr>
              <w:jc w:val="both"/>
              <w:rPr>
                <w:sz w:val="20"/>
                <w:lang w:val="fr-CA"/>
              </w:rPr>
            </w:pPr>
            <w:r w:rsidRPr="00003B04">
              <w:rPr>
                <w:sz w:val="20"/>
                <w:lang w:val="fr-CA"/>
              </w:rPr>
              <w:t xml:space="preserve">Dans le cadre d’un contrôle routier de sécurité lié à la conduite avec les facultés affaiblies, des policiers ont intercepté un véhicule que conduisait le demandeur. L’assurance du demandeur était échue. Les policiers ont remarqué une forte odeur de marijuana au stade végétatif et une faible odeur de fumée de marijuana provenant de l’intérieur de l’automobile et, plus tard, une odeur de marijuana au stade végétatif provenant du demandeur lui-même. Le demandeur a été arrêté pour possession de marijuana et a reçu une mise en garde. En effectuant la fouille accessoire à l’arrestation, les policiers ont trouvé sur la personne du demandeur un gros canif, deux téléphones cellulaires et 1 015 $ en argent comptant qu’il aurait, selon ses dires, gagné aux cartes. Dans le véhicule, les policiers ont trouvé un téléphone cellulaire </w:t>
            </w:r>
            <w:proofErr w:type="spellStart"/>
            <w:r w:rsidRPr="00003B04">
              <w:rPr>
                <w:sz w:val="20"/>
                <w:lang w:val="fr-CA"/>
              </w:rPr>
              <w:t>Blackberry</w:t>
            </w:r>
            <w:proofErr w:type="spellEnd"/>
            <w:r w:rsidRPr="00003B04">
              <w:rPr>
                <w:sz w:val="20"/>
                <w:lang w:val="fr-CA"/>
              </w:rPr>
              <w:t>, deux déclarations de revenus au nom du demandeur, deux sacs de couchage, un tuyau de métal, un vaporisateur chasse-ours, un sac d’épicerie attaché renfermant six liasses de billets totalisant 28 200 $, dont l’une contenait 10 000 $ et était scellée sous vide, et un sac de plastique rigide renfermant un sac argenté qui est, selon le témoignage de l’agent qui a procédé à l’arrestation, un article couramment utilisé pour le transport de la marijuana. Un chien policier dressé pour la détection de stupéfiants a indiqué qu’il avait détecté l’odeur de stupéfiants à trois endroits à l’intérieur de coffres fermés, dans lesquels des parties de l’argent comptant qui se trouvaient dans le véhicule du demandeur avaient été cachées. Le demandeur a été accusé de possession, mais le ministère public a sursis à l’accusation un an plus tard.</w:t>
            </w:r>
          </w:p>
          <w:p w:rsidR="00EE4290" w:rsidRPr="00003B04" w:rsidRDefault="00EE4290" w:rsidP="00EE4290">
            <w:pPr>
              <w:jc w:val="both"/>
              <w:rPr>
                <w:sz w:val="20"/>
                <w:lang w:val="fr-CA"/>
              </w:rPr>
            </w:pPr>
          </w:p>
          <w:p w:rsidR="00EE4290" w:rsidRPr="00003B04" w:rsidRDefault="00EE4290" w:rsidP="00EE4290">
            <w:pPr>
              <w:jc w:val="both"/>
              <w:rPr>
                <w:sz w:val="20"/>
                <w:lang w:val="fr-CA"/>
              </w:rPr>
            </w:pPr>
            <w:r w:rsidRPr="00003B04">
              <w:rPr>
                <w:sz w:val="20"/>
                <w:lang w:val="fr-CA"/>
              </w:rPr>
              <w:t>L’intimé a déposé une déclaration en confiscation civile, alléguant notamment que le véhicule avait été utilisé pour faciliter le trafic de drogues illégales et que l’argent avait été fourni par des acheteurs de drogues illégales. L’intimé a sollicité des ordonnances de confiscation du véhicule, de l’argent, des téléphones cellulaires et de [</w:t>
            </w:r>
            <w:r w:rsidRPr="00003B04">
              <w:rPr>
                <w:smallCaps/>
                <w:sz w:val="20"/>
                <w:lang w:val="fr-CA"/>
              </w:rPr>
              <w:t>traduction</w:t>
            </w:r>
            <w:r w:rsidRPr="00003B04">
              <w:rPr>
                <w:sz w:val="20"/>
                <w:lang w:val="fr-CA"/>
              </w:rPr>
              <w:t xml:space="preserve">] « leurs fruits ou produits » en application du par. 5(2) de la </w:t>
            </w:r>
            <w:r w:rsidRPr="00003B04">
              <w:rPr>
                <w:i/>
                <w:sz w:val="20"/>
                <w:lang w:val="fr-CA"/>
              </w:rPr>
              <w:t>Loi</w:t>
            </w:r>
            <w:r w:rsidRPr="00003B04">
              <w:rPr>
                <w:sz w:val="20"/>
                <w:lang w:val="fr-CA"/>
              </w:rPr>
              <w:t xml:space="preserve">. Le demandeur s’est opposé aux ordonnances, niant que les articles saisis étaient des produits ou des instruments d’une activité illicite et alléguant que parce que les fouilles avaient été effectuées en contravention des droits que lui garantit la </w:t>
            </w:r>
            <w:r w:rsidRPr="00003B04">
              <w:rPr>
                <w:i/>
                <w:sz w:val="20"/>
                <w:lang w:val="fr-CA"/>
              </w:rPr>
              <w:t>Charte</w:t>
            </w:r>
            <w:r w:rsidRPr="00003B04">
              <w:rPr>
                <w:sz w:val="20"/>
                <w:lang w:val="fr-CA"/>
              </w:rPr>
              <w:t xml:space="preserve">, la preuve devait être exclue. L’intimé a présenté une demande d’ordonnance de conservation en application du par. 8(5) de la </w:t>
            </w:r>
            <w:r w:rsidRPr="00003B04">
              <w:rPr>
                <w:i/>
                <w:sz w:val="20"/>
                <w:lang w:val="fr-CA"/>
              </w:rPr>
              <w:t>Loi</w:t>
            </w:r>
            <w:r w:rsidRPr="00003B04">
              <w:rPr>
                <w:sz w:val="20"/>
                <w:lang w:val="fr-CA"/>
              </w:rPr>
              <w:t>. La Cour suprême de la Colombie-Britannique a accueilli la demande, concluant qu’il y avait une question sérieuse à juger. La Cour d’appel de la Colombie-Britannique a rejeté l’appel.</w:t>
            </w:r>
          </w:p>
        </w:tc>
      </w:tr>
      <w:tr w:rsidR="00EE4290" w:rsidRPr="00C3697D" w:rsidTr="00EE4290">
        <w:tc>
          <w:tcPr>
            <w:tcW w:w="5000" w:type="pct"/>
            <w:gridSpan w:val="4"/>
          </w:tcPr>
          <w:p w:rsidR="00EE4290" w:rsidRPr="00003B04" w:rsidRDefault="00EE4290" w:rsidP="00EE4290">
            <w:pPr>
              <w:jc w:val="both"/>
              <w:rPr>
                <w:sz w:val="20"/>
                <w:lang w:val="fr-CA"/>
              </w:rPr>
            </w:pPr>
          </w:p>
        </w:tc>
      </w:tr>
      <w:tr w:rsidR="00EE4290" w:rsidRPr="00C3697D" w:rsidTr="00EE4290">
        <w:tc>
          <w:tcPr>
            <w:tcW w:w="2427" w:type="pct"/>
            <w:gridSpan w:val="2"/>
          </w:tcPr>
          <w:p w:rsidR="00EE4290" w:rsidRPr="00003B04" w:rsidRDefault="00EE4290" w:rsidP="00EE4290">
            <w:pPr>
              <w:jc w:val="both"/>
              <w:rPr>
                <w:sz w:val="20"/>
                <w:lang w:val="fr-CA"/>
              </w:rPr>
            </w:pPr>
            <w:r w:rsidRPr="00003B04">
              <w:rPr>
                <w:sz w:val="20"/>
                <w:lang w:val="fr-CA"/>
              </w:rPr>
              <w:lastRenderedPageBreak/>
              <w:t>5 novembre 2015</w:t>
            </w:r>
          </w:p>
          <w:p w:rsidR="00EE4290" w:rsidRPr="00003B04" w:rsidRDefault="00EE4290" w:rsidP="00EE4290">
            <w:pPr>
              <w:jc w:val="both"/>
              <w:rPr>
                <w:sz w:val="20"/>
                <w:lang w:val="fr-CA"/>
              </w:rPr>
            </w:pPr>
            <w:r w:rsidRPr="00003B04">
              <w:rPr>
                <w:sz w:val="20"/>
                <w:lang w:val="fr-CA"/>
              </w:rPr>
              <w:t>Cour suprême de la Colombie-Britannique</w:t>
            </w:r>
          </w:p>
          <w:p w:rsidR="00EE4290" w:rsidRPr="00003B04" w:rsidRDefault="00EE4290" w:rsidP="00EE4290">
            <w:pPr>
              <w:jc w:val="both"/>
              <w:rPr>
                <w:sz w:val="20"/>
                <w:lang w:val="fr-CA"/>
              </w:rPr>
            </w:pPr>
            <w:r w:rsidRPr="00003B04">
              <w:rPr>
                <w:sz w:val="20"/>
                <w:lang w:val="fr-CA"/>
              </w:rPr>
              <w:t>(Juge Wong)</w:t>
            </w:r>
          </w:p>
          <w:p w:rsidR="00EE4290" w:rsidRPr="00003B04" w:rsidRDefault="00EE4290" w:rsidP="00EE4290">
            <w:pPr>
              <w:jc w:val="both"/>
              <w:rPr>
                <w:sz w:val="20"/>
                <w:lang w:val="fr-CA"/>
              </w:rPr>
            </w:pPr>
            <w:r w:rsidRPr="00003B04">
              <w:rPr>
                <w:sz w:val="20"/>
                <w:lang w:val="fr-CA"/>
              </w:rPr>
              <w:t>15-0544</w:t>
            </w:r>
          </w:p>
          <w:p w:rsidR="00EE4290" w:rsidRPr="00003B04" w:rsidRDefault="00EE4290" w:rsidP="00EE4290">
            <w:pPr>
              <w:jc w:val="both"/>
              <w:rPr>
                <w:sz w:val="20"/>
                <w:lang w:val="fr-CA"/>
              </w:rPr>
            </w:pPr>
          </w:p>
        </w:tc>
        <w:tc>
          <w:tcPr>
            <w:tcW w:w="243" w:type="pct"/>
          </w:tcPr>
          <w:p w:rsidR="00EE4290" w:rsidRPr="00003B04" w:rsidRDefault="00EE4290" w:rsidP="00EE4290">
            <w:pPr>
              <w:jc w:val="both"/>
              <w:rPr>
                <w:sz w:val="20"/>
                <w:lang w:val="fr-CA"/>
              </w:rPr>
            </w:pPr>
          </w:p>
        </w:tc>
        <w:tc>
          <w:tcPr>
            <w:tcW w:w="2330" w:type="pct"/>
          </w:tcPr>
          <w:p w:rsidR="00EE4290" w:rsidRPr="00003B04" w:rsidRDefault="00EE4290" w:rsidP="00EE4290">
            <w:pPr>
              <w:jc w:val="both"/>
              <w:rPr>
                <w:sz w:val="20"/>
                <w:lang w:val="fr-CA"/>
              </w:rPr>
            </w:pPr>
            <w:r w:rsidRPr="00003B04">
              <w:rPr>
                <w:sz w:val="20"/>
                <w:lang w:val="fr-CA"/>
              </w:rPr>
              <w:t>Jugement accueillant la demande d’ordonnance conservatoire provisoire de l’intimé</w:t>
            </w:r>
          </w:p>
          <w:p w:rsidR="00EE4290" w:rsidRPr="00003B04" w:rsidRDefault="00EE4290" w:rsidP="00EE4290">
            <w:pPr>
              <w:jc w:val="both"/>
              <w:rPr>
                <w:sz w:val="20"/>
                <w:lang w:val="fr-CA"/>
              </w:rPr>
            </w:pPr>
          </w:p>
        </w:tc>
      </w:tr>
      <w:tr w:rsidR="00EE4290" w:rsidRPr="00003B04" w:rsidTr="00EE4290">
        <w:tc>
          <w:tcPr>
            <w:tcW w:w="2427" w:type="pct"/>
            <w:gridSpan w:val="2"/>
          </w:tcPr>
          <w:p w:rsidR="00EE4290" w:rsidRPr="00003B04" w:rsidRDefault="00EE4290" w:rsidP="00EE4290">
            <w:pPr>
              <w:jc w:val="both"/>
              <w:rPr>
                <w:sz w:val="20"/>
                <w:lang w:val="fr-CA"/>
              </w:rPr>
            </w:pPr>
            <w:r w:rsidRPr="00003B04">
              <w:rPr>
                <w:sz w:val="20"/>
                <w:lang w:val="fr-CA"/>
              </w:rPr>
              <w:t>27 juillet 2016</w:t>
            </w:r>
          </w:p>
          <w:p w:rsidR="00EE4290" w:rsidRPr="00003B04" w:rsidRDefault="00EE4290" w:rsidP="00EE4290">
            <w:pPr>
              <w:jc w:val="both"/>
              <w:rPr>
                <w:sz w:val="20"/>
                <w:lang w:val="fr-CA"/>
              </w:rPr>
            </w:pPr>
            <w:r w:rsidRPr="00003B04">
              <w:rPr>
                <w:sz w:val="20"/>
                <w:lang w:val="fr-CA"/>
              </w:rPr>
              <w:t>Cour d’appel de la Colombie-Britannique</w:t>
            </w:r>
          </w:p>
          <w:p w:rsidR="00EE4290" w:rsidRPr="00003B04" w:rsidRDefault="00EE4290" w:rsidP="00EE4290">
            <w:pPr>
              <w:jc w:val="both"/>
              <w:rPr>
                <w:sz w:val="20"/>
                <w:lang w:val="fr-CA"/>
              </w:rPr>
            </w:pPr>
            <w:r w:rsidRPr="00003B04">
              <w:rPr>
                <w:sz w:val="20"/>
                <w:lang w:val="fr-CA"/>
              </w:rPr>
              <w:t>(Vancouver)</w:t>
            </w:r>
          </w:p>
          <w:p w:rsidR="00EE4290" w:rsidRPr="00003B04" w:rsidRDefault="00EE4290" w:rsidP="00EE4290">
            <w:pPr>
              <w:jc w:val="both"/>
              <w:rPr>
                <w:sz w:val="20"/>
                <w:lang w:val="fr-CA"/>
              </w:rPr>
            </w:pPr>
            <w:r w:rsidRPr="00003B04">
              <w:rPr>
                <w:sz w:val="20"/>
                <w:lang w:val="fr-CA"/>
              </w:rPr>
              <w:t xml:space="preserve">(Juges Newbury, </w:t>
            </w:r>
            <w:proofErr w:type="spellStart"/>
            <w:r w:rsidRPr="00003B04">
              <w:rPr>
                <w:sz w:val="20"/>
                <w:lang w:val="fr-CA"/>
              </w:rPr>
              <w:t>Frankel</w:t>
            </w:r>
            <w:proofErr w:type="spellEnd"/>
            <w:r w:rsidRPr="00003B04">
              <w:rPr>
                <w:sz w:val="20"/>
                <w:lang w:val="fr-CA"/>
              </w:rPr>
              <w:t xml:space="preserve"> et Savage)</w:t>
            </w:r>
          </w:p>
          <w:p w:rsidR="00EE4290" w:rsidRPr="00003B04" w:rsidRDefault="00604445" w:rsidP="00EE4290">
            <w:pPr>
              <w:jc w:val="both"/>
              <w:rPr>
                <w:sz w:val="20"/>
                <w:lang w:val="fr-CA"/>
              </w:rPr>
            </w:pPr>
            <w:hyperlink r:id="rId82" w:history="1">
              <w:r w:rsidR="00EE4290" w:rsidRPr="00003B04">
                <w:rPr>
                  <w:rStyle w:val="Hyperlink"/>
                  <w:sz w:val="20"/>
                </w:rPr>
                <w:t>2016 BCCA 333</w:t>
              </w:r>
            </w:hyperlink>
            <w:r w:rsidR="00EE4290" w:rsidRPr="00003B04">
              <w:rPr>
                <w:sz w:val="20"/>
                <w:lang w:val="fr-CA"/>
              </w:rPr>
              <w:t>; CA 43 286</w:t>
            </w:r>
          </w:p>
          <w:p w:rsidR="00EE4290" w:rsidRPr="00003B04" w:rsidRDefault="00EE4290" w:rsidP="00EE4290">
            <w:pPr>
              <w:jc w:val="both"/>
              <w:rPr>
                <w:sz w:val="20"/>
                <w:lang w:val="fr-CA"/>
              </w:rPr>
            </w:pPr>
          </w:p>
        </w:tc>
        <w:tc>
          <w:tcPr>
            <w:tcW w:w="243" w:type="pct"/>
          </w:tcPr>
          <w:p w:rsidR="00EE4290" w:rsidRPr="00003B04" w:rsidRDefault="00EE4290" w:rsidP="00EE4290">
            <w:pPr>
              <w:jc w:val="both"/>
              <w:rPr>
                <w:sz w:val="20"/>
                <w:lang w:val="fr-CA"/>
              </w:rPr>
            </w:pPr>
          </w:p>
        </w:tc>
        <w:tc>
          <w:tcPr>
            <w:tcW w:w="2330" w:type="pct"/>
          </w:tcPr>
          <w:p w:rsidR="00EE4290" w:rsidRPr="00003B04" w:rsidRDefault="00EE4290" w:rsidP="00EE4290">
            <w:pPr>
              <w:jc w:val="both"/>
              <w:rPr>
                <w:sz w:val="20"/>
                <w:lang w:val="fr-CA"/>
              </w:rPr>
            </w:pPr>
            <w:r w:rsidRPr="00003B04">
              <w:rPr>
                <w:sz w:val="20"/>
                <w:lang w:val="fr-CA"/>
              </w:rPr>
              <w:t>Rejet de l’appel</w:t>
            </w:r>
          </w:p>
          <w:p w:rsidR="00EE4290" w:rsidRPr="00003B04" w:rsidRDefault="00EE4290" w:rsidP="00EE4290">
            <w:pPr>
              <w:jc w:val="both"/>
              <w:rPr>
                <w:sz w:val="20"/>
                <w:lang w:val="fr-CA"/>
              </w:rPr>
            </w:pPr>
          </w:p>
        </w:tc>
      </w:tr>
      <w:tr w:rsidR="00EE4290" w:rsidRPr="00C3697D" w:rsidTr="00EE4290">
        <w:tc>
          <w:tcPr>
            <w:tcW w:w="2427" w:type="pct"/>
            <w:gridSpan w:val="2"/>
          </w:tcPr>
          <w:p w:rsidR="00EE4290" w:rsidRPr="00003B04" w:rsidRDefault="00EE4290" w:rsidP="00EE4290">
            <w:pPr>
              <w:jc w:val="both"/>
              <w:rPr>
                <w:sz w:val="20"/>
                <w:lang w:val="fr-CA"/>
              </w:rPr>
            </w:pPr>
            <w:r w:rsidRPr="00003B04">
              <w:rPr>
                <w:sz w:val="20"/>
                <w:lang w:val="fr-CA"/>
              </w:rPr>
              <w:t>26 septembre 2016</w:t>
            </w:r>
          </w:p>
          <w:p w:rsidR="00EE4290" w:rsidRPr="00003B04" w:rsidRDefault="00EE4290" w:rsidP="00EE4290">
            <w:pPr>
              <w:jc w:val="both"/>
              <w:rPr>
                <w:sz w:val="20"/>
                <w:lang w:val="fr-CA"/>
              </w:rPr>
            </w:pPr>
            <w:r w:rsidRPr="00003B04">
              <w:rPr>
                <w:sz w:val="20"/>
                <w:lang w:val="fr-CA"/>
              </w:rPr>
              <w:t>Cour suprême du Canada</w:t>
            </w:r>
          </w:p>
        </w:tc>
        <w:tc>
          <w:tcPr>
            <w:tcW w:w="243" w:type="pct"/>
          </w:tcPr>
          <w:p w:rsidR="00EE4290" w:rsidRPr="00003B04" w:rsidRDefault="00EE4290" w:rsidP="00EE4290">
            <w:pPr>
              <w:jc w:val="both"/>
              <w:rPr>
                <w:sz w:val="20"/>
                <w:lang w:val="fr-CA"/>
              </w:rPr>
            </w:pPr>
          </w:p>
        </w:tc>
        <w:tc>
          <w:tcPr>
            <w:tcW w:w="2330" w:type="pct"/>
          </w:tcPr>
          <w:p w:rsidR="00EE4290" w:rsidRPr="00003B04" w:rsidRDefault="00EE4290" w:rsidP="00EE4290">
            <w:pPr>
              <w:jc w:val="both"/>
              <w:rPr>
                <w:sz w:val="20"/>
                <w:lang w:val="fr-CA"/>
              </w:rPr>
            </w:pPr>
            <w:r w:rsidRPr="00003B04">
              <w:rPr>
                <w:sz w:val="20"/>
                <w:lang w:val="fr-CA"/>
              </w:rPr>
              <w:t>Dépôt de la demande d’autorisation d’appel</w:t>
            </w:r>
          </w:p>
          <w:p w:rsidR="00EE4290" w:rsidRPr="00003B04" w:rsidRDefault="00EE4290" w:rsidP="00EE4290">
            <w:pPr>
              <w:jc w:val="both"/>
              <w:rPr>
                <w:sz w:val="20"/>
                <w:lang w:val="fr-CA"/>
              </w:rPr>
            </w:pPr>
          </w:p>
        </w:tc>
      </w:tr>
    </w:tbl>
    <w:p w:rsidR="00EE4290" w:rsidRPr="00003B04" w:rsidRDefault="00604445" w:rsidP="00EE4290">
      <w:pPr>
        <w:jc w:val="both"/>
        <w:rPr>
          <w:sz w:val="20"/>
          <w:lang w:val="fr-CA"/>
        </w:rPr>
      </w:pPr>
      <w:r>
        <w:rPr>
          <w:sz w:val="20"/>
          <w:szCs w:val="20"/>
        </w:rPr>
        <w:pict>
          <v:rect id="_x0000_i1080" style="width:2in;height:1pt" o:hrpct="0" o:hralign="center" o:hrstd="t" o:hrnoshade="t" o:hr="t" fillcolor="black [3213]" stroked="f"/>
        </w:pict>
      </w:r>
    </w:p>
    <w:p w:rsidR="00EE4290" w:rsidRPr="00003B04" w:rsidRDefault="00EE4290" w:rsidP="00EE4290">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2860"/>
        <w:gridCol w:w="543"/>
        <w:gridCol w:w="5118"/>
      </w:tblGrid>
      <w:tr w:rsidR="00EE4290" w:rsidRPr="00003B04" w:rsidTr="00EE4290">
        <w:tc>
          <w:tcPr>
            <w:tcW w:w="528" w:type="pct"/>
          </w:tcPr>
          <w:p w:rsidR="00EE4290" w:rsidRPr="00003B04" w:rsidRDefault="00EE4290" w:rsidP="00EE4290">
            <w:pPr>
              <w:jc w:val="both"/>
              <w:rPr>
                <w:sz w:val="20"/>
              </w:rPr>
            </w:pPr>
            <w:r w:rsidRPr="00003B04">
              <w:rPr>
                <w:rStyle w:val="SCCFileNumberChar"/>
                <w:sz w:val="20"/>
                <w:szCs w:val="20"/>
              </w:rPr>
              <w:t>37180</w:t>
            </w:r>
          </w:p>
        </w:tc>
        <w:tc>
          <w:tcPr>
            <w:tcW w:w="4472" w:type="pct"/>
            <w:gridSpan w:val="3"/>
          </w:tcPr>
          <w:p w:rsidR="00EE4290" w:rsidRPr="00003B04" w:rsidRDefault="00EE4290" w:rsidP="00767A6B">
            <w:pPr>
              <w:pStyle w:val="SCCLsocParty"/>
              <w:jc w:val="both"/>
              <w:rPr>
                <w:sz w:val="20"/>
                <w:lang w:val="en-US"/>
              </w:rPr>
            </w:pPr>
            <w:r w:rsidRPr="00003B04">
              <w:rPr>
                <w:b/>
                <w:sz w:val="20"/>
                <w:szCs w:val="20"/>
                <w:lang w:val="en-US"/>
              </w:rPr>
              <w:t xml:space="preserve">Remy </w:t>
            </w:r>
            <w:proofErr w:type="spellStart"/>
            <w:r w:rsidRPr="00003B04">
              <w:rPr>
                <w:b/>
                <w:sz w:val="20"/>
                <w:szCs w:val="20"/>
                <w:lang w:val="en-US"/>
              </w:rPr>
              <w:t>Fernandes</w:t>
            </w:r>
            <w:proofErr w:type="spellEnd"/>
            <w:r w:rsidRPr="00003B04">
              <w:rPr>
                <w:b/>
                <w:sz w:val="20"/>
                <w:szCs w:val="20"/>
                <w:lang w:val="en-US"/>
              </w:rPr>
              <w:t xml:space="preserve"> v. Peel Education &amp; Tutorial Services Limited C.O.B. as Mississauga Private School and Gabrielle Bush</w:t>
            </w:r>
            <w:r w:rsidR="00767A6B" w:rsidRPr="00003B04">
              <w:rPr>
                <w:b/>
                <w:sz w:val="20"/>
                <w:szCs w:val="20"/>
                <w:lang w:val="en-US"/>
              </w:rPr>
              <w:t xml:space="preserve"> </w:t>
            </w:r>
            <w:r w:rsidRPr="00003B04">
              <w:rPr>
                <w:sz w:val="20"/>
                <w:lang w:val="en-US"/>
              </w:rPr>
              <w:t>(Ont.) (Civil) (By Leave)</w:t>
            </w:r>
          </w:p>
          <w:p w:rsidR="00767A6B" w:rsidRPr="00003B04" w:rsidRDefault="00767A6B" w:rsidP="00767A6B">
            <w:pPr>
              <w:rPr>
                <w:lang w:val="en-US"/>
              </w:rPr>
            </w:pPr>
          </w:p>
        </w:tc>
      </w:tr>
      <w:tr w:rsidR="004F14EC" w:rsidRPr="00003B04" w:rsidTr="00EE4290">
        <w:tc>
          <w:tcPr>
            <w:tcW w:w="528" w:type="pct"/>
          </w:tcPr>
          <w:p w:rsidR="004F14EC" w:rsidRPr="00003B04" w:rsidRDefault="004F14EC" w:rsidP="00EE4290">
            <w:pPr>
              <w:jc w:val="both"/>
              <w:rPr>
                <w:rStyle w:val="SCCFileNumberChar"/>
                <w:sz w:val="20"/>
                <w:szCs w:val="20"/>
              </w:rPr>
            </w:pPr>
            <w:r w:rsidRPr="00003B04">
              <w:rPr>
                <w:rStyle w:val="SCCFileNumberChar"/>
                <w:sz w:val="20"/>
                <w:szCs w:val="20"/>
              </w:rPr>
              <w:t>Coram:</w:t>
            </w:r>
          </w:p>
        </w:tc>
        <w:tc>
          <w:tcPr>
            <w:tcW w:w="4472" w:type="pct"/>
            <w:gridSpan w:val="3"/>
          </w:tcPr>
          <w:p w:rsidR="002B2A73" w:rsidRPr="00003B04" w:rsidRDefault="005A5AB4" w:rsidP="002B2A73">
            <w:pPr>
              <w:rPr>
                <w:rFonts w:eastAsiaTheme="minorEastAsia" w:cs="Times New Roman"/>
                <w:sz w:val="20"/>
                <w:szCs w:val="20"/>
                <w:lang w:eastAsia="en-CA"/>
              </w:rPr>
            </w:pPr>
            <w:proofErr w:type="spellStart"/>
            <w:r w:rsidRPr="00003B04">
              <w:rPr>
                <w:rFonts w:eastAsiaTheme="minorEastAsia" w:cs="Times New Roman"/>
                <w:sz w:val="20"/>
                <w:szCs w:val="20"/>
                <w:lang w:eastAsia="en-CA"/>
              </w:rPr>
              <w:t>McLachlin</w:t>
            </w:r>
            <w:proofErr w:type="spellEnd"/>
            <w:r w:rsidRPr="00003B04">
              <w:rPr>
                <w:rFonts w:eastAsiaTheme="minorEastAsia" w:cs="Times New Roman"/>
                <w:sz w:val="20"/>
                <w:szCs w:val="20"/>
                <w:lang w:eastAsia="en-CA"/>
              </w:rPr>
              <w:t xml:space="preserve"> C.J. and </w:t>
            </w:r>
            <w:proofErr w:type="spellStart"/>
            <w:r w:rsidRPr="00003B04">
              <w:rPr>
                <w:rFonts w:eastAsiaTheme="minorEastAsia" w:cs="Times New Roman"/>
                <w:sz w:val="20"/>
                <w:szCs w:val="20"/>
                <w:lang w:eastAsia="en-CA"/>
              </w:rPr>
              <w:t>Abella</w:t>
            </w:r>
            <w:proofErr w:type="spellEnd"/>
            <w:r w:rsidRPr="00003B04">
              <w:rPr>
                <w:rFonts w:eastAsiaTheme="minorEastAsia" w:cs="Times New Roman"/>
                <w:sz w:val="20"/>
                <w:szCs w:val="20"/>
                <w:lang w:eastAsia="en-CA"/>
              </w:rPr>
              <w:t xml:space="preserve">, </w:t>
            </w:r>
            <w:proofErr w:type="spellStart"/>
            <w:r w:rsidRPr="00003B04">
              <w:rPr>
                <w:rFonts w:eastAsiaTheme="minorEastAsia" w:cs="Times New Roman"/>
                <w:sz w:val="20"/>
                <w:szCs w:val="20"/>
                <w:lang w:eastAsia="en-CA"/>
              </w:rPr>
              <w:t>Moldaver</w:t>
            </w:r>
            <w:proofErr w:type="spellEnd"/>
            <w:r w:rsidRPr="00003B04">
              <w:rPr>
                <w:rFonts w:eastAsiaTheme="minorEastAsia" w:cs="Times New Roman"/>
                <w:sz w:val="20"/>
                <w:szCs w:val="20"/>
                <w:lang w:eastAsia="en-CA"/>
              </w:rPr>
              <w:t xml:space="preserve">, </w:t>
            </w:r>
            <w:proofErr w:type="spellStart"/>
            <w:r w:rsidRPr="00003B04">
              <w:rPr>
                <w:rFonts w:eastAsiaTheme="minorEastAsia" w:cs="Times New Roman"/>
                <w:sz w:val="20"/>
                <w:szCs w:val="20"/>
                <w:lang w:eastAsia="en-CA"/>
              </w:rPr>
              <w:t>Karakatsanis</w:t>
            </w:r>
            <w:proofErr w:type="spellEnd"/>
            <w:r w:rsidRPr="00003B04">
              <w:rPr>
                <w:rFonts w:eastAsiaTheme="minorEastAsia" w:cs="Times New Roman"/>
                <w:sz w:val="20"/>
                <w:szCs w:val="20"/>
                <w:lang w:eastAsia="en-CA"/>
              </w:rPr>
              <w:t xml:space="preserve">, Wagner, </w:t>
            </w:r>
            <w:proofErr w:type="spellStart"/>
            <w:r w:rsidRPr="00003B04">
              <w:rPr>
                <w:rFonts w:eastAsiaTheme="minorEastAsia" w:cs="Times New Roman"/>
                <w:sz w:val="20"/>
                <w:szCs w:val="20"/>
                <w:lang w:eastAsia="en-CA"/>
              </w:rPr>
              <w:t>Gascon</w:t>
            </w:r>
            <w:proofErr w:type="spellEnd"/>
            <w:r w:rsidRPr="00003B04">
              <w:rPr>
                <w:rFonts w:eastAsiaTheme="minorEastAsia" w:cs="Times New Roman"/>
                <w:sz w:val="20"/>
                <w:szCs w:val="20"/>
                <w:lang w:eastAsia="en-CA"/>
              </w:rPr>
              <w:t xml:space="preserve">, </w:t>
            </w:r>
            <w:proofErr w:type="spellStart"/>
            <w:r w:rsidRPr="00003B04">
              <w:rPr>
                <w:rFonts w:eastAsiaTheme="minorEastAsia" w:cs="Times New Roman"/>
                <w:sz w:val="20"/>
                <w:szCs w:val="20"/>
                <w:lang w:eastAsia="en-CA"/>
              </w:rPr>
              <w:t>Côté</w:t>
            </w:r>
            <w:proofErr w:type="spellEnd"/>
            <w:r w:rsidRPr="00003B04">
              <w:rPr>
                <w:rFonts w:eastAsiaTheme="minorEastAsia" w:cs="Times New Roman"/>
                <w:sz w:val="20"/>
                <w:szCs w:val="20"/>
                <w:lang w:eastAsia="en-CA"/>
              </w:rPr>
              <w:t>, Brown and Rowe JJ.</w:t>
            </w:r>
          </w:p>
          <w:p w:rsidR="005A5AB4" w:rsidRPr="00003B04" w:rsidRDefault="005A5AB4" w:rsidP="002B2A73">
            <w:pPr>
              <w:rPr>
                <w:lang w:val="en-US" w:eastAsia="en-CA"/>
              </w:rPr>
            </w:pPr>
          </w:p>
        </w:tc>
      </w:tr>
      <w:tr w:rsidR="004F14EC" w:rsidRPr="00003B04" w:rsidTr="004F14EC">
        <w:tc>
          <w:tcPr>
            <w:tcW w:w="5000" w:type="pct"/>
            <w:gridSpan w:val="4"/>
          </w:tcPr>
          <w:p w:rsidR="002B2A73" w:rsidRPr="00003B04" w:rsidRDefault="005A5AB4" w:rsidP="002B2A73">
            <w:pPr>
              <w:rPr>
                <w:sz w:val="20"/>
                <w:szCs w:val="20"/>
              </w:rPr>
            </w:pPr>
            <w:r w:rsidRPr="00003B04">
              <w:rPr>
                <w:sz w:val="20"/>
                <w:szCs w:val="20"/>
              </w:rPr>
              <w:t xml:space="preserve">The application for leave to appeal from the judgment of the Court of Appeal for Ontario, Number C59734, 2016 ONCA 468, dated June 14, 2016, is dismissed with costs. </w:t>
            </w:r>
          </w:p>
          <w:p w:rsidR="005A5AB4" w:rsidRPr="00003B04" w:rsidRDefault="005A5AB4" w:rsidP="002B2A73">
            <w:pPr>
              <w:rPr>
                <w:lang w:val="en-US"/>
              </w:rPr>
            </w:pPr>
          </w:p>
        </w:tc>
      </w:tr>
      <w:tr w:rsidR="00EE4290" w:rsidRPr="00003B04" w:rsidTr="00EE4290">
        <w:tc>
          <w:tcPr>
            <w:tcW w:w="5000" w:type="pct"/>
            <w:gridSpan w:val="4"/>
          </w:tcPr>
          <w:p w:rsidR="00EE4290" w:rsidRPr="00003B04" w:rsidRDefault="00EE4290" w:rsidP="00EE4290">
            <w:pPr>
              <w:jc w:val="both"/>
              <w:rPr>
                <w:sz w:val="20"/>
              </w:rPr>
            </w:pPr>
            <w:r w:rsidRPr="00003B04">
              <w:rPr>
                <w:sz w:val="20"/>
              </w:rPr>
              <w:t>Employment law — Unjust dismissal — Dismissal without notice — Where an employer terminates an employee pursuant to an employment contract for just cause, what is the test of just cause — When an employee commits an act of dishonesty, what forms part of the context the court should consider in determining whether the act of dishonesty is grounds for dismissal — Is the context the court should review confined to the question of the seriousness of the misconduct.</w:t>
            </w:r>
          </w:p>
        </w:tc>
      </w:tr>
      <w:tr w:rsidR="00EE4290" w:rsidRPr="00003B04" w:rsidTr="00EE4290">
        <w:tc>
          <w:tcPr>
            <w:tcW w:w="5000" w:type="pct"/>
            <w:gridSpan w:val="4"/>
          </w:tcPr>
          <w:p w:rsidR="00EE4290" w:rsidRPr="00003B04" w:rsidRDefault="00EE4290" w:rsidP="00EE4290">
            <w:pPr>
              <w:jc w:val="both"/>
              <w:rPr>
                <w:sz w:val="20"/>
              </w:rPr>
            </w:pPr>
          </w:p>
        </w:tc>
      </w:tr>
      <w:tr w:rsidR="00EE4290" w:rsidRPr="00003B04" w:rsidTr="00EE4290">
        <w:tc>
          <w:tcPr>
            <w:tcW w:w="5000" w:type="pct"/>
            <w:gridSpan w:val="4"/>
          </w:tcPr>
          <w:p w:rsidR="00EE4290" w:rsidRPr="00003B04" w:rsidRDefault="00EE4290" w:rsidP="00EE4290">
            <w:pPr>
              <w:jc w:val="both"/>
              <w:rPr>
                <w:sz w:val="20"/>
              </w:rPr>
            </w:pPr>
            <w:r w:rsidRPr="00003B04">
              <w:rPr>
                <w:sz w:val="20"/>
              </w:rPr>
              <w:t xml:space="preserve">Peel Educational &amp; Tutorial Services Limited, </w:t>
            </w:r>
            <w:proofErr w:type="spellStart"/>
            <w:r w:rsidRPr="00003B04">
              <w:rPr>
                <w:sz w:val="20"/>
              </w:rPr>
              <w:t>c.o.b</w:t>
            </w:r>
            <w:proofErr w:type="spellEnd"/>
            <w:r w:rsidRPr="00003B04">
              <w:rPr>
                <w:sz w:val="20"/>
              </w:rPr>
              <w:t xml:space="preserve">. as Mississauga Private School, an accredited private school, employed Mr. </w:t>
            </w:r>
            <w:proofErr w:type="spellStart"/>
            <w:r w:rsidRPr="00003B04">
              <w:rPr>
                <w:sz w:val="20"/>
              </w:rPr>
              <w:t>Fernandes</w:t>
            </w:r>
            <w:proofErr w:type="spellEnd"/>
            <w:r w:rsidRPr="00003B04">
              <w:rPr>
                <w:sz w:val="20"/>
              </w:rPr>
              <w:t xml:space="preserve"> from January 1999 until April 2009, when his employment was terminated without notice. He sued the school and Ms. Bush, a co-owner of the school, for wrongful dismissal. Although Mr. </w:t>
            </w:r>
            <w:proofErr w:type="spellStart"/>
            <w:r w:rsidRPr="00003B04">
              <w:rPr>
                <w:sz w:val="20"/>
              </w:rPr>
              <w:t>Fernandes</w:t>
            </w:r>
            <w:proofErr w:type="spellEnd"/>
            <w:r w:rsidRPr="00003B04">
              <w:rPr>
                <w:sz w:val="20"/>
              </w:rPr>
              <w:t xml:space="preserve"> had a largely positive work history over his 10-year tenure at the School, problems with his grading began to surface in March 2009. His marks for the interim report card were late and incomplete. Mr. </w:t>
            </w:r>
            <w:proofErr w:type="spellStart"/>
            <w:r w:rsidRPr="00003B04">
              <w:rPr>
                <w:sz w:val="20"/>
              </w:rPr>
              <w:t>Fernandes</w:t>
            </w:r>
            <w:proofErr w:type="spellEnd"/>
            <w:r w:rsidRPr="00003B04">
              <w:rPr>
                <w:sz w:val="20"/>
              </w:rPr>
              <w:t xml:space="preserve"> also admitted to having falsified some marks. He had lied to his employers about how the marks were calculated and to the court about how student presentations were marked. The interim report cards were due to be sent out on the date of his termination, and they were sent with the grades he had submitted. Immediately following his termination, Mr. </w:t>
            </w:r>
            <w:proofErr w:type="spellStart"/>
            <w:r w:rsidRPr="00003B04">
              <w:rPr>
                <w:sz w:val="20"/>
              </w:rPr>
              <w:t>Fernandes</w:t>
            </w:r>
            <w:proofErr w:type="spellEnd"/>
            <w:r w:rsidRPr="00003B04">
              <w:rPr>
                <w:sz w:val="20"/>
              </w:rPr>
              <w:t>’ mental and physical health deteriorated.</w:t>
            </w:r>
          </w:p>
          <w:p w:rsidR="00EE4290" w:rsidRPr="00003B04" w:rsidRDefault="00EE4290" w:rsidP="00EE4290">
            <w:pPr>
              <w:jc w:val="both"/>
              <w:rPr>
                <w:sz w:val="20"/>
              </w:rPr>
            </w:pPr>
          </w:p>
          <w:p w:rsidR="00EE4290" w:rsidRPr="00003B04" w:rsidRDefault="00EE4290" w:rsidP="00EE4290">
            <w:pPr>
              <w:jc w:val="both"/>
              <w:rPr>
                <w:sz w:val="20"/>
              </w:rPr>
            </w:pPr>
            <w:r w:rsidRPr="00003B04">
              <w:rPr>
                <w:sz w:val="20"/>
              </w:rPr>
              <w:t xml:space="preserve">Based on </w:t>
            </w:r>
            <w:r w:rsidRPr="00003B04">
              <w:rPr>
                <w:i/>
                <w:sz w:val="20"/>
              </w:rPr>
              <w:t>McKinley v. BC Tel</w:t>
            </w:r>
            <w:r w:rsidRPr="00003B04">
              <w:rPr>
                <w:sz w:val="20"/>
              </w:rPr>
              <w:t xml:space="preserve">, 2001 SCC 38, the trial judge found that termination without notice was unwarranted and allowed the action. He ordered that the School pay Mr. </w:t>
            </w:r>
            <w:proofErr w:type="spellStart"/>
            <w:r w:rsidRPr="00003B04">
              <w:rPr>
                <w:sz w:val="20"/>
              </w:rPr>
              <w:t>Fernandes</w:t>
            </w:r>
            <w:proofErr w:type="spellEnd"/>
            <w:r w:rsidRPr="00003B04">
              <w:rPr>
                <w:sz w:val="20"/>
              </w:rPr>
              <w:t xml:space="preserve"> damages for wrongful dismissal, miscellaneous income loss, and loss of long-term disability benefits. He dismissed the action against Ms. Bush. Also based on </w:t>
            </w:r>
            <w:r w:rsidRPr="00003B04">
              <w:rPr>
                <w:i/>
                <w:sz w:val="20"/>
              </w:rPr>
              <w:t>McKinley</w:t>
            </w:r>
            <w:r w:rsidRPr="00003B04">
              <w:rPr>
                <w:sz w:val="20"/>
              </w:rPr>
              <w:t>, the Court of Appeal allowed the respondents’ appeal.</w:t>
            </w:r>
          </w:p>
          <w:p w:rsidR="00EE4290" w:rsidRPr="00003B04" w:rsidRDefault="00EE4290" w:rsidP="00EE4290">
            <w:pPr>
              <w:jc w:val="both"/>
              <w:rPr>
                <w:sz w:val="20"/>
              </w:rPr>
            </w:pPr>
          </w:p>
        </w:tc>
      </w:tr>
      <w:tr w:rsidR="00EE4290" w:rsidRPr="00003B04" w:rsidTr="00EE4290">
        <w:tc>
          <w:tcPr>
            <w:tcW w:w="2029" w:type="pct"/>
            <w:gridSpan w:val="2"/>
          </w:tcPr>
          <w:p w:rsidR="00EE4290" w:rsidRPr="00003B04" w:rsidRDefault="00EE4290" w:rsidP="00EE4290">
            <w:pPr>
              <w:jc w:val="both"/>
              <w:rPr>
                <w:sz w:val="20"/>
              </w:rPr>
            </w:pPr>
            <w:r w:rsidRPr="00003B04">
              <w:rPr>
                <w:sz w:val="20"/>
              </w:rPr>
              <w:t>November 12, 2014</w:t>
            </w:r>
          </w:p>
          <w:p w:rsidR="00EE4290" w:rsidRPr="00003B04" w:rsidRDefault="00EE4290" w:rsidP="00EE4290">
            <w:pPr>
              <w:jc w:val="both"/>
              <w:rPr>
                <w:sz w:val="20"/>
              </w:rPr>
            </w:pPr>
            <w:r w:rsidRPr="00003B04">
              <w:rPr>
                <w:sz w:val="20"/>
              </w:rPr>
              <w:t>Ontario Superior Court of Justice</w:t>
            </w:r>
          </w:p>
          <w:p w:rsidR="00EE4290" w:rsidRPr="00003B04" w:rsidRDefault="00EE4290" w:rsidP="00EE4290">
            <w:pPr>
              <w:jc w:val="both"/>
              <w:rPr>
                <w:sz w:val="20"/>
              </w:rPr>
            </w:pPr>
            <w:r w:rsidRPr="00003B04">
              <w:rPr>
                <w:sz w:val="20"/>
              </w:rPr>
              <w:t>(Lemon J.)</w:t>
            </w:r>
          </w:p>
          <w:p w:rsidR="00EE4290" w:rsidRPr="00003B04" w:rsidRDefault="00604445" w:rsidP="00EE4290">
            <w:pPr>
              <w:jc w:val="both"/>
              <w:rPr>
                <w:sz w:val="20"/>
              </w:rPr>
            </w:pPr>
            <w:hyperlink r:id="rId83" w:history="1">
              <w:r w:rsidR="00EE4290" w:rsidRPr="00003B04">
                <w:rPr>
                  <w:rStyle w:val="Hyperlink"/>
                  <w:sz w:val="20"/>
                </w:rPr>
                <w:t>2014 ONSC 6506</w:t>
              </w:r>
            </w:hyperlink>
          </w:p>
          <w:p w:rsidR="00EE4290" w:rsidRPr="00003B04" w:rsidRDefault="00EE4290" w:rsidP="00EE4290">
            <w:pPr>
              <w:jc w:val="both"/>
              <w:rPr>
                <w:sz w:val="20"/>
              </w:rPr>
            </w:pPr>
          </w:p>
        </w:tc>
        <w:tc>
          <w:tcPr>
            <w:tcW w:w="285" w:type="pct"/>
          </w:tcPr>
          <w:p w:rsidR="00EE4290" w:rsidRPr="00003B04" w:rsidRDefault="00EE4290" w:rsidP="00EE4290">
            <w:pPr>
              <w:jc w:val="both"/>
              <w:rPr>
                <w:sz w:val="20"/>
              </w:rPr>
            </w:pPr>
          </w:p>
        </w:tc>
        <w:tc>
          <w:tcPr>
            <w:tcW w:w="2686" w:type="pct"/>
          </w:tcPr>
          <w:p w:rsidR="00EE4290" w:rsidRPr="00003B04" w:rsidRDefault="00EE4290" w:rsidP="00EE4290">
            <w:pPr>
              <w:jc w:val="both"/>
              <w:rPr>
                <w:sz w:val="20"/>
              </w:rPr>
            </w:pPr>
            <w:r w:rsidRPr="00003B04">
              <w:rPr>
                <w:sz w:val="20"/>
              </w:rPr>
              <w:t xml:space="preserve">Judgment against Peel Educational &amp; Tutorial Services Limited; damages awarded for wrongful dismissal, miscellaneous income loss, and long-term disability; claim against Ms. Bush dismissed </w:t>
            </w:r>
          </w:p>
        </w:tc>
      </w:tr>
      <w:tr w:rsidR="00EE4290" w:rsidRPr="00003B04" w:rsidTr="00EE4290">
        <w:tc>
          <w:tcPr>
            <w:tcW w:w="2029" w:type="pct"/>
            <w:gridSpan w:val="2"/>
          </w:tcPr>
          <w:p w:rsidR="00EE4290" w:rsidRPr="00003B04" w:rsidRDefault="00EE4290" w:rsidP="00EE4290">
            <w:pPr>
              <w:jc w:val="both"/>
              <w:rPr>
                <w:sz w:val="20"/>
              </w:rPr>
            </w:pPr>
            <w:r w:rsidRPr="00003B04">
              <w:rPr>
                <w:sz w:val="20"/>
              </w:rPr>
              <w:lastRenderedPageBreak/>
              <w:t>June 18, 2015</w:t>
            </w:r>
          </w:p>
          <w:p w:rsidR="00EE4290" w:rsidRPr="00003B04" w:rsidRDefault="00EE4290" w:rsidP="00EE4290">
            <w:pPr>
              <w:jc w:val="both"/>
              <w:rPr>
                <w:sz w:val="20"/>
              </w:rPr>
            </w:pPr>
            <w:r w:rsidRPr="00003B04">
              <w:rPr>
                <w:sz w:val="20"/>
              </w:rPr>
              <w:t>Ontario Superior Court of Justice</w:t>
            </w:r>
          </w:p>
          <w:p w:rsidR="00EE4290" w:rsidRPr="00003B04" w:rsidRDefault="00EE4290" w:rsidP="00EE4290">
            <w:pPr>
              <w:jc w:val="both"/>
              <w:rPr>
                <w:sz w:val="20"/>
              </w:rPr>
            </w:pPr>
            <w:r w:rsidRPr="00003B04">
              <w:rPr>
                <w:sz w:val="20"/>
              </w:rPr>
              <w:t>(Lemon J.)</w:t>
            </w:r>
          </w:p>
          <w:p w:rsidR="00EE4290" w:rsidRPr="00003B04" w:rsidRDefault="00604445" w:rsidP="00EE4290">
            <w:pPr>
              <w:jc w:val="both"/>
              <w:rPr>
                <w:sz w:val="20"/>
              </w:rPr>
            </w:pPr>
            <w:hyperlink r:id="rId84" w:history="1">
              <w:r w:rsidR="00EE4290" w:rsidRPr="00003B04">
                <w:rPr>
                  <w:rStyle w:val="Hyperlink"/>
                  <w:sz w:val="20"/>
                </w:rPr>
                <w:t>2015 ONSC 3753</w:t>
              </w:r>
            </w:hyperlink>
          </w:p>
          <w:p w:rsidR="00EE4290" w:rsidRPr="00003B04" w:rsidRDefault="00EE4290" w:rsidP="00EE4290">
            <w:pPr>
              <w:jc w:val="both"/>
              <w:rPr>
                <w:sz w:val="20"/>
              </w:rPr>
            </w:pPr>
          </w:p>
        </w:tc>
        <w:tc>
          <w:tcPr>
            <w:tcW w:w="285" w:type="pct"/>
          </w:tcPr>
          <w:p w:rsidR="00EE4290" w:rsidRPr="00003B04" w:rsidRDefault="00EE4290" w:rsidP="00EE4290">
            <w:pPr>
              <w:jc w:val="both"/>
              <w:rPr>
                <w:sz w:val="20"/>
              </w:rPr>
            </w:pPr>
          </w:p>
        </w:tc>
        <w:tc>
          <w:tcPr>
            <w:tcW w:w="2686" w:type="pct"/>
          </w:tcPr>
          <w:p w:rsidR="00EE4290" w:rsidRPr="00003B04" w:rsidRDefault="00EE4290" w:rsidP="00EE4290">
            <w:pPr>
              <w:jc w:val="both"/>
              <w:rPr>
                <w:sz w:val="20"/>
              </w:rPr>
            </w:pPr>
            <w:r w:rsidRPr="00003B04">
              <w:rPr>
                <w:sz w:val="20"/>
              </w:rPr>
              <w:t>Long-term disability benefits fixed</w:t>
            </w:r>
          </w:p>
        </w:tc>
      </w:tr>
      <w:tr w:rsidR="00EE4290" w:rsidRPr="00003B04" w:rsidTr="00EE4290">
        <w:tc>
          <w:tcPr>
            <w:tcW w:w="2029" w:type="pct"/>
            <w:gridSpan w:val="2"/>
          </w:tcPr>
          <w:p w:rsidR="00EE4290" w:rsidRPr="00003B04" w:rsidRDefault="00EE4290" w:rsidP="00EE4290">
            <w:pPr>
              <w:jc w:val="both"/>
              <w:rPr>
                <w:sz w:val="20"/>
              </w:rPr>
            </w:pPr>
            <w:r w:rsidRPr="00003B04">
              <w:rPr>
                <w:sz w:val="20"/>
              </w:rPr>
              <w:t>June 14, 2016</w:t>
            </w:r>
          </w:p>
          <w:p w:rsidR="00EE4290" w:rsidRPr="00003B04" w:rsidRDefault="00EE4290" w:rsidP="00EE4290">
            <w:pPr>
              <w:jc w:val="both"/>
              <w:rPr>
                <w:sz w:val="20"/>
              </w:rPr>
            </w:pPr>
            <w:r w:rsidRPr="00003B04">
              <w:rPr>
                <w:sz w:val="20"/>
              </w:rPr>
              <w:t>Court of Appeal for Ontario</w:t>
            </w:r>
          </w:p>
          <w:p w:rsidR="00EE4290" w:rsidRPr="00003B04" w:rsidRDefault="00EE4290" w:rsidP="00EE4290">
            <w:pPr>
              <w:jc w:val="both"/>
              <w:rPr>
                <w:sz w:val="20"/>
              </w:rPr>
            </w:pPr>
            <w:r w:rsidRPr="00003B04">
              <w:rPr>
                <w:sz w:val="20"/>
              </w:rPr>
              <w:t>(</w:t>
            </w:r>
            <w:proofErr w:type="spellStart"/>
            <w:r w:rsidRPr="00003B04">
              <w:rPr>
                <w:sz w:val="20"/>
              </w:rPr>
              <w:t>Gillese</w:t>
            </w:r>
            <w:proofErr w:type="spellEnd"/>
            <w:r w:rsidRPr="00003B04">
              <w:rPr>
                <w:sz w:val="20"/>
              </w:rPr>
              <w:t xml:space="preserve"> and Hourigan, JJ.A.; </w:t>
            </w:r>
            <w:proofErr w:type="spellStart"/>
            <w:r w:rsidRPr="00003B04">
              <w:rPr>
                <w:sz w:val="20"/>
              </w:rPr>
              <w:t>Pardu</w:t>
            </w:r>
            <w:proofErr w:type="spellEnd"/>
            <w:r w:rsidRPr="00003B04">
              <w:rPr>
                <w:sz w:val="20"/>
              </w:rPr>
              <w:t xml:space="preserve"> J.A., dissenting)</w:t>
            </w:r>
          </w:p>
          <w:p w:rsidR="00EE4290" w:rsidRPr="00003B04" w:rsidRDefault="00604445" w:rsidP="00EE4290">
            <w:pPr>
              <w:jc w:val="both"/>
              <w:rPr>
                <w:sz w:val="20"/>
              </w:rPr>
            </w:pPr>
            <w:hyperlink r:id="rId85" w:history="1">
              <w:r w:rsidR="00EE4290" w:rsidRPr="00003B04">
                <w:rPr>
                  <w:rStyle w:val="Hyperlink"/>
                  <w:sz w:val="20"/>
                </w:rPr>
                <w:t>2016 ONCA 468</w:t>
              </w:r>
            </w:hyperlink>
          </w:p>
          <w:p w:rsidR="00EE4290" w:rsidRPr="00003B04" w:rsidRDefault="00EE4290" w:rsidP="00EE4290">
            <w:pPr>
              <w:jc w:val="both"/>
              <w:rPr>
                <w:sz w:val="20"/>
              </w:rPr>
            </w:pPr>
          </w:p>
        </w:tc>
        <w:tc>
          <w:tcPr>
            <w:tcW w:w="285" w:type="pct"/>
          </w:tcPr>
          <w:p w:rsidR="00EE4290" w:rsidRPr="00003B04" w:rsidRDefault="00EE4290" w:rsidP="00EE4290">
            <w:pPr>
              <w:jc w:val="both"/>
              <w:rPr>
                <w:sz w:val="20"/>
              </w:rPr>
            </w:pPr>
          </w:p>
        </w:tc>
        <w:tc>
          <w:tcPr>
            <w:tcW w:w="2686" w:type="pct"/>
          </w:tcPr>
          <w:p w:rsidR="00EE4290" w:rsidRPr="00003B04" w:rsidRDefault="00EE4290" w:rsidP="00EE4290">
            <w:pPr>
              <w:jc w:val="both"/>
              <w:rPr>
                <w:sz w:val="20"/>
              </w:rPr>
            </w:pPr>
            <w:r w:rsidRPr="00003B04">
              <w:rPr>
                <w:sz w:val="20"/>
              </w:rPr>
              <w:t>Appeal allowed, action dismissed, judgments of the lower court dated November 12, 2014, June 18, 2015, and August 13, 2015 (costs), set aside</w:t>
            </w:r>
          </w:p>
          <w:p w:rsidR="00EE4290" w:rsidRPr="00003B04" w:rsidRDefault="00EE4290" w:rsidP="00EE4290">
            <w:pPr>
              <w:jc w:val="both"/>
              <w:rPr>
                <w:sz w:val="20"/>
              </w:rPr>
            </w:pPr>
          </w:p>
        </w:tc>
      </w:tr>
      <w:tr w:rsidR="00EE4290" w:rsidRPr="00003B04" w:rsidTr="00EE4290">
        <w:tc>
          <w:tcPr>
            <w:tcW w:w="2029" w:type="pct"/>
            <w:gridSpan w:val="2"/>
          </w:tcPr>
          <w:p w:rsidR="00EE4290" w:rsidRPr="00003B04" w:rsidRDefault="00EE4290" w:rsidP="00EE4290">
            <w:pPr>
              <w:jc w:val="both"/>
              <w:rPr>
                <w:sz w:val="20"/>
              </w:rPr>
            </w:pPr>
            <w:r w:rsidRPr="00003B04">
              <w:rPr>
                <w:sz w:val="20"/>
              </w:rPr>
              <w:t>September 12, 2016</w:t>
            </w:r>
          </w:p>
          <w:p w:rsidR="00EE4290" w:rsidRPr="00003B04" w:rsidRDefault="00EE4290" w:rsidP="00EE4290">
            <w:pPr>
              <w:jc w:val="both"/>
              <w:rPr>
                <w:sz w:val="20"/>
              </w:rPr>
            </w:pPr>
            <w:r w:rsidRPr="00003B04">
              <w:rPr>
                <w:sz w:val="20"/>
              </w:rPr>
              <w:t>Supreme Court of Canada</w:t>
            </w:r>
          </w:p>
        </w:tc>
        <w:tc>
          <w:tcPr>
            <w:tcW w:w="285" w:type="pct"/>
          </w:tcPr>
          <w:p w:rsidR="00EE4290" w:rsidRPr="00003B04" w:rsidRDefault="00EE4290" w:rsidP="00EE4290">
            <w:pPr>
              <w:jc w:val="both"/>
              <w:rPr>
                <w:sz w:val="20"/>
              </w:rPr>
            </w:pPr>
          </w:p>
        </w:tc>
        <w:tc>
          <w:tcPr>
            <w:tcW w:w="2686" w:type="pct"/>
          </w:tcPr>
          <w:p w:rsidR="00EE4290" w:rsidRPr="00003B04" w:rsidRDefault="00EE4290" w:rsidP="00EE4290">
            <w:pPr>
              <w:jc w:val="both"/>
              <w:rPr>
                <w:sz w:val="20"/>
              </w:rPr>
            </w:pPr>
            <w:r w:rsidRPr="00003B04">
              <w:rPr>
                <w:sz w:val="20"/>
              </w:rPr>
              <w:t>Application for leave to appeal filed</w:t>
            </w:r>
          </w:p>
          <w:p w:rsidR="00EE4290" w:rsidRPr="00003B04" w:rsidRDefault="00EE4290" w:rsidP="00EE4290">
            <w:pPr>
              <w:jc w:val="both"/>
              <w:rPr>
                <w:sz w:val="20"/>
              </w:rPr>
            </w:pPr>
          </w:p>
        </w:tc>
      </w:tr>
    </w:tbl>
    <w:p w:rsidR="00EE4290" w:rsidRPr="00003B04" w:rsidRDefault="00604445" w:rsidP="00EE4290">
      <w:pPr>
        <w:jc w:val="both"/>
        <w:rPr>
          <w:sz w:val="20"/>
        </w:rPr>
      </w:pPr>
      <w:r>
        <w:rPr>
          <w:sz w:val="20"/>
          <w:szCs w:val="20"/>
        </w:rPr>
        <w:pict>
          <v:rect id="_x0000_i1081" style="width:2in;height:1pt" o:hrpct="0" o:hralign="center" o:hrstd="t" o:hrnoshade="t" o:hr="t" fillcolor="black [3213]" stroked="f"/>
        </w:pict>
      </w:r>
    </w:p>
    <w:p w:rsidR="00EE4290" w:rsidRPr="00003B04" w:rsidRDefault="00EE4290" w:rsidP="00EE429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8521"/>
      </w:tblGrid>
      <w:tr w:rsidR="00EE4290" w:rsidRPr="00003B04" w:rsidTr="00EE4290">
        <w:tc>
          <w:tcPr>
            <w:tcW w:w="528" w:type="pct"/>
          </w:tcPr>
          <w:p w:rsidR="00EE4290" w:rsidRPr="00003B04" w:rsidRDefault="00EE4290" w:rsidP="00EE4290">
            <w:pPr>
              <w:jc w:val="both"/>
              <w:rPr>
                <w:sz w:val="20"/>
                <w:lang w:val="fr-CA"/>
              </w:rPr>
            </w:pPr>
            <w:r w:rsidRPr="00003B04">
              <w:rPr>
                <w:rStyle w:val="SCCFileNumberChar"/>
                <w:sz w:val="20"/>
                <w:szCs w:val="20"/>
                <w:lang w:val="fr-CA"/>
              </w:rPr>
              <w:t>37180</w:t>
            </w:r>
          </w:p>
        </w:tc>
        <w:tc>
          <w:tcPr>
            <w:tcW w:w="4472" w:type="pct"/>
          </w:tcPr>
          <w:p w:rsidR="00EE4290" w:rsidRPr="00003B04" w:rsidRDefault="00EE4290" w:rsidP="00767A6B">
            <w:pPr>
              <w:pStyle w:val="SCCLsocParty"/>
              <w:jc w:val="both"/>
              <w:rPr>
                <w:sz w:val="20"/>
              </w:rPr>
            </w:pPr>
            <w:r w:rsidRPr="00003B04">
              <w:rPr>
                <w:b/>
                <w:sz w:val="20"/>
                <w:szCs w:val="20"/>
              </w:rPr>
              <w:t xml:space="preserve">Remy Fernandes c. Peel </w:t>
            </w:r>
            <w:proofErr w:type="spellStart"/>
            <w:r w:rsidRPr="00003B04">
              <w:rPr>
                <w:b/>
                <w:sz w:val="20"/>
                <w:szCs w:val="20"/>
              </w:rPr>
              <w:t>Education</w:t>
            </w:r>
            <w:proofErr w:type="spellEnd"/>
            <w:r w:rsidRPr="00003B04">
              <w:rPr>
                <w:b/>
                <w:sz w:val="20"/>
                <w:szCs w:val="20"/>
              </w:rPr>
              <w:t xml:space="preserve"> &amp; Tutorial Services Limited, faisant affaire sous la raison sociale Mississauga </w:t>
            </w:r>
            <w:proofErr w:type="spellStart"/>
            <w:r w:rsidRPr="00003B04">
              <w:rPr>
                <w:b/>
                <w:sz w:val="20"/>
                <w:szCs w:val="20"/>
              </w:rPr>
              <w:t>Private</w:t>
            </w:r>
            <w:proofErr w:type="spellEnd"/>
            <w:r w:rsidRPr="00003B04">
              <w:rPr>
                <w:b/>
                <w:sz w:val="20"/>
                <w:szCs w:val="20"/>
              </w:rPr>
              <w:t xml:space="preserve"> </w:t>
            </w:r>
            <w:proofErr w:type="spellStart"/>
            <w:r w:rsidRPr="00003B04">
              <w:rPr>
                <w:b/>
                <w:sz w:val="20"/>
                <w:szCs w:val="20"/>
              </w:rPr>
              <w:t>School</w:t>
            </w:r>
            <w:proofErr w:type="spellEnd"/>
            <w:r w:rsidRPr="00003B04">
              <w:rPr>
                <w:b/>
                <w:sz w:val="20"/>
                <w:szCs w:val="20"/>
              </w:rPr>
              <w:t xml:space="preserve"> et Gabrielle Bush</w:t>
            </w:r>
            <w:r w:rsidR="00767A6B" w:rsidRPr="00003B04">
              <w:rPr>
                <w:b/>
                <w:sz w:val="20"/>
                <w:szCs w:val="20"/>
              </w:rPr>
              <w:t xml:space="preserve"> </w:t>
            </w:r>
            <w:r w:rsidRPr="00003B04">
              <w:rPr>
                <w:sz w:val="20"/>
              </w:rPr>
              <w:t>(Ont.) (Civile) (Sur autorisation)</w:t>
            </w:r>
          </w:p>
          <w:p w:rsidR="00767A6B" w:rsidRPr="00003B04" w:rsidRDefault="00767A6B" w:rsidP="00767A6B">
            <w:pPr>
              <w:rPr>
                <w:lang w:val="fr-CA"/>
              </w:rPr>
            </w:pPr>
          </w:p>
        </w:tc>
      </w:tr>
      <w:tr w:rsidR="004F14EC" w:rsidRPr="00C3697D" w:rsidTr="00EE4290">
        <w:tc>
          <w:tcPr>
            <w:tcW w:w="528" w:type="pct"/>
          </w:tcPr>
          <w:p w:rsidR="004F14EC" w:rsidRPr="00003B04" w:rsidRDefault="004F14EC" w:rsidP="00EE4290">
            <w:pPr>
              <w:jc w:val="both"/>
              <w:rPr>
                <w:rStyle w:val="SCCFileNumberChar"/>
                <w:sz w:val="20"/>
                <w:szCs w:val="20"/>
                <w:lang w:val="fr-CA"/>
              </w:rPr>
            </w:pPr>
            <w:r w:rsidRPr="00003B04">
              <w:rPr>
                <w:rStyle w:val="SCCFileNumberChar"/>
                <w:sz w:val="20"/>
                <w:szCs w:val="20"/>
                <w:lang w:val="fr-CA"/>
              </w:rPr>
              <w:t>Coram :</w:t>
            </w:r>
          </w:p>
        </w:tc>
        <w:tc>
          <w:tcPr>
            <w:tcW w:w="4472" w:type="pct"/>
          </w:tcPr>
          <w:p w:rsidR="004F14EC" w:rsidRPr="00003B04" w:rsidRDefault="005A5AB4" w:rsidP="00EE4290">
            <w:pPr>
              <w:pStyle w:val="SCCLsocParty"/>
              <w:jc w:val="both"/>
              <w:rPr>
                <w:rFonts w:eastAsiaTheme="minorEastAsia"/>
                <w:sz w:val="20"/>
                <w:szCs w:val="20"/>
                <w:lang w:eastAsia="en-CA"/>
              </w:rPr>
            </w:pPr>
            <w:r w:rsidRPr="00003B04">
              <w:rPr>
                <w:rFonts w:eastAsiaTheme="minorEastAsia"/>
                <w:sz w:val="20"/>
                <w:szCs w:val="20"/>
                <w:lang w:val="fr-FR" w:eastAsia="en-CA"/>
              </w:rPr>
              <w:t xml:space="preserve">La juge en chef </w:t>
            </w:r>
            <w:proofErr w:type="spellStart"/>
            <w:r w:rsidRPr="00003B04">
              <w:rPr>
                <w:rFonts w:eastAsiaTheme="minorEastAsia"/>
                <w:sz w:val="20"/>
                <w:szCs w:val="20"/>
                <w:lang w:val="fr-FR" w:eastAsia="en-CA"/>
              </w:rPr>
              <w:t>McLachlin</w:t>
            </w:r>
            <w:proofErr w:type="spellEnd"/>
            <w:r w:rsidRPr="00003B04">
              <w:rPr>
                <w:rFonts w:eastAsiaTheme="minorEastAsia"/>
                <w:sz w:val="20"/>
                <w:szCs w:val="20"/>
                <w:lang w:val="fr-FR" w:eastAsia="en-CA"/>
              </w:rPr>
              <w:t xml:space="preserve"> et les juges Abella, </w:t>
            </w:r>
            <w:proofErr w:type="spellStart"/>
            <w:r w:rsidRPr="00003B04">
              <w:rPr>
                <w:rFonts w:eastAsiaTheme="minorEastAsia"/>
                <w:sz w:val="20"/>
                <w:szCs w:val="20"/>
                <w:lang w:eastAsia="en-CA"/>
              </w:rPr>
              <w:t>Moldaver</w:t>
            </w:r>
            <w:proofErr w:type="spellEnd"/>
            <w:r w:rsidRPr="00003B04">
              <w:rPr>
                <w:rFonts w:eastAsiaTheme="minorEastAsia"/>
                <w:sz w:val="20"/>
                <w:szCs w:val="20"/>
                <w:lang w:eastAsia="en-CA"/>
              </w:rPr>
              <w:t xml:space="preserve">, </w:t>
            </w:r>
            <w:proofErr w:type="spellStart"/>
            <w:r w:rsidRPr="00003B04">
              <w:rPr>
                <w:rFonts w:eastAsiaTheme="minorEastAsia"/>
                <w:sz w:val="20"/>
                <w:szCs w:val="20"/>
                <w:lang w:eastAsia="en-CA"/>
              </w:rPr>
              <w:t>Karakatsanis</w:t>
            </w:r>
            <w:proofErr w:type="spellEnd"/>
            <w:r w:rsidRPr="00003B04">
              <w:rPr>
                <w:rFonts w:eastAsiaTheme="minorEastAsia"/>
                <w:sz w:val="20"/>
                <w:szCs w:val="20"/>
                <w:lang w:eastAsia="en-CA"/>
              </w:rPr>
              <w:t>, Wagner, Gascon, Côté, Brown et Rowe</w:t>
            </w:r>
          </w:p>
          <w:p w:rsidR="002B2A73" w:rsidRPr="00003B04" w:rsidRDefault="002B2A73" w:rsidP="002B2A73">
            <w:pPr>
              <w:rPr>
                <w:lang w:val="fr-CA" w:eastAsia="en-CA"/>
              </w:rPr>
            </w:pPr>
          </w:p>
        </w:tc>
      </w:tr>
      <w:tr w:rsidR="004F14EC" w:rsidRPr="00C3697D" w:rsidTr="004F14EC">
        <w:tc>
          <w:tcPr>
            <w:tcW w:w="5000" w:type="pct"/>
            <w:gridSpan w:val="2"/>
          </w:tcPr>
          <w:p w:rsidR="002B2A73" w:rsidRPr="00003B04" w:rsidRDefault="005A5AB4" w:rsidP="002B2A73">
            <w:pPr>
              <w:rPr>
                <w:sz w:val="20"/>
                <w:szCs w:val="20"/>
                <w:lang w:val="fr-CA"/>
              </w:rPr>
            </w:pPr>
            <w:r w:rsidRPr="00003B04">
              <w:rPr>
                <w:sz w:val="20"/>
                <w:szCs w:val="20"/>
                <w:lang w:val="fr-CA"/>
              </w:rPr>
              <w:t>La demande d’autorisation d’appel de l’arrêt de la Cour d’appel de l’Ontario, numéro C59734, 2016 ONCA 468, daté du 14 juin 2016, est rejetée avec dépens.</w:t>
            </w:r>
          </w:p>
          <w:p w:rsidR="005A5AB4" w:rsidRPr="00003B04" w:rsidRDefault="005A5AB4" w:rsidP="002B2A73">
            <w:pPr>
              <w:rPr>
                <w:lang w:val="fr-CA"/>
              </w:rPr>
            </w:pPr>
          </w:p>
        </w:tc>
      </w:tr>
      <w:tr w:rsidR="00EE4290" w:rsidRPr="00C3697D" w:rsidTr="00EE4290">
        <w:tc>
          <w:tcPr>
            <w:tcW w:w="5000" w:type="pct"/>
            <w:gridSpan w:val="2"/>
          </w:tcPr>
          <w:p w:rsidR="00EE4290" w:rsidRPr="00003B04" w:rsidRDefault="00EE4290" w:rsidP="00EE4290">
            <w:pPr>
              <w:jc w:val="both"/>
              <w:rPr>
                <w:sz w:val="20"/>
                <w:lang w:val="fr-CA"/>
              </w:rPr>
            </w:pPr>
            <w:r w:rsidRPr="00003B04">
              <w:rPr>
                <w:sz w:val="20"/>
                <w:lang w:val="fr-CA"/>
              </w:rPr>
              <w:t>Droit de l’emploi — Congédiement injustifié — Congédiement sans préavis — Lorsqu’un employeur congédie un employé en exécution d’un contrat d’emploi, invoquant un motif valable, quel est le critère pour déterminer la validité du motif de congédiement? — Lorsqu’un employé commet un acte malhonnête, en quoi consiste le contexte que doit examiner le tribunal pour déterminer si l’acte malhonnête constitue un motif de congédiement? — Le contexte que doit examiner le tribunal doit-il se limiter à la question de la gravité de l’inconduite?</w:t>
            </w:r>
          </w:p>
        </w:tc>
      </w:tr>
      <w:tr w:rsidR="00EE4290" w:rsidRPr="00C3697D" w:rsidTr="00EE4290">
        <w:tc>
          <w:tcPr>
            <w:tcW w:w="5000" w:type="pct"/>
            <w:gridSpan w:val="2"/>
          </w:tcPr>
          <w:p w:rsidR="00EE4290" w:rsidRPr="00003B04" w:rsidRDefault="00EE4290" w:rsidP="00EE4290">
            <w:pPr>
              <w:jc w:val="both"/>
              <w:rPr>
                <w:sz w:val="20"/>
                <w:lang w:val="fr-CA"/>
              </w:rPr>
            </w:pPr>
          </w:p>
        </w:tc>
      </w:tr>
      <w:tr w:rsidR="00EE4290" w:rsidRPr="00C3697D" w:rsidTr="00EE4290">
        <w:tc>
          <w:tcPr>
            <w:tcW w:w="5000" w:type="pct"/>
            <w:gridSpan w:val="2"/>
          </w:tcPr>
          <w:p w:rsidR="00EE4290" w:rsidRPr="00003B04" w:rsidRDefault="00EE4290" w:rsidP="00EE4290">
            <w:pPr>
              <w:jc w:val="both"/>
              <w:rPr>
                <w:sz w:val="20"/>
                <w:lang w:val="fr-CA"/>
              </w:rPr>
            </w:pPr>
            <w:r w:rsidRPr="00003B04">
              <w:rPr>
                <w:sz w:val="20"/>
                <w:lang w:val="fr-CA"/>
              </w:rPr>
              <w:t xml:space="preserve">Peel </w:t>
            </w:r>
            <w:proofErr w:type="spellStart"/>
            <w:r w:rsidRPr="00003B04">
              <w:rPr>
                <w:sz w:val="20"/>
                <w:lang w:val="fr-CA"/>
              </w:rPr>
              <w:t>Educational</w:t>
            </w:r>
            <w:proofErr w:type="spellEnd"/>
            <w:r w:rsidRPr="00003B04">
              <w:rPr>
                <w:sz w:val="20"/>
                <w:lang w:val="fr-CA"/>
              </w:rPr>
              <w:t xml:space="preserve"> &amp; Tutorial Services Limited, faisant affaire sous la raison sociale Mississauga </w:t>
            </w:r>
            <w:proofErr w:type="spellStart"/>
            <w:r w:rsidRPr="00003B04">
              <w:rPr>
                <w:sz w:val="20"/>
                <w:lang w:val="fr-CA"/>
              </w:rPr>
              <w:t>Private</w:t>
            </w:r>
            <w:proofErr w:type="spellEnd"/>
            <w:r w:rsidRPr="00003B04">
              <w:rPr>
                <w:sz w:val="20"/>
                <w:lang w:val="fr-CA"/>
              </w:rPr>
              <w:t xml:space="preserve"> </w:t>
            </w:r>
            <w:proofErr w:type="spellStart"/>
            <w:r w:rsidRPr="00003B04">
              <w:rPr>
                <w:sz w:val="20"/>
                <w:lang w:val="fr-CA"/>
              </w:rPr>
              <w:t>School</w:t>
            </w:r>
            <w:proofErr w:type="spellEnd"/>
            <w:r w:rsidRPr="00003B04">
              <w:rPr>
                <w:sz w:val="20"/>
                <w:lang w:val="fr-CA"/>
              </w:rPr>
              <w:t>, une école privée reconnue, était l’employeur de M. Fernandes de janvier 1999 à avril 2009, lorsque ce dernier a été congédié sans préavis. Monsieur Fernandes a poursuivi l’école et Mme Bush, une copropriétaire de l’école, pour congédiement injustifié. Même si les antécédents professionnels de M. Fernandes avaient été largement positifs au cours de ses 10 années de travail à l’école, des problèmes touchant ses évaluations ont commencé à faire surface en mars 2009. Les notes qu’il attribuait pour les bulletins provisoires étaient en retard et incomplètes. Monsieur Fernandes a également avoué avoir falsifié quelques notes. Il avait menti à ses employeurs sur la façon de calculer les notes et au tribunal sur la manière dont les présentations des élèves étaient évaluées. Les bulletins provisoires devaient être envoyés à la date de son congédiement et ils ont été envoyés avec les notes qu’il avait remises. Immédiatement après son congédiement, la santé mentale et physique de M. Fernandes s’est détériorée.</w:t>
            </w:r>
          </w:p>
          <w:p w:rsidR="00EE4290" w:rsidRPr="00003B04" w:rsidRDefault="00EE4290" w:rsidP="00EE4290">
            <w:pPr>
              <w:jc w:val="both"/>
              <w:rPr>
                <w:sz w:val="20"/>
                <w:lang w:val="fr-CA"/>
              </w:rPr>
            </w:pPr>
          </w:p>
          <w:p w:rsidR="00EE4290" w:rsidRPr="00003B04" w:rsidRDefault="00EE4290" w:rsidP="00EE4290">
            <w:pPr>
              <w:jc w:val="both"/>
              <w:rPr>
                <w:sz w:val="20"/>
                <w:lang w:val="fr-CA"/>
              </w:rPr>
            </w:pPr>
            <w:r w:rsidRPr="00003B04">
              <w:rPr>
                <w:sz w:val="20"/>
                <w:lang w:val="fr-CA"/>
              </w:rPr>
              <w:t xml:space="preserve">S’appuyant sur l’arrêt </w:t>
            </w:r>
            <w:r w:rsidRPr="00003B04">
              <w:rPr>
                <w:i/>
                <w:sz w:val="20"/>
                <w:lang w:val="fr-CA"/>
              </w:rPr>
              <w:t>McKinley c. BC Tel</w:t>
            </w:r>
            <w:r w:rsidRPr="00003B04">
              <w:rPr>
                <w:sz w:val="20"/>
                <w:lang w:val="fr-CA"/>
              </w:rPr>
              <w:t xml:space="preserve">, 2001 CSC 38, le juge de première instance a conclu que le congédiement sans préavis était injustifié et il a accueilli l’action. Il a condamné l’école à payer à M. Fernandes des dommages-intérêts pour congédiement injustifié, perte de revenus divers et perte de prestations d’invalidité de longue durée. Il a rejeté l’action intentée contre Mme Bush. S’appuyant elle aussi sur l’arrêt </w:t>
            </w:r>
            <w:r w:rsidRPr="00003B04">
              <w:rPr>
                <w:i/>
                <w:sz w:val="20"/>
                <w:lang w:val="fr-CA"/>
              </w:rPr>
              <w:t>McKinley</w:t>
            </w:r>
            <w:r w:rsidRPr="00003B04">
              <w:rPr>
                <w:sz w:val="20"/>
                <w:lang w:val="fr-CA"/>
              </w:rPr>
              <w:t>, la Cour d’appel a accueilli l’appel des intimées.</w:t>
            </w:r>
          </w:p>
          <w:p w:rsidR="00EE4290" w:rsidRPr="00003B04" w:rsidRDefault="00EE4290" w:rsidP="00EE4290">
            <w:pPr>
              <w:jc w:val="both"/>
              <w:rPr>
                <w:sz w:val="20"/>
                <w:lang w:val="fr-CA"/>
              </w:rPr>
            </w:pPr>
          </w:p>
        </w:tc>
      </w:tr>
    </w:tbl>
    <w:p w:rsidR="008F5EB8" w:rsidRPr="00003B04" w:rsidRDefault="008F5EB8">
      <w:pPr>
        <w:rPr>
          <w:lang w:val="fr-CA"/>
        </w:rPr>
      </w:pPr>
      <w:r w:rsidRPr="00003B04">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3866"/>
        <w:gridCol w:w="543"/>
        <w:gridCol w:w="5118"/>
      </w:tblGrid>
      <w:tr w:rsidR="00EE4290" w:rsidRPr="00C3697D" w:rsidTr="00EE4290">
        <w:tc>
          <w:tcPr>
            <w:tcW w:w="2029" w:type="pct"/>
          </w:tcPr>
          <w:p w:rsidR="00EE4290" w:rsidRPr="00003B04" w:rsidRDefault="00EE4290" w:rsidP="00EE4290">
            <w:pPr>
              <w:jc w:val="both"/>
              <w:rPr>
                <w:sz w:val="20"/>
                <w:lang w:val="fr-CA"/>
              </w:rPr>
            </w:pPr>
            <w:r w:rsidRPr="00003B04">
              <w:rPr>
                <w:sz w:val="20"/>
                <w:lang w:val="fr-CA"/>
              </w:rPr>
              <w:lastRenderedPageBreak/>
              <w:t>12 novembre 2014</w:t>
            </w:r>
          </w:p>
          <w:p w:rsidR="00EE4290" w:rsidRPr="00003B04" w:rsidRDefault="00EE4290" w:rsidP="00EE4290">
            <w:pPr>
              <w:jc w:val="both"/>
              <w:rPr>
                <w:sz w:val="20"/>
                <w:lang w:val="fr-CA"/>
              </w:rPr>
            </w:pPr>
            <w:r w:rsidRPr="00003B04">
              <w:rPr>
                <w:sz w:val="20"/>
                <w:lang w:val="fr-CA"/>
              </w:rPr>
              <w:t>Cour supérieure de justice de l’Ontario</w:t>
            </w:r>
          </w:p>
          <w:p w:rsidR="00EE4290" w:rsidRPr="00003B04" w:rsidRDefault="00EE4290" w:rsidP="00EE4290">
            <w:pPr>
              <w:jc w:val="both"/>
              <w:rPr>
                <w:sz w:val="20"/>
                <w:lang w:val="fr-CA"/>
              </w:rPr>
            </w:pPr>
            <w:r w:rsidRPr="00003B04">
              <w:rPr>
                <w:sz w:val="20"/>
                <w:lang w:val="fr-CA"/>
              </w:rPr>
              <w:t xml:space="preserve">(Juge </w:t>
            </w:r>
            <w:proofErr w:type="spellStart"/>
            <w:r w:rsidRPr="00003B04">
              <w:rPr>
                <w:sz w:val="20"/>
                <w:lang w:val="fr-CA"/>
              </w:rPr>
              <w:t>Lemon</w:t>
            </w:r>
            <w:proofErr w:type="spellEnd"/>
            <w:r w:rsidRPr="00003B04">
              <w:rPr>
                <w:sz w:val="20"/>
                <w:lang w:val="fr-CA"/>
              </w:rPr>
              <w:t>)</w:t>
            </w:r>
          </w:p>
          <w:p w:rsidR="00EE4290" w:rsidRPr="00003B04" w:rsidRDefault="00604445" w:rsidP="00EE4290">
            <w:pPr>
              <w:jc w:val="both"/>
              <w:rPr>
                <w:sz w:val="20"/>
                <w:lang w:val="fr-CA"/>
              </w:rPr>
            </w:pPr>
            <w:hyperlink r:id="rId86" w:history="1">
              <w:r w:rsidR="00EE4290" w:rsidRPr="00003B04">
                <w:rPr>
                  <w:rStyle w:val="Hyperlink"/>
                  <w:sz w:val="20"/>
                  <w:lang w:val="fr-CA"/>
                </w:rPr>
                <w:t>2014 ONSC 6506</w:t>
              </w:r>
            </w:hyperlink>
          </w:p>
          <w:p w:rsidR="00EE4290" w:rsidRPr="00003B04" w:rsidRDefault="00EE4290" w:rsidP="00EE4290">
            <w:pPr>
              <w:jc w:val="both"/>
              <w:rPr>
                <w:sz w:val="20"/>
                <w:lang w:val="fr-CA"/>
              </w:rPr>
            </w:pPr>
          </w:p>
        </w:tc>
        <w:tc>
          <w:tcPr>
            <w:tcW w:w="285" w:type="pct"/>
          </w:tcPr>
          <w:p w:rsidR="00EE4290" w:rsidRPr="00003B04" w:rsidRDefault="00EE4290" w:rsidP="00EE4290">
            <w:pPr>
              <w:jc w:val="both"/>
              <w:rPr>
                <w:sz w:val="20"/>
                <w:lang w:val="fr-CA"/>
              </w:rPr>
            </w:pPr>
          </w:p>
        </w:tc>
        <w:tc>
          <w:tcPr>
            <w:tcW w:w="2686" w:type="pct"/>
          </w:tcPr>
          <w:p w:rsidR="00EE4290" w:rsidRPr="00003B04" w:rsidRDefault="00EE4290" w:rsidP="00EE4290">
            <w:pPr>
              <w:jc w:val="both"/>
              <w:rPr>
                <w:sz w:val="20"/>
                <w:lang w:val="fr-CA"/>
              </w:rPr>
            </w:pPr>
            <w:r w:rsidRPr="00003B04">
              <w:rPr>
                <w:sz w:val="20"/>
                <w:lang w:val="fr-CA"/>
              </w:rPr>
              <w:t xml:space="preserve">Jugement rendu contre Peel </w:t>
            </w:r>
            <w:proofErr w:type="spellStart"/>
            <w:r w:rsidRPr="00003B04">
              <w:rPr>
                <w:sz w:val="20"/>
                <w:lang w:val="fr-CA"/>
              </w:rPr>
              <w:t>Educational</w:t>
            </w:r>
            <w:proofErr w:type="spellEnd"/>
            <w:r w:rsidRPr="00003B04">
              <w:rPr>
                <w:sz w:val="20"/>
                <w:lang w:val="fr-CA"/>
              </w:rPr>
              <w:t xml:space="preserve"> &amp; Tutorial Services Limited; dommages-intérêts accordés pour congédiement injustifié, pertes de revenus diverses et invalidité de longue durée; action contre Mme Bush rejetée</w:t>
            </w:r>
          </w:p>
          <w:p w:rsidR="00EE4290" w:rsidRPr="00003B04" w:rsidRDefault="00EE4290" w:rsidP="00EE4290">
            <w:pPr>
              <w:jc w:val="both"/>
              <w:rPr>
                <w:sz w:val="20"/>
                <w:lang w:val="fr-CA"/>
              </w:rPr>
            </w:pPr>
          </w:p>
        </w:tc>
      </w:tr>
      <w:tr w:rsidR="00EE4290" w:rsidRPr="00C3697D" w:rsidTr="00EE4290">
        <w:tc>
          <w:tcPr>
            <w:tcW w:w="2029" w:type="pct"/>
          </w:tcPr>
          <w:p w:rsidR="00EE4290" w:rsidRPr="00003B04" w:rsidRDefault="00EE4290" w:rsidP="00EE4290">
            <w:pPr>
              <w:jc w:val="both"/>
              <w:rPr>
                <w:sz w:val="20"/>
                <w:lang w:val="fr-CA"/>
              </w:rPr>
            </w:pPr>
            <w:r w:rsidRPr="00003B04">
              <w:rPr>
                <w:sz w:val="20"/>
                <w:lang w:val="fr-CA"/>
              </w:rPr>
              <w:t>18 juin 2015</w:t>
            </w:r>
          </w:p>
          <w:p w:rsidR="00EE4290" w:rsidRPr="00003B04" w:rsidRDefault="00EE4290" w:rsidP="00EE4290">
            <w:pPr>
              <w:jc w:val="both"/>
              <w:rPr>
                <w:sz w:val="20"/>
                <w:lang w:val="fr-CA"/>
              </w:rPr>
            </w:pPr>
            <w:r w:rsidRPr="00003B04">
              <w:rPr>
                <w:sz w:val="20"/>
                <w:lang w:val="fr-CA"/>
              </w:rPr>
              <w:t>Cour supérieure de justice de l’Ontario</w:t>
            </w:r>
          </w:p>
          <w:p w:rsidR="00EE4290" w:rsidRPr="00003B04" w:rsidRDefault="00EE4290" w:rsidP="00EE4290">
            <w:pPr>
              <w:jc w:val="both"/>
              <w:rPr>
                <w:sz w:val="20"/>
                <w:lang w:val="fr-CA"/>
              </w:rPr>
            </w:pPr>
            <w:r w:rsidRPr="00003B04">
              <w:rPr>
                <w:sz w:val="20"/>
                <w:lang w:val="fr-CA"/>
              </w:rPr>
              <w:t xml:space="preserve">(Juge </w:t>
            </w:r>
            <w:proofErr w:type="spellStart"/>
            <w:r w:rsidRPr="00003B04">
              <w:rPr>
                <w:sz w:val="20"/>
                <w:lang w:val="fr-CA"/>
              </w:rPr>
              <w:t>Lemon</w:t>
            </w:r>
            <w:proofErr w:type="spellEnd"/>
            <w:r w:rsidRPr="00003B04">
              <w:rPr>
                <w:sz w:val="20"/>
                <w:lang w:val="fr-CA"/>
              </w:rPr>
              <w:t>)</w:t>
            </w:r>
          </w:p>
          <w:p w:rsidR="00EE4290" w:rsidRPr="00003B04" w:rsidRDefault="00604445" w:rsidP="00EE4290">
            <w:pPr>
              <w:jc w:val="both"/>
              <w:rPr>
                <w:sz w:val="20"/>
                <w:lang w:val="fr-CA"/>
              </w:rPr>
            </w:pPr>
            <w:hyperlink r:id="rId87" w:history="1">
              <w:r w:rsidR="00EE4290" w:rsidRPr="00003B04">
                <w:rPr>
                  <w:rStyle w:val="Hyperlink"/>
                  <w:sz w:val="20"/>
                  <w:lang w:val="fr-CA"/>
                </w:rPr>
                <w:t>2015 ONSC 3753</w:t>
              </w:r>
            </w:hyperlink>
          </w:p>
          <w:p w:rsidR="00EE4290" w:rsidRPr="00003B04" w:rsidRDefault="00EE4290" w:rsidP="00EE4290">
            <w:pPr>
              <w:jc w:val="both"/>
              <w:rPr>
                <w:sz w:val="20"/>
                <w:lang w:val="fr-CA"/>
              </w:rPr>
            </w:pPr>
          </w:p>
        </w:tc>
        <w:tc>
          <w:tcPr>
            <w:tcW w:w="285" w:type="pct"/>
          </w:tcPr>
          <w:p w:rsidR="00EE4290" w:rsidRPr="00003B04" w:rsidRDefault="00EE4290" w:rsidP="00EE4290">
            <w:pPr>
              <w:jc w:val="both"/>
              <w:rPr>
                <w:sz w:val="20"/>
                <w:lang w:val="fr-CA"/>
              </w:rPr>
            </w:pPr>
          </w:p>
        </w:tc>
        <w:tc>
          <w:tcPr>
            <w:tcW w:w="2686" w:type="pct"/>
          </w:tcPr>
          <w:p w:rsidR="00EE4290" w:rsidRPr="00003B04" w:rsidRDefault="00EE4290" w:rsidP="00EE4290">
            <w:pPr>
              <w:jc w:val="both"/>
              <w:rPr>
                <w:sz w:val="20"/>
                <w:lang w:val="fr-CA"/>
              </w:rPr>
            </w:pPr>
            <w:r w:rsidRPr="00003B04">
              <w:rPr>
                <w:sz w:val="20"/>
                <w:lang w:val="fr-CA"/>
              </w:rPr>
              <w:t>Fixation des prestations d’invalidité de longue durée</w:t>
            </w:r>
          </w:p>
        </w:tc>
      </w:tr>
      <w:tr w:rsidR="00EE4290" w:rsidRPr="00C3697D" w:rsidTr="00EE4290">
        <w:tc>
          <w:tcPr>
            <w:tcW w:w="2029" w:type="pct"/>
          </w:tcPr>
          <w:p w:rsidR="00EE4290" w:rsidRPr="00003B04" w:rsidRDefault="00EE4290" w:rsidP="00EE4290">
            <w:pPr>
              <w:jc w:val="both"/>
              <w:rPr>
                <w:sz w:val="20"/>
                <w:lang w:val="fr-CA"/>
              </w:rPr>
            </w:pPr>
            <w:r w:rsidRPr="00003B04">
              <w:rPr>
                <w:sz w:val="20"/>
                <w:lang w:val="fr-CA"/>
              </w:rPr>
              <w:t>14 juin 2016</w:t>
            </w:r>
          </w:p>
          <w:p w:rsidR="00EE4290" w:rsidRPr="00003B04" w:rsidRDefault="00EE4290" w:rsidP="00EE4290">
            <w:pPr>
              <w:jc w:val="both"/>
              <w:rPr>
                <w:sz w:val="20"/>
                <w:lang w:val="fr-CA"/>
              </w:rPr>
            </w:pPr>
            <w:r w:rsidRPr="00003B04">
              <w:rPr>
                <w:sz w:val="20"/>
                <w:lang w:val="fr-CA"/>
              </w:rPr>
              <w:t>Cour d’appel de l’Ontario</w:t>
            </w:r>
          </w:p>
          <w:p w:rsidR="00EE4290" w:rsidRPr="00003B04" w:rsidRDefault="00EE4290" w:rsidP="00EE4290">
            <w:pPr>
              <w:jc w:val="both"/>
              <w:rPr>
                <w:sz w:val="20"/>
                <w:lang w:val="fr-CA"/>
              </w:rPr>
            </w:pPr>
            <w:r w:rsidRPr="00003B04">
              <w:rPr>
                <w:sz w:val="20"/>
                <w:lang w:val="fr-CA"/>
              </w:rPr>
              <w:t xml:space="preserve">(Juges </w:t>
            </w:r>
            <w:proofErr w:type="spellStart"/>
            <w:r w:rsidRPr="00003B04">
              <w:rPr>
                <w:sz w:val="20"/>
                <w:lang w:val="fr-CA"/>
              </w:rPr>
              <w:t>Gillese</w:t>
            </w:r>
            <w:proofErr w:type="spellEnd"/>
            <w:r w:rsidRPr="00003B04">
              <w:rPr>
                <w:sz w:val="20"/>
                <w:lang w:val="fr-CA"/>
              </w:rPr>
              <w:t xml:space="preserve">, </w:t>
            </w:r>
            <w:proofErr w:type="spellStart"/>
            <w:r w:rsidRPr="00003B04">
              <w:rPr>
                <w:sz w:val="20"/>
                <w:lang w:val="fr-CA"/>
              </w:rPr>
              <w:t>Hourigan</w:t>
            </w:r>
            <w:proofErr w:type="spellEnd"/>
            <w:r w:rsidRPr="00003B04">
              <w:rPr>
                <w:sz w:val="20"/>
                <w:lang w:val="fr-CA"/>
              </w:rPr>
              <w:t xml:space="preserve"> et </w:t>
            </w:r>
            <w:proofErr w:type="spellStart"/>
            <w:r w:rsidRPr="00003B04">
              <w:rPr>
                <w:sz w:val="20"/>
                <w:lang w:val="fr-CA"/>
              </w:rPr>
              <w:t>Pardu</w:t>
            </w:r>
            <w:proofErr w:type="spellEnd"/>
            <w:r w:rsidRPr="00003B04">
              <w:rPr>
                <w:sz w:val="20"/>
                <w:lang w:val="fr-CA"/>
              </w:rPr>
              <w:t xml:space="preserve"> (dissidente)</w:t>
            </w:r>
          </w:p>
          <w:p w:rsidR="00EE4290" w:rsidRPr="00003B04" w:rsidRDefault="00604445" w:rsidP="00EE4290">
            <w:pPr>
              <w:jc w:val="both"/>
              <w:rPr>
                <w:sz w:val="20"/>
                <w:lang w:val="fr-CA"/>
              </w:rPr>
            </w:pPr>
            <w:hyperlink r:id="rId88" w:history="1">
              <w:r w:rsidR="00EE4290" w:rsidRPr="00003B04">
                <w:rPr>
                  <w:rStyle w:val="Hyperlink"/>
                  <w:sz w:val="20"/>
                  <w:lang w:val="fr-CA"/>
                </w:rPr>
                <w:t>2016 ONCA 468</w:t>
              </w:r>
            </w:hyperlink>
          </w:p>
          <w:p w:rsidR="00EE4290" w:rsidRPr="00003B04" w:rsidRDefault="00EE4290" w:rsidP="00EE4290">
            <w:pPr>
              <w:jc w:val="both"/>
              <w:rPr>
                <w:sz w:val="20"/>
                <w:lang w:val="fr-CA"/>
              </w:rPr>
            </w:pPr>
          </w:p>
        </w:tc>
        <w:tc>
          <w:tcPr>
            <w:tcW w:w="285" w:type="pct"/>
          </w:tcPr>
          <w:p w:rsidR="00EE4290" w:rsidRPr="00003B04" w:rsidRDefault="00EE4290" w:rsidP="00EE4290">
            <w:pPr>
              <w:jc w:val="both"/>
              <w:rPr>
                <w:sz w:val="20"/>
                <w:lang w:val="fr-CA"/>
              </w:rPr>
            </w:pPr>
          </w:p>
        </w:tc>
        <w:tc>
          <w:tcPr>
            <w:tcW w:w="2686" w:type="pct"/>
          </w:tcPr>
          <w:p w:rsidR="00EE4290" w:rsidRPr="00003B04" w:rsidRDefault="00EE4290" w:rsidP="00EE4290">
            <w:pPr>
              <w:jc w:val="both"/>
              <w:rPr>
                <w:sz w:val="20"/>
                <w:lang w:val="fr-CA"/>
              </w:rPr>
            </w:pPr>
            <w:r w:rsidRPr="00003B04">
              <w:rPr>
                <w:sz w:val="20"/>
                <w:lang w:val="fr-CA"/>
              </w:rPr>
              <w:t>Arrêt accueillant l’appel, rejetant l’action et annulant les jugements de la juridiction inférieure en date du 12 novembre 2014, du 18 juin 2015 et du 13 août 2015 (dépens)</w:t>
            </w:r>
          </w:p>
          <w:p w:rsidR="00EE4290" w:rsidRPr="00003B04" w:rsidRDefault="00EE4290" w:rsidP="00EE4290">
            <w:pPr>
              <w:jc w:val="both"/>
              <w:rPr>
                <w:sz w:val="20"/>
                <w:lang w:val="fr-CA"/>
              </w:rPr>
            </w:pPr>
          </w:p>
        </w:tc>
      </w:tr>
      <w:tr w:rsidR="00EE4290" w:rsidRPr="00C3697D" w:rsidTr="00EE4290">
        <w:tc>
          <w:tcPr>
            <w:tcW w:w="2029" w:type="pct"/>
          </w:tcPr>
          <w:p w:rsidR="00EE4290" w:rsidRPr="00003B04" w:rsidRDefault="00EE4290" w:rsidP="00EE4290">
            <w:pPr>
              <w:jc w:val="both"/>
              <w:rPr>
                <w:sz w:val="20"/>
                <w:lang w:val="fr-CA"/>
              </w:rPr>
            </w:pPr>
            <w:r w:rsidRPr="00003B04">
              <w:rPr>
                <w:sz w:val="20"/>
                <w:lang w:val="fr-CA"/>
              </w:rPr>
              <w:t>12 septembre 2016</w:t>
            </w:r>
          </w:p>
          <w:p w:rsidR="00EE4290" w:rsidRPr="00003B04" w:rsidRDefault="00EE4290" w:rsidP="00EE4290">
            <w:pPr>
              <w:jc w:val="both"/>
              <w:rPr>
                <w:sz w:val="20"/>
                <w:lang w:val="fr-CA"/>
              </w:rPr>
            </w:pPr>
            <w:r w:rsidRPr="00003B04">
              <w:rPr>
                <w:sz w:val="20"/>
                <w:lang w:val="fr-CA"/>
              </w:rPr>
              <w:t>Cour suprême du Canada</w:t>
            </w:r>
          </w:p>
        </w:tc>
        <w:tc>
          <w:tcPr>
            <w:tcW w:w="285" w:type="pct"/>
          </w:tcPr>
          <w:p w:rsidR="00EE4290" w:rsidRPr="00003B04" w:rsidRDefault="00EE4290" w:rsidP="00EE4290">
            <w:pPr>
              <w:jc w:val="both"/>
              <w:rPr>
                <w:sz w:val="20"/>
                <w:lang w:val="fr-CA"/>
              </w:rPr>
            </w:pPr>
          </w:p>
        </w:tc>
        <w:tc>
          <w:tcPr>
            <w:tcW w:w="2686" w:type="pct"/>
          </w:tcPr>
          <w:p w:rsidR="00EE4290" w:rsidRPr="00003B04" w:rsidRDefault="00EE4290" w:rsidP="00EE4290">
            <w:pPr>
              <w:jc w:val="both"/>
              <w:rPr>
                <w:sz w:val="20"/>
                <w:lang w:val="fr-CA"/>
              </w:rPr>
            </w:pPr>
            <w:r w:rsidRPr="00003B04">
              <w:rPr>
                <w:sz w:val="20"/>
                <w:lang w:val="fr-CA"/>
              </w:rPr>
              <w:t>Dépôt de la demande d’autorisation d’appel</w:t>
            </w:r>
          </w:p>
        </w:tc>
      </w:tr>
    </w:tbl>
    <w:p w:rsidR="00EE4290" w:rsidRPr="00003B04" w:rsidRDefault="00604445" w:rsidP="00EE4290">
      <w:pPr>
        <w:jc w:val="both"/>
        <w:rPr>
          <w:sz w:val="20"/>
          <w:lang w:val="fr-CA"/>
        </w:rPr>
      </w:pPr>
      <w:r>
        <w:rPr>
          <w:sz w:val="20"/>
          <w:szCs w:val="20"/>
        </w:rPr>
        <w:pict>
          <v:rect id="_x0000_i1082" style="width:2in;height:1pt" o:hrpct="0" o:hralign="center" o:hrstd="t" o:hrnoshade="t" o:hr="t" fillcolor="black [3213]" stroked="f"/>
        </w:pict>
      </w:r>
    </w:p>
    <w:p w:rsidR="00EE4290" w:rsidRPr="00003B04" w:rsidRDefault="00EE4290" w:rsidP="00EE4290">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tblGrid>
      <w:tr w:rsidR="00EE4290" w:rsidRPr="00003B04" w:rsidTr="00EE4290">
        <w:tc>
          <w:tcPr>
            <w:tcW w:w="543" w:type="pct"/>
          </w:tcPr>
          <w:p w:rsidR="00EE4290" w:rsidRPr="00003B04" w:rsidRDefault="00EE4290" w:rsidP="00EE4290">
            <w:pPr>
              <w:jc w:val="both"/>
              <w:rPr>
                <w:sz w:val="20"/>
              </w:rPr>
            </w:pPr>
            <w:r w:rsidRPr="00003B04">
              <w:rPr>
                <w:rStyle w:val="SCCFileNumberChar"/>
                <w:sz w:val="20"/>
                <w:szCs w:val="20"/>
              </w:rPr>
              <w:t>37332</w:t>
            </w:r>
          </w:p>
        </w:tc>
        <w:tc>
          <w:tcPr>
            <w:tcW w:w="4457" w:type="pct"/>
            <w:gridSpan w:val="3"/>
          </w:tcPr>
          <w:p w:rsidR="00EE4290" w:rsidRPr="00003B04" w:rsidRDefault="00EE4290" w:rsidP="00767A6B">
            <w:pPr>
              <w:pStyle w:val="SCCLsocParty"/>
              <w:jc w:val="both"/>
              <w:rPr>
                <w:sz w:val="20"/>
                <w:lang w:val="en-US"/>
              </w:rPr>
            </w:pPr>
            <w:r w:rsidRPr="00003B04">
              <w:rPr>
                <w:b/>
                <w:sz w:val="20"/>
                <w:szCs w:val="20"/>
                <w:lang w:val="en-US"/>
              </w:rPr>
              <w:t xml:space="preserve">Katherine Lin v. </w:t>
            </w:r>
            <w:proofErr w:type="spellStart"/>
            <w:r w:rsidRPr="00003B04">
              <w:rPr>
                <w:b/>
                <w:sz w:val="20"/>
                <w:szCs w:val="20"/>
                <w:lang w:val="en-US"/>
              </w:rPr>
              <w:t>SpringBoard</w:t>
            </w:r>
            <w:proofErr w:type="spellEnd"/>
            <w:r w:rsidR="001B621B" w:rsidRPr="00003B04">
              <w:rPr>
                <w:b/>
                <w:sz w:val="20"/>
                <w:szCs w:val="20"/>
                <w:lang w:val="en-US"/>
              </w:rPr>
              <w:t xml:space="preserve"> and </w:t>
            </w:r>
            <w:proofErr w:type="spellStart"/>
            <w:r w:rsidRPr="00003B04">
              <w:rPr>
                <w:b/>
                <w:sz w:val="20"/>
                <w:szCs w:val="20"/>
                <w:lang w:val="en-US"/>
              </w:rPr>
              <w:t>Mafaza</w:t>
            </w:r>
            <w:proofErr w:type="spellEnd"/>
            <w:r w:rsidRPr="00003B04">
              <w:rPr>
                <w:b/>
                <w:sz w:val="20"/>
                <w:szCs w:val="20"/>
                <w:lang w:val="en-US"/>
              </w:rPr>
              <w:t xml:space="preserve"> Assan</w:t>
            </w:r>
            <w:r w:rsidR="00767A6B" w:rsidRPr="00003B04">
              <w:rPr>
                <w:b/>
                <w:sz w:val="20"/>
                <w:szCs w:val="20"/>
                <w:lang w:val="en-US"/>
              </w:rPr>
              <w:t xml:space="preserve"> </w:t>
            </w:r>
            <w:r w:rsidRPr="00003B04">
              <w:rPr>
                <w:sz w:val="20"/>
                <w:lang w:val="en-US"/>
              </w:rPr>
              <w:t>(Ont.) (Civil) (By Leave)</w:t>
            </w:r>
          </w:p>
          <w:p w:rsidR="00767A6B" w:rsidRPr="00003B04" w:rsidRDefault="00767A6B" w:rsidP="00767A6B">
            <w:pPr>
              <w:rPr>
                <w:lang w:val="en-US"/>
              </w:rPr>
            </w:pPr>
          </w:p>
        </w:tc>
      </w:tr>
      <w:tr w:rsidR="004F14EC" w:rsidRPr="00003B04" w:rsidTr="00EE4290">
        <w:tc>
          <w:tcPr>
            <w:tcW w:w="543" w:type="pct"/>
          </w:tcPr>
          <w:p w:rsidR="004F14EC" w:rsidRPr="00003B04" w:rsidRDefault="004F14EC" w:rsidP="00EE4290">
            <w:pPr>
              <w:jc w:val="both"/>
              <w:rPr>
                <w:rStyle w:val="SCCFileNumberChar"/>
                <w:sz w:val="20"/>
                <w:szCs w:val="20"/>
              </w:rPr>
            </w:pPr>
            <w:r w:rsidRPr="00003B04">
              <w:rPr>
                <w:rStyle w:val="SCCFileNumberChar"/>
                <w:sz w:val="20"/>
                <w:szCs w:val="20"/>
              </w:rPr>
              <w:t>Coram:</w:t>
            </w:r>
          </w:p>
        </w:tc>
        <w:tc>
          <w:tcPr>
            <w:tcW w:w="4457" w:type="pct"/>
            <w:gridSpan w:val="3"/>
          </w:tcPr>
          <w:p w:rsidR="002B2A73" w:rsidRPr="00003B04" w:rsidRDefault="005A5AB4" w:rsidP="002B2A73">
            <w:pPr>
              <w:rPr>
                <w:rFonts w:eastAsiaTheme="minorEastAsia" w:cs="Times New Roman"/>
                <w:sz w:val="20"/>
                <w:szCs w:val="20"/>
                <w:lang w:eastAsia="en-CA"/>
              </w:rPr>
            </w:pPr>
            <w:proofErr w:type="spellStart"/>
            <w:r w:rsidRPr="00003B04">
              <w:rPr>
                <w:rFonts w:eastAsiaTheme="minorEastAsia" w:cs="Times New Roman"/>
                <w:sz w:val="20"/>
                <w:szCs w:val="20"/>
                <w:lang w:eastAsia="en-CA"/>
              </w:rPr>
              <w:t>McLachlin</w:t>
            </w:r>
            <w:proofErr w:type="spellEnd"/>
            <w:r w:rsidRPr="00003B04">
              <w:rPr>
                <w:rFonts w:eastAsiaTheme="minorEastAsia" w:cs="Times New Roman"/>
                <w:sz w:val="20"/>
                <w:szCs w:val="20"/>
                <w:lang w:eastAsia="en-CA"/>
              </w:rPr>
              <w:t xml:space="preserve"> C.J. and </w:t>
            </w:r>
            <w:proofErr w:type="spellStart"/>
            <w:r w:rsidRPr="00003B04">
              <w:rPr>
                <w:rFonts w:eastAsiaTheme="minorEastAsia" w:cs="Times New Roman"/>
                <w:sz w:val="20"/>
                <w:szCs w:val="20"/>
                <w:lang w:eastAsia="en-CA"/>
              </w:rPr>
              <w:t>Abella</w:t>
            </w:r>
            <w:proofErr w:type="spellEnd"/>
            <w:r w:rsidRPr="00003B04">
              <w:rPr>
                <w:rFonts w:eastAsiaTheme="minorEastAsia" w:cs="Times New Roman"/>
                <w:sz w:val="20"/>
                <w:szCs w:val="20"/>
                <w:lang w:eastAsia="en-CA"/>
              </w:rPr>
              <w:t xml:space="preserve">, </w:t>
            </w:r>
            <w:proofErr w:type="spellStart"/>
            <w:r w:rsidRPr="00003B04">
              <w:rPr>
                <w:rFonts w:eastAsiaTheme="minorEastAsia" w:cs="Times New Roman"/>
                <w:sz w:val="20"/>
                <w:szCs w:val="20"/>
                <w:lang w:eastAsia="en-CA"/>
              </w:rPr>
              <w:t>Moldaver</w:t>
            </w:r>
            <w:proofErr w:type="spellEnd"/>
            <w:r w:rsidRPr="00003B04">
              <w:rPr>
                <w:rFonts w:eastAsiaTheme="minorEastAsia" w:cs="Times New Roman"/>
                <w:sz w:val="20"/>
                <w:szCs w:val="20"/>
                <w:lang w:eastAsia="en-CA"/>
              </w:rPr>
              <w:t xml:space="preserve">, </w:t>
            </w:r>
            <w:proofErr w:type="spellStart"/>
            <w:r w:rsidRPr="00003B04">
              <w:rPr>
                <w:rFonts w:eastAsiaTheme="minorEastAsia" w:cs="Times New Roman"/>
                <w:sz w:val="20"/>
                <w:szCs w:val="20"/>
                <w:lang w:eastAsia="en-CA"/>
              </w:rPr>
              <w:t>Karakatsanis</w:t>
            </w:r>
            <w:proofErr w:type="spellEnd"/>
            <w:r w:rsidRPr="00003B04">
              <w:rPr>
                <w:rFonts w:eastAsiaTheme="minorEastAsia" w:cs="Times New Roman"/>
                <w:sz w:val="20"/>
                <w:szCs w:val="20"/>
                <w:lang w:eastAsia="en-CA"/>
              </w:rPr>
              <w:t xml:space="preserve">, Wagner, </w:t>
            </w:r>
            <w:proofErr w:type="spellStart"/>
            <w:r w:rsidRPr="00003B04">
              <w:rPr>
                <w:rFonts w:eastAsiaTheme="minorEastAsia" w:cs="Times New Roman"/>
                <w:sz w:val="20"/>
                <w:szCs w:val="20"/>
                <w:lang w:eastAsia="en-CA"/>
              </w:rPr>
              <w:t>Gascon</w:t>
            </w:r>
            <w:proofErr w:type="spellEnd"/>
            <w:r w:rsidRPr="00003B04">
              <w:rPr>
                <w:rFonts w:eastAsiaTheme="minorEastAsia" w:cs="Times New Roman"/>
                <w:sz w:val="20"/>
                <w:szCs w:val="20"/>
                <w:lang w:eastAsia="en-CA"/>
              </w:rPr>
              <w:t xml:space="preserve">, </w:t>
            </w:r>
            <w:proofErr w:type="spellStart"/>
            <w:r w:rsidRPr="00003B04">
              <w:rPr>
                <w:rFonts w:eastAsiaTheme="minorEastAsia" w:cs="Times New Roman"/>
                <w:sz w:val="20"/>
                <w:szCs w:val="20"/>
                <w:lang w:eastAsia="en-CA"/>
              </w:rPr>
              <w:t>Côté</w:t>
            </w:r>
            <w:proofErr w:type="spellEnd"/>
            <w:r w:rsidRPr="00003B04">
              <w:rPr>
                <w:rFonts w:eastAsiaTheme="minorEastAsia" w:cs="Times New Roman"/>
                <w:sz w:val="20"/>
                <w:szCs w:val="20"/>
                <w:lang w:eastAsia="en-CA"/>
              </w:rPr>
              <w:t>, Brown and Rowe JJ.</w:t>
            </w:r>
          </w:p>
          <w:p w:rsidR="005A5AB4" w:rsidRPr="00003B04" w:rsidRDefault="005A5AB4" w:rsidP="002B2A73">
            <w:pPr>
              <w:rPr>
                <w:lang w:val="en-US" w:eastAsia="en-CA"/>
              </w:rPr>
            </w:pPr>
          </w:p>
        </w:tc>
      </w:tr>
      <w:tr w:rsidR="004F14EC" w:rsidRPr="00003B04" w:rsidTr="004F14EC">
        <w:tc>
          <w:tcPr>
            <w:tcW w:w="5000" w:type="pct"/>
            <w:gridSpan w:val="4"/>
          </w:tcPr>
          <w:p w:rsidR="002B2A73" w:rsidRPr="00003B04" w:rsidRDefault="005A5AB4" w:rsidP="002B2A73">
            <w:pPr>
              <w:rPr>
                <w:sz w:val="20"/>
                <w:szCs w:val="20"/>
              </w:rPr>
            </w:pPr>
            <w:r w:rsidRPr="00003B04">
              <w:rPr>
                <w:sz w:val="20"/>
                <w:szCs w:val="20"/>
              </w:rPr>
              <w:t>The application for leave to appeal from the judgment of the Court of Appeal for Ontario, Number M46768, 2016 ONCA 787, dated October 26, 2016, is dismissed.</w:t>
            </w:r>
          </w:p>
          <w:p w:rsidR="005A5AB4" w:rsidRPr="00003B04" w:rsidRDefault="005A5AB4" w:rsidP="002B2A73">
            <w:pPr>
              <w:rPr>
                <w:lang w:val="en-US"/>
              </w:rPr>
            </w:pPr>
          </w:p>
        </w:tc>
      </w:tr>
      <w:tr w:rsidR="00EE4290" w:rsidRPr="00003B04" w:rsidTr="00EE4290">
        <w:tc>
          <w:tcPr>
            <w:tcW w:w="5000" w:type="pct"/>
            <w:gridSpan w:val="4"/>
          </w:tcPr>
          <w:p w:rsidR="00EE4290" w:rsidRPr="00003B04" w:rsidRDefault="00EE4290" w:rsidP="00EE4290">
            <w:pPr>
              <w:jc w:val="both"/>
              <w:rPr>
                <w:sz w:val="20"/>
              </w:rPr>
            </w:pPr>
            <w:r w:rsidRPr="00003B04">
              <w:rPr>
                <w:sz w:val="20"/>
              </w:rPr>
              <w:t xml:space="preserve">Human rights – </w:t>
            </w:r>
            <w:r w:rsidRPr="00003B04">
              <w:rPr>
                <w:sz w:val="20"/>
                <w:lang w:val="en-GB"/>
              </w:rPr>
              <w:t xml:space="preserve">Discriminatory practices – Civil Procedure – Applicant declared to be vexatious litigant by Human Rights Tribunal of Ontario – Whether </w:t>
            </w:r>
            <w:r w:rsidRPr="00003B04">
              <w:rPr>
                <w:sz w:val="20"/>
              </w:rPr>
              <w:t xml:space="preserve">the applicant has been harassed, and the harassment is still ongoing – Whether there is evidence of harassment – Whether the case raises a serious issue of public importance about law and human rights.  </w:t>
            </w:r>
          </w:p>
          <w:p w:rsidR="00EE4290" w:rsidRPr="00003B04" w:rsidRDefault="00EE4290" w:rsidP="00EE4290">
            <w:pPr>
              <w:jc w:val="both"/>
              <w:rPr>
                <w:sz w:val="20"/>
              </w:rPr>
            </w:pPr>
          </w:p>
        </w:tc>
      </w:tr>
      <w:tr w:rsidR="00EE4290" w:rsidRPr="00003B04" w:rsidTr="00EE4290">
        <w:tc>
          <w:tcPr>
            <w:tcW w:w="5000" w:type="pct"/>
            <w:gridSpan w:val="4"/>
          </w:tcPr>
          <w:p w:rsidR="00EE4290" w:rsidRPr="00003B04" w:rsidRDefault="00EE4290" w:rsidP="00EE4290">
            <w:pPr>
              <w:jc w:val="both"/>
              <w:rPr>
                <w:sz w:val="20"/>
              </w:rPr>
            </w:pPr>
            <w:r w:rsidRPr="00003B04">
              <w:rPr>
                <w:rStyle w:val="plainitalics1"/>
                <w:sz w:val="20"/>
              </w:rPr>
              <w:t>The applicant Ms. Lin filed an application with the Ontario Human Rights Tribunal. She alleged discrimination with respect to services and facilities contrary to the Human Rights Code, R.S.O. 1990, c. H.19</w:t>
            </w:r>
            <w:r w:rsidRPr="00003B04">
              <w:rPr>
                <w:sz w:val="20"/>
              </w:rPr>
              <w:t xml:space="preserve">. </w:t>
            </w:r>
            <w:r w:rsidRPr="00003B04">
              <w:rPr>
                <w:rStyle w:val="plainitalics1"/>
                <w:sz w:val="20"/>
              </w:rPr>
              <w:t xml:space="preserve"> </w:t>
            </w:r>
            <w:r w:rsidRPr="00003B04">
              <w:rPr>
                <w:sz w:val="20"/>
              </w:rPr>
              <w:t xml:space="preserve">The Tribunal ordered a summary hearing to address whether the application should be dismissed on the basis that it has no reasonable prospect of success, and whether Ms. Lin should be declared a vexatious litigant pursuant to Rule A8 of the </w:t>
            </w:r>
            <w:r w:rsidRPr="00003B04">
              <w:rPr>
                <w:i/>
                <w:sz w:val="20"/>
              </w:rPr>
              <w:t>Social Justice Tribunals of Ontario Common Rules of Procedure</w:t>
            </w:r>
            <w:r w:rsidRPr="00003B04">
              <w:rPr>
                <w:sz w:val="20"/>
              </w:rPr>
              <w:t xml:space="preserve">. The parties were provided with a notice of summary hearing and instructions on how to call in to the teleconference. The respondent </w:t>
            </w:r>
            <w:proofErr w:type="spellStart"/>
            <w:r w:rsidRPr="00003B04">
              <w:rPr>
                <w:sz w:val="20"/>
              </w:rPr>
              <w:t>SpringBoard</w:t>
            </w:r>
            <w:proofErr w:type="spellEnd"/>
            <w:r w:rsidRPr="00003B04">
              <w:rPr>
                <w:sz w:val="20"/>
              </w:rPr>
              <w:t xml:space="preserve"> called in at the scheduled time. Ms. Lin did not attend the hearing. The Tribunal dismissed her application and declared her to be a vexatious litigant, prohibiting her from commencing any application at the Tribunal without first obtaining leave.</w:t>
            </w:r>
          </w:p>
          <w:p w:rsidR="00EE4290" w:rsidRPr="00003B04" w:rsidRDefault="00EE4290" w:rsidP="00EE4290">
            <w:pPr>
              <w:jc w:val="both"/>
              <w:rPr>
                <w:sz w:val="20"/>
              </w:rPr>
            </w:pPr>
          </w:p>
        </w:tc>
      </w:tr>
      <w:tr w:rsidR="00EE4290" w:rsidRPr="00003B04" w:rsidTr="00EE4290">
        <w:tblPrEx>
          <w:tblCellMar>
            <w:bottom w:w="0" w:type="dxa"/>
          </w:tblCellMar>
        </w:tblPrEx>
        <w:tc>
          <w:tcPr>
            <w:tcW w:w="2390" w:type="pct"/>
            <w:gridSpan w:val="2"/>
          </w:tcPr>
          <w:p w:rsidR="00EE4290" w:rsidRPr="00003B04" w:rsidRDefault="00EE4290" w:rsidP="00EE4290">
            <w:pPr>
              <w:jc w:val="both"/>
              <w:rPr>
                <w:sz w:val="20"/>
              </w:rPr>
            </w:pPr>
            <w:r w:rsidRPr="00003B04">
              <w:rPr>
                <w:sz w:val="20"/>
              </w:rPr>
              <w:t>May 24, 2016</w:t>
            </w:r>
          </w:p>
          <w:p w:rsidR="00EE4290" w:rsidRPr="00003B04" w:rsidRDefault="00EE4290" w:rsidP="00EE4290">
            <w:pPr>
              <w:jc w:val="both"/>
              <w:rPr>
                <w:sz w:val="20"/>
              </w:rPr>
            </w:pPr>
            <w:r w:rsidRPr="00003B04">
              <w:rPr>
                <w:sz w:val="20"/>
              </w:rPr>
              <w:t>Human Rights Tribunal of Ontario</w:t>
            </w:r>
          </w:p>
          <w:p w:rsidR="00EE4290" w:rsidRPr="00003B04" w:rsidRDefault="00EE4290" w:rsidP="00EE4290">
            <w:pPr>
              <w:jc w:val="both"/>
              <w:rPr>
                <w:sz w:val="20"/>
              </w:rPr>
            </w:pPr>
            <w:r w:rsidRPr="00003B04">
              <w:rPr>
                <w:sz w:val="20"/>
              </w:rPr>
              <w:t>(B. Best, Vice-Chair)</w:t>
            </w:r>
          </w:p>
          <w:p w:rsidR="00EE4290" w:rsidRPr="00003B04" w:rsidRDefault="00604445" w:rsidP="00EE4290">
            <w:pPr>
              <w:jc w:val="both"/>
              <w:rPr>
                <w:sz w:val="20"/>
              </w:rPr>
            </w:pPr>
            <w:hyperlink r:id="rId89" w:history="1">
              <w:r w:rsidR="00EE4290" w:rsidRPr="00003B04">
                <w:rPr>
                  <w:rStyle w:val="Hyperlink"/>
                  <w:sz w:val="20"/>
                </w:rPr>
                <w:t>2016 HRTO 702</w:t>
              </w:r>
            </w:hyperlink>
          </w:p>
          <w:p w:rsidR="00EE4290" w:rsidRPr="00003B04" w:rsidRDefault="00EE4290" w:rsidP="00EE4290">
            <w:pPr>
              <w:jc w:val="both"/>
              <w:rPr>
                <w:sz w:val="20"/>
              </w:rPr>
            </w:pPr>
          </w:p>
        </w:tc>
        <w:tc>
          <w:tcPr>
            <w:tcW w:w="270" w:type="pct"/>
          </w:tcPr>
          <w:p w:rsidR="00EE4290" w:rsidRPr="00003B04" w:rsidRDefault="00EE4290" w:rsidP="00EE4290">
            <w:pPr>
              <w:jc w:val="both"/>
              <w:rPr>
                <w:sz w:val="20"/>
              </w:rPr>
            </w:pPr>
          </w:p>
        </w:tc>
        <w:tc>
          <w:tcPr>
            <w:tcW w:w="2340" w:type="pct"/>
          </w:tcPr>
          <w:p w:rsidR="00EE4290" w:rsidRPr="00003B04" w:rsidRDefault="00EE4290" w:rsidP="00EE4290">
            <w:pPr>
              <w:jc w:val="both"/>
              <w:rPr>
                <w:sz w:val="20"/>
              </w:rPr>
            </w:pPr>
            <w:r w:rsidRPr="00003B04">
              <w:rPr>
                <w:sz w:val="20"/>
              </w:rPr>
              <w:t xml:space="preserve">Application dismissed; applicant declared vexatious litigant </w:t>
            </w:r>
          </w:p>
          <w:p w:rsidR="00EE4290" w:rsidRPr="00003B04" w:rsidRDefault="00EE4290" w:rsidP="00EE4290">
            <w:pPr>
              <w:jc w:val="both"/>
              <w:rPr>
                <w:sz w:val="20"/>
              </w:rPr>
            </w:pPr>
          </w:p>
        </w:tc>
      </w:tr>
      <w:tr w:rsidR="00EE4290" w:rsidRPr="00003B04" w:rsidTr="00EE4290">
        <w:tblPrEx>
          <w:tblCellMar>
            <w:bottom w:w="0" w:type="dxa"/>
          </w:tblCellMar>
        </w:tblPrEx>
        <w:tc>
          <w:tcPr>
            <w:tcW w:w="2390" w:type="pct"/>
            <w:gridSpan w:val="2"/>
          </w:tcPr>
          <w:p w:rsidR="00EE4290" w:rsidRPr="00003B04" w:rsidRDefault="00EE4290" w:rsidP="00EE4290">
            <w:pPr>
              <w:jc w:val="both"/>
              <w:rPr>
                <w:sz w:val="20"/>
              </w:rPr>
            </w:pPr>
            <w:r w:rsidRPr="00003B04">
              <w:rPr>
                <w:sz w:val="20"/>
              </w:rPr>
              <w:t>July 22, 2016</w:t>
            </w:r>
          </w:p>
          <w:p w:rsidR="00EE4290" w:rsidRPr="00003B04" w:rsidRDefault="00EE4290" w:rsidP="00EE4290">
            <w:pPr>
              <w:jc w:val="both"/>
              <w:rPr>
                <w:sz w:val="20"/>
              </w:rPr>
            </w:pPr>
            <w:r w:rsidRPr="00003B04">
              <w:rPr>
                <w:sz w:val="20"/>
              </w:rPr>
              <w:t>Divisional Court of Ontario</w:t>
            </w:r>
          </w:p>
          <w:p w:rsidR="00EE4290" w:rsidRPr="00003B04" w:rsidRDefault="00EE4290" w:rsidP="00EE4290">
            <w:pPr>
              <w:jc w:val="both"/>
              <w:rPr>
                <w:sz w:val="20"/>
              </w:rPr>
            </w:pPr>
            <w:r w:rsidRPr="00003B04">
              <w:rPr>
                <w:sz w:val="20"/>
              </w:rPr>
              <w:t>(Sachs J.)</w:t>
            </w:r>
          </w:p>
          <w:p w:rsidR="00EE4290" w:rsidRPr="00003B04" w:rsidRDefault="00604445" w:rsidP="00EE4290">
            <w:pPr>
              <w:jc w:val="both"/>
              <w:rPr>
                <w:sz w:val="20"/>
              </w:rPr>
            </w:pPr>
            <w:hyperlink r:id="rId90" w:history="1">
              <w:r w:rsidR="00EE4290" w:rsidRPr="00003B04">
                <w:rPr>
                  <w:rStyle w:val="Hyperlink"/>
                  <w:sz w:val="20"/>
                </w:rPr>
                <w:t>2016 ONSC 4705</w:t>
              </w:r>
            </w:hyperlink>
            <w:r w:rsidR="00EE4290" w:rsidRPr="00003B04">
              <w:rPr>
                <w:sz w:val="20"/>
              </w:rPr>
              <w:t xml:space="preserve"> </w:t>
            </w:r>
          </w:p>
          <w:p w:rsidR="00EE4290" w:rsidRPr="00003B04" w:rsidRDefault="00EE4290" w:rsidP="00EE4290">
            <w:pPr>
              <w:jc w:val="both"/>
              <w:rPr>
                <w:sz w:val="20"/>
              </w:rPr>
            </w:pPr>
          </w:p>
        </w:tc>
        <w:tc>
          <w:tcPr>
            <w:tcW w:w="270" w:type="pct"/>
          </w:tcPr>
          <w:p w:rsidR="00EE4290" w:rsidRPr="00003B04" w:rsidRDefault="00EE4290" w:rsidP="00EE4290">
            <w:pPr>
              <w:jc w:val="both"/>
              <w:rPr>
                <w:sz w:val="20"/>
              </w:rPr>
            </w:pPr>
          </w:p>
        </w:tc>
        <w:tc>
          <w:tcPr>
            <w:tcW w:w="2340" w:type="pct"/>
          </w:tcPr>
          <w:p w:rsidR="00EE4290" w:rsidRPr="00003B04" w:rsidRDefault="00EE4290" w:rsidP="00EE4290">
            <w:pPr>
              <w:jc w:val="both"/>
              <w:rPr>
                <w:sz w:val="20"/>
              </w:rPr>
            </w:pPr>
            <w:r w:rsidRPr="00003B04">
              <w:rPr>
                <w:sz w:val="20"/>
              </w:rPr>
              <w:t xml:space="preserve">Application for judicial review dismissed </w:t>
            </w:r>
          </w:p>
        </w:tc>
      </w:tr>
      <w:tr w:rsidR="00EE4290" w:rsidRPr="00003B04" w:rsidTr="00EE4290">
        <w:tblPrEx>
          <w:tblCellMar>
            <w:bottom w:w="0" w:type="dxa"/>
          </w:tblCellMar>
        </w:tblPrEx>
        <w:tc>
          <w:tcPr>
            <w:tcW w:w="2390" w:type="pct"/>
            <w:gridSpan w:val="2"/>
          </w:tcPr>
          <w:p w:rsidR="00EE4290" w:rsidRPr="00003B04" w:rsidRDefault="00EE4290" w:rsidP="00EE4290">
            <w:pPr>
              <w:jc w:val="both"/>
              <w:rPr>
                <w:sz w:val="20"/>
              </w:rPr>
            </w:pPr>
            <w:r w:rsidRPr="00003B04">
              <w:rPr>
                <w:sz w:val="20"/>
              </w:rPr>
              <w:lastRenderedPageBreak/>
              <w:t>October 26, 2016</w:t>
            </w:r>
          </w:p>
          <w:p w:rsidR="00EE4290" w:rsidRPr="00003B04" w:rsidRDefault="00EE4290" w:rsidP="00EE4290">
            <w:pPr>
              <w:jc w:val="both"/>
              <w:rPr>
                <w:sz w:val="20"/>
              </w:rPr>
            </w:pPr>
            <w:r w:rsidRPr="00003B04">
              <w:rPr>
                <w:sz w:val="20"/>
              </w:rPr>
              <w:t>Court of Appeal for Ontario</w:t>
            </w:r>
          </w:p>
          <w:p w:rsidR="00EE4290" w:rsidRPr="00003B04" w:rsidRDefault="00EE4290" w:rsidP="00EE4290">
            <w:pPr>
              <w:jc w:val="both"/>
              <w:rPr>
                <w:sz w:val="20"/>
                <w:lang w:val="fr-CA"/>
              </w:rPr>
            </w:pPr>
            <w:r w:rsidRPr="00003B04">
              <w:rPr>
                <w:sz w:val="20"/>
                <w:lang w:val="fr-CA"/>
              </w:rPr>
              <w:t xml:space="preserve">(Simmons, </w:t>
            </w:r>
            <w:proofErr w:type="spellStart"/>
            <w:r w:rsidRPr="00003B04">
              <w:rPr>
                <w:sz w:val="20"/>
                <w:lang w:val="fr-CA"/>
              </w:rPr>
              <w:t>LaForme</w:t>
            </w:r>
            <w:proofErr w:type="spellEnd"/>
            <w:r w:rsidRPr="00003B04">
              <w:rPr>
                <w:sz w:val="20"/>
                <w:lang w:val="fr-CA"/>
              </w:rPr>
              <w:t xml:space="preserve"> and </w:t>
            </w:r>
            <w:proofErr w:type="spellStart"/>
            <w:r w:rsidRPr="00003B04">
              <w:rPr>
                <w:sz w:val="20"/>
                <w:lang w:val="fr-CA"/>
              </w:rPr>
              <w:t>Pardu</w:t>
            </w:r>
            <w:proofErr w:type="spellEnd"/>
            <w:r w:rsidRPr="00003B04">
              <w:rPr>
                <w:sz w:val="20"/>
                <w:lang w:val="fr-CA"/>
              </w:rPr>
              <w:t xml:space="preserve"> JJ.A.)</w:t>
            </w:r>
          </w:p>
          <w:p w:rsidR="00EE4290" w:rsidRPr="00003B04" w:rsidRDefault="00604445" w:rsidP="00EE4290">
            <w:pPr>
              <w:jc w:val="both"/>
              <w:rPr>
                <w:sz w:val="20"/>
              </w:rPr>
            </w:pPr>
            <w:hyperlink r:id="rId91" w:history="1">
              <w:r w:rsidR="00EE4290" w:rsidRPr="00003B04">
                <w:rPr>
                  <w:rStyle w:val="Hyperlink"/>
                  <w:sz w:val="20"/>
                </w:rPr>
                <w:t>2016 ONCA 787</w:t>
              </w:r>
            </w:hyperlink>
          </w:p>
          <w:p w:rsidR="00EE4290" w:rsidRPr="00003B04" w:rsidRDefault="00EE4290" w:rsidP="00EE4290">
            <w:pPr>
              <w:jc w:val="both"/>
              <w:rPr>
                <w:sz w:val="20"/>
              </w:rPr>
            </w:pPr>
          </w:p>
        </w:tc>
        <w:tc>
          <w:tcPr>
            <w:tcW w:w="270" w:type="pct"/>
          </w:tcPr>
          <w:p w:rsidR="00EE4290" w:rsidRPr="00003B04" w:rsidRDefault="00EE4290" w:rsidP="00EE4290">
            <w:pPr>
              <w:jc w:val="both"/>
              <w:rPr>
                <w:sz w:val="20"/>
              </w:rPr>
            </w:pPr>
          </w:p>
        </w:tc>
        <w:tc>
          <w:tcPr>
            <w:tcW w:w="2340" w:type="pct"/>
          </w:tcPr>
          <w:p w:rsidR="00EE4290" w:rsidRPr="00003B04" w:rsidRDefault="00EE4290" w:rsidP="00EE4290">
            <w:pPr>
              <w:jc w:val="both"/>
              <w:rPr>
                <w:sz w:val="20"/>
              </w:rPr>
            </w:pPr>
            <w:r w:rsidRPr="00003B04">
              <w:rPr>
                <w:sz w:val="20"/>
              </w:rPr>
              <w:t xml:space="preserve">Motion for leave to appeal dismissed </w:t>
            </w:r>
          </w:p>
          <w:p w:rsidR="00EE4290" w:rsidRPr="00003B04" w:rsidRDefault="00EE4290" w:rsidP="00EE4290">
            <w:pPr>
              <w:tabs>
                <w:tab w:val="left" w:pos="1744"/>
              </w:tabs>
              <w:jc w:val="both"/>
              <w:rPr>
                <w:sz w:val="20"/>
              </w:rPr>
            </w:pPr>
            <w:r w:rsidRPr="00003B04">
              <w:rPr>
                <w:sz w:val="20"/>
              </w:rPr>
              <w:tab/>
            </w:r>
          </w:p>
        </w:tc>
      </w:tr>
      <w:tr w:rsidR="00EE4290" w:rsidRPr="00003B04" w:rsidTr="00EE4290">
        <w:tblPrEx>
          <w:tblCellMar>
            <w:bottom w:w="0" w:type="dxa"/>
          </w:tblCellMar>
        </w:tblPrEx>
        <w:tc>
          <w:tcPr>
            <w:tcW w:w="2390" w:type="pct"/>
            <w:gridSpan w:val="2"/>
          </w:tcPr>
          <w:p w:rsidR="00EE4290" w:rsidRPr="00003B04" w:rsidRDefault="00EE4290" w:rsidP="00EE4290">
            <w:pPr>
              <w:jc w:val="both"/>
              <w:rPr>
                <w:sz w:val="20"/>
              </w:rPr>
            </w:pPr>
            <w:r w:rsidRPr="00003B04">
              <w:rPr>
                <w:sz w:val="20"/>
              </w:rPr>
              <w:t>October 31, 2016</w:t>
            </w:r>
          </w:p>
          <w:p w:rsidR="00EE4290" w:rsidRPr="00003B04" w:rsidRDefault="00EE4290" w:rsidP="00EE4290">
            <w:pPr>
              <w:jc w:val="both"/>
              <w:rPr>
                <w:sz w:val="20"/>
              </w:rPr>
            </w:pPr>
            <w:r w:rsidRPr="00003B04">
              <w:rPr>
                <w:sz w:val="20"/>
              </w:rPr>
              <w:t>Supreme Court of Canada</w:t>
            </w:r>
          </w:p>
        </w:tc>
        <w:tc>
          <w:tcPr>
            <w:tcW w:w="270" w:type="pct"/>
          </w:tcPr>
          <w:p w:rsidR="00EE4290" w:rsidRPr="00003B04" w:rsidRDefault="00EE4290" w:rsidP="00EE4290">
            <w:pPr>
              <w:jc w:val="both"/>
              <w:rPr>
                <w:sz w:val="20"/>
              </w:rPr>
            </w:pPr>
          </w:p>
        </w:tc>
        <w:tc>
          <w:tcPr>
            <w:tcW w:w="2340" w:type="pct"/>
          </w:tcPr>
          <w:p w:rsidR="00EE4290" w:rsidRPr="00003B04" w:rsidRDefault="00EE4290" w:rsidP="00EE4290">
            <w:pPr>
              <w:jc w:val="both"/>
              <w:rPr>
                <w:sz w:val="20"/>
              </w:rPr>
            </w:pPr>
            <w:r w:rsidRPr="00003B04">
              <w:rPr>
                <w:sz w:val="20"/>
              </w:rPr>
              <w:t>Application for leave to appeal filed</w:t>
            </w:r>
          </w:p>
          <w:p w:rsidR="00EE4290" w:rsidRPr="00003B04" w:rsidRDefault="00EE4290" w:rsidP="00EE4290">
            <w:pPr>
              <w:jc w:val="both"/>
              <w:rPr>
                <w:sz w:val="20"/>
              </w:rPr>
            </w:pPr>
          </w:p>
        </w:tc>
      </w:tr>
    </w:tbl>
    <w:p w:rsidR="00EE4290" w:rsidRPr="00003B04" w:rsidRDefault="00604445" w:rsidP="00EE4290">
      <w:pPr>
        <w:jc w:val="both"/>
        <w:rPr>
          <w:sz w:val="20"/>
        </w:rPr>
      </w:pPr>
      <w:r>
        <w:rPr>
          <w:sz w:val="20"/>
          <w:szCs w:val="20"/>
        </w:rPr>
        <w:pict>
          <v:rect id="_x0000_i1083" style="width:2in;height:1pt" o:hrpct="0" o:hralign="center" o:hrstd="t" o:hrnoshade="t" o:hr="t" fillcolor="black [3213]" stroked="f"/>
        </w:pict>
      </w:r>
    </w:p>
    <w:p w:rsidR="00EE4290" w:rsidRPr="00003B04" w:rsidRDefault="00EE4290" w:rsidP="00EE429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tblGrid>
      <w:tr w:rsidR="00EE4290" w:rsidRPr="00C3697D" w:rsidTr="00EE4290">
        <w:tc>
          <w:tcPr>
            <w:tcW w:w="543" w:type="pct"/>
          </w:tcPr>
          <w:p w:rsidR="00EE4290" w:rsidRPr="00003B04" w:rsidRDefault="00EE4290" w:rsidP="00EE4290">
            <w:pPr>
              <w:jc w:val="both"/>
              <w:rPr>
                <w:sz w:val="20"/>
                <w:lang w:val="fr-CA"/>
              </w:rPr>
            </w:pPr>
            <w:r w:rsidRPr="00003B04">
              <w:rPr>
                <w:rStyle w:val="SCCFileNumberChar"/>
                <w:sz w:val="20"/>
                <w:szCs w:val="20"/>
                <w:lang w:val="fr-CA"/>
              </w:rPr>
              <w:t>37332</w:t>
            </w:r>
          </w:p>
        </w:tc>
        <w:tc>
          <w:tcPr>
            <w:tcW w:w="4457" w:type="pct"/>
            <w:gridSpan w:val="3"/>
          </w:tcPr>
          <w:p w:rsidR="00EE4290" w:rsidRPr="00003B04" w:rsidRDefault="00EE4290" w:rsidP="00767A6B">
            <w:pPr>
              <w:pStyle w:val="SCCLsocParty"/>
              <w:jc w:val="both"/>
              <w:rPr>
                <w:sz w:val="20"/>
              </w:rPr>
            </w:pPr>
            <w:r w:rsidRPr="00003B04">
              <w:rPr>
                <w:b/>
                <w:sz w:val="20"/>
                <w:szCs w:val="20"/>
              </w:rPr>
              <w:t xml:space="preserve">Katherine Lin c. </w:t>
            </w:r>
            <w:proofErr w:type="spellStart"/>
            <w:r w:rsidRPr="00003B04">
              <w:rPr>
                <w:b/>
                <w:sz w:val="20"/>
                <w:szCs w:val="20"/>
              </w:rPr>
              <w:t>SpringBoard</w:t>
            </w:r>
            <w:proofErr w:type="spellEnd"/>
            <w:r w:rsidR="001B621B" w:rsidRPr="00003B04">
              <w:rPr>
                <w:b/>
                <w:sz w:val="20"/>
                <w:szCs w:val="20"/>
              </w:rPr>
              <w:t xml:space="preserve"> et</w:t>
            </w:r>
            <w:r w:rsidRPr="00003B04">
              <w:rPr>
                <w:b/>
                <w:sz w:val="20"/>
                <w:szCs w:val="20"/>
              </w:rPr>
              <w:t xml:space="preserve"> </w:t>
            </w:r>
            <w:proofErr w:type="spellStart"/>
            <w:r w:rsidRPr="00003B04">
              <w:rPr>
                <w:b/>
                <w:sz w:val="20"/>
                <w:szCs w:val="20"/>
              </w:rPr>
              <w:t>Mafaza</w:t>
            </w:r>
            <w:proofErr w:type="spellEnd"/>
            <w:r w:rsidRPr="00003B04">
              <w:rPr>
                <w:b/>
                <w:sz w:val="20"/>
                <w:szCs w:val="20"/>
              </w:rPr>
              <w:t xml:space="preserve"> </w:t>
            </w:r>
            <w:proofErr w:type="spellStart"/>
            <w:r w:rsidRPr="00003B04">
              <w:rPr>
                <w:b/>
                <w:sz w:val="20"/>
                <w:szCs w:val="20"/>
              </w:rPr>
              <w:t>Assan</w:t>
            </w:r>
            <w:proofErr w:type="spellEnd"/>
            <w:r w:rsidR="00767A6B" w:rsidRPr="00003B04">
              <w:rPr>
                <w:b/>
                <w:sz w:val="20"/>
                <w:szCs w:val="20"/>
              </w:rPr>
              <w:t xml:space="preserve"> </w:t>
            </w:r>
            <w:r w:rsidRPr="00003B04">
              <w:rPr>
                <w:sz w:val="20"/>
              </w:rPr>
              <w:t>(Ont.) (Civile) (Sur autorisation)</w:t>
            </w:r>
          </w:p>
          <w:p w:rsidR="00767A6B" w:rsidRPr="00003B04" w:rsidRDefault="00767A6B" w:rsidP="00767A6B">
            <w:pPr>
              <w:rPr>
                <w:lang w:val="fr-CA"/>
              </w:rPr>
            </w:pPr>
          </w:p>
        </w:tc>
      </w:tr>
      <w:tr w:rsidR="004F14EC" w:rsidRPr="00C3697D" w:rsidTr="00EE4290">
        <w:tc>
          <w:tcPr>
            <w:tcW w:w="543" w:type="pct"/>
          </w:tcPr>
          <w:p w:rsidR="004F14EC" w:rsidRPr="00003B04" w:rsidRDefault="004F14EC" w:rsidP="00EE4290">
            <w:pPr>
              <w:jc w:val="both"/>
              <w:rPr>
                <w:rStyle w:val="SCCFileNumberChar"/>
                <w:sz w:val="20"/>
                <w:szCs w:val="20"/>
                <w:lang w:val="fr-CA"/>
              </w:rPr>
            </w:pPr>
            <w:r w:rsidRPr="00003B04">
              <w:rPr>
                <w:rStyle w:val="SCCFileNumberChar"/>
                <w:sz w:val="20"/>
                <w:szCs w:val="20"/>
                <w:lang w:val="fr-CA"/>
              </w:rPr>
              <w:t>Coram :</w:t>
            </w:r>
          </w:p>
        </w:tc>
        <w:tc>
          <w:tcPr>
            <w:tcW w:w="4457" w:type="pct"/>
            <w:gridSpan w:val="3"/>
          </w:tcPr>
          <w:p w:rsidR="004F14EC" w:rsidRPr="00003B04" w:rsidRDefault="005A5AB4" w:rsidP="00EE4290">
            <w:pPr>
              <w:pStyle w:val="SCCLsocParty"/>
              <w:jc w:val="both"/>
              <w:rPr>
                <w:rFonts w:eastAsiaTheme="minorEastAsia"/>
                <w:sz w:val="20"/>
                <w:szCs w:val="20"/>
                <w:lang w:eastAsia="en-CA"/>
              </w:rPr>
            </w:pPr>
            <w:r w:rsidRPr="00003B04">
              <w:rPr>
                <w:rFonts w:eastAsiaTheme="minorEastAsia"/>
                <w:sz w:val="20"/>
                <w:szCs w:val="20"/>
                <w:lang w:val="fr-FR" w:eastAsia="en-CA"/>
              </w:rPr>
              <w:t xml:space="preserve">La juge en chef </w:t>
            </w:r>
            <w:proofErr w:type="spellStart"/>
            <w:r w:rsidRPr="00003B04">
              <w:rPr>
                <w:rFonts w:eastAsiaTheme="minorEastAsia"/>
                <w:sz w:val="20"/>
                <w:szCs w:val="20"/>
                <w:lang w:val="fr-FR" w:eastAsia="en-CA"/>
              </w:rPr>
              <w:t>McLachlin</w:t>
            </w:r>
            <w:proofErr w:type="spellEnd"/>
            <w:r w:rsidRPr="00003B04">
              <w:rPr>
                <w:rFonts w:eastAsiaTheme="minorEastAsia"/>
                <w:sz w:val="20"/>
                <w:szCs w:val="20"/>
                <w:lang w:val="fr-FR" w:eastAsia="en-CA"/>
              </w:rPr>
              <w:t xml:space="preserve"> et les juges Abella, </w:t>
            </w:r>
            <w:proofErr w:type="spellStart"/>
            <w:r w:rsidRPr="00003B04">
              <w:rPr>
                <w:rFonts w:eastAsiaTheme="minorEastAsia"/>
                <w:sz w:val="20"/>
                <w:szCs w:val="20"/>
                <w:lang w:eastAsia="en-CA"/>
              </w:rPr>
              <w:t>Moldaver</w:t>
            </w:r>
            <w:proofErr w:type="spellEnd"/>
            <w:r w:rsidRPr="00003B04">
              <w:rPr>
                <w:rFonts w:eastAsiaTheme="minorEastAsia"/>
                <w:sz w:val="20"/>
                <w:szCs w:val="20"/>
                <w:lang w:eastAsia="en-CA"/>
              </w:rPr>
              <w:t xml:space="preserve">, </w:t>
            </w:r>
            <w:proofErr w:type="spellStart"/>
            <w:r w:rsidRPr="00003B04">
              <w:rPr>
                <w:rFonts w:eastAsiaTheme="minorEastAsia"/>
                <w:sz w:val="20"/>
                <w:szCs w:val="20"/>
                <w:lang w:eastAsia="en-CA"/>
              </w:rPr>
              <w:t>Karakatsanis</w:t>
            </w:r>
            <w:proofErr w:type="spellEnd"/>
            <w:r w:rsidRPr="00003B04">
              <w:rPr>
                <w:rFonts w:eastAsiaTheme="minorEastAsia"/>
                <w:sz w:val="20"/>
                <w:szCs w:val="20"/>
                <w:lang w:eastAsia="en-CA"/>
              </w:rPr>
              <w:t>, Wagner, Gascon, Côté, Brown et Rowe</w:t>
            </w:r>
          </w:p>
          <w:p w:rsidR="005A5AB4" w:rsidRPr="00003B04" w:rsidRDefault="005A5AB4" w:rsidP="005A5AB4">
            <w:pPr>
              <w:rPr>
                <w:lang w:val="fr-CA" w:eastAsia="en-CA"/>
              </w:rPr>
            </w:pPr>
          </w:p>
        </w:tc>
      </w:tr>
      <w:tr w:rsidR="004F14EC" w:rsidRPr="00C3697D" w:rsidTr="004F14EC">
        <w:tc>
          <w:tcPr>
            <w:tcW w:w="5000" w:type="pct"/>
            <w:gridSpan w:val="4"/>
          </w:tcPr>
          <w:p w:rsidR="004F14EC" w:rsidRPr="00003B04" w:rsidRDefault="005A5AB4" w:rsidP="00EE4290">
            <w:pPr>
              <w:pStyle w:val="SCCLsocParty"/>
              <w:jc w:val="both"/>
              <w:rPr>
                <w:sz w:val="20"/>
                <w:szCs w:val="20"/>
              </w:rPr>
            </w:pPr>
            <w:r w:rsidRPr="00003B04">
              <w:rPr>
                <w:sz w:val="20"/>
                <w:szCs w:val="20"/>
              </w:rPr>
              <w:t>La demande d’autorisation d’appel de l’arrêt de la Cour d’appel de l’Ontario, numéro M46768, 2016 ONCA 787, daté du 26 octobre 2016, est rejetée.</w:t>
            </w:r>
          </w:p>
          <w:p w:rsidR="005A5AB4" w:rsidRPr="00003B04" w:rsidRDefault="005A5AB4" w:rsidP="005A5AB4">
            <w:pPr>
              <w:rPr>
                <w:lang w:val="fr-CA"/>
              </w:rPr>
            </w:pPr>
          </w:p>
        </w:tc>
      </w:tr>
      <w:tr w:rsidR="00EE4290" w:rsidRPr="00C3697D" w:rsidTr="00EE4290">
        <w:tc>
          <w:tcPr>
            <w:tcW w:w="5000" w:type="pct"/>
            <w:gridSpan w:val="4"/>
          </w:tcPr>
          <w:p w:rsidR="00EE4290" w:rsidRPr="00003B04" w:rsidRDefault="00EE4290" w:rsidP="00EE4290">
            <w:pPr>
              <w:jc w:val="both"/>
              <w:rPr>
                <w:sz w:val="20"/>
                <w:lang w:val="fr-CA"/>
              </w:rPr>
            </w:pPr>
            <w:r w:rsidRPr="00003B04">
              <w:rPr>
                <w:sz w:val="20"/>
                <w:lang w:val="fr-CA"/>
              </w:rPr>
              <w:t xml:space="preserve">Droits de la personne – Pratiques discriminatoires – Procédure civile – Le Tribunal des droits de la personne de l’Ontario a déclaré que la demanderesse était une plaideuse vexatoire – La demanderesse a-t-elle été harcelée et le harcèlement se poursuit-il? – Y </w:t>
            </w:r>
            <w:proofErr w:type="spellStart"/>
            <w:r w:rsidRPr="00003B04">
              <w:rPr>
                <w:sz w:val="20"/>
                <w:lang w:val="fr-CA"/>
              </w:rPr>
              <w:t>a-t-il</w:t>
            </w:r>
            <w:proofErr w:type="spellEnd"/>
            <w:r w:rsidRPr="00003B04">
              <w:rPr>
                <w:sz w:val="20"/>
                <w:lang w:val="fr-CA"/>
              </w:rPr>
              <w:t xml:space="preserve"> une preuve de harcèlement? – L’affaire soulève-t-elle une question sérieuse d’importance pour le public concernant l’état du droit et les droits de la personne? </w:t>
            </w:r>
          </w:p>
          <w:p w:rsidR="00EE4290" w:rsidRPr="00003B04" w:rsidRDefault="00EE4290" w:rsidP="00EE4290">
            <w:pPr>
              <w:jc w:val="both"/>
              <w:rPr>
                <w:sz w:val="20"/>
                <w:lang w:val="fr-CA"/>
              </w:rPr>
            </w:pPr>
          </w:p>
        </w:tc>
      </w:tr>
      <w:tr w:rsidR="00EE4290" w:rsidRPr="00C3697D" w:rsidTr="00EE4290">
        <w:tc>
          <w:tcPr>
            <w:tcW w:w="5000" w:type="pct"/>
            <w:gridSpan w:val="4"/>
          </w:tcPr>
          <w:p w:rsidR="00EE4290" w:rsidRPr="00003B04" w:rsidRDefault="00EE4290" w:rsidP="00EE4290">
            <w:pPr>
              <w:jc w:val="both"/>
              <w:rPr>
                <w:sz w:val="20"/>
                <w:lang w:val="fr-CA"/>
              </w:rPr>
            </w:pPr>
            <w:r w:rsidRPr="00003B04">
              <w:rPr>
                <w:rStyle w:val="plainitalics1"/>
                <w:sz w:val="20"/>
                <w:lang w:val="fr-CA"/>
              </w:rPr>
              <w:t>La demanderesse, Mme Lin, a présenté une demande au Tribunal des droits de la personne de l’Ontario. Elle allègue avoir été l’objet de discrimination en matière de services et d’installations, contrairement au Code des droits de la personne, L.R.O. 1990, ch. H.19</w:t>
            </w:r>
            <w:r w:rsidRPr="00003B04">
              <w:rPr>
                <w:sz w:val="20"/>
                <w:lang w:val="fr-CA"/>
              </w:rPr>
              <w:t xml:space="preserve">. Le tribunal a ordonné la tenue d’une audience sommaire pour statuer sur l’opportunité de rejeter la demande au motif qu’elle n’avait aucune possibilité raisonnable d’être accueillie et l’opportunité de déclarer Mme Lin plaideuse vexatoire en application de la règle A8 des </w:t>
            </w:r>
            <w:r w:rsidRPr="00003B04">
              <w:rPr>
                <w:i/>
                <w:sz w:val="20"/>
                <w:lang w:val="fr-CA"/>
              </w:rPr>
              <w:t>Règles communes de Tribunaux de justice sociale Ontario</w:t>
            </w:r>
            <w:r w:rsidRPr="00003B04">
              <w:rPr>
                <w:sz w:val="20"/>
                <w:lang w:val="fr-CA"/>
              </w:rPr>
              <w:t xml:space="preserve">. Les parties ont reçu un avis d’audience sommaire et des directives sur la manière de participer à la téléconférence. L’intimée </w:t>
            </w:r>
            <w:proofErr w:type="spellStart"/>
            <w:r w:rsidRPr="00003B04">
              <w:rPr>
                <w:sz w:val="20"/>
                <w:lang w:val="fr-CA"/>
              </w:rPr>
              <w:t>SpringBoard</w:t>
            </w:r>
            <w:proofErr w:type="spellEnd"/>
            <w:r w:rsidRPr="00003B04">
              <w:rPr>
                <w:sz w:val="20"/>
                <w:lang w:val="fr-CA"/>
              </w:rPr>
              <w:t xml:space="preserve"> a téléphoné à l’heure fixée. Madame Lin n’a pas assisté à l’audience. Le Tribunal a rejeté sa demande et l’a déclarée plaideuse vexatoire, lui interdisant d’introduire une demande au Tribunal sans avoir préalablement obtenu l’autorisation.</w:t>
            </w:r>
          </w:p>
          <w:p w:rsidR="00EE4290" w:rsidRPr="00003B04" w:rsidRDefault="00EE4290" w:rsidP="00EE4290">
            <w:pPr>
              <w:jc w:val="both"/>
              <w:rPr>
                <w:sz w:val="20"/>
                <w:lang w:val="fr-CA"/>
              </w:rPr>
            </w:pPr>
          </w:p>
        </w:tc>
      </w:tr>
      <w:tr w:rsidR="00EE4290" w:rsidRPr="00C3697D" w:rsidTr="00EE4290">
        <w:tblPrEx>
          <w:tblCellMar>
            <w:bottom w:w="0" w:type="dxa"/>
          </w:tblCellMar>
        </w:tblPrEx>
        <w:tc>
          <w:tcPr>
            <w:tcW w:w="2390" w:type="pct"/>
            <w:gridSpan w:val="2"/>
          </w:tcPr>
          <w:p w:rsidR="00EE4290" w:rsidRPr="00003B04" w:rsidRDefault="00EE4290" w:rsidP="00EE4290">
            <w:pPr>
              <w:jc w:val="both"/>
              <w:rPr>
                <w:sz w:val="20"/>
                <w:lang w:val="fr-CA"/>
              </w:rPr>
            </w:pPr>
            <w:r w:rsidRPr="00003B04">
              <w:rPr>
                <w:sz w:val="20"/>
                <w:lang w:val="fr-CA"/>
              </w:rPr>
              <w:t>24 mai 2016</w:t>
            </w:r>
          </w:p>
          <w:p w:rsidR="00EE4290" w:rsidRPr="00003B04" w:rsidRDefault="00EE4290" w:rsidP="00EE4290">
            <w:pPr>
              <w:jc w:val="both"/>
              <w:rPr>
                <w:sz w:val="20"/>
                <w:lang w:val="fr-CA"/>
              </w:rPr>
            </w:pPr>
            <w:r w:rsidRPr="00003B04">
              <w:rPr>
                <w:sz w:val="20"/>
                <w:lang w:val="fr-CA"/>
              </w:rPr>
              <w:t>Tribunal des droits de la personne de l’Ontario</w:t>
            </w:r>
          </w:p>
          <w:p w:rsidR="00EE4290" w:rsidRPr="00003B04" w:rsidRDefault="00EE4290" w:rsidP="00EE4290">
            <w:pPr>
              <w:jc w:val="both"/>
              <w:rPr>
                <w:sz w:val="20"/>
                <w:lang w:val="fr-CA"/>
              </w:rPr>
            </w:pPr>
            <w:r w:rsidRPr="00003B04">
              <w:rPr>
                <w:sz w:val="20"/>
                <w:lang w:val="fr-CA"/>
              </w:rPr>
              <w:t>(Vice-président Best)</w:t>
            </w:r>
          </w:p>
          <w:p w:rsidR="00EE4290" w:rsidRPr="00003B04" w:rsidRDefault="00604445" w:rsidP="00EE4290">
            <w:pPr>
              <w:jc w:val="both"/>
              <w:rPr>
                <w:sz w:val="20"/>
                <w:lang w:val="fr-CA"/>
              </w:rPr>
            </w:pPr>
            <w:hyperlink r:id="rId92" w:history="1">
              <w:r w:rsidR="00EE4290" w:rsidRPr="00003B04">
                <w:rPr>
                  <w:rStyle w:val="Hyperlink"/>
                  <w:sz w:val="20"/>
                  <w:lang w:val="fr-CA"/>
                </w:rPr>
                <w:t>2016 HRTO 702</w:t>
              </w:r>
            </w:hyperlink>
          </w:p>
          <w:p w:rsidR="00EE4290" w:rsidRPr="00003B04" w:rsidRDefault="00EE4290" w:rsidP="00EE4290">
            <w:pPr>
              <w:jc w:val="both"/>
              <w:rPr>
                <w:sz w:val="20"/>
                <w:lang w:val="fr-CA"/>
              </w:rPr>
            </w:pPr>
          </w:p>
        </w:tc>
        <w:tc>
          <w:tcPr>
            <w:tcW w:w="270" w:type="pct"/>
          </w:tcPr>
          <w:p w:rsidR="00EE4290" w:rsidRPr="00003B04" w:rsidRDefault="00EE4290" w:rsidP="00EE4290">
            <w:pPr>
              <w:jc w:val="both"/>
              <w:rPr>
                <w:sz w:val="20"/>
                <w:lang w:val="fr-CA"/>
              </w:rPr>
            </w:pPr>
          </w:p>
        </w:tc>
        <w:tc>
          <w:tcPr>
            <w:tcW w:w="2340" w:type="pct"/>
          </w:tcPr>
          <w:p w:rsidR="00EE4290" w:rsidRPr="00003B04" w:rsidRDefault="00EE4290" w:rsidP="00EE4290">
            <w:pPr>
              <w:jc w:val="both"/>
              <w:rPr>
                <w:sz w:val="20"/>
                <w:lang w:val="fr-CA"/>
              </w:rPr>
            </w:pPr>
            <w:r w:rsidRPr="00003B04">
              <w:rPr>
                <w:sz w:val="20"/>
                <w:lang w:val="fr-CA"/>
              </w:rPr>
              <w:t>Rejet de la demande; jugement déclarant que la demanderesse est plaideuse vexatoire</w:t>
            </w:r>
          </w:p>
          <w:p w:rsidR="00EE4290" w:rsidRPr="00003B04" w:rsidRDefault="00EE4290" w:rsidP="00EE4290">
            <w:pPr>
              <w:jc w:val="both"/>
              <w:rPr>
                <w:sz w:val="20"/>
                <w:lang w:val="fr-CA"/>
              </w:rPr>
            </w:pPr>
          </w:p>
        </w:tc>
      </w:tr>
      <w:tr w:rsidR="00EE4290" w:rsidRPr="00C3697D" w:rsidTr="00EE4290">
        <w:tblPrEx>
          <w:tblCellMar>
            <w:bottom w:w="0" w:type="dxa"/>
          </w:tblCellMar>
        </w:tblPrEx>
        <w:tc>
          <w:tcPr>
            <w:tcW w:w="2390" w:type="pct"/>
            <w:gridSpan w:val="2"/>
          </w:tcPr>
          <w:p w:rsidR="00EE4290" w:rsidRPr="00003B04" w:rsidRDefault="00EE4290" w:rsidP="00EE4290">
            <w:pPr>
              <w:jc w:val="both"/>
              <w:rPr>
                <w:sz w:val="20"/>
                <w:lang w:val="fr-CA"/>
              </w:rPr>
            </w:pPr>
            <w:r w:rsidRPr="00003B04">
              <w:rPr>
                <w:sz w:val="20"/>
                <w:lang w:val="fr-CA"/>
              </w:rPr>
              <w:t>22 juillet 2016</w:t>
            </w:r>
          </w:p>
          <w:p w:rsidR="00EE4290" w:rsidRPr="00003B04" w:rsidRDefault="00EE4290" w:rsidP="00EE4290">
            <w:pPr>
              <w:jc w:val="both"/>
              <w:rPr>
                <w:sz w:val="20"/>
                <w:lang w:val="fr-CA"/>
              </w:rPr>
            </w:pPr>
            <w:r w:rsidRPr="00003B04">
              <w:rPr>
                <w:sz w:val="20"/>
                <w:lang w:val="fr-CA"/>
              </w:rPr>
              <w:t xml:space="preserve">Court divisionnaire de l’Ontario </w:t>
            </w:r>
          </w:p>
          <w:p w:rsidR="00EE4290" w:rsidRPr="00003B04" w:rsidRDefault="00EE4290" w:rsidP="00EE4290">
            <w:pPr>
              <w:jc w:val="both"/>
              <w:rPr>
                <w:sz w:val="20"/>
                <w:lang w:val="fr-CA"/>
              </w:rPr>
            </w:pPr>
            <w:r w:rsidRPr="00003B04">
              <w:rPr>
                <w:sz w:val="20"/>
                <w:lang w:val="fr-CA"/>
              </w:rPr>
              <w:t>(Juge Sachs)</w:t>
            </w:r>
          </w:p>
          <w:p w:rsidR="00EE4290" w:rsidRPr="00003B04" w:rsidRDefault="00604445" w:rsidP="00EE4290">
            <w:pPr>
              <w:jc w:val="both"/>
              <w:rPr>
                <w:sz w:val="20"/>
                <w:lang w:val="fr-CA"/>
              </w:rPr>
            </w:pPr>
            <w:hyperlink r:id="rId93" w:history="1">
              <w:r w:rsidR="00EE4290" w:rsidRPr="00003B04">
                <w:rPr>
                  <w:rStyle w:val="Hyperlink"/>
                  <w:sz w:val="20"/>
                  <w:lang w:val="fr-CA"/>
                </w:rPr>
                <w:t>2016 ONSC 4705</w:t>
              </w:r>
            </w:hyperlink>
            <w:r w:rsidR="00EE4290" w:rsidRPr="00003B04">
              <w:rPr>
                <w:sz w:val="20"/>
                <w:lang w:val="fr-CA"/>
              </w:rPr>
              <w:t xml:space="preserve"> </w:t>
            </w:r>
          </w:p>
          <w:p w:rsidR="00EE4290" w:rsidRPr="00003B04" w:rsidRDefault="00EE4290" w:rsidP="00EE4290">
            <w:pPr>
              <w:jc w:val="both"/>
              <w:rPr>
                <w:sz w:val="20"/>
                <w:lang w:val="fr-CA"/>
              </w:rPr>
            </w:pPr>
          </w:p>
        </w:tc>
        <w:tc>
          <w:tcPr>
            <w:tcW w:w="270" w:type="pct"/>
          </w:tcPr>
          <w:p w:rsidR="00EE4290" w:rsidRPr="00003B04" w:rsidRDefault="00EE4290" w:rsidP="00EE4290">
            <w:pPr>
              <w:jc w:val="both"/>
              <w:rPr>
                <w:sz w:val="20"/>
                <w:lang w:val="fr-CA"/>
              </w:rPr>
            </w:pPr>
          </w:p>
        </w:tc>
        <w:tc>
          <w:tcPr>
            <w:tcW w:w="2340" w:type="pct"/>
          </w:tcPr>
          <w:p w:rsidR="00EE4290" w:rsidRPr="00003B04" w:rsidRDefault="00EE4290" w:rsidP="00EE4290">
            <w:pPr>
              <w:jc w:val="both"/>
              <w:rPr>
                <w:sz w:val="20"/>
                <w:lang w:val="fr-CA"/>
              </w:rPr>
            </w:pPr>
            <w:r w:rsidRPr="00003B04">
              <w:rPr>
                <w:sz w:val="20"/>
                <w:lang w:val="fr-CA"/>
              </w:rPr>
              <w:t>Rejet de la demande de contrôle judiciaire</w:t>
            </w:r>
          </w:p>
        </w:tc>
      </w:tr>
      <w:tr w:rsidR="00EE4290" w:rsidRPr="00C3697D" w:rsidTr="00EE4290">
        <w:tblPrEx>
          <w:tblCellMar>
            <w:bottom w:w="0" w:type="dxa"/>
          </w:tblCellMar>
        </w:tblPrEx>
        <w:tc>
          <w:tcPr>
            <w:tcW w:w="2390" w:type="pct"/>
            <w:gridSpan w:val="2"/>
          </w:tcPr>
          <w:p w:rsidR="00EE4290" w:rsidRPr="00003B04" w:rsidRDefault="00EE4290" w:rsidP="00EE4290">
            <w:pPr>
              <w:jc w:val="both"/>
              <w:rPr>
                <w:sz w:val="20"/>
                <w:lang w:val="fr-CA"/>
              </w:rPr>
            </w:pPr>
            <w:r w:rsidRPr="00003B04">
              <w:rPr>
                <w:sz w:val="20"/>
                <w:lang w:val="fr-CA"/>
              </w:rPr>
              <w:t>26 octobre 2016</w:t>
            </w:r>
          </w:p>
          <w:p w:rsidR="00EE4290" w:rsidRPr="00003B04" w:rsidRDefault="00EE4290" w:rsidP="00EE4290">
            <w:pPr>
              <w:jc w:val="both"/>
              <w:rPr>
                <w:sz w:val="20"/>
                <w:lang w:val="fr-CA"/>
              </w:rPr>
            </w:pPr>
            <w:r w:rsidRPr="00003B04">
              <w:rPr>
                <w:sz w:val="20"/>
                <w:lang w:val="fr-CA"/>
              </w:rPr>
              <w:t>Cour d’appel de l’Ontario</w:t>
            </w:r>
          </w:p>
          <w:p w:rsidR="00EE4290" w:rsidRPr="00003B04" w:rsidRDefault="00EE4290" w:rsidP="00EE4290">
            <w:pPr>
              <w:jc w:val="both"/>
              <w:rPr>
                <w:sz w:val="20"/>
                <w:lang w:val="fr-CA"/>
              </w:rPr>
            </w:pPr>
            <w:r w:rsidRPr="00003B04">
              <w:rPr>
                <w:sz w:val="20"/>
                <w:lang w:val="fr-CA"/>
              </w:rPr>
              <w:t xml:space="preserve">(Juges Simmons, </w:t>
            </w:r>
            <w:proofErr w:type="spellStart"/>
            <w:r w:rsidRPr="00003B04">
              <w:rPr>
                <w:sz w:val="20"/>
                <w:lang w:val="fr-CA"/>
              </w:rPr>
              <w:t>LaForme</w:t>
            </w:r>
            <w:proofErr w:type="spellEnd"/>
            <w:r w:rsidRPr="00003B04">
              <w:rPr>
                <w:sz w:val="20"/>
                <w:lang w:val="fr-CA"/>
              </w:rPr>
              <w:t xml:space="preserve"> et </w:t>
            </w:r>
            <w:proofErr w:type="spellStart"/>
            <w:r w:rsidRPr="00003B04">
              <w:rPr>
                <w:sz w:val="20"/>
                <w:lang w:val="fr-CA"/>
              </w:rPr>
              <w:t>Pardu</w:t>
            </w:r>
            <w:proofErr w:type="spellEnd"/>
            <w:r w:rsidRPr="00003B04">
              <w:rPr>
                <w:sz w:val="20"/>
                <w:lang w:val="fr-CA"/>
              </w:rPr>
              <w:t>)</w:t>
            </w:r>
          </w:p>
          <w:p w:rsidR="00EE4290" w:rsidRPr="00003B04" w:rsidRDefault="00604445" w:rsidP="00EE4290">
            <w:pPr>
              <w:jc w:val="both"/>
              <w:rPr>
                <w:sz w:val="20"/>
                <w:lang w:val="fr-CA"/>
              </w:rPr>
            </w:pPr>
            <w:hyperlink r:id="rId94" w:history="1">
              <w:r w:rsidR="00EE4290" w:rsidRPr="00003B04">
                <w:rPr>
                  <w:rStyle w:val="Hyperlink"/>
                  <w:sz w:val="20"/>
                  <w:lang w:val="fr-CA"/>
                </w:rPr>
                <w:t>2016 ONCA 787</w:t>
              </w:r>
            </w:hyperlink>
          </w:p>
          <w:p w:rsidR="00EE4290" w:rsidRPr="00003B04" w:rsidRDefault="00EE4290" w:rsidP="00EE4290">
            <w:pPr>
              <w:jc w:val="both"/>
              <w:rPr>
                <w:sz w:val="20"/>
                <w:lang w:val="fr-CA"/>
              </w:rPr>
            </w:pPr>
          </w:p>
        </w:tc>
        <w:tc>
          <w:tcPr>
            <w:tcW w:w="270" w:type="pct"/>
          </w:tcPr>
          <w:p w:rsidR="00EE4290" w:rsidRPr="00003B04" w:rsidRDefault="00EE4290" w:rsidP="00EE4290">
            <w:pPr>
              <w:jc w:val="both"/>
              <w:rPr>
                <w:sz w:val="20"/>
                <w:lang w:val="fr-CA"/>
              </w:rPr>
            </w:pPr>
          </w:p>
        </w:tc>
        <w:tc>
          <w:tcPr>
            <w:tcW w:w="2340" w:type="pct"/>
          </w:tcPr>
          <w:p w:rsidR="00EE4290" w:rsidRPr="00003B04" w:rsidRDefault="00EE4290" w:rsidP="00EE4290">
            <w:pPr>
              <w:jc w:val="both"/>
              <w:rPr>
                <w:sz w:val="20"/>
                <w:lang w:val="fr-CA"/>
              </w:rPr>
            </w:pPr>
            <w:r w:rsidRPr="00003B04">
              <w:rPr>
                <w:sz w:val="20"/>
                <w:lang w:val="fr-CA"/>
              </w:rPr>
              <w:t>Rejet de la motion en autorisation d’interjeter appel</w:t>
            </w:r>
          </w:p>
          <w:p w:rsidR="00EE4290" w:rsidRPr="00003B04" w:rsidRDefault="00EE4290" w:rsidP="00EE4290">
            <w:pPr>
              <w:tabs>
                <w:tab w:val="left" w:pos="1744"/>
              </w:tabs>
              <w:jc w:val="both"/>
              <w:rPr>
                <w:sz w:val="20"/>
                <w:lang w:val="fr-CA"/>
              </w:rPr>
            </w:pPr>
          </w:p>
        </w:tc>
      </w:tr>
      <w:tr w:rsidR="00EE4290" w:rsidRPr="00C3697D" w:rsidTr="00EE4290">
        <w:tblPrEx>
          <w:tblCellMar>
            <w:bottom w:w="0" w:type="dxa"/>
          </w:tblCellMar>
        </w:tblPrEx>
        <w:tc>
          <w:tcPr>
            <w:tcW w:w="2390" w:type="pct"/>
            <w:gridSpan w:val="2"/>
          </w:tcPr>
          <w:p w:rsidR="00EE4290" w:rsidRPr="00003B04" w:rsidRDefault="00EE4290" w:rsidP="00EE4290">
            <w:pPr>
              <w:jc w:val="both"/>
              <w:rPr>
                <w:sz w:val="20"/>
                <w:lang w:val="fr-CA"/>
              </w:rPr>
            </w:pPr>
            <w:r w:rsidRPr="00003B04">
              <w:rPr>
                <w:sz w:val="20"/>
                <w:lang w:val="fr-CA"/>
              </w:rPr>
              <w:t>31 octobre 2016</w:t>
            </w:r>
          </w:p>
          <w:p w:rsidR="00EE4290" w:rsidRPr="00003B04" w:rsidRDefault="00EE4290" w:rsidP="00EE4290">
            <w:pPr>
              <w:jc w:val="both"/>
              <w:rPr>
                <w:sz w:val="20"/>
                <w:lang w:val="fr-CA"/>
              </w:rPr>
            </w:pPr>
            <w:r w:rsidRPr="00003B04">
              <w:rPr>
                <w:sz w:val="20"/>
                <w:lang w:val="fr-CA"/>
              </w:rPr>
              <w:t>Cour suprême du Canada</w:t>
            </w:r>
          </w:p>
        </w:tc>
        <w:tc>
          <w:tcPr>
            <w:tcW w:w="270" w:type="pct"/>
          </w:tcPr>
          <w:p w:rsidR="00EE4290" w:rsidRPr="00003B04" w:rsidRDefault="00EE4290" w:rsidP="00EE4290">
            <w:pPr>
              <w:jc w:val="both"/>
              <w:rPr>
                <w:sz w:val="20"/>
                <w:lang w:val="fr-CA"/>
              </w:rPr>
            </w:pPr>
          </w:p>
        </w:tc>
        <w:tc>
          <w:tcPr>
            <w:tcW w:w="2340" w:type="pct"/>
          </w:tcPr>
          <w:p w:rsidR="00EE4290" w:rsidRPr="00003B04" w:rsidRDefault="00EE4290" w:rsidP="00EE4290">
            <w:pPr>
              <w:jc w:val="both"/>
              <w:rPr>
                <w:sz w:val="20"/>
                <w:lang w:val="fr-CA"/>
              </w:rPr>
            </w:pPr>
            <w:r w:rsidRPr="00003B04">
              <w:rPr>
                <w:sz w:val="20"/>
                <w:lang w:val="fr-CA"/>
              </w:rPr>
              <w:t>Dépôt de la demande d’autorisation d’appel</w:t>
            </w:r>
          </w:p>
          <w:p w:rsidR="00EE4290" w:rsidRPr="00003B04" w:rsidRDefault="00EE4290" w:rsidP="00EE4290">
            <w:pPr>
              <w:jc w:val="both"/>
              <w:rPr>
                <w:sz w:val="20"/>
                <w:lang w:val="fr-CA"/>
              </w:rPr>
            </w:pPr>
          </w:p>
        </w:tc>
      </w:tr>
    </w:tbl>
    <w:p w:rsidR="00EE4290" w:rsidRPr="00003B04" w:rsidRDefault="00604445" w:rsidP="00EE4290">
      <w:pPr>
        <w:jc w:val="both"/>
        <w:rPr>
          <w:sz w:val="20"/>
          <w:lang w:val="fr-CA"/>
        </w:rPr>
      </w:pPr>
      <w:r>
        <w:rPr>
          <w:sz w:val="20"/>
          <w:szCs w:val="20"/>
        </w:rPr>
        <w:pict>
          <v:rect id="_x0000_i1084" style="width:2in;height:1pt" o:hrpct="0" o:hralign="center" o:hrstd="t" o:hrnoshade="t" o:hr="t" fillcolor="black [3213]" stroked="f"/>
        </w:pict>
      </w:r>
    </w:p>
    <w:p w:rsidR="00EE4290" w:rsidRPr="00003B04" w:rsidRDefault="00EE4290" w:rsidP="00EE4290">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E4290" w:rsidRPr="00003B04" w:rsidTr="00EE4290">
        <w:tc>
          <w:tcPr>
            <w:tcW w:w="543" w:type="pct"/>
          </w:tcPr>
          <w:p w:rsidR="00EE4290" w:rsidRPr="00003B04" w:rsidRDefault="00EE4290" w:rsidP="00EE4290">
            <w:pPr>
              <w:jc w:val="both"/>
              <w:rPr>
                <w:sz w:val="20"/>
              </w:rPr>
            </w:pPr>
            <w:r w:rsidRPr="00003B04">
              <w:rPr>
                <w:rStyle w:val="SCCFileNumberChar"/>
                <w:sz w:val="20"/>
                <w:szCs w:val="20"/>
              </w:rPr>
              <w:lastRenderedPageBreak/>
              <w:t>37276</w:t>
            </w:r>
          </w:p>
        </w:tc>
        <w:tc>
          <w:tcPr>
            <w:tcW w:w="4457" w:type="pct"/>
            <w:gridSpan w:val="3"/>
          </w:tcPr>
          <w:p w:rsidR="00EE4290" w:rsidRPr="00003B04" w:rsidRDefault="00EE4290" w:rsidP="00767A6B">
            <w:pPr>
              <w:pStyle w:val="SCCLsocParty"/>
              <w:jc w:val="both"/>
              <w:rPr>
                <w:sz w:val="20"/>
              </w:rPr>
            </w:pPr>
            <w:r w:rsidRPr="00003B04">
              <w:rPr>
                <w:b/>
                <w:sz w:val="20"/>
                <w:szCs w:val="20"/>
                <w:lang w:val="en-US"/>
              </w:rPr>
              <w:t xml:space="preserve">Delta Air Lines Inc. v. </w:t>
            </w:r>
            <w:proofErr w:type="spellStart"/>
            <w:r w:rsidR="005A5AB4" w:rsidRPr="00003B04">
              <w:rPr>
                <w:b/>
                <w:sz w:val="20"/>
                <w:szCs w:val="20"/>
                <w:lang w:val="en-US"/>
              </w:rPr>
              <w:t>Gábor</w:t>
            </w:r>
            <w:proofErr w:type="spellEnd"/>
            <w:r w:rsidR="005A5AB4" w:rsidRPr="00003B04">
              <w:rPr>
                <w:b/>
                <w:sz w:val="20"/>
                <w:szCs w:val="20"/>
                <w:lang w:val="en-US"/>
              </w:rPr>
              <w:t xml:space="preserve"> </w:t>
            </w:r>
            <w:proofErr w:type="spellStart"/>
            <w:r w:rsidR="005A5AB4" w:rsidRPr="00003B04">
              <w:rPr>
                <w:b/>
                <w:sz w:val="20"/>
                <w:szCs w:val="20"/>
                <w:lang w:val="en-US"/>
              </w:rPr>
              <w:t>Lukács</w:t>
            </w:r>
            <w:proofErr w:type="spellEnd"/>
            <w:r w:rsidR="005A5AB4" w:rsidRPr="00003B04">
              <w:rPr>
                <w:b/>
                <w:sz w:val="20"/>
                <w:szCs w:val="20"/>
                <w:lang w:val="en-US"/>
              </w:rPr>
              <w:t xml:space="preserve"> </w:t>
            </w:r>
            <w:r w:rsidRPr="00003B04">
              <w:rPr>
                <w:sz w:val="20"/>
                <w:lang w:val="en-US"/>
              </w:rPr>
              <w:t>(F</w:t>
            </w:r>
            <w:r w:rsidR="004F14EC" w:rsidRPr="00003B04">
              <w:rPr>
                <w:sz w:val="20"/>
                <w:lang w:val="en-US"/>
              </w:rPr>
              <w:t>.</w:t>
            </w:r>
            <w:r w:rsidRPr="00003B04">
              <w:rPr>
                <w:sz w:val="20"/>
                <w:lang w:val="en-US"/>
              </w:rPr>
              <w:t>C</w:t>
            </w:r>
            <w:r w:rsidR="004F14EC" w:rsidRPr="00003B04">
              <w:rPr>
                <w:sz w:val="20"/>
                <w:lang w:val="en-US"/>
              </w:rPr>
              <w:t>.</w:t>
            </w:r>
            <w:r w:rsidRPr="00003B04">
              <w:rPr>
                <w:sz w:val="20"/>
                <w:lang w:val="en-US"/>
              </w:rPr>
              <w:t xml:space="preserve">) </w:t>
            </w:r>
            <w:r w:rsidRPr="00003B04">
              <w:rPr>
                <w:sz w:val="20"/>
              </w:rPr>
              <w:t xml:space="preserve">(Civil) (By </w:t>
            </w:r>
            <w:proofErr w:type="spellStart"/>
            <w:r w:rsidRPr="00003B04">
              <w:rPr>
                <w:sz w:val="20"/>
              </w:rPr>
              <w:t>Leave</w:t>
            </w:r>
            <w:proofErr w:type="spellEnd"/>
            <w:r w:rsidRPr="00003B04">
              <w:rPr>
                <w:sz w:val="20"/>
              </w:rPr>
              <w:t>)</w:t>
            </w:r>
          </w:p>
          <w:p w:rsidR="00767A6B" w:rsidRPr="00003B04" w:rsidRDefault="00767A6B" w:rsidP="00767A6B">
            <w:pPr>
              <w:rPr>
                <w:lang w:val="fr-CA"/>
              </w:rPr>
            </w:pPr>
          </w:p>
        </w:tc>
      </w:tr>
      <w:tr w:rsidR="004F14EC" w:rsidRPr="00003B04" w:rsidTr="00EE4290">
        <w:tc>
          <w:tcPr>
            <w:tcW w:w="543" w:type="pct"/>
          </w:tcPr>
          <w:p w:rsidR="004F14EC" w:rsidRPr="00003B04" w:rsidRDefault="004F14EC" w:rsidP="00EE4290">
            <w:pPr>
              <w:jc w:val="both"/>
              <w:rPr>
                <w:rStyle w:val="SCCFileNumberChar"/>
                <w:sz w:val="20"/>
                <w:szCs w:val="20"/>
              </w:rPr>
            </w:pPr>
            <w:r w:rsidRPr="00003B04">
              <w:rPr>
                <w:rStyle w:val="SCCFileNumberChar"/>
                <w:sz w:val="20"/>
                <w:szCs w:val="20"/>
              </w:rPr>
              <w:t>Coram:</w:t>
            </w:r>
          </w:p>
        </w:tc>
        <w:tc>
          <w:tcPr>
            <w:tcW w:w="4457" w:type="pct"/>
            <w:gridSpan w:val="3"/>
          </w:tcPr>
          <w:p w:rsidR="004F14EC" w:rsidRPr="00003B04" w:rsidRDefault="005A5AB4" w:rsidP="00EE4290">
            <w:pPr>
              <w:pStyle w:val="SCCLsocParty"/>
              <w:jc w:val="both"/>
              <w:rPr>
                <w:rFonts w:eastAsiaTheme="minorEastAsia"/>
                <w:sz w:val="20"/>
                <w:szCs w:val="20"/>
                <w:lang w:val="en-US" w:eastAsia="en-CA"/>
              </w:rPr>
            </w:pPr>
            <w:proofErr w:type="spellStart"/>
            <w:r w:rsidRPr="00003B04">
              <w:rPr>
                <w:rFonts w:eastAsiaTheme="minorEastAsia"/>
                <w:sz w:val="20"/>
                <w:szCs w:val="20"/>
                <w:lang w:val="en-US" w:eastAsia="en-CA"/>
              </w:rPr>
              <w:t>McLachlin</w:t>
            </w:r>
            <w:proofErr w:type="spellEnd"/>
            <w:r w:rsidRPr="00003B04">
              <w:rPr>
                <w:rFonts w:eastAsiaTheme="minorEastAsia"/>
                <w:sz w:val="20"/>
                <w:szCs w:val="20"/>
                <w:lang w:val="en-US" w:eastAsia="en-CA"/>
              </w:rPr>
              <w:t xml:space="preserve"> C.J. and </w:t>
            </w:r>
            <w:proofErr w:type="spellStart"/>
            <w:r w:rsidRPr="00003B04">
              <w:rPr>
                <w:rFonts w:eastAsiaTheme="minorEastAsia"/>
                <w:sz w:val="20"/>
                <w:szCs w:val="20"/>
                <w:lang w:val="en-US" w:eastAsia="en-CA"/>
              </w:rPr>
              <w:t>Abella</w:t>
            </w:r>
            <w:proofErr w:type="spellEnd"/>
            <w:r w:rsidRPr="00003B04">
              <w:rPr>
                <w:rFonts w:eastAsiaTheme="minorEastAsia"/>
                <w:sz w:val="20"/>
                <w:szCs w:val="20"/>
                <w:lang w:val="en-US" w:eastAsia="en-CA"/>
              </w:rPr>
              <w:t xml:space="preserve">, </w:t>
            </w:r>
            <w:proofErr w:type="spellStart"/>
            <w:r w:rsidRPr="00003B04">
              <w:rPr>
                <w:rFonts w:eastAsiaTheme="minorEastAsia"/>
                <w:sz w:val="20"/>
                <w:szCs w:val="20"/>
                <w:lang w:val="en-US" w:eastAsia="en-CA"/>
              </w:rPr>
              <w:t>Moldaver</w:t>
            </w:r>
            <w:proofErr w:type="spellEnd"/>
            <w:r w:rsidRPr="00003B04">
              <w:rPr>
                <w:rFonts w:eastAsiaTheme="minorEastAsia"/>
                <w:sz w:val="20"/>
                <w:szCs w:val="20"/>
                <w:lang w:val="en-US" w:eastAsia="en-CA"/>
              </w:rPr>
              <w:t xml:space="preserve">, </w:t>
            </w:r>
            <w:proofErr w:type="spellStart"/>
            <w:r w:rsidRPr="00003B04">
              <w:rPr>
                <w:rFonts w:eastAsiaTheme="minorEastAsia"/>
                <w:sz w:val="20"/>
                <w:szCs w:val="20"/>
                <w:lang w:val="en-US" w:eastAsia="en-CA"/>
              </w:rPr>
              <w:t>Karakatsanis</w:t>
            </w:r>
            <w:proofErr w:type="spellEnd"/>
            <w:r w:rsidRPr="00003B04">
              <w:rPr>
                <w:rFonts w:eastAsiaTheme="minorEastAsia"/>
                <w:sz w:val="20"/>
                <w:szCs w:val="20"/>
                <w:lang w:val="en-US" w:eastAsia="en-CA"/>
              </w:rPr>
              <w:t xml:space="preserve">, Wagner, </w:t>
            </w:r>
            <w:proofErr w:type="spellStart"/>
            <w:r w:rsidRPr="00003B04">
              <w:rPr>
                <w:rFonts w:eastAsiaTheme="minorEastAsia"/>
                <w:sz w:val="20"/>
                <w:szCs w:val="20"/>
                <w:lang w:val="en-US" w:eastAsia="en-CA"/>
              </w:rPr>
              <w:t>Gascon</w:t>
            </w:r>
            <w:proofErr w:type="spellEnd"/>
            <w:r w:rsidRPr="00003B04">
              <w:rPr>
                <w:rFonts w:eastAsiaTheme="minorEastAsia"/>
                <w:sz w:val="20"/>
                <w:szCs w:val="20"/>
                <w:lang w:val="en-US" w:eastAsia="en-CA"/>
              </w:rPr>
              <w:t xml:space="preserve">, </w:t>
            </w:r>
            <w:proofErr w:type="spellStart"/>
            <w:r w:rsidRPr="00003B04">
              <w:rPr>
                <w:rFonts w:eastAsiaTheme="minorEastAsia"/>
                <w:sz w:val="20"/>
                <w:szCs w:val="20"/>
                <w:lang w:val="en-US" w:eastAsia="en-CA"/>
              </w:rPr>
              <w:t>Côté</w:t>
            </w:r>
            <w:proofErr w:type="spellEnd"/>
            <w:r w:rsidRPr="00003B04">
              <w:rPr>
                <w:rFonts w:eastAsiaTheme="minorEastAsia"/>
                <w:sz w:val="20"/>
                <w:szCs w:val="20"/>
                <w:lang w:val="en-US" w:eastAsia="en-CA"/>
              </w:rPr>
              <w:t>, Brown and Rowe JJ.</w:t>
            </w:r>
          </w:p>
          <w:p w:rsidR="005A5AB4" w:rsidRPr="00003B04" w:rsidRDefault="005A5AB4" w:rsidP="005A5AB4">
            <w:pPr>
              <w:rPr>
                <w:lang w:val="en-US" w:eastAsia="en-CA"/>
              </w:rPr>
            </w:pPr>
          </w:p>
        </w:tc>
      </w:tr>
      <w:tr w:rsidR="004F14EC" w:rsidRPr="00003B04" w:rsidTr="004F14EC">
        <w:tc>
          <w:tcPr>
            <w:tcW w:w="5000" w:type="pct"/>
            <w:gridSpan w:val="4"/>
          </w:tcPr>
          <w:p w:rsidR="004F14EC" w:rsidRPr="00003B04" w:rsidRDefault="005A5AB4" w:rsidP="00EE4290">
            <w:pPr>
              <w:pStyle w:val="SCCLsocParty"/>
              <w:jc w:val="both"/>
              <w:rPr>
                <w:sz w:val="20"/>
                <w:szCs w:val="20"/>
                <w:lang w:val="en-US"/>
              </w:rPr>
            </w:pPr>
            <w:r w:rsidRPr="00003B04">
              <w:rPr>
                <w:sz w:val="20"/>
                <w:szCs w:val="20"/>
                <w:lang w:val="en-US"/>
              </w:rPr>
              <w:t>The application for leave to appeal from the judgment of the Federal Court of Appeal, Number A-135-15, 2016 FCA 220, dated September 7, 2016, is granted without costs.</w:t>
            </w:r>
          </w:p>
          <w:p w:rsidR="005A5AB4" w:rsidRPr="00003B04" w:rsidRDefault="005A5AB4" w:rsidP="005A5AB4">
            <w:pPr>
              <w:rPr>
                <w:lang w:val="en-US"/>
              </w:rPr>
            </w:pPr>
          </w:p>
        </w:tc>
      </w:tr>
      <w:tr w:rsidR="00EE4290" w:rsidRPr="00003B04" w:rsidTr="00EE4290">
        <w:tc>
          <w:tcPr>
            <w:tcW w:w="5000" w:type="pct"/>
            <w:gridSpan w:val="4"/>
          </w:tcPr>
          <w:p w:rsidR="00EE4290" w:rsidRPr="00003B04" w:rsidRDefault="00EE4290" w:rsidP="00EE4290">
            <w:pPr>
              <w:jc w:val="both"/>
              <w:rPr>
                <w:sz w:val="20"/>
              </w:rPr>
            </w:pPr>
            <w:r w:rsidRPr="00003B04">
              <w:rPr>
                <w:sz w:val="20"/>
              </w:rPr>
              <w:t xml:space="preserve">Transportation law – Air transportation – Unreasonable or unduly discriminatory terms or conditions – Large or obese persons – Complaints to the Canadian Transportation Agency – Standing to bring complaint – Whether the Canadian Transportation Agency has the authority to decline to hear complaints on the basis of lack of standing – Whether the law of standing, including public interest standing, is applicable in the administrative law context – </w:t>
            </w:r>
            <w:r w:rsidRPr="00003B04">
              <w:rPr>
                <w:i/>
                <w:sz w:val="20"/>
              </w:rPr>
              <w:t>Canada Transportation Act</w:t>
            </w:r>
            <w:r w:rsidRPr="00003B04">
              <w:rPr>
                <w:sz w:val="20"/>
              </w:rPr>
              <w:t xml:space="preserve">, S.C. 1996, c. 10, s. 67.2(1) – </w:t>
            </w:r>
            <w:r w:rsidRPr="00003B04">
              <w:rPr>
                <w:i/>
                <w:sz w:val="20"/>
              </w:rPr>
              <w:t>Air Transportation Regulations</w:t>
            </w:r>
            <w:r w:rsidRPr="00003B04">
              <w:rPr>
                <w:sz w:val="20"/>
              </w:rPr>
              <w:t>, SOR/88-58, r. 111(2).</w:t>
            </w:r>
          </w:p>
        </w:tc>
      </w:tr>
      <w:tr w:rsidR="00EE4290" w:rsidRPr="00003B04" w:rsidTr="00EE4290">
        <w:tc>
          <w:tcPr>
            <w:tcW w:w="5000" w:type="pct"/>
            <w:gridSpan w:val="4"/>
          </w:tcPr>
          <w:p w:rsidR="00EE4290" w:rsidRPr="00003B04" w:rsidRDefault="00EE4290" w:rsidP="00EE4290">
            <w:pPr>
              <w:jc w:val="both"/>
              <w:rPr>
                <w:sz w:val="20"/>
              </w:rPr>
            </w:pPr>
          </w:p>
        </w:tc>
      </w:tr>
      <w:tr w:rsidR="00EE4290" w:rsidRPr="00003B04" w:rsidTr="00EE4290">
        <w:tc>
          <w:tcPr>
            <w:tcW w:w="5000" w:type="pct"/>
            <w:gridSpan w:val="4"/>
          </w:tcPr>
          <w:p w:rsidR="00EE4290" w:rsidRPr="00003B04" w:rsidRDefault="00EE4290" w:rsidP="00EE4290">
            <w:pPr>
              <w:jc w:val="both"/>
              <w:rPr>
                <w:sz w:val="20"/>
              </w:rPr>
            </w:pPr>
            <w:r w:rsidRPr="00003B04">
              <w:rPr>
                <w:sz w:val="20"/>
              </w:rPr>
              <w:t>Mr. </w:t>
            </w:r>
            <w:proofErr w:type="spellStart"/>
            <w:r w:rsidRPr="00003B04">
              <w:rPr>
                <w:sz w:val="20"/>
              </w:rPr>
              <w:t>Lukacs</w:t>
            </w:r>
            <w:proofErr w:type="spellEnd"/>
            <w:r w:rsidRPr="00003B04">
              <w:rPr>
                <w:sz w:val="20"/>
              </w:rPr>
              <w:t xml:space="preserve">, respondent, filed a complaint with the Canadian Transportation Agency (“Agency”) alleging that some of the applicant Delta Air Lines’ policies with respect to the transportation of “large (obese)” passengers were discriminatory, contrary to r. 111(2) of the </w:t>
            </w:r>
            <w:r w:rsidRPr="00003B04">
              <w:rPr>
                <w:i/>
                <w:sz w:val="20"/>
              </w:rPr>
              <w:t>Air Transportation Regulations</w:t>
            </w:r>
            <w:r w:rsidRPr="00003B04">
              <w:rPr>
                <w:sz w:val="20"/>
              </w:rPr>
              <w:t>, SOR/88-58. The Agency dismissed the complaint on the basis that Mr. </w:t>
            </w:r>
            <w:proofErr w:type="spellStart"/>
            <w:r w:rsidRPr="00003B04">
              <w:rPr>
                <w:sz w:val="20"/>
              </w:rPr>
              <w:t>Lukacs</w:t>
            </w:r>
            <w:proofErr w:type="spellEnd"/>
            <w:r w:rsidRPr="00003B04">
              <w:rPr>
                <w:sz w:val="20"/>
              </w:rPr>
              <w:t xml:space="preserve"> lacked standing to bring the complaint. The Federal Court of Appeal reversed that decision on the basis that the Agency’s decision to refuse to look into Mr. </w:t>
            </w:r>
            <w:proofErr w:type="spellStart"/>
            <w:r w:rsidRPr="00003B04">
              <w:rPr>
                <w:sz w:val="20"/>
              </w:rPr>
              <w:t>Lukacs’s</w:t>
            </w:r>
            <w:proofErr w:type="spellEnd"/>
            <w:r w:rsidRPr="00003B04">
              <w:rPr>
                <w:sz w:val="20"/>
              </w:rPr>
              <w:t xml:space="preserve"> complaint on the sole basis that he did not meet the standing requirements developed by the courts of civil jurisdiction was unreasonable. </w:t>
            </w:r>
          </w:p>
          <w:p w:rsidR="00EE4290" w:rsidRPr="00003B04" w:rsidRDefault="00EE4290" w:rsidP="00EE4290">
            <w:pPr>
              <w:jc w:val="both"/>
              <w:rPr>
                <w:sz w:val="20"/>
              </w:rPr>
            </w:pPr>
          </w:p>
        </w:tc>
      </w:tr>
      <w:tr w:rsidR="00EE4290" w:rsidRPr="00003B04" w:rsidTr="00EE4290">
        <w:tc>
          <w:tcPr>
            <w:tcW w:w="2427" w:type="pct"/>
            <w:gridSpan w:val="2"/>
          </w:tcPr>
          <w:p w:rsidR="00EE4290" w:rsidRPr="00003B04" w:rsidRDefault="00EE4290" w:rsidP="00EE4290">
            <w:pPr>
              <w:jc w:val="both"/>
              <w:rPr>
                <w:sz w:val="20"/>
              </w:rPr>
            </w:pPr>
            <w:r w:rsidRPr="00003B04">
              <w:rPr>
                <w:sz w:val="20"/>
              </w:rPr>
              <w:t>November 25, 2014</w:t>
            </w:r>
          </w:p>
          <w:p w:rsidR="00EE4290" w:rsidRPr="00003B04" w:rsidRDefault="00EE4290" w:rsidP="00EE4290">
            <w:pPr>
              <w:jc w:val="both"/>
              <w:rPr>
                <w:sz w:val="20"/>
              </w:rPr>
            </w:pPr>
            <w:r w:rsidRPr="00003B04">
              <w:rPr>
                <w:sz w:val="20"/>
              </w:rPr>
              <w:t>Canadian Transportation Agency</w:t>
            </w:r>
          </w:p>
          <w:p w:rsidR="00EE4290" w:rsidRPr="00003B04" w:rsidRDefault="00EE4290" w:rsidP="00EE4290">
            <w:pPr>
              <w:jc w:val="both"/>
              <w:rPr>
                <w:sz w:val="20"/>
              </w:rPr>
            </w:pPr>
            <w:r w:rsidRPr="00003B04">
              <w:rPr>
                <w:sz w:val="20"/>
              </w:rPr>
              <w:t>(Hare and Barone, Members)</w:t>
            </w:r>
          </w:p>
          <w:p w:rsidR="00EE4290" w:rsidRPr="00003B04" w:rsidRDefault="00EE4290" w:rsidP="00EE4290">
            <w:pPr>
              <w:jc w:val="both"/>
              <w:rPr>
                <w:sz w:val="20"/>
              </w:rPr>
            </w:pPr>
            <w:r w:rsidRPr="00003B04">
              <w:rPr>
                <w:sz w:val="20"/>
              </w:rPr>
              <w:t>425-C-A-2014</w:t>
            </w:r>
          </w:p>
          <w:p w:rsidR="00EE4290" w:rsidRPr="00003B04" w:rsidRDefault="00EE4290" w:rsidP="00EE4290">
            <w:pPr>
              <w:jc w:val="both"/>
              <w:rPr>
                <w:sz w:val="20"/>
              </w:rPr>
            </w:pPr>
          </w:p>
        </w:tc>
        <w:tc>
          <w:tcPr>
            <w:tcW w:w="243" w:type="pct"/>
          </w:tcPr>
          <w:p w:rsidR="00EE4290" w:rsidRPr="00003B04" w:rsidRDefault="00EE4290" w:rsidP="00EE4290">
            <w:pPr>
              <w:jc w:val="both"/>
              <w:rPr>
                <w:sz w:val="20"/>
              </w:rPr>
            </w:pPr>
          </w:p>
        </w:tc>
        <w:tc>
          <w:tcPr>
            <w:tcW w:w="2330" w:type="pct"/>
          </w:tcPr>
          <w:p w:rsidR="00EE4290" w:rsidRPr="00003B04" w:rsidRDefault="00EE4290" w:rsidP="00EE4290">
            <w:pPr>
              <w:jc w:val="both"/>
              <w:rPr>
                <w:sz w:val="20"/>
              </w:rPr>
            </w:pPr>
            <w:r w:rsidRPr="00003B04">
              <w:rPr>
                <w:sz w:val="20"/>
              </w:rPr>
              <w:t>Complaint dismissed</w:t>
            </w:r>
          </w:p>
          <w:p w:rsidR="00EE4290" w:rsidRPr="00003B04" w:rsidRDefault="00EE4290" w:rsidP="00EE4290">
            <w:pPr>
              <w:jc w:val="both"/>
              <w:rPr>
                <w:sz w:val="20"/>
              </w:rPr>
            </w:pPr>
          </w:p>
        </w:tc>
      </w:tr>
      <w:tr w:rsidR="00EE4290" w:rsidRPr="00003B04" w:rsidTr="00EE4290">
        <w:tc>
          <w:tcPr>
            <w:tcW w:w="2427" w:type="pct"/>
            <w:gridSpan w:val="2"/>
          </w:tcPr>
          <w:p w:rsidR="00EE4290" w:rsidRPr="00003B04" w:rsidRDefault="00EE4290" w:rsidP="00EE4290">
            <w:pPr>
              <w:jc w:val="both"/>
              <w:rPr>
                <w:sz w:val="20"/>
              </w:rPr>
            </w:pPr>
            <w:r w:rsidRPr="00003B04">
              <w:rPr>
                <w:sz w:val="20"/>
              </w:rPr>
              <w:t>September 7, 2016</w:t>
            </w:r>
          </w:p>
          <w:p w:rsidR="00EE4290" w:rsidRPr="00003B04" w:rsidRDefault="00EE4290" w:rsidP="00EE4290">
            <w:pPr>
              <w:jc w:val="both"/>
              <w:rPr>
                <w:sz w:val="20"/>
              </w:rPr>
            </w:pPr>
            <w:r w:rsidRPr="00003B04">
              <w:rPr>
                <w:sz w:val="20"/>
              </w:rPr>
              <w:t>Federal Court of Appeal</w:t>
            </w:r>
          </w:p>
          <w:p w:rsidR="00EE4290" w:rsidRPr="00003B04" w:rsidRDefault="00EE4290" w:rsidP="00EE4290">
            <w:pPr>
              <w:jc w:val="both"/>
              <w:rPr>
                <w:sz w:val="20"/>
              </w:rPr>
            </w:pPr>
            <w:r w:rsidRPr="00003B04">
              <w:rPr>
                <w:sz w:val="20"/>
              </w:rPr>
              <w:t xml:space="preserve">(De </w:t>
            </w:r>
            <w:proofErr w:type="spellStart"/>
            <w:r w:rsidRPr="00003B04">
              <w:rPr>
                <w:sz w:val="20"/>
              </w:rPr>
              <w:t>Montigny</w:t>
            </w:r>
            <w:proofErr w:type="spellEnd"/>
            <w:r w:rsidRPr="00003B04">
              <w:rPr>
                <w:sz w:val="20"/>
              </w:rPr>
              <w:t>, Webb and Scott JJ.A.)</w:t>
            </w:r>
          </w:p>
          <w:p w:rsidR="00EE4290" w:rsidRPr="00003B04" w:rsidRDefault="00604445" w:rsidP="00EE4290">
            <w:pPr>
              <w:jc w:val="both"/>
              <w:rPr>
                <w:sz w:val="20"/>
              </w:rPr>
            </w:pPr>
            <w:hyperlink r:id="rId95" w:history="1">
              <w:r w:rsidR="00EE4290" w:rsidRPr="00003B04">
                <w:rPr>
                  <w:rStyle w:val="Hyperlink"/>
                  <w:sz w:val="20"/>
                </w:rPr>
                <w:t>2016 FCA 220</w:t>
              </w:r>
            </w:hyperlink>
          </w:p>
          <w:p w:rsidR="00EE4290" w:rsidRPr="00003B04" w:rsidRDefault="00EE4290" w:rsidP="00EE4290">
            <w:pPr>
              <w:jc w:val="both"/>
              <w:rPr>
                <w:sz w:val="20"/>
              </w:rPr>
            </w:pPr>
          </w:p>
        </w:tc>
        <w:tc>
          <w:tcPr>
            <w:tcW w:w="243" w:type="pct"/>
          </w:tcPr>
          <w:p w:rsidR="00EE4290" w:rsidRPr="00003B04" w:rsidRDefault="00EE4290" w:rsidP="00EE4290">
            <w:pPr>
              <w:jc w:val="both"/>
              <w:rPr>
                <w:sz w:val="20"/>
              </w:rPr>
            </w:pPr>
          </w:p>
        </w:tc>
        <w:tc>
          <w:tcPr>
            <w:tcW w:w="2330" w:type="pct"/>
          </w:tcPr>
          <w:p w:rsidR="00EE4290" w:rsidRPr="00003B04" w:rsidRDefault="00EE4290" w:rsidP="00EE4290">
            <w:pPr>
              <w:jc w:val="both"/>
              <w:rPr>
                <w:sz w:val="20"/>
              </w:rPr>
            </w:pPr>
            <w:r w:rsidRPr="00003B04">
              <w:rPr>
                <w:sz w:val="20"/>
              </w:rPr>
              <w:t>Appeal allowed</w:t>
            </w:r>
          </w:p>
          <w:p w:rsidR="00EE4290" w:rsidRPr="00003B04" w:rsidRDefault="00EE4290" w:rsidP="00EE4290">
            <w:pPr>
              <w:jc w:val="both"/>
              <w:rPr>
                <w:sz w:val="20"/>
              </w:rPr>
            </w:pPr>
          </w:p>
        </w:tc>
      </w:tr>
      <w:tr w:rsidR="00EE4290" w:rsidRPr="00003B04" w:rsidTr="00EE4290">
        <w:tc>
          <w:tcPr>
            <w:tcW w:w="2427" w:type="pct"/>
            <w:gridSpan w:val="2"/>
          </w:tcPr>
          <w:p w:rsidR="00EE4290" w:rsidRPr="00003B04" w:rsidRDefault="00EE4290" w:rsidP="00EE4290">
            <w:pPr>
              <w:jc w:val="both"/>
              <w:rPr>
                <w:sz w:val="20"/>
              </w:rPr>
            </w:pPr>
            <w:r w:rsidRPr="00003B04">
              <w:rPr>
                <w:sz w:val="20"/>
              </w:rPr>
              <w:t>November 7, 2016</w:t>
            </w:r>
          </w:p>
          <w:p w:rsidR="00EE4290" w:rsidRPr="00003B04" w:rsidRDefault="00EE4290" w:rsidP="00EE4290">
            <w:pPr>
              <w:jc w:val="both"/>
              <w:rPr>
                <w:sz w:val="20"/>
              </w:rPr>
            </w:pPr>
            <w:r w:rsidRPr="00003B04">
              <w:rPr>
                <w:sz w:val="20"/>
              </w:rPr>
              <w:t>Supreme Court of Canada</w:t>
            </w:r>
          </w:p>
        </w:tc>
        <w:tc>
          <w:tcPr>
            <w:tcW w:w="243" w:type="pct"/>
          </w:tcPr>
          <w:p w:rsidR="00EE4290" w:rsidRPr="00003B04" w:rsidRDefault="00EE4290" w:rsidP="00EE4290">
            <w:pPr>
              <w:jc w:val="both"/>
              <w:rPr>
                <w:sz w:val="20"/>
              </w:rPr>
            </w:pPr>
          </w:p>
        </w:tc>
        <w:tc>
          <w:tcPr>
            <w:tcW w:w="2330" w:type="pct"/>
          </w:tcPr>
          <w:p w:rsidR="00EE4290" w:rsidRPr="00003B04" w:rsidRDefault="00EE4290" w:rsidP="00EE4290">
            <w:pPr>
              <w:jc w:val="both"/>
              <w:rPr>
                <w:sz w:val="20"/>
              </w:rPr>
            </w:pPr>
            <w:r w:rsidRPr="00003B04">
              <w:rPr>
                <w:sz w:val="20"/>
              </w:rPr>
              <w:t>Application for leave to appeal filed</w:t>
            </w:r>
          </w:p>
          <w:p w:rsidR="00EE4290" w:rsidRPr="00003B04" w:rsidRDefault="00EE4290" w:rsidP="00EE4290">
            <w:pPr>
              <w:jc w:val="both"/>
              <w:rPr>
                <w:sz w:val="20"/>
              </w:rPr>
            </w:pPr>
          </w:p>
        </w:tc>
      </w:tr>
    </w:tbl>
    <w:p w:rsidR="00EE4290" w:rsidRPr="00003B04" w:rsidRDefault="00604445" w:rsidP="00EE4290">
      <w:pPr>
        <w:jc w:val="both"/>
        <w:rPr>
          <w:sz w:val="20"/>
        </w:rPr>
      </w:pPr>
      <w:r>
        <w:rPr>
          <w:sz w:val="20"/>
          <w:szCs w:val="20"/>
        </w:rPr>
        <w:pict>
          <v:rect id="_x0000_i1085" style="width:2in;height:1pt" o:hrpct="0" o:hralign="center" o:hrstd="t" o:hrnoshade="t" o:hr="t" fillcolor="black [3213]" stroked="f"/>
        </w:pict>
      </w:r>
    </w:p>
    <w:p w:rsidR="00EE4290" w:rsidRPr="00003B04" w:rsidRDefault="00EE4290" w:rsidP="00EE429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E4290" w:rsidRPr="00003B04" w:rsidTr="00EE4290">
        <w:tc>
          <w:tcPr>
            <w:tcW w:w="543" w:type="pct"/>
          </w:tcPr>
          <w:p w:rsidR="00EE4290" w:rsidRPr="00003B04" w:rsidRDefault="00EE4290" w:rsidP="00EE4290">
            <w:pPr>
              <w:jc w:val="both"/>
              <w:rPr>
                <w:sz w:val="20"/>
                <w:lang w:val="fr-CA"/>
              </w:rPr>
            </w:pPr>
            <w:r w:rsidRPr="00003B04">
              <w:rPr>
                <w:rStyle w:val="SCCFileNumberChar"/>
                <w:sz w:val="20"/>
                <w:szCs w:val="20"/>
                <w:lang w:val="fr-CA"/>
              </w:rPr>
              <w:t>37276</w:t>
            </w:r>
          </w:p>
        </w:tc>
        <w:tc>
          <w:tcPr>
            <w:tcW w:w="4457" w:type="pct"/>
            <w:gridSpan w:val="3"/>
          </w:tcPr>
          <w:p w:rsidR="00EE4290" w:rsidRPr="00003B04" w:rsidRDefault="00EE4290" w:rsidP="00767A6B">
            <w:pPr>
              <w:pStyle w:val="SCCLsocParty"/>
              <w:jc w:val="both"/>
              <w:rPr>
                <w:sz w:val="20"/>
              </w:rPr>
            </w:pPr>
            <w:r w:rsidRPr="00003B04">
              <w:rPr>
                <w:b/>
                <w:sz w:val="20"/>
                <w:szCs w:val="20"/>
                <w:lang w:val="en-US"/>
              </w:rPr>
              <w:t xml:space="preserve">Delta Air Lines Inc. c. </w:t>
            </w:r>
            <w:proofErr w:type="spellStart"/>
            <w:r w:rsidR="00FB1CBD" w:rsidRPr="00003B04">
              <w:rPr>
                <w:b/>
                <w:sz w:val="20"/>
                <w:szCs w:val="20"/>
                <w:lang w:val="en-US"/>
              </w:rPr>
              <w:t>Gábor</w:t>
            </w:r>
            <w:proofErr w:type="spellEnd"/>
            <w:r w:rsidR="00FB1CBD" w:rsidRPr="00003B04">
              <w:rPr>
                <w:b/>
                <w:sz w:val="20"/>
                <w:szCs w:val="20"/>
                <w:lang w:val="en-US"/>
              </w:rPr>
              <w:t xml:space="preserve"> </w:t>
            </w:r>
            <w:proofErr w:type="spellStart"/>
            <w:r w:rsidR="00FB1CBD" w:rsidRPr="00003B04">
              <w:rPr>
                <w:b/>
                <w:sz w:val="20"/>
                <w:szCs w:val="20"/>
                <w:lang w:val="en-US"/>
              </w:rPr>
              <w:t>Lukács</w:t>
            </w:r>
            <w:proofErr w:type="spellEnd"/>
            <w:r w:rsidR="00FB1CBD" w:rsidRPr="00003B04">
              <w:rPr>
                <w:b/>
                <w:sz w:val="20"/>
                <w:szCs w:val="20"/>
                <w:lang w:val="en-US"/>
              </w:rPr>
              <w:t xml:space="preserve"> </w:t>
            </w:r>
            <w:r w:rsidRPr="00003B04">
              <w:rPr>
                <w:sz w:val="20"/>
                <w:lang w:val="en-US"/>
              </w:rPr>
              <w:t>(C</w:t>
            </w:r>
            <w:r w:rsidR="004F14EC" w:rsidRPr="00003B04">
              <w:rPr>
                <w:sz w:val="20"/>
                <w:lang w:val="en-US"/>
              </w:rPr>
              <w:t>.</w:t>
            </w:r>
            <w:r w:rsidRPr="00003B04">
              <w:rPr>
                <w:sz w:val="20"/>
                <w:lang w:val="en-US"/>
              </w:rPr>
              <w:t>F</w:t>
            </w:r>
            <w:r w:rsidR="004F14EC" w:rsidRPr="00003B04">
              <w:rPr>
                <w:sz w:val="20"/>
                <w:lang w:val="en-US"/>
              </w:rPr>
              <w:t>.</w:t>
            </w:r>
            <w:r w:rsidRPr="00003B04">
              <w:rPr>
                <w:sz w:val="20"/>
                <w:lang w:val="en-US"/>
              </w:rPr>
              <w:t xml:space="preserve">) </w:t>
            </w:r>
            <w:r w:rsidRPr="00003B04">
              <w:rPr>
                <w:sz w:val="20"/>
              </w:rPr>
              <w:t>(Civile) (Sur autorisation)</w:t>
            </w:r>
          </w:p>
          <w:p w:rsidR="00767A6B" w:rsidRPr="00003B04" w:rsidRDefault="00767A6B" w:rsidP="00767A6B">
            <w:pPr>
              <w:rPr>
                <w:lang w:val="fr-CA"/>
              </w:rPr>
            </w:pPr>
          </w:p>
        </w:tc>
      </w:tr>
      <w:tr w:rsidR="004F14EC" w:rsidRPr="00C3697D" w:rsidTr="00EE4290">
        <w:tc>
          <w:tcPr>
            <w:tcW w:w="543" w:type="pct"/>
          </w:tcPr>
          <w:p w:rsidR="004F14EC" w:rsidRPr="00003B04" w:rsidRDefault="004F14EC" w:rsidP="00EE4290">
            <w:pPr>
              <w:jc w:val="both"/>
              <w:rPr>
                <w:rStyle w:val="SCCFileNumberChar"/>
                <w:sz w:val="20"/>
                <w:szCs w:val="20"/>
                <w:lang w:val="fr-CA"/>
              </w:rPr>
            </w:pPr>
            <w:r w:rsidRPr="00003B04">
              <w:rPr>
                <w:rStyle w:val="SCCFileNumberChar"/>
                <w:sz w:val="20"/>
                <w:szCs w:val="20"/>
                <w:lang w:val="fr-CA"/>
              </w:rPr>
              <w:t>Coram :</w:t>
            </w:r>
          </w:p>
        </w:tc>
        <w:tc>
          <w:tcPr>
            <w:tcW w:w="4457" w:type="pct"/>
            <w:gridSpan w:val="3"/>
          </w:tcPr>
          <w:p w:rsidR="004F14EC" w:rsidRPr="00003B04" w:rsidRDefault="005A5AB4" w:rsidP="00EE4290">
            <w:pPr>
              <w:pStyle w:val="SCCLsocParty"/>
              <w:jc w:val="both"/>
              <w:rPr>
                <w:rFonts w:eastAsiaTheme="minorEastAsia"/>
                <w:sz w:val="20"/>
                <w:szCs w:val="20"/>
                <w:lang w:eastAsia="en-CA"/>
              </w:rPr>
            </w:pPr>
            <w:r w:rsidRPr="00003B04">
              <w:rPr>
                <w:rFonts w:eastAsiaTheme="minorEastAsia"/>
                <w:sz w:val="20"/>
                <w:szCs w:val="20"/>
                <w:lang w:val="fr-FR" w:eastAsia="en-CA"/>
              </w:rPr>
              <w:t xml:space="preserve">La juge en chef </w:t>
            </w:r>
            <w:proofErr w:type="spellStart"/>
            <w:r w:rsidRPr="00003B04">
              <w:rPr>
                <w:rFonts w:eastAsiaTheme="minorEastAsia"/>
                <w:sz w:val="20"/>
                <w:szCs w:val="20"/>
                <w:lang w:val="fr-FR" w:eastAsia="en-CA"/>
              </w:rPr>
              <w:t>McLachlin</w:t>
            </w:r>
            <w:proofErr w:type="spellEnd"/>
            <w:r w:rsidRPr="00003B04">
              <w:rPr>
                <w:rFonts w:eastAsiaTheme="minorEastAsia"/>
                <w:sz w:val="20"/>
                <w:szCs w:val="20"/>
                <w:lang w:val="fr-FR" w:eastAsia="en-CA"/>
              </w:rPr>
              <w:t xml:space="preserve"> et les juges Abella, </w:t>
            </w:r>
            <w:proofErr w:type="spellStart"/>
            <w:r w:rsidRPr="00003B04">
              <w:rPr>
                <w:rFonts w:eastAsiaTheme="minorEastAsia"/>
                <w:sz w:val="20"/>
                <w:szCs w:val="20"/>
                <w:lang w:eastAsia="en-CA"/>
              </w:rPr>
              <w:t>Moldaver</w:t>
            </w:r>
            <w:proofErr w:type="spellEnd"/>
            <w:r w:rsidRPr="00003B04">
              <w:rPr>
                <w:rFonts w:eastAsiaTheme="minorEastAsia"/>
                <w:sz w:val="20"/>
                <w:szCs w:val="20"/>
                <w:lang w:eastAsia="en-CA"/>
              </w:rPr>
              <w:t xml:space="preserve">, </w:t>
            </w:r>
            <w:proofErr w:type="spellStart"/>
            <w:r w:rsidRPr="00003B04">
              <w:rPr>
                <w:rFonts w:eastAsiaTheme="minorEastAsia"/>
                <w:sz w:val="20"/>
                <w:szCs w:val="20"/>
                <w:lang w:eastAsia="en-CA"/>
              </w:rPr>
              <w:t>Karakatsanis</w:t>
            </w:r>
            <w:proofErr w:type="spellEnd"/>
            <w:r w:rsidRPr="00003B04">
              <w:rPr>
                <w:rFonts w:eastAsiaTheme="minorEastAsia"/>
                <w:sz w:val="20"/>
                <w:szCs w:val="20"/>
                <w:lang w:eastAsia="en-CA"/>
              </w:rPr>
              <w:t>, Wagner, Gascon, Côté, Brown et Rowe</w:t>
            </w:r>
          </w:p>
          <w:p w:rsidR="005A5AB4" w:rsidRPr="00003B04" w:rsidRDefault="005A5AB4" w:rsidP="005A5AB4">
            <w:pPr>
              <w:rPr>
                <w:lang w:val="fr-CA" w:eastAsia="en-CA"/>
              </w:rPr>
            </w:pPr>
          </w:p>
        </w:tc>
      </w:tr>
      <w:tr w:rsidR="004F14EC" w:rsidRPr="00C3697D" w:rsidTr="004F14EC">
        <w:tc>
          <w:tcPr>
            <w:tcW w:w="5000" w:type="pct"/>
            <w:gridSpan w:val="4"/>
          </w:tcPr>
          <w:p w:rsidR="004F14EC" w:rsidRPr="00003B04" w:rsidRDefault="005A5AB4" w:rsidP="00EE4290">
            <w:pPr>
              <w:pStyle w:val="SCCLsocParty"/>
              <w:jc w:val="both"/>
              <w:rPr>
                <w:sz w:val="20"/>
                <w:szCs w:val="20"/>
              </w:rPr>
            </w:pPr>
            <w:r w:rsidRPr="00003B04">
              <w:rPr>
                <w:sz w:val="20"/>
                <w:szCs w:val="20"/>
              </w:rPr>
              <w:t>La demande d’autorisation d’appel de l’arrêt de la Cour d’appel fédérale, numéro A-135-15, 2016 FCA 220, daté du 7 septembre 2016, est accueillie sans dépens.</w:t>
            </w:r>
          </w:p>
          <w:p w:rsidR="005A5AB4" w:rsidRPr="00003B04" w:rsidRDefault="005A5AB4" w:rsidP="005A5AB4">
            <w:pPr>
              <w:rPr>
                <w:lang w:val="fr-CA"/>
              </w:rPr>
            </w:pPr>
          </w:p>
        </w:tc>
      </w:tr>
      <w:tr w:rsidR="00EE4290" w:rsidRPr="00C3697D" w:rsidTr="00EE4290">
        <w:tc>
          <w:tcPr>
            <w:tcW w:w="5000" w:type="pct"/>
            <w:gridSpan w:val="4"/>
          </w:tcPr>
          <w:p w:rsidR="00EE4290" w:rsidRPr="00003B04" w:rsidRDefault="00EE4290" w:rsidP="00EE4290">
            <w:pPr>
              <w:jc w:val="both"/>
              <w:rPr>
                <w:sz w:val="20"/>
                <w:lang w:val="fr-CA"/>
              </w:rPr>
            </w:pPr>
            <w:r w:rsidRPr="00003B04">
              <w:rPr>
                <w:sz w:val="20"/>
                <w:lang w:val="fr-CA"/>
              </w:rPr>
              <w:t xml:space="preserve">Droit des transports – Transport aérien – Conditions déraisonnables ou injustement discriminatoires – Personnes de grande taille ou obèses – Plaintes à l’Office des transports du Canada – Qualité pour présenter une plainte – L’Office des transports du Canada </w:t>
            </w:r>
            <w:proofErr w:type="spellStart"/>
            <w:r w:rsidRPr="00003B04">
              <w:rPr>
                <w:sz w:val="20"/>
                <w:lang w:val="fr-CA"/>
              </w:rPr>
              <w:t>a-t-il</w:t>
            </w:r>
            <w:proofErr w:type="spellEnd"/>
            <w:r w:rsidRPr="00003B04">
              <w:rPr>
                <w:sz w:val="20"/>
                <w:lang w:val="fr-CA"/>
              </w:rPr>
              <w:t xml:space="preserve"> le pouvoir de refuser d’entendre des plaintes pour absence de qualité pour agir? – Les règles de droit relatives à la qualité pour agir, notamment la qualité pour agir dans l’intérêt public, s’appliquent-elles dans le contexte du droit administratif? – </w:t>
            </w:r>
            <w:r w:rsidRPr="00003B04">
              <w:rPr>
                <w:i/>
                <w:sz w:val="20"/>
                <w:lang w:val="fr-CA"/>
              </w:rPr>
              <w:t>Loi sur les transports au Canada</w:t>
            </w:r>
            <w:r w:rsidRPr="00003B04">
              <w:rPr>
                <w:sz w:val="20"/>
                <w:lang w:val="fr-CA"/>
              </w:rPr>
              <w:t xml:space="preserve">, L.C. 1996, ch. 10, par. 67.2(1) – </w:t>
            </w:r>
            <w:r w:rsidRPr="00003B04">
              <w:rPr>
                <w:i/>
                <w:sz w:val="20"/>
                <w:lang w:val="fr-CA"/>
              </w:rPr>
              <w:t>Règlement sur les transports aériens</w:t>
            </w:r>
            <w:r w:rsidRPr="00003B04">
              <w:rPr>
                <w:sz w:val="20"/>
                <w:lang w:val="fr-CA"/>
              </w:rPr>
              <w:t>, DORS/88-58, par. 111(2).</w:t>
            </w:r>
          </w:p>
        </w:tc>
      </w:tr>
      <w:tr w:rsidR="00EE4290" w:rsidRPr="00C3697D" w:rsidTr="00EE4290">
        <w:tc>
          <w:tcPr>
            <w:tcW w:w="5000" w:type="pct"/>
            <w:gridSpan w:val="4"/>
          </w:tcPr>
          <w:p w:rsidR="00EE4290" w:rsidRPr="00003B04" w:rsidRDefault="00EE4290" w:rsidP="00EE4290">
            <w:pPr>
              <w:jc w:val="both"/>
              <w:rPr>
                <w:sz w:val="20"/>
                <w:lang w:val="fr-CA"/>
              </w:rPr>
            </w:pPr>
          </w:p>
        </w:tc>
      </w:tr>
      <w:tr w:rsidR="00EE4290" w:rsidRPr="00C3697D" w:rsidTr="00EE4290">
        <w:tc>
          <w:tcPr>
            <w:tcW w:w="5000" w:type="pct"/>
            <w:gridSpan w:val="4"/>
          </w:tcPr>
          <w:p w:rsidR="00EE4290" w:rsidRPr="00003B04" w:rsidRDefault="00EE4290" w:rsidP="00EE4290">
            <w:pPr>
              <w:jc w:val="both"/>
              <w:rPr>
                <w:sz w:val="20"/>
                <w:lang w:val="fr-CA"/>
              </w:rPr>
            </w:pPr>
            <w:r w:rsidRPr="00003B04">
              <w:rPr>
                <w:sz w:val="20"/>
                <w:lang w:val="fr-CA"/>
              </w:rPr>
              <w:t>Monsieur Lukacs, intimé, a déposé une plainte auprès de l’Office des transports du Canada (« Office ») dans laquelle il fait valoir que certaines politiques de la demanderesse Delta Air Lines à l’égard du transport de personnes « de grande taille (obèses) » étaient discriminatoires, ce qui va à l’encontre du par. 111(2) du </w:t>
            </w:r>
            <w:r w:rsidRPr="00003B04">
              <w:rPr>
                <w:i/>
                <w:iCs/>
                <w:sz w:val="20"/>
                <w:lang w:val="fr-CA"/>
              </w:rPr>
              <w:t>Règlement sur les transports aériens</w:t>
            </w:r>
            <w:r w:rsidRPr="00003B04">
              <w:rPr>
                <w:sz w:val="20"/>
                <w:lang w:val="fr-CA"/>
              </w:rPr>
              <w:t>, DORS/88</w:t>
            </w:r>
            <w:r w:rsidRPr="00003B04">
              <w:rPr>
                <w:sz w:val="20"/>
                <w:lang w:val="fr-CA"/>
              </w:rPr>
              <w:noBreakHyphen/>
              <w:t xml:space="preserve">58. L’Office a rejeté la plainte, concluant que M. Lukacs n’avait pas qualité pour présenter une plainte. La Cour d’appel fédérale a infirmé cette décision, concluant que la décision de l’Office de refuser d’examiner la plainte de M. Lukacs pour le seul motif qu’il ne répondait pas aux critères relatifs à la qualité pour agir élaborés par les tribunaux de juridiction civile était déraisonnable. </w:t>
            </w:r>
          </w:p>
          <w:p w:rsidR="00EE4290" w:rsidRPr="00003B04" w:rsidRDefault="00EE4290" w:rsidP="00EE4290">
            <w:pPr>
              <w:jc w:val="both"/>
              <w:rPr>
                <w:sz w:val="20"/>
                <w:lang w:val="fr-CA"/>
              </w:rPr>
            </w:pPr>
          </w:p>
        </w:tc>
      </w:tr>
      <w:tr w:rsidR="00EE4290" w:rsidRPr="00003B04" w:rsidTr="00EE4290">
        <w:tc>
          <w:tcPr>
            <w:tcW w:w="2427" w:type="pct"/>
            <w:gridSpan w:val="2"/>
          </w:tcPr>
          <w:p w:rsidR="00EE4290" w:rsidRPr="00003B04" w:rsidRDefault="00EE4290" w:rsidP="00EE4290">
            <w:pPr>
              <w:jc w:val="both"/>
              <w:rPr>
                <w:sz w:val="20"/>
                <w:lang w:val="fr-CA"/>
              </w:rPr>
            </w:pPr>
            <w:r w:rsidRPr="00003B04">
              <w:rPr>
                <w:sz w:val="20"/>
                <w:lang w:val="fr-CA"/>
              </w:rPr>
              <w:t>25 novembre 2014</w:t>
            </w:r>
          </w:p>
          <w:p w:rsidR="00EE4290" w:rsidRPr="00003B04" w:rsidRDefault="00EE4290" w:rsidP="00EE4290">
            <w:pPr>
              <w:jc w:val="both"/>
              <w:rPr>
                <w:sz w:val="20"/>
                <w:lang w:val="fr-CA"/>
              </w:rPr>
            </w:pPr>
            <w:r w:rsidRPr="00003B04">
              <w:rPr>
                <w:sz w:val="20"/>
                <w:lang w:val="fr-CA"/>
              </w:rPr>
              <w:t>Office des transports du Canada</w:t>
            </w:r>
          </w:p>
          <w:p w:rsidR="00EE4290" w:rsidRPr="00003B04" w:rsidRDefault="00EE4290" w:rsidP="00EE4290">
            <w:pPr>
              <w:jc w:val="both"/>
              <w:rPr>
                <w:sz w:val="20"/>
                <w:lang w:val="fr-CA"/>
              </w:rPr>
            </w:pPr>
            <w:r w:rsidRPr="00003B04">
              <w:rPr>
                <w:sz w:val="20"/>
                <w:lang w:val="fr-CA"/>
              </w:rPr>
              <w:t xml:space="preserve">(Membres Hare et </w:t>
            </w:r>
            <w:proofErr w:type="spellStart"/>
            <w:r w:rsidRPr="00003B04">
              <w:rPr>
                <w:sz w:val="20"/>
                <w:lang w:val="fr-CA"/>
              </w:rPr>
              <w:t>Barone</w:t>
            </w:r>
            <w:proofErr w:type="spellEnd"/>
            <w:r w:rsidRPr="00003B04">
              <w:rPr>
                <w:sz w:val="20"/>
                <w:lang w:val="fr-CA"/>
              </w:rPr>
              <w:t>)</w:t>
            </w:r>
          </w:p>
          <w:p w:rsidR="00EE4290" w:rsidRPr="00003B04" w:rsidRDefault="00EE4290" w:rsidP="00EE4290">
            <w:pPr>
              <w:jc w:val="both"/>
              <w:rPr>
                <w:sz w:val="20"/>
                <w:lang w:val="fr-CA"/>
              </w:rPr>
            </w:pPr>
            <w:r w:rsidRPr="00003B04">
              <w:rPr>
                <w:sz w:val="20"/>
                <w:lang w:val="fr-CA"/>
              </w:rPr>
              <w:t>425-C-A-2014</w:t>
            </w:r>
          </w:p>
          <w:p w:rsidR="00EE4290" w:rsidRPr="00003B04" w:rsidRDefault="00EE4290" w:rsidP="00EE4290">
            <w:pPr>
              <w:jc w:val="both"/>
              <w:rPr>
                <w:sz w:val="20"/>
                <w:lang w:val="fr-CA"/>
              </w:rPr>
            </w:pPr>
          </w:p>
        </w:tc>
        <w:tc>
          <w:tcPr>
            <w:tcW w:w="243" w:type="pct"/>
          </w:tcPr>
          <w:p w:rsidR="00EE4290" w:rsidRPr="00003B04" w:rsidRDefault="00EE4290" w:rsidP="00EE4290">
            <w:pPr>
              <w:jc w:val="both"/>
              <w:rPr>
                <w:sz w:val="20"/>
                <w:lang w:val="fr-CA"/>
              </w:rPr>
            </w:pPr>
          </w:p>
        </w:tc>
        <w:tc>
          <w:tcPr>
            <w:tcW w:w="2330" w:type="pct"/>
          </w:tcPr>
          <w:p w:rsidR="00EE4290" w:rsidRPr="00003B04" w:rsidRDefault="00EE4290" w:rsidP="00EE4290">
            <w:pPr>
              <w:jc w:val="both"/>
              <w:rPr>
                <w:sz w:val="20"/>
                <w:lang w:val="fr-CA"/>
              </w:rPr>
            </w:pPr>
            <w:r w:rsidRPr="00003B04">
              <w:rPr>
                <w:sz w:val="20"/>
                <w:lang w:val="fr-CA"/>
              </w:rPr>
              <w:t>Rejet de la plainte</w:t>
            </w:r>
          </w:p>
          <w:p w:rsidR="00EE4290" w:rsidRPr="00003B04" w:rsidRDefault="00EE4290" w:rsidP="00EE4290">
            <w:pPr>
              <w:jc w:val="both"/>
              <w:rPr>
                <w:sz w:val="20"/>
                <w:lang w:val="fr-CA"/>
              </w:rPr>
            </w:pPr>
          </w:p>
        </w:tc>
      </w:tr>
      <w:tr w:rsidR="00EE4290" w:rsidRPr="00003B04" w:rsidTr="00EE4290">
        <w:tc>
          <w:tcPr>
            <w:tcW w:w="2427" w:type="pct"/>
            <w:gridSpan w:val="2"/>
          </w:tcPr>
          <w:p w:rsidR="00EE4290" w:rsidRPr="00003B04" w:rsidRDefault="00EE4290" w:rsidP="00EE4290">
            <w:pPr>
              <w:jc w:val="both"/>
              <w:rPr>
                <w:sz w:val="20"/>
                <w:lang w:val="fr-CA"/>
              </w:rPr>
            </w:pPr>
            <w:r w:rsidRPr="00003B04">
              <w:rPr>
                <w:sz w:val="20"/>
                <w:lang w:val="fr-CA"/>
              </w:rPr>
              <w:t>7 septembre 2016</w:t>
            </w:r>
          </w:p>
          <w:p w:rsidR="00EE4290" w:rsidRPr="00003B04" w:rsidRDefault="00EE4290" w:rsidP="00EE4290">
            <w:pPr>
              <w:jc w:val="both"/>
              <w:rPr>
                <w:sz w:val="20"/>
                <w:lang w:val="fr-CA"/>
              </w:rPr>
            </w:pPr>
            <w:r w:rsidRPr="00003B04">
              <w:rPr>
                <w:sz w:val="20"/>
                <w:lang w:val="fr-CA"/>
              </w:rPr>
              <w:t>Cour d’appel fédérale</w:t>
            </w:r>
          </w:p>
          <w:p w:rsidR="00EE4290" w:rsidRPr="00003B04" w:rsidRDefault="00EE4290" w:rsidP="00EE4290">
            <w:pPr>
              <w:jc w:val="both"/>
              <w:rPr>
                <w:sz w:val="20"/>
                <w:lang w:val="fr-CA"/>
              </w:rPr>
            </w:pPr>
            <w:r w:rsidRPr="00003B04">
              <w:rPr>
                <w:sz w:val="20"/>
                <w:lang w:val="fr-CA"/>
              </w:rPr>
              <w:t>(Juges de Montigny, Webb et Scott)</w:t>
            </w:r>
          </w:p>
          <w:p w:rsidR="00EE4290" w:rsidRPr="00003B04" w:rsidRDefault="00604445" w:rsidP="00EE4290">
            <w:pPr>
              <w:jc w:val="both"/>
              <w:rPr>
                <w:sz w:val="20"/>
                <w:lang w:val="fr-CA"/>
              </w:rPr>
            </w:pPr>
            <w:hyperlink r:id="rId96" w:history="1">
              <w:r w:rsidR="00EE4290" w:rsidRPr="00003B04">
                <w:rPr>
                  <w:rStyle w:val="Hyperlink"/>
                  <w:sz w:val="20"/>
                  <w:lang w:val="fr-CA"/>
                </w:rPr>
                <w:t>2016 FCA 220</w:t>
              </w:r>
            </w:hyperlink>
          </w:p>
          <w:p w:rsidR="00EE4290" w:rsidRPr="00003B04" w:rsidRDefault="00EE4290" w:rsidP="00EE4290">
            <w:pPr>
              <w:jc w:val="both"/>
              <w:rPr>
                <w:sz w:val="20"/>
                <w:lang w:val="fr-CA"/>
              </w:rPr>
            </w:pPr>
          </w:p>
        </w:tc>
        <w:tc>
          <w:tcPr>
            <w:tcW w:w="243" w:type="pct"/>
          </w:tcPr>
          <w:p w:rsidR="00EE4290" w:rsidRPr="00003B04" w:rsidRDefault="00EE4290" w:rsidP="00EE4290">
            <w:pPr>
              <w:jc w:val="both"/>
              <w:rPr>
                <w:sz w:val="20"/>
                <w:lang w:val="fr-CA"/>
              </w:rPr>
            </w:pPr>
          </w:p>
        </w:tc>
        <w:tc>
          <w:tcPr>
            <w:tcW w:w="2330" w:type="pct"/>
          </w:tcPr>
          <w:p w:rsidR="00EE4290" w:rsidRPr="00003B04" w:rsidRDefault="00EE4290" w:rsidP="00EE4290">
            <w:pPr>
              <w:jc w:val="both"/>
              <w:rPr>
                <w:sz w:val="20"/>
                <w:lang w:val="fr-CA"/>
              </w:rPr>
            </w:pPr>
            <w:r w:rsidRPr="00003B04">
              <w:rPr>
                <w:sz w:val="20"/>
                <w:lang w:val="fr-CA"/>
              </w:rPr>
              <w:t>Arrêt accueillant l’appel</w:t>
            </w:r>
          </w:p>
          <w:p w:rsidR="00EE4290" w:rsidRPr="00003B04" w:rsidRDefault="00EE4290" w:rsidP="00EE4290">
            <w:pPr>
              <w:jc w:val="both"/>
              <w:rPr>
                <w:sz w:val="20"/>
                <w:lang w:val="fr-CA"/>
              </w:rPr>
            </w:pPr>
          </w:p>
        </w:tc>
      </w:tr>
      <w:tr w:rsidR="00EE4290" w:rsidRPr="00C3697D" w:rsidTr="00EE4290">
        <w:tc>
          <w:tcPr>
            <w:tcW w:w="2427" w:type="pct"/>
            <w:gridSpan w:val="2"/>
          </w:tcPr>
          <w:p w:rsidR="00EE4290" w:rsidRPr="00003B04" w:rsidRDefault="00EE4290" w:rsidP="00EE4290">
            <w:pPr>
              <w:jc w:val="both"/>
              <w:rPr>
                <w:sz w:val="20"/>
                <w:lang w:val="fr-CA"/>
              </w:rPr>
            </w:pPr>
            <w:r w:rsidRPr="00003B04">
              <w:rPr>
                <w:sz w:val="20"/>
                <w:lang w:val="fr-CA"/>
              </w:rPr>
              <w:t>7 novembre 2016</w:t>
            </w:r>
          </w:p>
          <w:p w:rsidR="00EE4290" w:rsidRPr="00003B04" w:rsidRDefault="00EE4290" w:rsidP="00EE4290">
            <w:pPr>
              <w:jc w:val="both"/>
              <w:rPr>
                <w:sz w:val="20"/>
                <w:lang w:val="fr-CA"/>
              </w:rPr>
            </w:pPr>
            <w:r w:rsidRPr="00003B04">
              <w:rPr>
                <w:sz w:val="20"/>
                <w:lang w:val="fr-CA"/>
              </w:rPr>
              <w:t>Cour suprême du Canada</w:t>
            </w:r>
          </w:p>
        </w:tc>
        <w:tc>
          <w:tcPr>
            <w:tcW w:w="243" w:type="pct"/>
          </w:tcPr>
          <w:p w:rsidR="00EE4290" w:rsidRPr="00003B04" w:rsidRDefault="00EE4290" w:rsidP="00EE4290">
            <w:pPr>
              <w:jc w:val="both"/>
              <w:rPr>
                <w:sz w:val="20"/>
                <w:lang w:val="fr-CA"/>
              </w:rPr>
            </w:pPr>
          </w:p>
        </w:tc>
        <w:tc>
          <w:tcPr>
            <w:tcW w:w="2330" w:type="pct"/>
          </w:tcPr>
          <w:p w:rsidR="00EE4290" w:rsidRPr="00003B04" w:rsidRDefault="00EE4290" w:rsidP="00EE4290">
            <w:pPr>
              <w:jc w:val="both"/>
              <w:rPr>
                <w:sz w:val="20"/>
                <w:lang w:val="fr-CA"/>
              </w:rPr>
            </w:pPr>
            <w:r w:rsidRPr="00003B04">
              <w:rPr>
                <w:sz w:val="20"/>
                <w:lang w:val="fr-CA"/>
              </w:rPr>
              <w:t>Dépôt de la demande d’autorisation d’appel</w:t>
            </w:r>
          </w:p>
          <w:p w:rsidR="00EE4290" w:rsidRPr="00003B04" w:rsidRDefault="00EE4290" w:rsidP="00EE4290">
            <w:pPr>
              <w:jc w:val="both"/>
              <w:rPr>
                <w:sz w:val="20"/>
                <w:lang w:val="fr-CA"/>
              </w:rPr>
            </w:pPr>
          </w:p>
        </w:tc>
      </w:tr>
    </w:tbl>
    <w:p w:rsidR="00EE4290" w:rsidRPr="00003B04" w:rsidRDefault="00604445" w:rsidP="00EE4290">
      <w:pPr>
        <w:jc w:val="both"/>
        <w:rPr>
          <w:sz w:val="20"/>
          <w:lang w:val="fr-CA"/>
        </w:rPr>
      </w:pPr>
      <w:r>
        <w:rPr>
          <w:sz w:val="20"/>
          <w:szCs w:val="20"/>
        </w:rPr>
        <w:pict>
          <v:rect id="_x0000_i1086" style="width:2in;height:1pt" o:hrpct="0" o:hralign="center" o:hrstd="t" o:hrnoshade="t" o:hr="t" fillcolor="black [3213]" stroked="f"/>
        </w:pict>
      </w:r>
    </w:p>
    <w:p w:rsidR="00EE4290" w:rsidRPr="00003B04" w:rsidRDefault="00EE4290" w:rsidP="00EE4290">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EE4290" w:rsidRPr="00003B04" w:rsidTr="00EE4290">
        <w:trPr>
          <w:gridAfter w:val="1"/>
          <w:wAfter w:w="48" w:type="pct"/>
        </w:trPr>
        <w:tc>
          <w:tcPr>
            <w:tcW w:w="538" w:type="pct"/>
          </w:tcPr>
          <w:p w:rsidR="00EE4290" w:rsidRPr="00003B04" w:rsidRDefault="00EE4290" w:rsidP="00EE4290">
            <w:pPr>
              <w:jc w:val="both"/>
              <w:rPr>
                <w:sz w:val="20"/>
              </w:rPr>
            </w:pPr>
            <w:r w:rsidRPr="00003B04">
              <w:rPr>
                <w:rStyle w:val="SCCFileNumberChar"/>
                <w:sz w:val="20"/>
                <w:szCs w:val="20"/>
              </w:rPr>
              <w:t>37302</w:t>
            </w:r>
          </w:p>
        </w:tc>
        <w:tc>
          <w:tcPr>
            <w:tcW w:w="4414" w:type="pct"/>
            <w:gridSpan w:val="3"/>
          </w:tcPr>
          <w:p w:rsidR="00EE4290" w:rsidRPr="00003B04" w:rsidRDefault="00EE4290" w:rsidP="00EE4290">
            <w:pPr>
              <w:pStyle w:val="SCCLsocParty"/>
              <w:jc w:val="both"/>
              <w:rPr>
                <w:b/>
                <w:sz w:val="20"/>
                <w:szCs w:val="20"/>
                <w:lang w:val="en-CA"/>
              </w:rPr>
            </w:pPr>
            <w:r w:rsidRPr="00003B04">
              <w:rPr>
                <w:b/>
                <w:sz w:val="20"/>
                <w:szCs w:val="20"/>
                <w:lang w:val="en-US"/>
              </w:rPr>
              <w:t>Granby Mul</w:t>
            </w:r>
            <w:r w:rsidR="00B52CAC" w:rsidRPr="00003B04">
              <w:rPr>
                <w:b/>
                <w:sz w:val="20"/>
                <w:szCs w:val="20"/>
                <w:lang w:val="en-US"/>
              </w:rPr>
              <w:t>ti-Sports v. Sébastien Lefebvre and</w:t>
            </w:r>
            <w:r w:rsidRPr="00003B04">
              <w:rPr>
                <w:b/>
                <w:sz w:val="20"/>
                <w:szCs w:val="20"/>
                <w:lang w:val="en-US"/>
              </w:rPr>
              <w:t xml:space="preserve"> Julie </w:t>
            </w:r>
            <w:proofErr w:type="spellStart"/>
            <w:r w:rsidRPr="00003B04">
              <w:rPr>
                <w:b/>
                <w:sz w:val="20"/>
                <w:szCs w:val="20"/>
                <w:lang w:val="en-US"/>
              </w:rPr>
              <w:t>Bourgea</w:t>
            </w:r>
            <w:proofErr w:type="spellEnd"/>
            <w:r w:rsidR="00767A6B" w:rsidRPr="00003B04">
              <w:rPr>
                <w:b/>
                <w:sz w:val="20"/>
                <w:szCs w:val="20"/>
                <w:lang w:val="en-US"/>
              </w:rPr>
              <w:t xml:space="preserve"> </w:t>
            </w:r>
            <w:r w:rsidRPr="00003B04">
              <w:rPr>
                <w:b/>
                <w:sz w:val="20"/>
                <w:szCs w:val="20"/>
                <w:lang w:val="en-CA"/>
              </w:rPr>
              <w:t>- and -</w:t>
            </w:r>
            <w:r w:rsidR="00767A6B" w:rsidRPr="00003B04">
              <w:rPr>
                <w:sz w:val="20"/>
                <w:szCs w:val="20"/>
                <w:lang w:val="en-CA"/>
              </w:rPr>
              <w:t xml:space="preserve"> </w:t>
            </w:r>
            <w:r w:rsidRPr="00003B04">
              <w:rPr>
                <w:b/>
                <w:sz w:val="20"/>
                <w:szCs w:val="20"/>
                <w:lang w:val="en-CA"/>
              </w:rPr>
              <w:t>City of Granby</w:t>
            </w:r>
          </w:p>
          <w:p w:rsidR="00EE4290" w:rsidRPr="00003B04" w:rsidRDefault="00EE4290" w:rsidP="00EE4290">
            <w:pPr>
              <w:jc w:val="both"/>
              <w:rPr>
                <w:sz w:val="20"/>
              </w:rPr>
            </w:pPr>
            <w:r w:rsidRPr="00003B04">
              <w:rPr>
                <w:sz w:val="20"/>
              </w:rPr>
              <w:t>(Que.) (Civil) (By Leave)</w:t>
            </w:r>
          </w:p>
        </w:tc>
      </w:tr>
      <w:tr w:rsidR="004F14EC" w:rsidRPr="00003B04" w:rsidTr="00EE4290">
        <w:trPr>
          <w:gridAfter w:val="1"/>
          <w:wAfter w:w="48" w:type="pct"/>
        </w:trPr>
        <w:tc>
          <w:tcPr>
            <w:tcW w:w="538" w:type="pct"/>
          </w:tcPr>
          <w:p w:rsidR="004F14EC" w:rsidRPr="00003B04" w:rsidRDefault="004F14EC" w:rsidP="00EE4290">
            <w:pPr>
              <w:jc w:val="both"/>
              <w:rPr>
                <w:rStyle w:val="SCCFileNumberChar"/>
                <w:sz w:val="20"/>
                <w:szCs w:val="20"/>
              </w:rPr>
            </w:pPr>
            <w:r w:rsidRPr="00003B04">
              <w:rPr>
                <w:rStyle w:val="SCCFileNumberChar"/>
                <w:sz w:val="20"/>
                <w:szCs w:val="20"/>
              </w:rPr>
              <w:t>Coram:</w:t>
            </w:r>
          </w:p>
        </w:tc>
        <w:tc>
          <w:tcPr>
            <w:tcW w:w="4414" w:type="pct"/>
            <w:gridSpan w:val="3"/>
          </w:tcPr>
          <w:p w:rsidR="004F14EC" w:rsidRPr="00003B04" w:rsidRDefault="005A5AB4" w:rsidP="00EE4290">
            <w:pPr>
              <w:pStyle w:val="SCCLsocParty"/>
              <w:jc w:val="both"/>
              <w:rPr>
                <w:rFonts w:eastAsiaTheme="minorEastAsia"/>
                <w:sz w:val="20"/>
                <w:szCs w:val="20"/>
                <w:lang w:val="en-CA" w:eastAsia="en-CA"/>
              </w:rPr>
            </w:pPr>
            <w:proofErr w:type="spellStart"/>
            <w:r w:rsidRPr="00003B04">
              <w:rPr>
                <w:rFonts w:eastAsiaTheme="minorEastAsia"/>
                <w:sz w:val="20"/>
                <w:szCs w:val="20"/>
                <w:lang w:val="en-CA" w:eastAsia="en-CA"/>
              </w:rPr>
              <w:t>McLachlin</w:t>
            </w:r>
            <w:proofErr w:type="spellEnd"/>
            <w:r w:rsidRPr="00003B04">
              <w:rPr>
                <w:rFonts w:eastAsiaTheme="minorEastAsia"/>
                <w:sz w:val="20"/>
                <w:szCs w:val="20"/>
                <w:lang w:val="en-CA" w:eastAsia="en-CA"/>
              </w:rPr>
              <w:t xml:space="preserve"> C.J. and </w:t>
            </w:r>
            <w:proofErr w:type="spellStart"/>
            <w:r w:rsidRPr="00003B04">
              <w:rPr>
                <w:rFonts w:eastAsiaTheme="minorEastAsia"/>
                <w:sz w:val="20"/>
                <w:szCs w:val="20"/>
                <w:lang w:val="en-CA" w:eastAsia="en-CA"/>
              </w:rPr>
              <w:t>Abella</w:t>
            </w:r>
            <w:proofErr w:type="spellEnd"/>
            <w:r w:rsidRPr="00003B04">
              <w:rPr>
                <w:rFonts w:eastAsiaTheme="minorEastAsia"/>
                <w:sz w:val="20"/>
                <w:szCs w:val="20"/>
                <w:lang w:val="en-CA" w:eastAsia="en-CA"/>
              </w:rPr>
              <w:t xml:space="preserve">, </w:t>
            </w:r>
            <w:proofErr w:type="spellStart"/>
            <w:r w:rsidRPr="00003B04">
              <w:rPr>
                <w:rFonts w:eastAsiaTheme="minorEastAsia"/>
                <w:sz w:val="20"/>
                <w:szCs w:val="20"/>
                <w:lang w:val="en-CA" w:eastAsia="en-CA"/>
              </w:rPr>
              <w:t>Moldaver</w:t>
            </w:r>
            <w:proofErr w:type="spellEnd"/>
            <w:r w:rsidRPr="00003B04">
              <w:rPr>
                <w:rFonts w:eastAsiaTheme="minorEastAsia"/>
                <w:sz w:val="20"/>
                <w:szCs w:val="20"/>
                <w:lang w:val="en-CA" w:eastAsia="en-CA"/>
              </w:rPr>
              <w:t xml:space="preserve">, </w:t>
            </w:r>
            <w:proofErr w:type="spellStart"/>
            <w:r w:rsidRPr="00003B04">
              <w:rPr>
                <w:rFonts w:eastAsiaTheme="minorEastAsia"/>
                <w:sz w:val="20"/>
                <w:szCs w:val="20"/>
                <w:lang w:val="en-CA" w:eastAsia="en-CA"/>
              </w:rPr>
              <w:t>Karakatsanis</w:t>
            </w:r>
            <w:proofErr w:type="spellEnd"/>
            <w:r w:rsidRPr="00003B04">
              <w:rPr>
                <w:rFonts w:eastAsiaTheme="minorEastAsia"/>
                <w:sz w:val="20"/>
                <w:szCs w:val="20"/>
                <w:lang w:val="en-CA" w:eastAsia="en-CA"/>
              </w:rPr>
              <w:t xml:space="preserve">, Wagner, </w:t>
            </w:r>
            <w:proofErr w:type="spellStart"/>
            <w:r w:rsidRPr="00003B04">
              <w:rPr>
                <w:rFonts w:eastAsiaTheme="minorEastAsia"/>
                <w:sz w:val="20"/>
                <w:szCs w:val="20"/>
                <w:lang w:val="en-CA" w:eastAsia="en-CA"/>
              </w:rPr>
              <w:t>Gascon</w:t>
            </w:r>
            <w:proofErr w:type="spellEnd"/>
            <w:r w:rsidRPr="00003B04">
              <w:rPr>
                <w:rFonts w:eastAsiaTheme="minorEastAsia"/>
                <w:sz w:val="20"/>
                <w:szCs w:val="20"/>
                <w:lang w:val="en-CA" w:eastAsia="en-CA"/>
              </w:rPr>
              <w:t xml:space="preserve">, </w:t>
            </w:r>
            <w:proofErr w:type="spellStart"/>
            <w:r w:rsidRPr="00003B04">
              <w:rPr>
                <w:rFonts w:eastAsiaTheme="minorEastAsia"/>
                <w:sz w:val="20"/>
                <w:szCs w:val="20"/>
                <w:lang w:val="en-CA" w:eastAsia="en-CA"/>
              </w:rPr>
              <w:t>Côté</w:t>
            </w:r>
            <w:proofErr w:type="spellEnd"/>
            <w:r w:rsidRPr="00003B04">
              <w:rPr>
                <w:rFonts w:eastAsiaTheme="minorEastAsia"/>
                <w:sz w:val="20"/>
                <w:szCs w:val="20"/>
                <w:lang w:val="en-CA" w:eastAsia="en-CA"/>
              </w:rPr>
              <w:t>, Brown and Rowe JJ.</w:t>
            </w:r>
          </w:p>
          <w:p w:rsidR="005A5AB4" w:rsidRPr="00003B04" w:rsidRDefault="005A5AB4" w:rsidP="005A5AB4">
            <w:pPr>
              <w:rPr>
                <w:lang w:val="en-US" w:eastAsia="en-CA"/>
              </w:rPr>
            </w:pPr>
          </w:p>
        </w:tc>
      </w:tr>
      <w:tr w:rsidR="004F14EC" w:rsidRPr="00003B04" w:rsidTr="004F14EC">
        <w:trPr>
          <w:gridAfter w:val="1"/>
          <w:wAfter w:w="48" w:type="pct"/>
        </w:trPr>
        <w:tc>
          <w:tcPr>
            <w:tcW w:w="4952" w:type="pct"/>
            <w:gridSpan w:val="4"/>
          </w:tcPr>
          <w:p w:rsidR="004F14EC" w:rsidRPr="00003B04" w:rsidRDefault="005A5AB4" w:rsidP="00EE4290">
            <w:pPr>
              <w:pStyle w:val="SCCLsocParty"/>
              <w:jc w:val="both"/>
              <w:rPr>
                <w:sz w:val="20"/>
                <w:szCs w:val="20"/>
                <w:lang w:val="en-CA"/>
              </w:rPr>
            </w:pPr>
            <w:r w:rsidRPr="00003B04">
              <w:rPr>
                <w:sz w:val="20"/>
                <w:szCs w:val="20"/>
                <w:lang w:val="en-CA"/>
              </w:rPr>
              <w:t>The application for leave to appeal from the judgment of the Court of Appeal of Quebec (Montréal), Number 500-09-025143-157, 2016 QCCA 1547, dated September 23, 2016, is dismissed with costs.</w:t>
            </w:r>
          </w:p>
          <w:p w:rsidR="005A5AB4" w:rsidRPr="00003B04" w:rsidRDefault="005A5AB4" w:rsidP="005A5AB4">
            <w:pPr>
              <w:rPr>
                <w:lang w:val="en-US"/>
              </w:rPr>
            </w:pPr>
          </w:p>
        </w:tc>
      </w:tr>
      <w:tr w:rsidR="00EE4290" w:rsidRPr="00003B04" w:rsidTr="00EE4290">
        <w:trPr>
          <w:gridAfter w:val="1"/>
          <w:wAfter w:w="48" w:type="pct"/>
        </w:trPr>
        <w:tc>
          <w:tcPr>
            <w:tcW w:w="4952" w:type="pct"/>
            <w:gridSpan w:val="4"/>
          </w:tcPr>
          <w:p w:rsidR="00EE4290" w:rsidRPr="00003B04" w:rsidRDefault="00EE4290" w:rsidP="00EE4290">
            <w:pPr>
              <w:jc w:val="both"/>
              <w:rPr>
                <w:sz w:val="20"/>
              </w:rPr>
            </w:pPr>
            <w:r w:rsidRPr="00003B04">
              <w:rPr>
                <w:sz w:val="20"/>
              </w:rPr>
              <w:t xml:space="preserve">Property — </w:t>
            </w:r>
            <w:proofErr w:type="spellStart"/>
            <w:r w:rsidRPr="00003B04">
              <w:rPr>
                <w:sz w:val="20"/>
              </w:rPr>
              <w:t>Immovables</w:t>
            </w:r>
            <w:proofErr w:type="spellEnd"/>
            <w:r w:rsidRPr="00003B04">
              <w:rPr>
                <w:sz w:val="20"/>
              </w:rPr>
              <w:t xml:space="preserve"> — Neighbourhood relations — Nuisance — Application for permanent injunction against neighbour’s noisy activity — Definition and interpretation of normal neighbourhood annoyance within meaning of art. 976 of </w:t>
            </w:r>
            <w:r w:rsidRPr="00003B04">
              <w:rPr>
                <w:i/>
                <w:sz w:val="20"/>
              </w:rPr>
              <w:t>Civil Code of Québec</w:t>
            </w:r>
            <w:r w:rsidRPr="00003B04">
              <w:rPr>
                <w:sz w:val="20"/>
              </w:rPr>
              <w:t xml:space="preserve"> — Criteria relevant to analyzing normality of neighbourhood annoyance under art. 976 of </w:t>
            </w:r>
            <w:r w:rsidRPr="00003B04">
              <w:rPr>
                <w:i/>
                <w:sz w:val="20"/>
              </w:rPr>
              <w:t>Civil Code of Québec</w:t>
            </w:r>
            <w:r w:rsidRPr="00003B04">
              <w:rPr>
                <w:sz w:val="20"/>
              </w:rPr>
              <w:t xml:space="preserve"> — Whether Court of Appeal erred in applying principles enunciated in </w:t>
            </w:r>
            <w:r w:rsidRPr="00003B04">
              <w:rPr>
                <w:i/>
                <w:sz w:val="20"/>
              </w:rPr>
              <w:t>St. Lawrence Cement Inc. v. Barrette</w:t>
            </w:r>
            <w:r w:rsidRPr="00003B04">
              <w:rPr>
                <w:sz w:val="20"/>
              </w:rPr>
              <w:t xml:space="preserve">, [2008] 3 S.C.R. 392, and </w:t>
            </w:r>
            <w:r w:rsidRPr="00003B04">
              <w:rPr>
                <w:i/>
                <w:sz w:val="20"/>
              </w:rPr>
              <w:t>Antrim Truck Centre Ltd v. Ontario (Transportation)</w:t>
            </w:r>
            <w:r w:rsidRPr="00003B04">
              <w:rPr>
                <w:sz w:val="20"/>
              </w:rPr>
              <w:t>,</w:t>
            </w:r>
            <w:r w:rsidRPr="00003B04">
              <w:rPr>
                <w:i/>
                <w:sz w:val="20"/>
              </w:rPr>
              <w:t xml:space="preserve"> </w:t>
            </w:r>
            <w:r w:rsidRPr="00003B04">
              <w:rPr>
                <w:sz w:val="20"/>
              </w:rPr>
              <w:t>[2013] 1 S.C.R. 594.</w:t>
            </w:r>
          </w:p>
        </w:tc>
      </w:tr>
      <w:tr w:rsidR="00EE4290" w:rsidRPr="00003B04" w:rsidTr="00EE4290">
        <w:trPr>
          <w:gridAfter w:val="1"/>
          <w:wAfter w:w="48" w:type="pct"/>
        </w:trPr>
        <w:tc>
          <w:tcPr>
            <w:tcW w:w="4952" w:type="pct"/>
            <w:gridSpan w:val="4"/>
          </w:tcPr>
          <w:p w:rsidR="00EE4290" w:rsidRPr="00003B04" w:rsidRDefault="00EE4290" w:rsidP="00EE4290">
            <w:pPr>
              <w:jc w:val="both"/>
              <w:rPr>
                <w:sz w:val="20"/>
              </w:rPr>
            </w:pPr>
          </w:p>
        </w:tc>
      </w:tr>
      <w:tr w:rsidR="00EE4290" w:rsidRPr="00003B04" w:rsidTr="00EE4290">
        <w:trPr>
          <w:gridAfter w:val="1"/>
          <w:wAfter w:w="48" w:type="pct"/>
        </w:trPr>
        <w:tc>
          <w:tcPr>
            <w:tcW w:w="4952" w:type="pct"/>
            <w:gridSpan w:val="4"/>
          </w:tcPr>
          <w:p w:rsidR="00EE4290" w:rsidRPr="00003B04" w:rsidRDefault="00EE4290" w:rsidP="00EE4290">
            <w:pPr>
              <w:jc w:val="both"/>
              <w:rPr>
                <w:sz w:val="20"/>
              </w:rPr>
            </w:pPr>
            <w:r w:rsidRPr="00003B04">
              <w:rPr>
                <w:sz w:val="20"/>
              </w:rPr>
              <w:t>The respondents were neighbours of the applicant Granby Multi</w:t>
            </w:r>
            <w:r w:rsidRPr="00003B04">
              <w:rPr>
                <w:sz w:val="20"/>
              </w:rPr>
              <w:noBreakHyphen/>
              <w:t>Sports, a non</w:t>
            </w:r>
            <w:r w:rsidRPr="00003B04">
              <w:rPr>
                <w:sz w:val="20"/>
              </w:rPr>
              <w:noBreakHyphen/>
              <w:t>profit organization that offered, among other things, shooting range activities 150 metres from the respondents’ residence. The respondents considered the municipal by</w:t>
            </w:r>
            <w:r w:rsidRPr="00003B04">
              <w:rPr>
                <w:sz w:val="20"/>
              </w:rPr>
              <w:noBreakHyphen/>
              <w:t xml:space="preserve">law of the City of Granby reducing the operating hours of the applicant’s shooting range to be inadequate, so they instituted proceedings for a permanent injunction against the applicant seeking, </w:t>
            </w:r>
            <w:r w:rsidRPr="00003B04">
              <w:rPr>
                <w:i/>
                <w:sz w:val="20"/>
              </w:rPr>
              <w:t>inter alia</w:t>
            </w:r>
            <w:r w:rsidRPr="00003B04">
              <w:rPr>
                <w:sz w:val="20"/>
              </w:rPr>
              <w:t>, a 60</w:t>
            </w:r>
            <w:r w:rsidRPr="00003B04">
              <w:rPr>
                <w:sz w:val="20"/>
              </w:rPr>
              <w:noBreakHyphen/>
              <w:t>decibel noise limit, a limit on the number of people allowed in the shooting range at the same time, a limit on shooting days and hours that required the range to be closed all weekends, statutory holidays and construction holiday weeks, and a limit on the types of weapons used and types of shooting done. They also claimed $20,000 in damages.</w:t>
            </w:r>
          </w:p>
          <w:p w:rsidR="00EE4290" w:rsidRPr="00003B04" w:rsidRDefault="00EE4290" w:rsidP="00EE4290">
            <w:pPr>
              <w:jc w:val="both"/>
              <w:rPr>
                <w:sz w:val="20"/>
              </w:rPr>
            </w:pPr>
          </w:p>
        </w:tc>
      </w:tr>
      <w:tr w:rsidR="00EE4290" w:rsidRPr="00003B04" w:rsidTr="00EE4290">
        <w:tblPrEx>
          <w:tblCellMar>
            <w:bottom w:w="0" w:type="dxa"/>
          </w:tblCellMar>
        </w:tblPrEx>
        <w:tc>
          <w:tcPr>
            <w:tcW w:w="2367" w:type="pct"/>
            <w:gridSpan w:val="2"/>
          </w:tcPr>
          <w:p w:rsidR="00EE4290" w:rsidRPr="00003B04" w:rsidRDefault="00EE4290" w:rsidP="00EE4290">
            <w:pPr>
              <w:jc w:val="both"/>
              <w:rPr>
                <w:sz w:val="20"/>
              </w:rPr>
            </w:pPr>
            <w:r w:rsidRPr="00003B04">
              <w:rPr>
                <w:sz w:val="20"/>
              </w:rPr>
              <w:t>February 27, 2015</w:t>
            </w:r>
          </w:p>
          <w:p w:rsidR="00EE4290" w:rsidRPr="00003B04" w:rsidRDefault="00EE4290" w:rsidP="00EE4290">
            <w:pPr>
              <w:jc w:val="both"/>
              <w:rPr>
                <w:sz w:val="20"/>
              </w:rPr>
            </w:pPr>
            <w:r w:rsidRPr="00003B04">
              <w:rPr>
                <w:sz w:val="20"/>
              </w:rPr>
              <w:t>Quebec Superior Court</w:t>
            </w:r>
          </w:p>
          <w:p w:rsidR="00EE4290" w:rsidRPr="00003B04" w:rsidRDefault="00EE4290" w:rsidP="00EE4290">
            <w:pPr>
              <w:jc w:val="both"/>
              <w:rPr>
                <w:sz w:val="20"/>
              </w:rPr>
            </w:pPr>
            <w:r w:rsidRPr="00003B04">
              <w:rPr>
                <w:sz w:val="20"/>
              </w:rPr>
              <w:t>(</w:t>
            </w:r>
            <w:proofErr w:type="spellStart"/>
            <w:r w:rsidRPr="00003B04">
              <w:rPr>
                <w:sz w:val="20"/>
              </w:rPr>
              <w:t>Bellavance</w:t>
            </w:r>
            <w:proofErr w:type="spellEnd"/>
            <w:r w:rsidRPr="00003B04">
              <w:rPr>
                <w:sz w:val="20"/>
              </w:rPr>
              <w:t xml:space="preserve"> J.)</w:t>
            </w:r>
          </w:p>
          <w:p w:rsidR="00EE4290" w:rsidRPr="00003B04" w:rsidRDefault="00604445" w:rsidP="00EE4290">
            <w:pPr>
              <w:jc w:val="both"/>
              <w:rPr>
                <w:sz w:val="20"/>
              </w:rPr>
            </w:pPr>
            <w:hyperlink r:id="rId97" w:history="1">
              <w:r w:rsidR="00EE4290" w:rsidRPr="00003B04">
                <w:rPr>
                  <w:rStyle w:val="Hyperlink"/>
                  <w:sz w:val="20"/>
                </w:rPr>
                <w:t>2015 QCCS 731</w:t>
              </w:r>
            </w:hyperlink>
            <w:r w:rsidR="00EE4290" w:rsidRPr="00003B04">
              <w:rPr>
                <w:sz w:val="20"/>
              </w:rPr>
              <w:t xml:space="preserve"> </w:t>
            </w:r>
          </w:p>
          <w:p w:rsidR="00EE4290" w:rsidRPr="00003B04" w:rsidRDefault="00EE4290" w:rsidP="00EE4290">
            <w:pPr>
              <w:jc w:val="both"/>
              <w:rPr>
                <w:sz w:val="20"/>
              </w:rPr>
            </w:pPr>
          </w:p>
        </w:tc>
        <w:tc>
          <w:tcPr>
            <w:tcW w:w="267" w:type="pct"/>
          </w:tcPr>
          <w:p w:rsidR="00EE4290" w:rsidRPr="00003B04" w:rsidRDefault="00EE4290" w:rsidP="00EE4290">
            <w:pPr>
              <w:jc w:val="both"/>
              <w:rPr>
                <w:sz w:val="20"/>
              </w:rPr>
            </w:pPr>
          </w:p>
        </w:tc>
        <w:tc>
          <w:tcPr>
            <w:tcW w:w="2366" w:type="pct"/>
            <w:gridSpan w:val="2"/>
          </w:tcPr>
          <w:p w:rsidR="00EE4290" w:rsidRPr="00003B04" w:rsidRDefault="00EE4290" w:rsidP="00EE4290">
            <w:pPr>
              <w:jc w:val="both"/>
              <w:rPr>
                <w:sz w:val="20"/>
              </w:rPr>
            </w:pPr>
            <w:r w:rsidRPr="00003B04">
              <w:rPr>
                <w:sz w:val="20"/>
              </w:rPr>
              <w:t xml:space="preserve">Application for permanent injunction allowed in part: closure of centre during construction holidays granted </w:t>
            </w:r>
          </w:p>
        </w:tc>
      </w:tr>
      <w:tr w:rsidR="00EE4290" w:rsidRPr="00003B04" w:rsidTr="00EE4290">
        <w:tblPrEx>
          <w:tblCellMar>
            <w:bottom w:w="0" w:type="dxa"/>
          </w:tblCellMar>
        </w:tblPrEx>
        <w:tc>
          <w:tcPr>
            <w:tcW w:w="2367" w:type="pct"/>
            <w:gridSpan w:val="2"/>
          </w:tcPr>
          <w:p w:rsidR="00EE4290" w:rsidRPr="00003B04" w:rsidRDefault="00EE4290" w:rsidP="00EE4290">
            <w:pPr>
              <w:jc w:val="both"/>
              <w:rPr>
                <w:sz w:val="20"/>
              </w:rPr>
            </w:pPr>
            <w:r w:rsidRPr="00003B04">
              <w:rPr>
                <w:sz w:val="20"/>
              </w:rPr>
              <w:lastRenderedPageBreak/>
              <w:t>September 23, 2016</w:t>
            </w:r>
          </w:p>
          <w:p w:rsidR="00EE4290" w:rsidRPr="00003B04" w:rsidRDefault="00EE4290" w:rsidP="00EE4290">
            <w:pPr>
              <w:jc w:val="both"/>
              <w:rPr>
                <w:sz w:val="20"/>
              </w:rPr>
            </w:pPr>
            <w:r w:rsidRPr="00003B04">
              <w:rPr>
                <w:sz w:val="20"/>
              </w:rPr>
              <w:t>Quebec Court of Appeal (Montréal)</w:t>
            </w:r>
          </w:p>
          <w:p w:rsidR="00EE4290" w:rsidRPr="00003B04" w:rsidRDefault="00EE4290" w:rsidP="00EE4290">
            <w:pPr>
              <w:jc w:val="both"/>
              <w:rPr>
                <w:sz w:val="20"/>
              </w:rPr>
            </w:pPr>
            <w:r w:rsidRPr="00003B04">
              <w:rPr>
                <w:sz w:val="20"/>
              </w:rPr>
              <w:t>(</w:t>
            </w:r>
            <w:proofErr w:type="spellStart"/>
            <w:r w:rsidRPr="00003B04">
              <w:rPr>
                <w:sz w:val="20"/>
              </w:rPr>
              <w:t>Dutil</w:t>
            </w:r>
            <w:proofErr w:type="spellEnd"/>
            <w:r w:rsidRPr="00003B04">
              <w:rPr>
                <w:sz w:val="20"/>
              </w:rPr>
              <w:t xml:space="preserve">, </w:t>
            </w:r>
            <w:proofErr w:type="spellStart"/>
            <w:r w:rsidRPr="00003B04">
              <w:rPr>
                <w:sz w:val="20"/>
              </w:rPr>
              <w:t>Vézina</w:t>
            </w:r>
            <w:proofErr w:type="spellEnd"/>
            <w:r w:rsidRPr="00003B04">
              <w:rPr>
                <w:sz w:val="20"/>
              </w:rPr>
              <w:t xml:space="preserve"> and </w:t>
            </w:r>
            <w:proofErr w:type="spellStart"/>
            <w:r w:rsidRPr="00003B04">
              <w:rPr>
                <w:sz w:val="20"/>
              </w:rPr>
              <w:t>Mainville</w:t>
            </w:r>
            <w:proofErr w:type="spellEnd"/>
            <w:r w:rsidRPr="00003B04">
              <w:rPr>
                <w:sz w:val="20"/>
              </w:rPr>
              <w:t xml:space="preserve"> JJ.A.)</w:t>
            </w:r>
          </w:p>
          <w:p w:rsidR="00EE4290" w:rsidRPr="00003B04" w:rsidRDefault="00604445" w:rsidP="00EE4290">
            <w:pPr>
              <w:jc w:val="both"/>
              <w:rPr>
                <w:sz w:val="20"/>
              </w:rPr>
            </w:pPr>
            <w:hyperlink r:id="rId98" w:history="1">
              <w:r w:rsidR="00EE4290" w:rsidRPr="00003B04">
                <w:rPr>
                  <w:rStyle w:val="Hyperlink"/>
                  <w:sz w:val="20"/>
                </w:rPr>
                <w:t>2016 QCCA 1547</w:t>
              </w:r>
            </w:hyperlink>
          </w:p>
          <w:p w:rsidR="00EE4290" w:rsidRPr="00003B04" w:rsidRDefault="00EE4290" w:rsidP="00EE4290">
            <w:pPr>
              <w:jc w:val="both"/>
              <w:rPr>
                <w:sz w:val="20"/>
              </w:rPr>
            </w:pPr>
          </w:p>
        </w:tc>
        <w:tc>
          <w:tcPr>
            <w:tcW w:w="267" w:type="pct"/>
          </w:tcPr>
          <w:p w:rsidR="00EE4290" w:rsidRPr="00003B04" w:rsidRDefault="00EE4290" w:rsidP="00EE4290">
            <w:pPr>
              <w:jc w:val="both"/>
              <w:rPr>
                <w:sz w:val="20"/>
              </w:rPr>
            </w:pPr>
          </w:p>
        </w:tc>
        <w:tc>
          <w:tcPr>
            <w:tcW w:w="2366" w:type="pct"/>
            <w:gridSpan w:val="2"/>
          </w:tcPr>
          <w:p w:rsidR="00EE4290" w:rsidRPr="00003B04" w:rsidRDefault="00EE4290" w:rsidP="00EE4290">
            <w:pPr>
              <w:jc w:val="both"/>
              <w:rPr>
                <w:sz w:val="20"/>
              </w:rPr>
            </w:pPr>
            <w:r w:rsidRPr="00003B04">
              <w:rPr>
                <w:sz w:val="20"/>
              </w:rPr>
              <w:t>Appeal allowed in part: $10,000 in damages awarded and limit imposed on shooting days</w:t>
            </w:r>
          </w:p>
          <w:p w:rsidR="00EE4290" w:rsidRPr="00003B04" w:rsidRDefault="00EE4290" w:rsidP="00EE4290">
            <w:pPr>
              <w:jc w:val="both"/>
              <w:rPr>
                <w:sz w:val="20"/>
              </w:rPr>
            </w:pPr>
          </w:p>
        </w:tc>
      </w:tr>
      <w:tr w:rsidR="00EE4290" w:rsidRPr="00003B04" w:rsidTr="00EE4290">
        <w:tblPrEx>
          <w:tblCellMar>
            <w:bottom w:w="0" w:type="dxa"/>
          </w:tblCellMar>
        </w:tblPrEx>
        <w:tc>
          <w:tcPr>
            <w:tcW w:w="2367" w:type="pct"/>
            <w:gridSpan w:val="2"/>
          </w:tcPr>
          <w:p w:rsidR="00EE4290" w:rsidRPr="00003B04" w:rsidRDefault="00EE4290" w:rsidP="00EE4290">
            <w:pPr>
              <w:jc w:val="both"/>
              <w:rPr>
                <w:sz w:val="20"/>
              </w:rPr>
            </w:pPr>
            <w:r w:rsidRPr="00003B04">
              <w:rPr>
                <w:sz w:val="20"/>
              </w:rPr>
              <w:t>November 21, 2016</w:t>
            </w:r>
          </w:p>
          <w:p w:rsidR="00EE4290" w:rsidRPr="00003B04" w:rsidRDefault="00EE4290" w:rsidP="00EE4290">
            <w:pPr>
              <w:jc w:val="both"/>
              <w:rPr>
                <w:sz w:val="20"/>
              </w:rPr>
            </w:pPr>
            <w:r w:rsidRPr="00003B04">
              <w:rPr>
                <w:sz w:val="20"/>
              </w:rPr>
              <w:t>Supreme Court of Canada</w:t>
            </w:r>
          </w:p>
        </w:tc>
        <w:tc>
          <w:tcPr>
            <w:tcW w:w="267" w:type="pct"/>
          </w:tcPr>
          <w:p w:rsidR="00EE4290" w:rsidRPr="00003B04" w:rsidRDefault="00EE4290" w:rsidP="00EE4290">
            <w:pPr>
              <w:jc w:val="both"/>
              <w:rPr>
                <w:sz w:val="20"/>
              </w:rPr>
            </w:pPr>
          </w:p>
        </w:tc>
        <w:tc>
          <w:tcPr>
            <w:tcW w:w="2366" w:type="pct"/>
            <w:gridSpan w:val="2"/>
          </w:tcPr>
          <w:p w:rsidR="00EE4290" w:rsidRPr="00003B04" w:rsidRDefault="00EE4290" w:rsidP="00EE4290">
            <w:pPr>
              <w:jc w:val="both"/>
              <w:rPr>
                <w:sz w:val="20"/>
              </w:rPr>
            </w:pPr>
            <w:r w:rsidRPr="00003B04">
              <w:rPr>
                <w:sz w:val="20"/>
              </w:rPr>
              <w:t>Application for leave to appeal filed</w:t>
            </w:r>
          </w:p>
          <w:p w:rsidR="00EE4290" w:rsidRPr="00003B04" w:rsidRDefault="00EE4290" w:rsidP="00EE4290">
            <w:pPr>
              <w:jc w:val="both"/>
              <w:rPr>
                <w:sz w:val="20"/>
              </w:rPr>
            </w:pPr>
          </w:p>
        </w:tc>
      </w:tr>
    </w:tbl>
    <w:p w:rsidR="00EE4290" w:rsidRPr="00003B04" w:rsidRDefault="00604445" w:rsidP="00EE4290">
      <w:pPr>
        <w:jc w:val="both"/>
        <w:rPr>
          <w:sz w:val="20"/>
        </w:rPr>
      </w:pPr>
      <w:r>
        <w:rPr>
          <w:sz w:val="20"/>
          <w:szCs w:val="20"/>
        </w:rPr>
        <w:pict>
          <v:rect id="_x0000_i1087" style="width:2in;height:1pt" o:hrpct="0" o:hralign="center" o:hrstd="t" o:hrnoshade="t" o:hr="t" fillcolor="black [3213]" stroked="f"/>
        </w:pict>
      </w:r>
    </w:p>
    <w:p w:rsidR="00EE4290" w:rsidRPr="00003B04" w:rsidRDefault="00EE4290" w:rsidP="00EE4290">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EE4290" w:rsidRPr="00003B04" w:rsidTr="00EE4290">
        <w:trPr>
          <w:gridAfter w:val="1"/>
          <w:wAfter w:w="48" w:type="pct"/>
        </w:trPr>
        <w:tc>
          <w:tcPr>
            <w:tcW w:w="538" w:type="pct"/>
          </w:tcPr>
          <w:p w:rsidR="00EE4290" w:rsidRPr="00003B04" w:rsidRDefault="00EE4290" w:rsidP="00EE4290">
            <w:pPr>
              <w:jc w:val="both"/>
              <w:rPr>
                <w:sz w:val="20"/>
              </w:rPr>
            </w:pPr>
            <w:r w:rsidRPr="00003B04">
              <w:rPr>
                <w:rStyle w:val="SCCFileNumberChar"/>
                <w:sz w:val="20"/>
                <w:szCs w:val="20"/>
              </w:rPr>
              <w:t>37302</w:t>
            </w:r>
          </w:p>
        </w:tc>
        <w:tc>
          <w:tcPr>
            <w:tcW w:w="4414" w:type="pct"/>
            <w:gridSpan w:val="3"/>
          </w:tcPr>
          <w:p w:rsidR="00EE4290" w:rsidRPr="00003B04" w:rsidRDefault="00EE4290" w:rsidP="00EE4290">
            <w:pPr>
              <w:pStyle w:val="SCCLsocParty"/>
              <w:jc w:val="both"/>
              <w:rPr>
                <w:b/>
                <w:sz w:val="20"/>
                <w:szCs w:val="20"/>
              </w:rPr>
            </w:pPr>
            <w:r w:rsidRPr="00003B04">
              <w:rPr>
                <w:b/>
                <w:sz w:val="20"/>
                <w:szCs w:val="20"/>
              </w:rPr>
              <w:t xml:space="preserve">Granby </w:t>
            </w:r>
            <w:proofErr w:type="spellStart"/>
            <w:r w:rsidRPr="00003B04">
              <w:rPr>
                <w:b/>
                <w:sz w:val="20"/>
                <w:szCs w:val="20"/>
              </w:rPr>
              <w:t>Multi-Sports</w:t>
            </w:r>
            <w:proofErr w:type="spellEnd"/>
            <w:r w:rsidRPr="00003B04">
              <w:rPr>
                <w:b/>
                <w:sz w:val="20"/>
                <w:szCs w:val="20"/>
              </w:rPr>
              <w:t xml:space="preserve"> c. Sébastien Lefebvre</w:t>
            </w:r>
            <w:r w:rsidR="00B52CAC" w:rsidRPr="00003B04">
              <w:rPr>
                <w:b/>
                <w:sz w:val="20"/>
                <w:szCs w:val="20"/>
              </w:rPr>
              <w:t xml:space="preserve"> et</w:t>
            </w:r>
            <w:r w:rsidRPr="00003B04">
              <w:rPr>
                <w:b/>
                <w:sz w:val="20"/>
                <w:szCs w:val="20"/>
              </w:rPr>
              <w:t xml:space="preserve"> Julie </w:t>
            </w:r>
            <w:proofErr w:type="spellStart"/>
            <w:r w:rsidRPr="00003B04">
              <w:rPr>
                <w:b/>
                <w:sz w:val="20"/>
                <w:szCs w:val="20"/>
              </w:rPr>
              <w:t>Bourgea</w:t>
            </w:r>
            <w:proofErr w:type="spellEnd"/>
            <w:r w:rsidR="00767A6B" w:rsidRPr="00003B04">
              <w:rPr>
                <w:b/>
                <w:sz w:val="20"/>
                <w:szCs w:val="20"/>
              </w:rPr>
              <w:t xml:space="preserve"> </w:t>
            </w:r>
            <w:r w:rsidRPr="00003B04">
              <w:rPr>
                <w:b/>
                <w:sz w:val="20"/>
                <w:szCs w:val="20"/>
              </w:rPr>
              <w:t>- et -</w:t>
            </w:r>
            <w:r w:rsidR="00767A6B" w:rsidRPr="00003B04">
              <w:rPr>
                <w:b/>
                <w:sz w:val="20"/>
                <w:szCs w:val="20"/>
              </w:rPr>
              <w:t xml:space="preserve"> </w:t>
            </w:r>
            <w:r w:rsidRPr="00003B04">
              <w:rPr>
                <w:b/>
                <w:sz w:val="20"/>
                <w:szCs w:val="20"/>
              </w:rPr>
              <w:t>Ville de Granby</w:t>
            </w:r>
          </w:p>
          <w:p w:rsidR="00EE4290" w:rsidRPr="00003B04" w:rsidRDefault="00EE4290" w:rsidP="00EE4290">
            <w:pPr>
              <w:jc w:val="both"/>
              <w:rPr>
                <w:sz w:val="20"/>
                <w:lang w:val="fr-CA"/>
              </w:rPr>
            </w:pPr>
            <w:r w:rsidRPr="00003B04">
              <w:rPr>
                <w:sz w:val="20"/>
                <w:lang w:val="fr-CA"/>
              </w:rPr>
              <w:t>(</w:t>
            </w:r>
            <w:proofErr w:type="spellStart"/>
            <w:r w:rsidRPr="00003B04">
              <w:rPr>
                <w:sz w:val="20"/>
                <w:lang w:val="fr-CA"/>
              </w:rPr>
              <w:t>Qc</w:t>
            </w:r>
            <w:proofErr w:type="spellEnd"/>
            <w:r w:rsidRPr="00003B04">
              <w:rPr>
                <w:sz w:val="20"/>
                <w:lang w:val="fr-CA"/>
              </w:rPr>
              <w:t>) (Civile) (Autorisation)</w:t>
            </w:r>
          </w:p>
        </w:tc>
      </w:tr>
      <w:tr w:rsidR="004F14EC" w:rsidRPr="00C3697D" w:rsidTr="00EE4290">
        <w:trPr>
          <w:gridAfter w:val="1"/>
          <w:wAfter w:w="48" w:type="pct"/>
        </w:trPr>
        <w:tc>
          <w:tcPr>
            <w:tcW w:w="538" w:type="pct"/>
          </w:tcPr>
          <w:p w:rsidR="004F14EC" w:rsidRPr="00003B04" w:rsidRDefault="004F14EC" w:rsidP="00EE4290">
            <w:pPr>
              <w:jc w:val="both"/>
              <w:rPr>
                <w:rStyle w:val="SCCFileNumberChar"/>
                <w:sz w:val="20"/>
                <w:szCs w:val="20"/>
              </w:rPr>
            </w:pPr>
            <w:r w:rsidRPr="00003B04">
              <w:rPr>
                <w:rStyle w:val="SCCFileNumberChar"/>
                <w:sz w:val="20"/>
                <w:szCs w:val="20"/>
              </w:rPr>
              <w:t xml:space="preserve">Coram: </w:t>
            </w:r>
          </w:p>
        </w:tc>
        <w:tc>
          <w:tcPr>
            <w:tcW w:w="4414" w:type="pct"/>
            <w:gridSpan w:val="3"/>
          </w:tcPr>
          <w:p w:rsidR="004F14EC" w:rsidRPr="00003B04" w:rsidRDefault="005A5AB4" w:rsidP="00EE4290">
            <w:pPr>
              <w:pStyle w:val="SCCLsocParty"/>
              <w:jc w:val="both"/>
              <w:rPr>
                <w:rFonts w:eastAsiaTheme="minorEastAsia"/>
                <w:sz w:val="20"/>
                <w:szCs w:val="20"/>
                <w:lang w:eastAsia="en-CA"/>
              </w:rPr>
            </w:pPr>
            <w:r w:rsidRPr="00003B04">
              <w:rPr>
                <w:rFonts w:eastAsiaTheme="minorEastAsia"/>
                <w:sz w:val="20"/>
                <w:szCs w:val="20"/>
                <w:lang w:val="fr-FR" w:eastAsia="en-CA"/>
              </w:rPr>
              <w:t xml:space="preserve">La juge en chef </w:t>
            </w:r>
            <w:proofErr w:type="spellStart"/>
            <w:r w:rsidRPr="00003B04">
              <w:rPr>
                <w:rFonts w:eastAsiaTheme="minorEastAsia"/>
                <w:sz w:val="20"/>
                <w:szCs w:val="20"/>
                <w:lang w:val="fr-FR" w:eastAsia="en-CA"/>
              </w:rPr>
              <w:t>McLachlin</w:t>
            </w:r>
            <w:proofErr w:type="spellEnd"/>
            <w:r w:rsidRPr="00003B04">
              <w:rPr>
                <w:rFonts w:eastAsiaTheme="minorEastAsia"/>
                <w:sz w:val="20"/>
                <w:szCs w:val="20"/>
                <w:lang w:val="fr-FR" w:eastAsia="en-CA"/>
              </w:rPr>
              <w:t xml:space="preserve"> et les juges Abella, </w:t>
            </w:r>
            <w:proofErr w:type="spellStart"/>
            <w:r w:rsidRPr="00003B04">
              <w:rPr>
                <w:rFonts w:eastAsiaTheme="minorEastAsia"/>
                <w:sz w:val="20"/>
                <w:szCs w:val="20"/>
                <w:lang w:eastAsia="en-CA"/>
              </w:rPr>
              <w:t>Moldaver</w:t>
            </w:r>
            <w:proofErr w:type="spellEnd"/>
            <w:r w:rsidRPr="00003B04">
              <w:rPr>
                <w:rFonts w:eastAsiaTheme="minorEastAsia"/>
                <w:sz w:val="20"/>
                <w:szCs w:val="20"/>
                <w:lang w:eastAsia="en-CA"/>
              </w:rPr>
              <w:t xml:space="preserve">, </w:t>
            </w:r>
            <w:proofErr w:type="spellStart"/>
            <w:r w:rsidRPr="00003B04">
              <w:rPr>
                <w:rFonts w:eastAsiaTheme="minorEastAsia"/>
                <w:sz w:val="20"/>
                <w:szCs w:val="20"/>
                <w:lang w:eastAsia="en-CA"/>
              </w:rPr>
              <w:t>Karakatsanis</w:t>
            </w:r>
            <w:proofErr w:type="spellEnd"/>
            <w:r w:rsidRPr="00003B04">
              <w:rPr>
                <w:rFonts w:eastAsiaTheme="minorEastAsia"/>
                <w:sz w:val="20"/>
                <w:szCs w:val="20"/>
                <w:lang w:eastAsia="en-CA"/>
              </w:rPr>
              <w:t>, Wagner, Gascon, Côté, Brown et Rowe</w:t>
            </w:r>
          </w:p>
          <w:p w:rsidR="005A5AB4" w:rsidRPr="00003B04" w:rsidRDefault="005A5AB4" w:rsidP="005A5AB4">
            <w:pPr>
              <w:rPr>
                <w:lang w:val="fr-CA" w:eastAsia="en-CA"/>
              </w:rPr>
            </w:pPr>
          </w:p>
        </w:tc>
      </w:tr>
      <w:tr w:rsidR="004F14EC" w:rsidRPr="00C3697D" w:rsidTr="004F14EC">
        <w:trPr>
          <w:gridAfter w:val="1"/>
          <w:wAfter w:w="48" w:type="pct"/>
        </w:trPr>
        <w:tc>
          <w:tcPr>
            <w:tcW w:w="4952" w:type="pct"/>
            <w:gridSpan w:val="4"/>
          </w:tcPr>
          <w:p w:rsidR="004F14EC" w:rsidRPr="00003B04" w:rsidRDefault="005A5AB4" w:rsidP="00EE4290">
            <w:pPr>
              <w:pStyle w:val="SCCLsocParty"/>
              <w:jc w:val="both"/>
              <w:rPr>
                <w:sz w:val="20"/>
                <w:szCs w:val="20"/>
              </w:rPr>
            </w:pPr>
            <w:r w:rsidRPr="00003B04">
              <w:rPr>
                <w:sz w:val="20"/>
                <w:szCs w:val="20"/>
              </w:rPr>
              <w:t>La demande d’autorisation d’appel de l’arrêt de la Cour d’appel du Québec (Montréal), numéro 500-09-025143-157, 2016 QCCA 1547, daté du 23 septembre 2016, est rejetée avec dépens.</w:t>
            </w:r>
          </w:p>
          <w:p w:rsidR="005A5AB4" w:rsidRPr="00003B04" w:rsidRDefault="005A5AB4" w:rsidP="005A5AB4">
            <w:pPr>
              <w:rPr>
                <w:lang w:val="fr-CA"/>
              </w:rPr>
            </w:pPr>
          </w:p>
        </w:tc>
      </w:tr>
      <w:tr w:rsidR="00EE4290" w:rsidRPr="00C3697D" w:rsidTr="00EE4290">
        <w:trPr>
          <w:gridAfter w:val="1"/>
          <w:wAfter w:w="48" w:type="pct"/>
        </w:trPr>
        <w:tc>
          <w:tcPr>
            <w:tcW w:w="4952" w:type="pct"/>
            <w:gridSpan w:val="4"/>
          </w:tcPr>
          <w:p w:rsidR="00EE4290" w:rsidRPr="00003B04" w:rsidRDefault="00EE4290" w:rsidP="00EE4290">
            <w:pPr>
              <w:jc w:val="both"/>
              <w:rPr>
                <w:sz w:val="20"/>
                <w:lang w:val="fr-CA"/>
              </w:rPr>
            </w:pPr>
            <w:r w:rsidRPr="00003B04">
              <w:rPr>
                <w:sz w:val="20"/>
                <w:lang w:val="fr-CA"/>
              </w:rPr>
              <w:t xml:space="preserve">Biens — Biens immeubles — Rapport de voisinage — Nuisance — Demande d’injonction permanente à l’encontre d’activité bruyante de leur voisin — Définition et interprétation d’un inconvénient normal de voisinage au sens de l’article 976 du </w:t>
            </w:r>
            <w:r w:rsidRPr="00003B04">
              <w:rPr>
                <w:i/>
                <w:sz w:val="20"/>
                <w:lang w:val="fr-CA"/>
              </w:rPr>
              <w:t>Code civil du Québec</w:t>
            </w:r>
            <w:r w:rsidRPr="00003B04">
              <w:rPr>
                <w:sz w:val="20"/>
                <w:lang w:val="fr-CA"/>
              </w:rPr>
              <w:t xml:space="preserve"> — Quels sont les critères pertinents à l’analyse de la normalité d’un inconvénient de voisinage sous l’article 976 du </w:t>
            </w:r>
            <w:r w:rsidRPr="00003B04">
              <w:rPr>
                <w:i/>
                <w:sz w:val="20"/>
                <w:lang w:val="fr-CA"/>
              </w:rPr>
              <w:t>Code civil du Québec</w:t>
            </w:r>
            <w:r w:rsidRPr="00003B04">
              <w:rPr>
                <w:sz w:val="20"/>
                <w:lang w:val="fr-CA"/>
              </w:rPr>
              <w:t xml:space="preserve">? — La Cour d’appel a-t-elle fait erreur dans son application des principes énoncés dans les décisions </w:t>
            </w:r>
            <w:r w:rsidRPr="00003B04">
              <w:rPr>
                <w:i/>
                <w:sz w:val="20"/>
                <w:lang w:val="fr-CA"/>
              </w:rPr>
              <w:t xml:space="preserve">Ciment du Saint-Laurent </w:t>
            </w:r>
            <w:proofErr w:type="spellStart"/>
            <w:r w:rsidRPr="00003B04">
              <w:rPr>
                <w:i/>
                <w:sz w:val="20"/>
                <w:lang w:val="fr-CA"/>
              </w:rPr>
              <w:t>inc.</w:t>
            </w:r>
            <w:proofErr w:type="spellEnd"/>
            <w:r w:rsidRPr="00003B04">
              <w:rPr>
                <w:i/>
                <w:sz w:val="20"/>
                <w:lang w:val="fr-CA"/>
              </w:rPr>
              <w:t xml:space="preserve"> c. Barrette</w:t>
            </w:r>
            <w:r w:rsidRPr="00003B04">
              <w:rPr>
                <w:sz w:val="20"/>
                <w:lang w:val="fr-CA"/>
              </w:rPr>
              <w:t xml:space="preserve">, [2008] 3 RCS 392, et </w:t>
            </w:r>
            <w:r w:rsidRPr="00003B04">
              <w:rPr>
                <w:i/>
                <w:sz w:val="20"/>
                <w:lang w:val="fr-CA"/>
              </w:rPr>
              <w:t xml:space="preserve">Antrim Truck Centre Ltd c. Ontario (Transports), </w:t>
            </w:r>
            <w:r w:rsidRPr="00003B04">
              <w:rPr>
                <w:sz w:val="20"/>
                <w:lang w:val="fr-CA"/>
              </w:rPr>
              <w:t>[2013] 1 RCS 594?</w:t>
            </w:r>
          </w:p>
        </w:tc>
      </w:tr>
      <w:tr w:rsidR="00EE4290" w:rsidRPr="00C3697D" w:rsidTr="00EE4290">
        <w:trPr>
          <w:gridAfter w:val="1"/>
          <w:wAfter w:w="48" w:type="pct"/>
        </w:trPr>
        <w:tc>
          <w:tcPr>
            <w:tcW w:w="4952" w:type="pct"/>
            <w:gridSpan w:val="4"/>
          </w:tcPr>
          <w:p w:rsidR="00EE4290" w:rsidRPr="00003B04" w:rsidRDefault="00EE4290" w:rsidP="00EE4290">
            <w:pPr>
              <w:jc w:val="both"/>
              <w:rPr>
                <w:sz w:val="20"/>
                <w:lang w:val="fr-CA"/>
              </w:rPr>
            </w:pPr>
          </w:p>
        </w:tc>
      </w:tr>
      <w:tr w:rsidR="00EE4290" w:rsidRPr="00C3697D" w:rsidTr="00EE4290">
        <w:trPr>
          <w:gridAfter w:val="1"/>
          <w:wAfter w:w="48" w:type="pct"/>
        </w:trPr>
        <w:tc>
          <w:tcPr>
            <w:tcW w:w="4952" w:type="pct"/>
            <w:gridSpan w:val="4"/>
          </w:tcPr>
          <w:p w:rsidR="00EE4290" w:rsidRPr="00003B04" w:rsidRDefault="00EE4290" w:rsidP="00EE4290">
            <w:pPr>
              <w:jc w:val="both"/>
              <w:rPr>
                <w:sz w:val="20"/>
                <w:lang w:val="fr-CA"/>
              </w:rPr>
            </w:pPr>
            <w:r w:rsidRPr="00003B04">
              <w:rPr>
                <w:sz w:val="20"/>
                <w:lang w:val="fr-CA"/>
              </w:rPr>
              <w:t xml:space="preserve">Les intimés sont voisins de la demanderesse, Granby </w:t>
            </w:r>
            <w:proofErr w:type="spellStart"/>
            <w:r w:rsidRPr="00003B04">
              <w:rPr>
                <w:sz w:val="20"/>
                <w:lang w:val="fr-CA"/>
              </w:rPr>
              <w:t>Multi-Sports</w:t>
            </w:r>
            <w:proofErr w:type="spellEnd"/>
            <w:r w:rsidRPr="00003B04">
              <w:rPr>
                <w:sz w:val="20"/>
                <w:lang w:val="fr-CA"/>
              </w:rPr>
              <w:t xml:space="preserve">. Cette dernière est un organisme sans but lucratif qui propose, entre autre, des activités de champ de tir à 150 mètres de la résidence des intimés. Jugeant le règlement municipal réduisant les heures d’opération du champ de tir de la demanderesse créé par la ville de Granby d’insuffisant, les intimés intentent une procédure d’injonction permanente contre Granby </w:t>
            </w:r>
            <w:proofErr w:type="spellStart"/>
            <w:r w:rsidRPr="00003B04">
              <w:rPr>
                <w:sz w:val="20"/>
                <w:lang w:val="fr-CA"/>
              </w:rPr>
              <w:t>Multi-Sports</w:t>
            </w:r>
            <w:proofErr w:type="spellEnd"/>
            <w:r w:rsidRPr="00003B04">
              <w:rPr>
                <w:sz w:val="20"/>
                <w:lang w:val="fr-CA"/>
              </w:rPr>
              <w:t xml:space="preserve"> demandant plusieurs éléments, notamment une imposition d’une limite de bruit à 60 décibels, une limitation du nombre de personnes admis en même temps au champ de tir, une limitation des heures et jours de tir impliquant la fermeture toutes les fins de semaine, les jours fériés et les semaines de vacances de la construction et également une limitation quant aux types d’armes employées et de tirs effectués. Se joint à cette procédure une demande de dommages de 20 000 $.</w:t>
            </w:r>
          </w:p>
          <w:p w:rsidR="00EE4290" w:rsidRPr="00003B04" w:rsidRDefault="00EE4290" w:rsidP="00EE4290">
            <w:pPr>
              <w:jc w:val="both"/>
              <w:rPr>
                <w:sz w:val="20"/>
                <w:lang w:val="fr-CA"/>
              </w:rPr>
            </w:pPr>
          </w:p>
        </w:tc>
      </w:tr>
      <w:tr w:rsidR="00EE4290" w:rsidRPr="00C3697D" w:rsidTr="00EE4290">
        <w:tblPrEx>
          <w:tblCellMar>
            <w:bottom w:w="0" w:type="dxa"/>
          </w:tblCellMar>
        </w:tblPrEx>
        <w:tc>
          <w:tcPr>
            <w:tcW w:w="2367" w:type="pct"/>
            <w:gridSpan w:val="2"/>
          </w:tcPr>
          <w:p w:rsidR="00EE4290" w:rsidRPr="00003B04" w:rsidRDefault="00EE4290" w:rsidP="00EE4290">
            <w:pPr>
              <w:jc w:val="both"/>
              <w:rPr>
                <w:sz w:val="20"/>
                <w:lang w:val="fr-CA"/>
              </w:rPr>
            </w:pPr>
            <w:r w:rsidRPr="00003B04">
              <w:rPr>
                <w:sz w:val="20"/>
                <w:lang w:val="fr-CA"/>
              </w:rPr>
              <w:t>Le 27 février 2015</w:t>
            </w:r>
          </w:p>
          <w:p w:rsidR="00EE4290" w:rsidRPr="00003B04" w:rsidRDefault="00EE4290" w:rsidP="00EE4290">
            <w:pPr>
              <w:jc w:val="both"/>
              <w:rPr>
                <w:sz w:val="20"/>
                <w:lang w:val="fr-CA"/>
              </w:rPr>
            </w:pPr>
            <w:r w:rsidRPr="00003B04">
              <w:rPr>
                <w:sz w:val="20"/>
                <w:lang w:val="fr-CA"/>
              </w:rPr>
              <w:t>Cour supérieure du Québec</w:t>
            </w:r>
          </w:p>
          <w:p w:rsidR="00EE4290" w:rsidRPr="00003B04" w:rsidRDefault="00EE4290" w:rsidP="00EE4290">
            <w:pPr>
              <w:jc w:val="both"/>
              <w:rPr>
                <w:sz w:val="20"/>
              </w:rPr>
            </w:pPr>
            <w:r w:rsidRPr="00003B04">
              <w:rPr>
                <w:sz w:val="20"/>
              </w:rPr>
              <w:t xml:space="preserve">(Le </w:t>
            </w:r>
            <w:proofErr w:type="spellStart"/>
            <w:r w:rsidRPr="00003B04">
              <w:rPr>
                <w:sz w:val="20"/>
              </w:rPr>
              <w:t>juge</w:t>
            </w:r>
            <w:proofErr w:type="spellEnd"/>
            <w:r w:rsidRPr="00003B04">
              <w:rPr>
                <w:sz w:val="20"/>
              </w:rPr>
              <w:t xml:space="preserve"> </w:t>
            </w:r>
            <w:proofErr w:type="spellStart"/>
            <w:r w:rsidRPr="00003B04">
              <w:rPr>
                <w:sz w:val="20"/>
              </w:rPr>
              <w:t>Bellavance</w:t>
            </w:r>
            <w:proofErr w:type="spellEnd"/>
            <w:r w:rsidRPr="00003B04">
              <w:rPr>
                <w:sz w:val="20"/>
              </w:rPr>
              <w:t>)</w:t>
            </w:r>
          </w:p>
          <w:p w:rsidR="00EE4290" w:rsidRPr="00003B04" w:rsidRDefault="00604445" w:rsidP="00EE4290">
            <w:pPr>
              <w:jc w:val="both"/>
              <w:rPr>
                <w:sz w:val="20"/>
              </w:rPr>
            </w:pPr>
            <w:hyperlink r:id="rId99" w:history="1">
              <w:r w:rsidR="00EE4290" w:rsidRPr="00003B04">
                <w:rPr>
                  <w:rStyle w:val="Hyperlink"/>
                  <w:sz w:val="20"/>
                </w:rPr>
                <w:t>2015 QCCS 731</w:t>
              </w:r>
            </w:hyperlink>
            <w:r w:rsidR="00EE4290" w:rsidRPr="00003B04">
              <w:rPr>
                <w:sz w:val="20"/>
              </w:rPr>
              <w:t xml:space="preserve"> </w:t>
            </w:r>
          </w:p>
          <w:p w:rsidR="00EE4290" w:rsidRPr="00003B04" w:rsidRDefault="00EE4290" w:rsidP="00EE4290">
            <w:pPr>
              <w:jc w:val="both"/>
              <w:rPr>
                <w:sz w:val="20"/>
              </w:rPr>
            </w:pPr>
          </w:p>
        </w:tc>
        <w:tc>
          <w:tcPr>
            <w:tcW w:w="267" w:type="pct"/>
          </w:tcPr>
          <w:p w:rsidR="00EE4290" w:rsidRPr="00003B04" w:rsidRDefault="00EE4290" w:rsidP="00EE4290">
            <w:pPr>
              <w:jc w:val="both"/>
              <w:rPr>
                <w:sz w:val="20"/>
              </w:rPr>
            </w:pPr>
          </w:p>
        </w:tc>
        <w:tc>
          <w:tcPr>
            <w:tcW w:w="2366" w:type="pct"/>
            <w:gridSpan w:val="2"/>
          </w:tcPr>
          <w:p w:rsidR="00EE4290" w:rsidRPr="00003B04" w:rsidRDefault="00EE4290" w:rsidP="00EE4290">
            <w:pPr>
              <w:jc w:val="both"/>
              <w:rPr>
                <w:sz w:val="20"/>
                <w:lang w:val="fr-CA"/>
              </w:rPr>
            </w:pPr>
            <w:r w:rsidRPr="00003B04">
              <w:rPr>
                <w:sz w:val="20"/>
                <w:lang w:val="fr-CA"/>
              </w:rPr>
              <w:t xml:space="preserve">Demande d’injonction permanente accordée, en partie : fermeture du centre pendant les vacances de la construction accordée </w:t>
            </w:r>
          </w:p>
        </w:tc>
      </w:tr>
      <w:tr w:rsidR="00EE4290" w:rsidRPr="00C3697D" w:rsidTr="00EE4290">
        <w:tblPrEx>
          <w:tblCellMar>
            <w:bottom w:w="0" w:type="dxa"/>
          </w:tblCellMar>
        </w:tblPrEx>
        <w:tc>
          <w:tcPr>
            <w:tcW w:w="2367" w:type="pct"/>
            <w:gridSpan w:val="2"/>
          </w:tcPr>
          <w:p w:rsidR="00EE4290" w:rsidRPr="00003B04" w:rsidRDefault="00EE4290" w:rsidP="00EE4290">
            <w:pPr>
              <w:jc w:val="both"/>
              <w:rPr>
                <w:sz w:val="20"/>
                <w:lang w:val="fr-CA"/>
              </w:rPr>
            </w:pPr>
            <w:r w:rsidRPr="00003B04">
              <w:rPr>
                <w:sz w:val="20"/>
                <w:lang w:val="fr-CA"/>
              </w:rPr>
              <w:t>Le 23 septembre 2016</w:t>
            </w:r>
          </w:p>
          <w:p w:rsidR="00EE4290" w:rsidRPr="00003B04" w:rsidRDefault="00EE4290" w:rsidP="00EE4290">
            <w:pPr>
              <w:jc w:val="both"/>
              <w:rPr>
                <w:sz w:val="20"/>
                <w:lang w:val="fr-CA"/>
              </w:rPr>
            </w:pPr>
            <w:r w:rsidRPr="00003B04">
              <w:rPr>
                <w:sz w:val="20"/>
                <w:lang w:val="fr-CA"/>
              </w:rPr>
              <w:t>Cour d’appel du Québec (Montréal)</w:t>
            </w:r>
          </w:p>
          <w:p w:rsidR="00EE4290" w:rsidRPr="00003B04" w:rsidRDefault="00EE4290" w:rsidP="00EE4290">
            <w:pPr>
              <w:jc w:val="both"/>
              <w:rPr>
                <w:sz w:val="20"/>
                <w:lang w:val="fr-CA"/>
              </w:rPr>
            </w:pPr>
            <w:r w:rsidRPr="00003B04">
              <w:rPr>
                <w:sz w:val="20"/>
                <w:lang w:val="fr-CA"/>
              </w:rPr>
              <w:t xml:space="preserve">(Les juges </w:t>
            </w:r>
            <w:proofErr w:type="spellStart"/>
            <w:r w:rsidRPr="00003B04">
              <w:rPr>
                <w:sz w:val="20"/>
                <w:lang w:val="fr-CA"/>
              </w:rPr>
              <w:t>Dutil</w:t>
            </w:r>
            <w:proofErr w:type="spellEnd"/>
            <w:r w:rsidRPr="00003B04">
              <w:rPr>
                <w:sz w:val="20"/>
                <w:lang w:val="fr-CA"/>
              </w:rPr>
              <w:t>, Vézina et Mainville)</w:t>
            </w:r>
          </w:p>
          <w:p w:rsidR="00EE4290" w:rsidRPr="00003B04" w:rsidRDefault="00604445" w:rsidP="00EE4290">
            <w:pPr>
              <w:jc w:val="both"/>
              <w:rPr>
                <w:sz w:val="20"/>
              </w:rPr>
            </w:pPr>
            <w:hyperlink r:id="rId100" w:history="1">
              <w:r w:rsidR="00EE4290" w:rsidRPr="00003B04">
                <w:rPr>
                  <w:rStyle w:val="Hyperlink"/>
                  <w:sz w:val="20"/>
                </w:rPr>
                <w:t>2016 QCCA 1547</w:t>
              </w:r>
            </w:hyperlink>
          </w:p>
          <w:p w:rsidR="00EE4290" w:rsidRPr="00003B04" w:rsidRDefault="00EE4290" w:rsidP="00EE4290">
            <w:pPr>
              <w:jc w:val="both"/>
              <w:rPr>
                <w:sz w:val="20"/>
              </w:rPr>
            </w:pPr>
          </w:p>
        </w:tc>
        <w:tc>
          <w:tcPr>
            <w:tcW w:w="267" w:type="pct"/>
          </w:tcPr>
          <w:p w:rsidR="00EE4290" w:rsidRPr="00003B04" w:rsidRDefault="00EE4290" w:rsidP="00EE4290">
            <w:pPr>
              <w:jc w:val="both"/>
              <w:rPr>
                <w:sz w:val="20"/>
              </w:rPr>
            </w:pPr>
          </w:p>
        </w:tc>
        <w:tc>
          <w:tcPr>
            <w:tcW w:w="2366" w:type="pct"/>
            <w:gridSpan w:val="2"/>
          </w:tcPr>
          <w:p w:rsidR="00EE4290" w:rsidRPr="00003B04" w:rsidRDefault="00EE4290" w:rsidP="00EE4290">
            <w:pPr>
              <w:jc w:val="both"/>
              <w:rPr>
                <w:sz w:val="20"/>
                <w:lang w:val="fr-CA"/>
              </w:rPr>
            </w:pPr>
            <w:r w:rsidRPr="00003B04">
              <w:rPr>
                <w:sz w:val="20"/>
                <w:lang w:val="fr-CA"/>
              </w:rPr>
              <w:t>Appel accueilli en partie : dommages de 10 000 $ et limitation des jours de tir accordés</w:t>
            </w:r>
          </w:p>
          <w:p w:rsidR="00EE4290" w:rsidRPr="00003B04" w:rsidRDefault="00EE4290" w:rsidP="00EE4290">
            <w:pPr>
              <w:jc w:val="both"/>
              <w:rPr>
                <w:sz w:val="20"/>
                <w:lang w:val="fr-CA"/>
              </w:rPr>
            </w:pPr>
          </w:p>
        </w:tc>
      </w:tr>
      <w:tr w:rsidR="00EE4290" w:rsidRPr="00003B04" w:rsidTr="00EE4290">
        <w:tblPrEx>
          <w:tblCellMar>
            <w:bottom w:w="0" w:type="dxa"/>
          </w:tblCellMar>
        </w:tblPrEx>
        <w:tc>
          <w:tcPr>
            <w:tcW w:w="2367" w:type="pct"/>
            <w:gridSpan w:val="2"/>
          </w:tcPr>
          <w:p w:rsidR="00EE4290" w:rsidRPr="00003B04" w:rsidRDefault="00EE4290" w:rsidP="00EE4290">
            <w:pPr>
              <w:jc w:val="both"/>
              <w:rPr>
                <w:sz w:val="20"/>
                <w:lang w:val="fr-CA"/>
              </w:rPr>
            </w:pPr>
            <w:r w:rsidRPr="00003B04">
              <w:rPr>
                <w:sz w:val="20"/>
                <w:lang w:val="fr-CA"/>
              </w:rPr>
              <w:t>Le 21 novembre 2016</w:t>
            </w:r>
          </w:p>
          <w:p w:rsidR="00EE4290" w:rsidRPr="00003B04" w:rsidRDefault="00EE4290" w:rsidP="00EE4290">
            <w:pPr>
              <w:jc w:val="both"/>
              <w:rPr>
                <w:sz w:val="20"/>
                <w:lang w:val="fr-CA"/>
              </w:rPr>
            </w:pPr>
            <w:r w:rsidRPr="00003B04">
              <w:rPr>
                <w:sz w:val="20"/>
                <w:lang w:val="fr-CA"/>
              </w:rPr>
              <w:t>Cour suprême du Canada</w:t>
            </w:r>
          </w:p>
        </w:tc>
        <w:tc>
          <w:tcPr>
            <w:tcW w:w="267" w:type="pct"/>
          </w:tcPr>
          <w:p w:rsidR="00EE4290" w:rsidRPr="00003B04" w:rsidRDefault="00EE4290" w:rsidP="00EE4290">
            <w:pPr>
              <w:jc w:val="both"/>
              <w:rPr>
                <w:sz w:val="20"/>
                <w:lang w:val="fr-CA"/>
              </w:rPr>
            </w:pPr>
          </w:p>
        </w:tc>
        <w:tc>
          <w:tcPr>
            <w:tcW w:w="2366" w:type="pct"/>
            <w:gridSpan w:val="2"/>
          </w:tcPr>
          <w:p w:rsidR="00EE4290" w:rsidRPr="00003B04" w:rsidRDefault="00EE4290" w:rsidP="00EE4290">
            <w:pPr>
              <w:jc w:val="both"/>
              <w:rPr>
                <w:sz w:val="20"/>
              </w:rPr>
            </w:pPr>
            <w:proofErr w:type="spellStart"/>
            <w:r w:rsidRPr="00003B04">
              <w:rPr>
                <w:sz w:val="20"/>
              </w:rPr>
              <w:t>Demande</w:t>
            </w:r>
            <w:proofErr w:type="spellEnd"/>
            <w:r w:rsidRPr="00003B04">
              <w:rPr>
                <w:sz w:val="20"/>
              </w:rPr>
              <w:t xml:space="preserve"> </w:t>
            </w:r>
            <w:proofErr w:type="spellStart"/>
            <w:r w:rsidRPr="00003B04">
              <w:rPr>
                <w:sz w:val="20"/>
              </w:rPr>
              <w:t>d’autorisation</w:t>
            </w:r>
            <w:proofErr w:type="spellEnd"/>
            <w:r w:rsidRPr="00003B04">
              <w:rPr>
                <w:sz w:val="20"/>
              </w:rPr>
              <w:t xml:space="preserve"> </w:t>
            </w:r>
            <w:proofErr w:type="spellStart"/>
            <w:r w:rsidRPr="00003B04">
              <w:rPr>
                <w:sz w:val="20"/>
              </w:rPr>
              <w:t>d’appel</w:t>
            </w:r>
            <w:proofErr w:type="spellEnd"/>
            <w:r w:rsidRPr="00003B04">
              <w:rPr>
                <w:sz w:val="20"/>
              </w:rPr>
              <w:t xml:space="preserve"> </w:t>
            </w:r>
            <w:proofErr w:type="spellStart"/>
            <w:r w:rsidRPr="00003B04">
              <w:rPr>
                <w:sz w:val="20"/>
              </w:rPr>
              <w:t>déposée</w:t>
            </w:r>
            <w:proofErr w:type="spellEnd"/>
          </w:p>
          <w:p w:rsidR="00EE4290" w:rsidRPr="00003B04" w:rsidRDefault="00EE4290" w:rsidP="00EE4290">
            <w:pPr>
              <w:jc w:val="both"/>
              <w:rPr>
                <w:sz w:val="20"/>
              </w:rPr>
            </w:pPr>
          </w:p>
        </w:tc>
      </w:tr>
    </w:tbl>
    <w:p w:rsidR="00EE4290" w:rsidRPr="00003B04" w:rsidRDefault="00604445" w:rsidP="00EE4290">
      <w:pPr>
        <w:jc w:val="both"/>
        <w:rPr>
          <w:sz w:val="20"/>
        </w:rPr>
      </w:pPr>
      <w:r>
        <w:rPr>
          <w:sz w:val="20"/>
          <w:szCs w:val="20"/>
        </w:rPr>
        <w:pict>
          <v:rect id="_x0000_i1088" style="width:2in;height:1pt" o:hrpct="0" o:hralign="center" o:hrstd="t" o:hrnoshade="t" o:hr="t" fillcolor="black [3213]" stroked="f"/>
        </w:pict>
      </w:r>
    </w:p>
    <w:p w:rsidR="00EE4290" w:rsidRPr="00003B04" w:rsidRDefault="00EE4290" w:rsidP="00EE4290">
      <w:pPr>
        <w:ind w:left="360" w:hanging="360"/>
        <w:jc w:val="both"/>
        <w:rPr>
          <w:sz w:val="20"/>
          <w:lang w:val="fr-CA" w:eastAsia="en-CA"/>
        </w:rPr>
      </w:pPr>
    </w:p>
    <w:p w:rsidR="008F5EB8" w:rsidRPr="00003B04" w:rsidRDefault="008F5EB8">
      <w:r w:rsidRPr="00003B04">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E4290" w:rsidRPr="00003B04" w:rsidTr="00EE4290">
        <w:tc>
          <w:tcPr>
            <w:tcW w:w="543" w:type="pct"/>
          </w:tcPr>
          <w:p w:rsidR="00EE4290" w:rsidRPr="00003B04" w:rsidRDefault="00EE4290" w:rsidP="00EE4290">
            <w:pPr>
              <w:jc w:val="both"/>
              <w:rPr>
                <w:sz w:val="20"/>
              </w:rPr>
            </w:pPr>
            <w:r w:rsidRPr="00003B04">
              <w:rPr>
                <w:rStyle w:val="SCCFileNumberChar"/>
                <w:sz w:val="20"/>
                <w:szCs w:val="20"/>
              </w:rPr>
              <w:lastRenderedPageBreak/>
              <w:t>37051</w:t>
            </w:r>
          </w:p>
        </w:tc>
        <w:tc>
          <w:tcPr>
            <w:tcW w:w="4457" w:type="pct"/>
            <w:gridSpan w:val="3"/>
          </w:tcPr>
          <w:p w:rsidR="00EE4290" w:rsidRPr="00003B04" w:rsidRDefault="00EE4290" w:rsidP="00EE4290">
            <w:pPr>
              <w:pStyle w:val="SCCLsocParty"/>
              <w:jc w:val="both"/>
              <w:rPr>
                <w:b/>
                <w:sz w:val="20"/>
                <w:szCs w:val="20"/>
                <w:lang w:val="en-CA"/>
              </w:rPr>
            </w:pPr>
            <w:r w:rsidRPr="00003B04">
              <w:rPr>
                <w:b/>
                <w:sz w:val="20"/>
                <w:szCs w:val="20"/>
                <w:lang w:val="en-CA"/>
              </w:rPr>
              <w:t xml:space="preserve">Harry </w:t>
            </w:r>
            <w:proofErr w:type="spellStart"/>
            <w:r w:rsidRPr="00003B04">
              <w:rPr>
                <w:b/>
                <w:sz w:val="20"/>
                <w:szCs w:val="20"/>
                <w:lang w:val="en-CA"/>
              </w:rPr>
              <w:t>Mansuy</w:t>
            </w:r>
            <w:proofErr w:type="spellEnd"/>
            <w:r w:rsidRPr="00003B04">
              <w:rPr>
                <w:b/>
                <w:sz w:val="20"/>
                <w:szCs w:val="20"/>
                <w:lang w:val="en-CA"/>
              </w:rPr>
              <w:t xml:space="preserve"> v. A.A. in her capacity as tutor to property of a person of full age, R.L.</w:t>
            </w:r>
          </w:p>
          <w:p w:rsidR="00EE4290" w:rsidRPr="00003B04" w:rsidRDefault="00EE4290" w:rsidP="00EE4290">
            <w:pPr>
              <w:jc w:val="both"/>
              <w:rPr>
                <w:sz w:val="20"/>
              </w:rPr>
            </w:pPr>
            <w:r w:rsidRPr="00003B04">
              <w:rPr>
                <w:sz w:val="20"/>
              </w:rPr>
              <w:t>(Que.) (Civil) (By Leave)</w:t>
            </w:r>
          </w:p>
        </w:tc>
      </w:tr>
      <w:tr w:rsidR="00AC0490" w:rsidRPr="00003B04" w:rsidTr="00EE4290">
        <w:tc>
          <w:tcPr>
            <w:tcW w:w="543" w:type="pct"/>
          </w:tcPr>
          <w:p w:rsidR="00AC0490" w:rsidRPr="00003B04" w:rsidRDefault="00AC0490" w:rsidP="00EE4290">
            <w:pPr>
              <w:jc w:val="both"/>
              <w:rPr>
                <w:rStyle w:val="SCCFileNumberChar"/>
                <w:sz w:val="20"/>
                <w:szCs w:val="20"/>
              </w:rPr>
            </w:pPr>
            <w:r w:rsidRPr="00003B04">
              <w:rPr>
                <w:rStyle w:val="SCCFileNumberChar"/>
                <w:sz w:val="20"/>
                <w:szCs w:val="20"/>
              </w:rPr>
              <w:t>Coram:</w:t>
            </w:r>
          </w:p>
        </w:tc>
        <w:tc>
          <w:tcPr>
            <w:tcW w:w="4457" w:type="pct"/>
            <w:gridSpan w:val="3"/>
          </w:tcPr>
          <w:p w:rsidR="00AC0490" w:rsidRPr="00003B04" w:rsidRDefault="005A5AB4" w:rsidP="00EE4290">
            <w:pPr>
              <w:pStyle w:val="SCCLsocParty"/>
              <w:jc w:val="both"/>
              <w:rPr>
                <w:rFonts w:eastAsiaTheme="minorEastAsia"/>
                <w:sz w:val="20"/>
                <w:szCs w:val="20"/>
                <w:lang w:val="en-CA" w:eastAsia="en-CA"/>
              </w:rPr>
            </w:pPr>
            <w:proofErr w:type="spellStart"/>
            <w:r w:rsidRPr="00003B04">
              <w:rPr>
                <w:rFonts w:eastAsiaTheme="minorEastAsia"/>
                <w:sz w:val="20"/>
                <w:szCs w:val="20"/>
                <w:lang w:val="en-CA" w:eastAsia="en-CA"/>
              </w:rPr>
              <w:t>McLachlin</w:t>
            </w:r>
            <w:proofErr w:type="spellEnd"/>
            <w:r w:rsidRPr="00003B04">
              <w:rPr>
                <w:rFonts w:eastAsiaTheme="minorEastAsia"/>
                <w:sz w:val="20"/>
                <w:szCs w:val="20"/>
                <w:lang w:val="en-CA" w:eastAsia="en-CA"/>
              </w:rPr>
              <w:t xml:space="preserve"> C.J. and </w:t>
            </w:r>
            <w:proofErr w:type="spellStart"/>
            <w:r w:rsidRPr="00003B04">
              <w:rPr>
                <w:rFonts w:eastAsiaTheme="minorEastAsia"/>
                <w:sz w:val="20"/>
                <w:szCs w:val="20"/>
                <w:lang w:val="en-CA" w:eastAsia="en-CA"/>
              </w:rPr>
              <w:t>Abella</w:t>
            </w:r>
            <w:proofErr w:type="spellEnd"/>
            <w:r w:rsidRPr="00003B04">
              <w:rPr>
                <w:rFonts w:eastAsiaTheme="minorEastAsia"/>
                <w:sz w:val="20"/>
                <w:szCs w:val="20"/>
                <w:lang w:val="en-CA" w:eastAsia="en-CA"/>
              </w:rPr>
              <w:t xml:space="preserve">, </w:t>
            </w:r>
            <w:proofErr w:type="spellStart"/>
            <w:r w:rsidRPr="00003B04">
              <w:rPr>
                <w:rFonts w:eastAsiaTheme="minorEastAsia"/>
                <w:sz w:val="20"/>
                <w:szCs w:val="20"/>
                <w:lang w:val="en-CA" w:eastAsia="en-CA"/>
              </w:rPr>
              <w:t>Moldaver</w:t>
            </w:r>
            <w:proofErr w:type="spellEnd"/>
            <w:r w:rsidRPr="00003B04">
              <w:rPr>
                <w:rFonts w:eastAsiaTheme="minorEastAsia"/>
                <w:sz w:val="20"/>
                <w:szCs w:val="20"/>
                <w:lang w:val="en-CA" w:eastAsia="en-CA"/>
              </w:rPr>
              <w:t xml:space="preserve">, </w:t>
            </w:r>
            <w:proofErr w:type="spellStart"/>
            <w:r w:rsidRPr="00003B04">
              <w:rPr>
                <w:rFonts w:eastAsiaTheme="minorEastAsia"/>
                <w:sz w:val="20"/>
                <w:szCs w:val="20"/>
                <w:lang w:val="en-CA" w:eastAsia="en-CA"/>
              </w:rPr>
              <w:t>Karakatsanis</w:t>
            </w:r>
            <w:proofErr w:type="spellEnd"/>
            <w:r w:rsidRPr="00003B04">
              <w:rPr>
                <w:rFonts w:eastAsiaTheme="minorEastAsia"/>
                <w:sz w:val="20"/>
                <w:szCs w:val="20"/>
                <w:lang w:val="en-CA" w:eastAsia="en-CA"/>
              </w:rPr>
              <w:t xml:space="preserve">, Wagner, </w:t>
            </w:r>
            <w:proofErr w:type="spellStart"/>
            <w:r w:rsidRPr="00003B04">
              <w:rPr>
                <w:rFonts w:eastAsiaTheme="minorEastAsia"/>
                <w:sz w:val="20"/>
                <w:szCs w:val="20"/>
                <w:lang w:val="en-CA" w:eastAsia="en-CA"/>
              </w:rPr>
              <w:t>Gascon</w:t>
            </w:r>
            <w:proofErr w:type="spellEnd"/>
            <w:r w:rsidRPr="00003B04">
              <w:rPr>
                <w:rFonts w:eastAsiaTheme="minorEastAsia"/>
                <w:sz w:val="20"/>
                <w:szCs w:val="20"/>
                <w:lang w:val="en-CA" w:eastAsia="en-CA"/>
              </w:rPr>
              <w:t xml:space="preserve">, </w:t>
            </w:r>
            <w:proofErr w:type="spellStart"/>
            <w:r w:rsidRPr="00003B04">
              <w:rPr>
                <w:rFonts w:eastAsiaTheme="minorEastAsia"/>
                <w:sz w:val="20"/>
                <w:szCs w:val="20"/>
                <w:lang w:val="en-CA" w:eastAsia="en-CA"/>
              </w:rPr>
              <w:t>Côté</w:t>
            </w:r>
            <w:proofErr w:type="spellEnd"/>
            <w:r w:rsidRPr="00003B04">
              <w:rPr>
                <w:rFonts w:eastAsiaTheme="minorEastAsia"/>
                <w:sz w:val="20"/>
                <w:szCs w:val="20"/>
                <w:lang w:val="en-CA" w:eastAsia="en-CA"/>
              </w:rPr>
              <w:t>, Brown and Rowe JJ.</w:t>
            </w:r>
          </w:p>
          <w:p w:rsidR="005A5AB4" w:rsidRPr="00003B04" w:rsidRDefault="005A5AB4" w:rsidP="005A5AB4">
            <w:pPr>
              <w:rPr>
                <w:lang w:eastAsia="en-CA"/>
              </w:rPr>
            </w:pPr>
          </w:p>
        </w:tc>
      </w:tr>
      <w:tr w:rsidR="00AC0490" w:rsidRPr="00003B04" w:rsidTr="00AC0490">
        <w:tc>
          <w:tcPr>
            <w:tcW w:w="5000" w:type="pct"/>
            <w:gridSpan w:val="4"/>
          </w:tcPr>
          <w:p w:rsidR="00AC0490" w:rsidRPr="00003B04" w:rsidRDefault="005A5AB4" w:rsidP="00EE4290">
            <w:pPr>
              <w:pStyle w:val="SCCLsocParty"/>
              <w:jc w:val="both"/>
              <w:rPr>
                <w:sz w:val="20"/>
                <w:szCs w:val="20"/>
                <w:lang w:val="en-CA"/>
              </w:rPr>
            </w:pPr>
            <w:r w:rsidRPr="00003B04">
              <w:rPr>
                <w:sz w:val="20"/>
                <w:szCs w:val="20"/>
                <w:lang w:val="en-CA"/>
              </w:rPr>
              <w:t>The application for leave to appeal from the judgment of the Court of Appeal of Quebec (Montréal), Number 500-09-026002-162, 2016 QCCA 840, dated May 6, 2016, is dismissed.</w:t>
            </w:r>
          </w:p>
          <w:p w:rsidR="005A5AB4" w:rsidRPr="00003B04" w:rsidRDefault="005A5AB4" w:rsidP="005A5AB4"/>
        </w:tc>
      </w:tr>
      <w:tr w:rsidR="00EE4290" w:rsidRPr="00003B04" w:rsidTr="00EE4290">
        <w:tc>
          <w:tcPr>
            <w:tcW w:w="5000" w:type="pct"/>
            <w:gridSpan w:val="4"/>
          </w:tcPr>
          <w:p w:rsidR="00EE4290" w:rsidRPr="00003B04" w:rsidRDefault="00EE4290" w:rsidP="00EE4290">
            <w:pPr>
              <w:jc w:val="both"/>
              <w:rPr>
                <w:sz w:val="20"/>
              </w:rPr>
            </w:pPr>
            <w:r w:rsidRPr="00003B04">
              <w:rPr>
                <w:sz w:val="20"/>
              </w:rPr>
              <w:t>Civil procedure – Leave to appeal – Whether Court of Appeal erred in refusing leave to appeal.</w:t>
            </w:r>
          </w:p>
        </w:tc>
      </w:tr>
      <w:tr w:rsidR="00EE4290" w:rsidRPr="00003B04" w:rsidTr="00EE4290">
        <w:tc>
          <w:tcPr>
            <w:tcW w:w="5000" w:type="pct"/>
            <w:gridSpan w:val="4"/>
          </w:tcPr>
          <w:p w:rsidR="00EE4290" w:rsidRPr="00003B04" w:rsidRDefault="00EE4290" w:rsidP="00EE4290">
            <w:pPr>
              <w:jc w:val="both"/>
              <w:rPr>
                <w:sz w:val="20"/>
              </w:rPr>
            </w:pPr>
          </w:p>
        </w:tc>
      </w:tr>
      <w:tr w:rsidR="00EE4290" w:rsidRPr="00003B04" w:rsidTr="00EE4290">
        <w:tc>
          <w:tcPr>
            <w:tcW w:w="5000" w:type="pct"/>
            <w:gridSpan w:val="4"/>
          </w:tcPr>
          <w:p w:rsidR="00EE4290" w:rsidRPr="00003B04" w:rsidRDefault="00EE4290" w:rsidP="00EE4290">
            <w:pPr>
              <w:jc w:val="both"/>
              <w:rPr>
                <w:sz w:val="20"/>
              </w:rPr>
            </w:pPr>
            <w:r w:rsidRPr="00003B04">
              <w:rPr>
                <w:sz w:val="20"/>
              </w:rPr>
              <w:t>The respondent A.A. was the tutor to property of her mother, Ms. L. She brought an action in the Court of Québec claiming $45,000 from the applicant Mr. </w:t>
            </w:r>
            <w:proofErr w:type="spellStart"/>
            <w:r w:rsidRPr="00003B04">
              <w:rPr>
                <w:sz w:val="20"/>
              </w:rPr>
              <w:t>Mansuy</w:t>
            </w:r>
            <w:proofErr w:type="spellEnd"/>
            <w:r w:rsidRPr="00003B04">
              <w:rPr>
                <w:sz w:val="20"/>
              </w:rPr>
              <w:t>. She argued that Mr. </w:t>
            </w:r>
            <w:proofErr w:type="spellStart"/>
            <w:r w:rsidRPr="00003B04">
              <w:rPr>
                <w:sz w:val="20"/>
              </w:rPr>
              <w:t>Mansuy</w:t>
            </w:r>
            <w:proofErr w:type="spellEnd"/>
            <w:r w:rsidRPr="00003B04">
              <w:rPr>
                <w:sz w:val="20"/>
              </w:rPr>
              <w:t xml:space="preserve"> had received that amount from Ms. L. in repayment of a loan that had never existed. In the alternative, she alleged that Ms. L.’s state of health made her incapable or unable to give consent to an acknowledgement of debt signed in July 2012.</w:t>
            </w:r>
          </w:p>
          <w:p w:rsidR="00EE4290" w:rsidRPr="00003B04" w:rsidRDefault="00EE4290" w:rsidP="00EE4290">
            <w:pPr>
              <w:jc w:val="both"/>
              <w:rPr>
                <w:sz w:val="20"/>
              </w:rPr>
            </w:pPr>
          </w:p>
          <w:p w:rsidR="00EE4290" w:rsidRPr="00003B04" w:rsidRDefault="00EE4290" w:rsidP="00EE4290">
            <w:pPr>
              <w:jc w:val="both"/>
              <w:rPr>
                <w:sz w:val="20"/>
              </w:rPr>
            </w:pPr>
            <w:r w:rsidRPr="00003B04">
              <w:rPr>
                <w:sz w:val="20"/>
              </w:rPr>
              <w:t>Judge Messier allowed Ms. A.’s action, finding that Mr. </w:t>
            </w:r>
            <w:proofErr w:type="spellStart"/>
            <w:r w:rsidRPr="00003B04">
              <w:rPr>
                <w:sz w:val="20"/>
              </w:rPr>
              <w:t>Mansuy’s</w:t>
            </w:r>
            <w:proofErr w:type="spellEnd"/>
            <w:r w:rsidRPr="00003B04">
              <w:rPr>
                <w:sz w:val="20"/>
              </w:rPr>
              <w:t xml:space="preserve"> testimony was not credible (para. 32) and that, based on the evidence, he had never given Ms. L. the sum of money in question (paras. 37</w:t>
            </w:r>
            <w:r w:rsidRPr="00003B04">
              <w:rPr>
                <w:sz w:val="20"/>
              </w:rPr>
              <w:noBreakHyphen/>
              <w:t>38). The judge added that, even if the loan had existed, it would have had to be annulled under art. 290 C.C.Q. because the evidence showed that Mr. </w:t>
            </w:r>
            <w:proofErr w:type="spellStart"/>
            <w:r w:rsidRPr="00003B04">
              <w:rPr>
                <w:sz w:val="20"/>
              </w:rPr>
              <w:t>Mansuy</w:t>
            </w:r>
            <w:proofErr w:type="spellEnd"/>
            <w:r w:rsidRPr="00003B04">
              <w:rPr>
                <w:sz w:val="20"/>
              </w:rPr>
              <w:t xml:space="preserve"> knew of Ms. L.’s incapacity at the relevant time (paras. 42</w:t>
            </w:r>
            <w:r w:rsidRPr="00003B04">
              <w:rPr>
                <w:sz w:val="20"/>
              </w:rPr>
              <w:noBreakHyphen/>
              <w:t>43).</w:t>
            </w:r>
          </w:p>
          <w:p w:rsidR="00EE4290" w:rsidRPr="00003B04" w:rsidRDefault="00EE4290" w:rsidP="00EE4290">
            <w:pPr>
              <w:jc w:val="both"/>
              <w:rPr>
                <w:sz w:val="20"/>
              </w:rPr>
            </w:pPr>
          </w:p>
          <w:p w:rsidR="00EE4290" w:rsidRPr="00003B04" w:rsidRDefault="00EE4290" w:rsidP="00EE4290">
            <w:pPr>
              <w:jc w:val="both"/>
              <w:rPr>
                <w:sz w:val="20"/>
              </w:rPr>
            </w:pPr>
            <w:proofErr w:type="spellStart"/>
            <w:r w:rsidRPr="00003B04">
              <w:rPr>
                <w:sz w:val="20"/>
              </w:rPr>
              <w:t>Vauclair</w:t>
            </w:r>
            <w:proofErr w:type="spellEnd"/>
            <w:r w:rsidRPr="00003B04">
              <w:rPr>
                <w:sz w:val="20"/>
              </w:rPr>
              <w:t> J.A. of the Court of Appeal dismissed the motion for leave to appeal. He noted that, under art. 30 C.C.P., leave to appeal could be granted only if it was shown that there was an issue of law that should be submitted to the Court of Appeal. He also noted that, in exercising his discretion, he had to consider [</w:t>
            </w:r>
            <w:r w:rsidRPr="00003B04">
              <w:rPr>
                <w:smallCaps/>
                <w:sz w:val="20"/>
              </w:rPr>
              <w:t>translation</w:t>
            </w:r>
            <w:r w:rsidRPr="00003B04">
              <w:rPr>
                <w:rFonts w:asciiTheme="minorBidi" w:hAnsiTheme="minorBidi"/>
                <w:sz w:val="20"/>
              </w:rPr>
              <w:t>]</w:t>
            </w:r>
            <w:r w:rsidRPr="00003B04">
              <w:rPr>
                <w:sz w:val="20"/>
              </w:rPr>
              <w:t xml:space="preserve"> “administrative form and the interests of justice, principles that incorporate a rule of proportionality in litigation”.</w:t>
            </w:r>
          </w:p>
          <w:p w:rsidR="00EE4290" w:rsidRPr="00003B04" w:rsidRDefault="00EE4290" w:rsidP="00EE4290">
            <w:pPr>
              <w:jc w:val="both"/>
              <w:rPr>
                <w:sz w:val="20"/>
              </w:rPr>
            </w:pPr>
          </w:p>
        </w:tc>
      </w:tr>
      <w:tr w:rsidR="00EE4290" w:rsidRPr="00003B04" w:rsidTr="00EE4290">
        <w:tc>
          <w:tcPr>
            <w:tcW w:w="2427" w:type="pct"/>
            <w:gridSpan w:val="2"/>
          </w:tcPr>
          <w:p w:rsidR="00EE4290" w:rsidRPr="00003B04" w:rsidRDefault="00EE4290" w:rsidP="00EE4290">
            <w:pPr>
              <w:jc w:val="both"/>
              <w:rPr>
                <w:sz w:val="20"/>
              </w:rPr>
            </w:pPr>
            <w:r w:rsidRPr="00003B04">
              <w:rPr>
                <w:sz w:val="20"/>
              </w:rPr>
              <w:t>February 23, 2016</w:t>
            </w:r>
          </w:p>
          <w:p w:rsidR="00EE4290" w:rsidRPr="00003B04" w:rsidRDefault="00EE4290" w:rsidP="00EE4290">
            <w:pPr>
              <w:jc w:val="both"/>
              <w:rPr>
                <w:sz w:val="20"/>
              </w:rPr>
            </w:pPr>
            <w:r w:rsidRPr="00003B04">
              <w:rPr>
                <w:sz w:val="20"/>
              </w:rPr>
              <w:t>Court of Québec</w:t>
            </w:r>
          </w:p>
          <w:p w:rsidR="00EE4290" w:rsidRPr="00003B04" w:rsidRDefault="00EE4290" w:rsidP="00EE4290">
            <w:pPr>
              <w:jc w:val="both"/>
              <w:rPr>
                <w:sz w:val="20"/>
              </w:rPr>
            </w:pPr>
            <w:r w:rsidRPr="00003B04">
              <w:rPr>
                <w:sz w:val="20"/>
              </w:rPr>
              <w:t>(Judge Messier)</w:t>
            </w:r>
          </w:p>
          <w:p w:rsidR="00EE4290" w:rsidRPr="00003B04" w:rsidRDefault="00604445" w:rsidP="00EE4290">
            <w:pPr>
              <w:jc w:val="both"/>
              <w:rPr>
                <w:sz w:val="20"/>
              </w:rPr>
            </w:pPr>
            <w:hyperlink r:id="rId101" w:history="1">
              <w:r w:rsidR="00EE4290" w:rsidRPr="00003B04">
                <w:rPr>
                  <w:rStyle w:val="Hyperlink"/>
                  <w:sz w:val="20"/>
                </w:rPr>
                <w:t>2016 QCCQ 1609</w:t>
              </w:r>
            </w:hyperlink>
          </w:p>
        </w:tc>
        <w:tc>
          <w:tcPr>
            <w:tcW w:w="243" w:type="pct"/>
          </w:tcPr>
          <w:p w:rsidR="00EE4290" w:rsidRPr="00003B04" w:rsidRDefault="00EE4290" w:rsidP="00EE4290">
            <w:pPr>
              <w:jc w:val="both"/>
              <w:rPr>
                <w:sz w:val="20"/>
              </w:rPr>
            </w:pPr>
          </w:p>
        </w:tc>
        <w:tc>
          <w:tcPr>
            <w:tcW w:w="2330" w:type="pct"/>
          </w:tcPr>
          <w:p w:rsidR="00EE4290" w:rsidRPr="00003B04" w:rsidRDefault="00EE4290" w:rsidP="00EE4290">
            <w:pPr>
              <w:jc w:val="both"/>
              <w:rPr>
                <w:sz w:val="20"/>
              </w:rPr>
            </w:pPr>
            <w:r w:rsidRPr="00003B04">
              <w:rPr>
                <w:sz w:val="20"/>
              </w:rPr>
              <w:t>Motion to institute proceedings allowed; applicant ordered to pay respondent $45,400.00 plus interest and additional indemnity</w:t>
            </w:r>
          </w:p>
          <w:p w:rsidR="00EE4290" w:rsidRPr="00003B04" w:rsidRDefault="00EE4290" w:rsidP="00EE4290">
            <w:pPr>
              <w:jc w:val="both"/>
              <w:rPr>
                <w:sz w:val="20"/>
              </w:rPr>
            </w:pPr>
          </w:p>
          <w:p w:rsidR="00EE4290" w:rsidRPr="00003B04" w:rsidRDefault="00EE4290" w:rsidP="00EE4290">
            <w:pPr>
              <w:jc w:val="both"/>
              <w:rPr>
                <w:sz w:val="20"/>
              </w:rPr>
            </w:pPr>
          </w:p>
        </w:tc>
      </w:tr>
      <w:tr w:rsidR="00EE4290" w:rsidRPr="00003B04" w:rsidTr="00EE4290">
        <w:tc>
          <w:tcPr>
            <w:tcW w:w="2427" w:type="pct"/>
            <w:gridSpan w:val="2"/>
          </w:tcPr>
          <w:p w:rsidR="00EE4290" w:rsidRPr="00003B04" w:rsidRDefault="00EE4290" w:rsidP="00EE4290">
            <w:pPr>
              <w:jc w:val="both"/>
              <w:rPr>
                <w:sz w:val="20"/>
              </w:rPr>
            </w:pPr>
            <w:r w:rsidRPr="00003B04">
              <w:rPr>
                <w:sz w:val="20"/>
              </w:rPr>
              <w:t>May 6, 2016</w:t>
            </w:r>
          </w:p>
          <w:p w:rsidR="00EE4290" w:rsidRPr="00003B04" w:rsidRDefault="00EE4290" w:rsidP="00EE4290">
            <w:pPr>
              <w:jc w:val="both"/>
              <w:rPr>
                <w:sz w:val="20"/>
              </w:rPr>
            </w:pPr>
            <w:r w:rsidRPr="00003B04">
              <w:rPr>
                <w:sz w:val="20"/>
              </w:rPr>
              <w:t>Quebec Court of Appeal (Montréal)</w:t>
            </w:r>
          </w:p>
          <w:p w:rsidR="00EE4290" w:rsidRPr="00003B04" w:rsidRDefault="00EE4290" w:rsidP="00EE4290">
            <w:pPr>
              <w:jc w:val="both"/>
              <w:rPr>
                <w:sz w:val="20"/>
              </w:rPr>
            </w:pPr>
            <w:r w:rsidRPr="00003B04">
              <w:rPr>
                <w:sz w:val="20"/>
              </w:rPr>
              <w:t>(</w:t>
            </w:r>
            <w:proofErr w:type="spellStart"/>
            <w:r w:rsidRPr="00003B04">
              <w:rPr>
                <w:sz w:val="20"/>
              </w:rPr>
              <w:t>Vauclair</w:t>
            </w:r>
            <w:proofErr w:type="spellEnd"/>
            <w:r w:rsidRPr="00003B04">
              <w:rPr>
                <w:sz w:val="20"/>
              </w:rPr>
              <w:t xml:space="preserve"> J.A.)</w:t>
            </w:r>
          </w:p>
          <w:p w:rsidR="00EE4290" w:rsidRPr="00003B04" w:rsidRDefault="00EE4290" w:rsidP="00EE4290">
            <w:pPr>
              <w:jc w:val="both"/>
              <w:rPr>
                <w:sz w:val="20"/>
              </w:rPr>
            </w:pPr>
            <w:r w:rsidRPr="00003B04">
              <w:rPr>
                <w:sz w:val="20"/>
              </w:rPr>
              <w:t>500-09-026002-162</w:t>
            </w:r>
          </w:p>
          <w:p w:rsidR="00EE4290" w:rsidRPr="00003B04" w:rsidRDefault="00604445" w:rsidP="00EE4290">
            <w:pPr>
              <w:jc w:val="both"/>
              <w:rPr>
                <w:sz w:val="20"/>
              </w:rPr>
            </w:pPr>
            <w:hyperlink r:id="rId102" w:history="1">
              <w:r w:rsidR="00EE4290" w:rsidRPr="00003B04">
                <w:rPr>
                  <w:rStyle w:val="Hyperlink"/>
                  <w:sz w:val="20"/>
                </w:rPr>
                <w:t>2016 QCCA 840</w:t>
              </w:r>
            </w:hyperlink>
          </w:p>
          <w:p w:rsidR="00EE4290" w:rsidRPr="00003B04" w:rsidRDefault="00EE4290" w:rsidP="00EE4290">
            <w:pPr>
              <w:jc w:val="both"/>
              <w:rPr>
                <w:sz w:val="20"/>
              </w:rPr>
            </w:pPr>
          </w:p>
        </w:tc>
        <w:tc>
          <w:tcPr>
            <w:tcW w:w="243" w:type="pct"/>
          </w:tcPr>
          <w:p w:rsidR="00EE4290" w:rsidRPr="00003B04" w:rsidRDefault="00EE4290" w:rsidP="00EE4290">
            <w:pPr>
              <w:jc w:val="both"/>
              <w:rPr>
                <w:sz w:val="20"/>
              </w:rPr>
            </w:pPr>
          </w:p>
        </w:tc>
        <w:tc>
          <w:tcPr>
            <w:tcW w:w="2330" w:type="pct"/>
          </w:tcPr>
          <w:p w:rsidR="00EE4290" w:rsidRPr="00003B04" w:rsidRDefault="00EE4290" w:rsidP="00EE4290">
            <w:pPr>
              <w:jc w:val="both"/>
              <w:rPr>
                <w:sz w:val="20"/>
              </w:rPr>
            </w:pPr>
            <w:r w:rsidRPr="00003B04">
              <w:rPr>
                <w:sz w:val="20"/>
              </w:rPr>
              <w:t>Motion for leave to appeal dismissed</w:t>
            </w:r>
          </w:p>
          <w:p w:rsidR="00EE4290" w:rsidRPr="00003B04" w:rsidRDefault="00EE4290" w:rsidP="00EE4290">
            <w:pPr>
              <w:jc w:val="both"/>
              <w:rPr>
                <w:sz w:val="20"/>
              </w:rPr>
            </w:pPr>
          </w:p>
        </w:tc>
      </w:tr>
    </w:tbl>
    <w:p w:rsidR="005A5AB4" w:rsidRPr="00003B04" w:rsidRDefault="005A5AB4"/>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E4290" w:rsidRPr="00003B04" w:rsidTr="00EE4290">
        <w:tc>
          <w:tcPr>
            <w:tcW w:w="2427" w:type="pct"/>
          </w:tcPr>
          <w:p w:rsidR="00EE4290" w:rsidRPr="00003B04" w:rsidRDefault="00EE4290" w:rsidP="00EE4290">
            <w:pPr>
              <w:jc w:val="both"/>
              <w:rPr>
                <w:sz w:val="20"/>
              </w:rPr>
            </w:pPr>
            <w:r w:rsidRPr="00003B04">
              <w:rPr>
                <w:sz w:val="20"/>
              </w:rPr>
              <w:t>June 6, 2016</w:t>
            </w:r>
          </w:p>
          <w:p w:rsidR="00EE4290" w:rsidRPr="00003B04" w:rsidRDefault="00EE4290" w:rsidP="00EE4290">
            <w:pPr>
              <w:jc w:val="both"/>
              <w:rPr>
                <w:sz w:val="20"/>
              </w:rPr>
            </w:pPr>
            <w:r w:rsidRPr="00003B04">
              <w:rPr>
                <w:sz w:val="20"/>
              </w:rPr>
              <w:t>Supreme Court of Canada</w:t>
            </w:r>
          </w:p>
          <w:p w:rsidR="00EE4290" w:rsidRPr="00003B04" w:rsidRDefault="00EE4290" w:rsidP="00EE4290">
            <w:pPr>
              <w:jc w:val="both"/>
              <w:rPr>
                <w:sz w:val="20"/>
              </w:rPr>
            </w:pPr>
          </w:p>
        </w:tc>
        <w:tc>
          <w:tcPr>
            <w:tcW w:w="243" w:type="pct"/>
          </w:tcPr>
          <w:p w:rsidR="00EE4290" w:rsidRPr="00003B04" w:rsidRDefault="00EE4290" w:rsidP="00EE4290">
            <w:pPr>
              <w:jc w:val="both"/>
              <w:rPr>
                <w:sz w:val="20"/>
              </w:rPr>
            </w:pPr>
          </w:p>
        </w:tc>
        <w:tc>
          <w:tcPr>
            <w:tcW w:w="2330" w:type="pct"/>
          </w:tcPr>
          <w:p w:rsidR="00EE4290" w:rsidRPr="00003B04" w:rsidRDefault="00EE4290" w:rsidP="00EE4290">
            <w:pPr>
              <w:jc w:val="both"/>
              <w:rPr>
                <w:sz w:val="20"/>
              </w:rPr>
            </w:pPr>
            <w:r w:rsidRPr="00003B04">
              <w:rPr>
                <w:sz w:val="20"/>
              </w:rPr>
              <w:t>Application for leave to appeal filed</w:t>
            </w:r>
          </w:p>
          <w:p w:rsidR="00EE4290" w:rsidRPr="00003B04" w:rsidRDefault="00EE4290" w:rsidP="00EE4290">
            <w:pPr>
              <w:jc w:val="both"/>
              <w:rPr>
                <w:sz w:val="20"/>
              </w:rPr>
            </w:pPr>
          </w:p>
        </w:tc>
      </w:tr>
    </w:tbl>
    <w:p w:rsidR="00EE4290" w:rsidRPr="00003B04" w:rsidRDefault="00604445" w:rsidP="00EE4290">
      <w:pPr>
        <w:jc w:val="both"/>
        <w:rPr>
          <w:sz w:val="20"/>
        </w:rPr>
      </w:pPr>
      <w:r>
        <w:rPr>
          <w:sz w:val="20"/>
          <w:szCs w:val="20"/>
        </w:rPr>
        <w:pict>
          <v:rect id="_x0000_i1089" style="width:2in;height:1pt" o:hrpct="0" o:hralign="center" o:hrstd="t" o:hrnoshade="t" o:hr="t" fillcolor="black [3213]" stroked="f"/>
        </w:pict>
      </w:r>
    </w:p>
    <w:p w:rsidR="00EE4290" w:rsidRPr="00003B04" w:rsidRDefault="00EE4290" w:rsidP="00EE4290">
      <w:pPr>
        <w:jc w:val="both"/>
        <w:rPr>
          <w:sz w:val="20"/>
        </w:rPr>
      </w:pPr>
    </w:p>
    <w:p w:rsidR="008F5EB8" w:rsidRPr="00003B04" w:rsidRDefault="008F5EB8">
      <w:r w:rsidRPr="00003B04">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E4290" w:rsidRPr="00C3697D" w:rsidTr="00EE4290">
        <w:tc>
          <w:tcPr>
            <w:tcW w:w="543" w:type="pct"/>
          </w:tcPr>
          <w:p w:rsidR="00EE4290" w:rsidRPr="00003B04" w:rsidRDefault="00EE4290" w:rsidP="00EE4290">
            <w:pPr>
              <w:jc w:val="both"/>
              <w:rPr>
                <w:sz w:val="20"/>
              </w:rPr>
            </w:pPr>
            <w:r w:rsidRPr="00003B04">
              <w:rPr>
                <w:rStyle w:val="SCCFileNumberChar"/>
                <w:sz w:val="20"/>
                <w:szCs w:val="20"/>
              </w:rPr>
              <w:lastRenderedPageBreak/>
              <w:t>37051</w:t>
            </w:r>
          </w:p>
        </w:tc>
        <w:tc>
          <w:tcPr>
            <w:tcW w:w="4457" w:type="pct"/>
            <w:gridSpan w:val="3"/>
          </w:tcPr>
          <w:p w:rsidR="00EE4290" w:rsidRPr="00003B04" w:rsidRDefault="00EE4290" w:rsidP="00767A6B">
            <w:pPr>
              <w:pStyle w:val="SCCLsocParty"/>
              <w:jc w:val="both"/>
              <w:rPr>
                <w:sz w:val="20"/>
              </w:rPr>
            </w:pPr>
            <w:r w:rsidRPr="00003B04">
              <w:rPr>
                <w:b/>
                <w:sz w:val="20"/>
                <w:szCs w:val="20"/>
              </w:rPr>
              <w:t xml:space="preserve">Harry </w:t>
            </w:r>
            <w:proofErr w:type="spellStart"/>
            <w:r w:rsidRPr="00003B04">
              <w:rPr>
                <w:b/>
                <w:sz w:val="20"/>
                <w:szCs w:val="20"/>
              </w:rPr>
              <w:t>Mansuy</w:t>
            </w:r>
            <w:proofErr w:type="spellEnd"/>
            <w:r w:rsidRPr="00003B04">
              <w:rPr>
                <w:b/>
                <w:sz w:val="20"/>
                <w:szCs w:val="20"/>
              </w:rPr>
              <w:t xml:space="preserve"> c. A.A. en sa qualité de tutrice aux biens de la majeure R.L.</w:t>
            </w:r>
            <w:r w:rsidR="00767A6B" w:rsidRPr="00003B04">
              <w:rPr>
                <w:b/>
                <w:sz w:val="20"/>
                <w:szCs w:val="20"/>
              </w:rPr>
              <w:t xml:space="preserve"> </w:t>
            </w:r>
            <w:r w:rsidRPr="00003B04">
              <w:rPr>
                <w:sz w:val="20"/>
              </w:rPr>
              <w:t>(</w:t>
            </w:r>
            <w:proofErr w:type="spellStart"/>
            <w:r w:rsidRPr="00003B04">
              <w:rPr>
                <w:sz w:val="20"/>
              </w:rPr>
              <w:t>Qc</w:t>
            </w:r>
            <w:proofErr w:type="spellEnd"/>
            <w:r w:rsidRPr="00003B04">
              <w:rPr>
                <w:sz w:val="20"/>
              </w:rPr>
              <w:t>) (Civile) (Autorisation)</w:t>
            </w:r>
          </w:p>
          <w:p w:rsidR="00767A6B" w:rsidRPr="00003B04" w:rsidRDefault="00767A6B" w:rsidP="00767A6B">
            <w:pPr>
              <w:rPr>
                <w:lang w:val="fr-CA"/>
              </w:rPr>
            </w:pPr>
          </w:p>
        </w:tc>
      </w:tr>
      <w:tr w:rsidR="00AC0490" w:rsidRPr="00C3697D" w:rsidTr="00EE4290">
        <w:tc>
          <w:tcPr>
            <w:tcW w:w="543" w:type="pct"/>
          </w:tcPr>
          <w:p w:rsidR="00AC0490" w:rsidRPr="00003B04" w:rsidRDefault="00AC0490" w:rsidP="00EE4290">
            <w:pPr>
              <w:jc w:val="both"/>
              <w:rPr>
                <w:rStyle w:val="SCCFileNumberChar"/>
                <w:sz w:val="20"/>
                <w:szCs w:val="20"/>
              </w:rPr>
            </w:pPr>
            <w:r w:rsidRPr="00003B04">
              <w:rPr>
                <w:rStyle w:val="SCCFileNumberChar"/>
                <w:sz w:val="20"/>
                <w:szCs w:val="20"/>
              </w:rPr>
              <w:t>Coram:</w:t>
            </w:r>
          </w:p>
        </w:tc>
        <w:tc>
          <w:tcPr>
            <w:tcW w:w="4457" w:type="pct"/>
            <w:gridSpan w:val="3"/>
          </w:tcPr>
          <w:p w:rsidR="00AC0490" w:rsidRPr="00003B04" w:rsidRDefault="005A5AB4" w:rsidP="00EE4290">
            <w:pPr>
              <w:pStyle w:val="SCCLsocParty"/>
              <w:jc w:val="both"/>
              <w:rPr>
                <w:rFonts w:eastAsiaTheme="minorEastAsia"/>
                <w:sz w:val="20"/>
                <w:szCs w:val="20"/>
                <w:lang w:eastAsia="en-CA"/>
              </w:rPr>
            </w:pPr>
            <w:r w:rsidRPr="00003B04">
              <w:rPr>
                <w:rFonts w:eastAsiaTheme="minorEastAsia"/>
                <w:sz w:val="20"/>
                <w:szCs w:val="20"/>
                <w:lang w:val="fr-FR" w:eastAsia="en-CA"/>
              </w:rPr>
              <w:t xml:space="preserve">La juge en chef </w:t>
            </w:r>
            <w:proofErr w:type="spellStart"/>
            <w:r w:rsidRPr="00003B04">
              <w:rPr>
                <w:rFonts w:eastAsiaTheme="minorEastAsia"/>
                <w:sz w:val="20"/>
                <w:szCs w:val="20"/>
                <w:lang w:val="fr-FR" w:eastAsia="en-CA"/>
              </w:rPr>
              <w:t>McLachlin</w:t>
            </w:r>
            <w:proofErr w:type="spellEnd"/>
            <w:r w:rsidRPr="00003B04">
              <w:rPr>
                <w:rFonts w:eastAsiaTheme="minorEastAsia"/>
                <w:sz w:val="20"/>
                <w:szCs w:val="20"/>
                <w:lang w:val="fr-FR" w:eastAsia="en-CA"/>
              </w:rPr>
              <w:t xml:space="preserve"> et les juges Abella, </w:t>
            </w:r>
            <w:proofErr w:type="spellStart"/>
            <w:r w:rsidRPr="00003B04">
              <w:rPr>
                <w:rFonts w:eastAsiaTheme="minorEastAsia"/>
                <w:sz w:val="20"/>
                <w:szCs w:val="20"/>
                <w:lang w:eastAsia="en-CA"/>
              </w:rPr>
              <w:t>Moldaver</w:t>
            </w:r>
            <w:proofErr w:type="spellEnd"/>
            <w:r w:rsidRPr="00003B04">
              <w:rPr>
                <w:rFonts w:eastAsiaTheme="minorEastAsia"/>
                <w:sz w:val="20"/>
                <w:szCs w:val="20"/>
                <w:lang w:eastAsia="en-CA"/>
              </w:rPr>
              <w:t xml:space="preserve">, </w:t>
            </w:r>
            <w:proofErr w:type="spellStart"/>
            <w:r w:rsidRPr="00003B04">
              <w:rPr>
                <w:rFonts w:eastAsiaTheme="minorEastAsia"/>
                <w:sz w:val="20"/>
                <w:szCs w:val="20"/>
                <w:lang w:eastAsia="en-CA"/>
              </w:rPr>
              <w:t>Karakatsanis</w:t>
            </w:r>
            <w:proofErr w:type="spellEnd"/>
            <w:r w:rsidRPr="00003B04">
              <w:rPr>
                <w:rFonts w:eastAsiaTheme="minorEastAsia"/>
                <w:sz w:val="20"/>
                <w:szCs w:val="20"/>
                <w:lang w:eastAsia="en-CA"/>
              </w:rPr>
              <w:t>, Wagner, Gascon, Côté, Brown et Rowe</w:t>
            </w:r>
          </w:p>
          <w:p w:rsidR="005A5AB4" w:rsidRPr="00003B04" w:rsidRDefault="005A5AB4" w:rsidP="005A5AB4">
            <w:pPr>
              <w:rPr>
                <w:lang w:val="fr-CA" w:eastAsia="en-CA"/>
              </w:rPr>
            </w:pPr>
          </w:p>
        </w:tc>
      </w:tr>
      <w:tr w:rsidR="00AC0490" w:rsidRPr="00C3697D" w:rsidTr="00AC0490">
        <w:tc>
          <w:tcPr>
            <w:tcW w:w="5000" w:type="pct"/>
            <w:gridSpan w:val="4"/>
          </w:tcPr>
          <w:p w:rsidR="00AC0490" w:rsidRPr="00003B04" w:rsidRDefault="005A5AB4" w:rsidP="00EE4290">
            <w:pPr>
              <w:pStyle w:val="SCCLsocParty"/>
              <w:jc w:val="both"/>
              <w:rPr>
                <w:sz w:val="20"/>
                <w:szCs w:val="20"/>
              </w:rPr>
            </w:pPr>
            <w:r w:rsidRPr="00003B04">
              <w:rPr>
                <w:sz w:val="20"/>
                <w:szCs w:val="20"/>
              </w:rPr>
              <w:t>La demande d’autorisation d’appel de l’arrêt de la Cour d’appel du Québec (Montréal), numéro 500-09-026002-162, 2016 QCCA 840, daté du 6 mai 2016, est rejetée.</w:t>
            </w:r>
          </w:p>
          <w:p w:rsidR="005A5AB4" w:rsidRPr="00003B04" w:rsidRDefault="005A5AB4" w:rsidP="005A5AB4">
            <w:pPr>
              <w:rPr>
                <w:lang w:val="fr-CA"/>
              </w:rPr>
            </w:pPr>
          </w:p>
        </w:tc>
      </w:tr>
      <w:tr w:rsidR="00EE4290" w:rsidRPr="00C3697D" w:rsidTr="00EE4290">
        <w:tc>
          <w:tcPr>
            <w:tcW w:w="5000" w:type="pct"/>
            <w:gridSpan w:val="4"/>
          </w:tcPr>
          <w:p w:rsidR="00EE4290" w:rsidRPr="00003B04" w:rsidRDefault="00EE4290" w:rsidP="00EE4290">
            <w:pPr>
              <w:jc w:val="both"/>
              <w:rPr>
                <w:sz w:val="20"/>
                <w:lang w:val="fr-CA"/>
              </w:rPr>
            </w:pPr>
            <w:r w:rsidRPr="00003B04">
              <w:rPr>
                <w:sz w:val="20"/>
                <w:lang w:val="fr-CA"/>
              </w:rPr>
              <w:t>Procédure civile – Permission d’appeler – Est-ce à tort que la permission d’appeler a été refusée par la Cour d’appel?</w:t>
            </w:r>
          </w:p>
        </w:tc>
      </w:tr>
      <w:tr w:rsidR="00EE4290" w:rsidRPr="00C3697D" w:rsidTr="00EE4290">
        <w:tc>
          <w:tcPr>
            <w:tcW w:w="5000" w:type="pct"/>
            <w:gridSpan w:val="4"/>
          </w:tcPr>
          <w:p w:rsidR="00EE4290" w:rsidRPr="00003B04" w:rsidRDefault="00EE4290" w:rsidP="00EE4290">
            <w:pPr>
              <w:jc w:val="both"/>
              <w:rPr>
                <w:sz w:val="20"/>
                <w:lang w:val="fr-CA"/>
              </w:rPr>
            </w:pPr>
          </w:p>
        </w:tc>
      </w:tr>
      <w:tr w:rsidR="00EE4290" w:rsidRPr="00C3697D" w:rsidTr="00EE4290">
        <w:tc>
          <w:tcPr>
            <w:tcW w:w="5000" w:type="pct"/>
            <w:gridSpan w:val="4"/>
          </w:tcPr>
          <w:p w:rsidR="00EE4290" w:rsidRPr="00003B04" w:rsidRDefault="00EE4290" w:rsidP="00EE4290">
            <w:pPr>
              <w:jc w:val="both"/>
              <w:rPr>
                <w:sz w:val="20"/>
                <w:lang w:val="fr-CA"/>
              </w:rPr>
            </w:pPr>
            <w:r w:rsidRPr="00003B04">
              <w:rPr>
                <w:sz w:val="20"/>
                <w:lang w:val="fr-CA"/>
              </w:rPr>
              <w:t>L’intimée A.A. est tutrice aux biens de sa mère, Mme L. Elle s’adresse à la Cour du Québec pour réclamer du demandeur, M. </w:t>
            </w:r>
            <w:proofErr w:type="spellStart"/>
            <w:r w:rsidRPr="00003B04">
              <w:rPr>
                <w:sz w:val="20"/>
                <w:lang w:val="fr-CA"/>
              </w:rPr>
              <w:t>Mansuy</w:t>
            </w:r>
            <w:proofErr w:type="spellEnd"/>
            <w:r w:rsidRPr="00003B04">
              <w:rPr>
                <w:sz w:val="20"/>
                <w:lang w:val="fr-CA"/>
              </w:rPr>
              <w:t>, une somme de 45 000 $. Elle soutient que M. </w:t>
            </w:r>
            <w:proofErr w:type="spellStart"/>
            <w:r w:rsidRPr="00003B04">
              <w:rPr>
                <w:sz w:val="20"/>
                <w:lang w:val="fr-CA"/>
              </w:rPr>
              <w:t>Mansuy</w:t>
            </w:r>
            <w:proofErr w:type="spellEnd"/>
            <w:r w:rsidRPr="00003B04">
              <w:rPr>
                <w:sz w:val="20"/>
                <w:lang w:val="fr-CA"/>
              </w:rPr>
              <w:t xml:space="preserve"> aurait reçu cette somme de Mme L. en remboursement d’un prêt qui n’a jamais existé. Elle allègue subsidiairement que l’état de santé de Mme L. la rendait inapte ou incapable de consentir à une reconnaissance de dette signée en juillet 2012.</w:t>
            </w:r>
          </w:p>
          <w:p w:rsidR="00EE4290" w:rsidRPr="00003B04" w:rsidRDefault="00EE4290" w:rsidP="00EE4290">
            <w:pPr>
              <w:jc w:val="both"/>
              <w:rPr>
                <w:sz w:val="20"/>
                <w:lang w:val="fr-CA"/>
              </w:rPr>
            </w:pPr>
          </w:p>
          <w:p w:rsidR="00EE4290" w:rsidRPr="00003B04" w:rsidRDefault="00EE4290" w:rsidP="00EE4290">
            <w:pPr>
              <w:jc w:val="both"/>
              <w:rPr>
                <w:sz w:val="20"/>
                <w:lang w:val="fr-CA"/>
              </w:rPr>
            </w:pPr>
            <w:r w:rsidRPr="00003B04">
              <w:rPr>
                <w:sz w:val="20"/>
                <w:lang w:val="fr-CA"/>
              </w:rPr>
              <w:t>La juge Messier accueille le recours de Mme A. Elle juge le témoignage de M. </w:t>
            </w:r>
            <w:proofErr w:type="spellStart"/>
            <w:r w:rsidRPr="00003B04">
              <w:rPr>
                <w:sz w:val="20"/>
                <w:lang w:val="fr-CA"/>
              </w:rPr>
              <w:t>Mansuy</w:t>
            </w:r>
            <w:proofErr w:type="spellEnd"/>
            <w:r w:rsidRPr="00003B04">
              <w:rPr>
                <w:sz w:val="20"/>
                <w:lang w:val="fr-CA"/>
              </w:rPr>
              <w:t xml:space="preserve"> non crédible (par. 32), et estime qu’au regard de la preuve, M. </w:t>
            </w:r>
            <w:proofErr w:type="spellStart"/>
            <w:r w:rsidRPr="00003B04">
              <w:rPr>
                <w:sz w:val="20"/>
                <w:lang w:val="fr-CA"/>
              </w:rPr>
              <w:t>Mansuy</w:t>
            </w:r>
            <w:proofErr w:type="spellEnd"/>
            <w:r w:rsidRPr="00003B04">
              <w:rPr>
                <w:sz w:val="20"/>
                <w:lang w:val="fr-CA"/>
              </w:rPr>
              <w:t xml:space="preserve"> n’a jamais remis la somme d’argent en question à Mme L. (par. 37-38). La juge ajoute que même si le prêt avait existé, il aurait dû être annulé en application de l’art. 290 </w:t>
            </w:r>
            <w:proofErr w:type="spellStart"/>
            <w:r w:rsidRPr="00003B04">
              <w:rPr>
                <w:sz w:val="20"/>
                <w:lang w:val="fr-CA"/>
              </w:rPr>
              <w:t>C.c.Q</w:t>
            </w:r>
            <w:proofErr w:type="spellEnd"/>
            <w:r w:rsidRPr="00003B04">
              <w:rPr>
                <w:sz w:val="20"/>
                <w:lang w:val="fr-CA"/>
              </w:rPr>
              <w:t>., car il ressort de la preuve que M. </w:t>
            </w:r>
            <w:proofErr w:type="spellStart"/>
            <w:r w:rsidRPr="00003B04">
              <w:rPr>
                <w:sz w:val="20"/>
                <w:lang w:val="fr-CA"/>
              </w:rPr>
              <w:t>Mansuy</w:t>
            </w:r>
            <w:proofErr w:type="spellEnd"/>
            <w:r w:rsidRPr="00003B04">
              <w:rPr>
                <w:sz w:val="20"/>
                <w:lang w:val="fr-CA"/>
              </w:rPr>
              <w:t xml:space="preserve"> avait connaissance de l’état d’inaptitude de Mme L. à l’époque pertinente (par. 42-43).</w:t>
            </w:r>
          </w:p>
          <w:p w:rsidR="00EE4290" w:rsidRPr="00003B04" w:rsidRDefault="00EE4290" w:rsidP="00EE4290">
            <w:pPr>
              <w:jc w:val="both"/>
              <w:rPr>
                <w:sz w:val="20"/>
                <w:lang w:val="fr-CA"/>
              </w:rPr>
            </w:pPr>
          </w:p>
          <w:p w:rsidR="00EE4290" w:rsidRPr="00003B04" w:rsidRDefault="00EE4290" w:rsidP="00EE4290">
            <w:pPr>
              <w:jc w:val="both"/>
              <w:rPr>
                <w:sz w:val="20"/>
                <w:lang w:val="fr-CA"/>
              </w:rPr>
            </w:pPr>
            <w:r w:rsidRPr="00003B04">
              <w:rPr>
                <w:sz w:val="20"/>
                <w:lang w:val="fr-CA"/>
              </w:rPr>
              <w:t xml:space="preserve">Le juge </w:t>
            </w:r>
            <w:proofErr w:type="spellStart"/>
            <w:r w:rsidRPr="00003B04">
              <w:rPr>
                <w:sz w:val="20"/>
                <w:lang w:val="fr-CA"/>
              </w:rPr>
              <w:t>Vauclair</w:t>
            </w:r>
            <w:proofErr w:type="spellEnd"/>
            <w:r w:rsidRPr="00003B04">
              <w:rPr>
                <w:sz w:val="20"/>
                <w:lang w:val="fr-CA"/>
              </w:rPr>
              <w:t xml:space="preserve"> de la Cour d’appel rejette la requête pour permission d’appeler. Il note qu’en application de l’art. 30 </w:t>
            </w:r>
            <w:proofErr w:type="spellStart"/>
            <w:r w:rsidRPr="00003B04">
              <w:rPr>
                <w:sz w:val="20"/>
                <w:lang w:val="fr-CA"/>
              </w:rPr>
              <w:t>C.p.c</w:t>
            </w:r>
            <w:proofErr w:type="spellEnd"/>
            <w:r w:rsidRPr="00003B04">
              <w:rPr>
                <w:sz w:val="20"/>
                <w:lang w:val="fr-CA"/>
              </w:rPr>
              <w:t>., l’appel ne peut être autorisé que sur démonstration d’une question de droit qui doit être soumise à la Cour d’appel. De plus, il souligne que dans l’exercice de son pouvoir discrétionnaire, il doit tenir compte « de la forme administrative et de l’intérêt de la justice, des principes qui incorporent une règle de proportionnalité dans les litiges ».</w:t>
            </w:r>
          </w:p>
          <w:p w:rsidR="00EE4290" w:rsidRPr="00003B04" w:rsidRDefault="00EE4290" w:rsidP="00EE4290">
            <w:pPr>
              <w:jc w:val="both"/>
              <w:rPr>
                <w:sz w:val="20"/>
                <w:lang w:val="fr-CA"/>
              </w:rPr>
            </w:pPr>
          </w:p>
        </w:tc>
      </w:tr>
      <w:tr w:rsidR="00EE4290" w:rsidRPr="00C3697D" w:rsidTr="00EE4290">
        <w:tc>
          <w:tcPr>
            <w:tcW w:w="2427" w:type="pct"/>
            <w:gridSpan w:val="2"/>
          </w:tcPr>
          <w:p w:rsidR="00EE4290" w:rsidRPr="00003B04" w:rsidRDefault="00EE4290" w:rsidP="00EE4290">
            <w:pPr>
              <w:jc w:val="both"/>
              <w:rPr>
                <w:sz w:val="20"/>
                <w:lang w:val="fr-CA"/>
              </w:rPr>
            </w:pPr>
            <w:r w:rsidRPr="00003B04">
              <w:rPr>
                <w:sz w:val="20"/>
                <w:lang w:val="fr-CA"/>
              </w:rPr>
              <w:t>Le 23 février 2016</w:t>
            </w:r>
          </w:p>
          <w:p w:rsidR="00EE4290" w:rsidRPr="00003B04" w:rsidRDefault="00EE4290" w:rsidP="00EE4290">
            <w:pPr>
              <w:jc w:val="both"/>
              <w:rPr>
                <w:sz w:val="20"/>
                <w:lang w:val="fr-CA"/>
              </w:rPr>
            </w:pPr>
            <w:r w:rsidRPr="00003B04">
              <w:rPr>
                <w:sz w:val="20"/>
                <w:lang w:val="fr-CA"/>
              </w:rPr>
              <w:t>Cour du Québec</w:t>
            </w:r>
          </w:p>
          <w:p w:rsidR="00EE4290" w:rsidRPr="00003B04" w:rsidRDefault="00EE4290" w:rsidP="00EE4290">
            <w:pPr>
              <w:jc w:val="both"/>
              <w:rPr>
                <w:sz w:val="20"/>
                <w:lang w:val="fr-CA"/>
              </w:rPr>
            </w:pPr>
            <w:r w:rsidRPr="00003B04">
              <w:rPr>
                <w:sz w:val="20"/>
                <w:lang w:val="fr-CA"/>
              </w:rPr>
              <w:t>(La juge Messier)</w:t>
            </w:r>
          </w:p>
          <w:p w:rsidR="00EE4290" w:rsidRPr="00003B04" w:rsidRDefault="00604445" w:rsidP="00EE4290">
            <w:pPr>
              <w:jc w:val="both"/>
              <w:rPr>
                <w:sz w:val="20"/>
                <w:lang w:val="fr-FR"/>
              </w:rPr>
            </w:pPr>
            <w:hyperlink r:id="rId103" w:history="1">
              <w:r w:rsidR="00EE4290" w:rsidRPr="00003B04">
                <w:rPr>
                  <w:rStyle w:val="Hyperlink"/>
                  <w:sz w:val="20"/>
                  <w:lang w:val="fr-FR"/>
                </w:rPr>
                <w:t>2016 QCCQ 1609</w:t>
              </w:r>
            </w:hyperlink>
          </w:p>
        </w:tc>
        <w:tc>
          <w:tcPr>
            <w:tcW w:w="243" w:type="pct"/>
          </w:tcPr>
          <w:p w:rsidR="00EE4290" w:rsidRPr="00003B04" w:rsidRDefault="00EE4290" w:rsidP="00EE4290">
            <w:pPr>
              <w:jc w:val="both"/>
              <w:rPr>
                <w:sz w:val="20"/>
                <w:lang w:val="fr-FR"/>
              </w:rPr>
            </w:pPr>
          </w:p>
        </w:tc>
        <w:tc>
          <w:tcPr>
            <w:tcW w:w="2330" w:type="pct"/>
          </w:tcPr>
          <w:p w:rsidR="00EE4290" w:rsidRPr="00003B04" w:rsidRDefault="00EE4290" w:rsidP="00EE4290">
            <w:pPr>
              <w:jc w:val="both"/>
              <w:rPr>
                <w:sz w:val="20"/>
                <w:lang w:val="fr-CA"/>
              </w:rPr>
            </w:pPr>
            <w:r w:rsidRPr="00003B04">
              <w:rPr>
                <w:sz w:val="20"/>
                <w:lang w:val="fr-CA"/>
              </w:rPr>
              <w:t>Requête introductive d’instance accueillie; demandeur condamné à payer à l’intimée la somme de 45 400,00 $ plus intérêts et indemnité additionnelle</w:t>
            </w:r>
          </w:p>
          <w:p w:rsidR="00EE4290" w:rsidRPr="00003B04" w:rsidRDefault="00EE4290" w:rsidP="00EE4290">
            <w:pPr>
              <w:jc w:val="both"/>
              <w:rPr>
                <w:sz w:val="20"/>
                <w:lang w:val="fr-CA"/>
              </w:rPr>
            </w:pPr>
          </w:p>
        </w:tc>
      </w:tr>
      <w:tr w:rsidR="00EE4290" w:rsidRPr="00003B04" w:rsidTr="00EE4290">
        <w:tc>
          <w:tcPr>
            <w:tcW w:w="2427" w:type="pct"/>
            <w:gridSpan w:val="2"/>
          </w:tcPr>
          <w:p w:rsidR="00EE4290" w:rsidRPr="00003B04" w:rsidRDefault="00EE4290" w:rsidP="00EE4290">
            <w:pPr>
              <w:jc w:val="both"/>
              <w:rPr>
                <w:sz w:val="20"/>
                <w:lang w:val="fr-CA"/>
              </w:rPr>
            </w:pPr>
            <w:r w:rsidRPr="00003B04">
              <w:rPr>
                <w:sz w:val="20"/>
                <w:lang w:val="fr-CA"/>
              </w:rPr>
              <w:t>Le 6 mai 2016</w:t>
            </w:r>
          </w:p>
          <w:p w:rsidR="00EE4290" w:rsidRPr="00003B04" w:rsidRDefault="00EE4290" w:rsidP="00EE4290">
            <w:pPr>
              <w:jc w:val="both"/>
              <w:rPr>
                <w:sz w:val="20"/>
                <w:lang w:val="fr-CA"/>
              </w:rPr>
            </w:pPr>
            <w:r w:rsidRPr="00003B04">
              <w:rPr>
                <w:sz w:val="20"/>
                <w:lang w:val="fr-CA"/>
              </w:rPr>
              <w:t>Cour d’appel du Québec (Montréal)</w:t>
            </w:r>
          </w:p>
          <w:p w:rsidR="00EE4290" w:rsidRPr="00003B04" w:rsidRDefault="00EE4290" w:rsidP="00EE4290">
            <w:pPr>
              <w:jc w:val="both"/>
              <w:rPr>
                <w:sz w:val="20"/>
              </w:rPr>
            </w:pPr>
            <w:r w:rsidRPr="00003B04">
              <w:rPr>
                <w:sz w:val="20"/>
              </w:rPr>
              <w:t xml:space="preserve">(Le </w:t>
            </w:r>
            <w:proofErr w:type="spellStart"/>
            <w:r w:rsidRPr="00003B04">
              <w:rPr>
                <w:sz w:val="20"/>
              </w:rPr>
              <w:t>juge</w:t>
            </w:r>
            <w:proofErr w:type="spellEnd"/>
            <w:r w:rsidRPr="00003B04">
              <w:rPr>
                <w:sz w:val="20"/>
              </w:rPr>
              <w:t xml:space="preserve"> </w:t>
            </w:r>
            <w:proofErr w:type="spellStart"/>
            <w:r w:rsidRPr="00003B04">
              <w:rPr>
                <w:sz w:val="20"/>
              </w:rPr>
              <w:t>Vauclair</w:t>
            </w:r>
            <w:proofErr w:type="spellEnd"/>
            <w:r w:rsidRPr="00003B04">
              <w:rPr>
                <w:sz w:val="20"/>
              </w:rPr>
              <w:t>)</w:t>
            </w:r>
          </w:p>
          <w:p w:rsidR="00EE4290" w:rsidRPr="00003B04" w:rsidRDefault="00EE4290" w:rsidP="00EE4290">
            <w:pPr>
              <w:jc w:val="both"/>
              <w:rPr>
                <w:sz w:val="20"/>
              </w:rPr>
            </w:pPr>
            <w:r w:rsidRPr="00003B04">
              <w:rPr>
                <w:sz w:val="20"/>
              </w:rPr>
              <w:t>500-09-026002-162</w:t>
            </w:r>
          </w:p>
          <w:p w:rsidR="00EE4290" w:rsidRPr="00003B04" w:rsidRDefault="00604445" w:rsidP="00EE4290">
            <w:pPr>
              <w:jc w:val="both"/>
              <w:rPr>
                <w:sz w:val="20"/>
              </w:rPr>
            </w:pPr>
            <w:hyperlink r:id="rId104" w:history="1">
              <w:r w:rsidR="00EE4290" w:rsidRPr="00003B04">
                <w:rPr>
                  <w:rStyle w:val="Hyperlink"/>
                  <w:sz w:val="20"/>
                </w:rPr>
                <w:t>2016 QCCA 840</w:t>
              </w:r>
            </w:hyperlink>
          </w:p>
          <w:p w:rsidR="00EE4290" w:rsidRPr="00003B04" w:rsidRDefault="00EE4290" w:rsidP="00EE4290">
            <w:pPr>
              <w:jc w:val="both"/>
              <w:rPr>
                <w:sz w:val="20"/>
              </w:rPr>
            </w:pPr>
          </w:p>
        </w:tc>
        <w:tc>
          <w:tcPr>
            <w:tcW w:w="243" w:type="pct"/>
          </w:tcPr>
          <w:p w:rsidR="00EE4290" w:rsidRPr="00003B04" w:rsidRDefault="00EE4290" w:rsidP="00EE4290">
            <w:pPr>
              <w:jc w:val="both"/>
              <w:rPr>
                <w:sz w:val="20"/>
              </w:rPr>
            </w:pPr>
          </w:p>
        </w:tc>
        <w:tc>
          <w:tcPr>
            <w:tcW w:w="2330" w:type="pct"/>
          </w:tcPr>
          <w:p w:rsidR="00EE4290" w:rsidRPr="00003B04" w:rsidRDefault="00EE4290" w:rsidP="00EE4290">
            <w:pPr>
              <w:jc w:val="both"/>
              <w:rPr>
                <w:sz w:val="20"/>
              </w:rPr>
            </w:pPr>
            <w:proofErr w:type="spellStart"/>
            <w:r w:rsidRPr="00003B04">
              <w:rPr>
                <w:sz w:val="20"/>
              </w:rPr>
              <w:t>Requête</w:t>
            </w:r>
            <w:proofErr w:type="spellEnd"/>
            <w:r w:rsidRPr="00003B04">
              <w:rPr>
                <w:sz w:val="20"/>
              </w:rPr>
              <w:t xml:space="preserve"> pour permission </w:t>
            </w:r>
            <w:proofErr w:type="spellStart"/>
            <w:r w:rsidRPr="00003B04">
              <w:rPr>
                <w:sz w:val="20"/>
              </w:rPr>
              <w:t>d’appeler</w:t>
            </w:r>
            <w:proofErr w:type="spellEnd"/>
            <w:r w:rsidRPr="00003B04">
              <w:rPr>
                <w:sz w:val="20"/>
              </w:rPr>
              <w:t xml:space="preserve"> </w:t>
            </w:r>
            <w:proofErr w:type="spellStart"/>
            <w:r w:rsidRPr="00003B04">
              <w:rPr>
                <w:sz w:val="20"/>
              </w:rPr>
              <w:t>rejetée</w:t>
            </w:r>
            <w:proofErr w:type="spellEnd"/>
          </w:p>
          <w:p w:rsidR="00EE4290" w:rsidRPr="00003B04" w:rsidRDefault="00EE4290" w:rsidP="00EE4290">
            <w:pPr>
              <w:jc w:val="both"/>
              <w:rPr>
                <w:sz w:val="20"/>
              </w:rPr>
            </w:pPr>
          </w:p>
        </w:tc>
      </w:tr>
      <w:tr w:rsidR="00EE4290" w:rsidRPr="00003B04" w:rsidTr="00EE4290">
        <w:tc>
          <w:tcPr>
            <w:tcW w:w="2427" w:type="pct"/>
            <w:gridSpan w:val="2"/>
          </w:tcPr>
          <w:p w:rsidR="00EE4290" w:rsidRPr="00003B04" w:rsidRDefault="00EE4290" w:rsidP="00EE4290">
            <w:pPr>
              <w:jc w:val="both"/>
              <w:rPr>
                <w:sz w:val="20"/>
                <w:lang w:val="fr-CA"/>
              </w:rPr>
            </w:pPr>
            <w:r w:rsidRPr="00003B04">
              <w:rPr>
                <w:sz w:val="20"/>
                <w:lang w:val="fr-CA"/>
              </w:rPr>
              <w:t>Le 6 juin 2016</w:t>
            </w:r>
          </w:p>
          <w:p w:rsidR="00EE4290" w:rsidRPr="00003B04" w:rsidRDefault="00EE4290" w:rsidP="00EE4290">
            <w:pPr>
              <w:jc w:val="both"/>
              <w:rPr>
                <w:sz w:val="20"/>
                <w:lang w:val="fr-FR"/>
              </w:rPr>
            </w:pPr>
            <w:r w:rsidRPr="00003B04">
              <w:rPr>
                <w:sz w:val="20"/>
                <w:lang w:val="fr-CA"/>
              </w:rPr>
              <w:t>Cour suprême du Canada</w:t>
            </w:r>
          </w:p>
        </w:tc>
        <w:tc>
          <w:tcPr>
            <w:tcW w:w="243" w:type="pct"/>
          </w:tcPr>
          <w:p w:rsidR="00EE4290" w:rsidRPr="00003B04" w:rsidRDefault="00EE4290" w:rsidP="00EE4290">
            <w:pPr>
              <w:jc w:val="both"/>
              <w:rPr>
                <w:sz w:val="20"/>
                <w:lang w:val="fr-FR"/>
              </w:rPr>
            </w:pPr>
          </w:p>
        </w:tc>
        <w:tc>
          <w:tcPr>
            <w:tcW w:w="2330" w:type="pct"/>
          </w:tcPr>
          <w:p w:rsidR="00EE4290" w:rsidRPr="00003B04" w:rsidRDefault="00EE4290" w:rsidP="00EE4290">
            <w:pPr>
              <w:jc w:val="both"/>
              <w:rPr>
                <w:sz w:val="20"/>
              </w:rPr>
            </w:pPr>
            <w:proofErr w:type="spellStart"/>
            <w:r w:rsidRPr="00003B04">
              <w:rPr>
                <w:sz w:val="20"/>
              </w:rPr>
              <w:t>Demande</w:t>
            </w:r>
            <w:proofErr w:type="spellEnd"/>
            <w:r w:rsidRPr="00003B04">
              <w:rPr>
                <w:sz w:val="20"/>
              </w:rPr>
              <w:t xml:space="preserve"> </w:t>
            </w:r>
            <w:proofErr w:type="spellStart"/>
            <w:r w:rsidRPr="00003B04">
              <w:rPr>
                <w:sz w:val="20"/>
              </w:rPr>
              <w:t>d’autorisation</w:t>
            </w:r>
            <w:proofErr w:type="spellEnd"/>
            <w:r w:rsidRPr="00003B04">
              <w:rPr>
                <w:sz w:val="20"/>
              </w:rPr>
              <w:t xml:space="preserve"> </w:t>
            </w:r>
            <w:proofErr w:type="spellStart"/>
            <w:r w:rsidRPr="00003B04">
              <w:rPr>
                <w:sz w:val="20"/>
              </w:rPr>
              <w:t>d’appel</w:t>
            </w:r>
            <w:proofErr w:type="spellEnd"/>
            <w:r w:rsidRPr="00003B04">
              <w:rPr>
                <w:sz w:val="20"/>
              </w:rPr>
              <w:t xml:space="preserve"> </w:t>
            </w:r>
            <w:proofErr w:type="spellStart"/>
            <w:r w:rsidRPr="00003B04">
              <w:rPr>
                <w:sz w:val="20"/>
              </w:rPr>
              <w:t>déposée</w:t>
            </w:r>
            <w:proofErr w:type="spellEnd"/>
          </w:p>
          <w:p w:rsidR="00EE4290" w:rsidRPr="00003B04" w:rsidRDefault="00EE4290" w:rsidP="00EE4290">
            <w:pPr>
              <w:jc w:val="both"/>
              <w:rPr>
                <w:sz w:val="20"/>
              </w:rPr>
            </w:pPr>
          </w:p>
        </w:tc>
      </w:tr>
    </w:tbl>
    <w:p w:rsidR="00EE4290" w:rsidRPr="00003B04" w:rsidRDefault="00604445" w:rsidP="00EE4290">
      <w:pPr>
        <w:jc w:val="both"/>
        <w:rPr>
          <w:sz w:val="20"/>
        </w:rPr>
      </w:pPr>
      <w:r>
        <w:rPr>
          <w:sz w:val="20"/>
          <w:szCs w:val="20"/>
        </w:rPr>
        <w:pict>
          <v:rect id="_x0000_i1090" style="width:2in;height:1pt" o:hrpct="0" o:hralign="center" o:hrstd="t" o:hrnoshade="t" o:hr="t" fillcolor="black [3213]" stroked="f"/>
        </w:pict>
      </w:r>
    </w:p>
    <w:p w:rsidR="00EE4290" w:rsidRPr="00003B04" w:rsidRDefault="00EE4290" w:rsidP="00EE4290">
      <w:pPr>
        <w:ind w:left="360" w:hanging="360"/>
        <w:jc w:val="both"/>
        <w:rPr>
          <w:sz w:val="20"/>
          <w:lang w:val="fr-CA" w:eastAsia="en-CA"/>
        </w:rPr>
      </w:pPr>
    </w:p>
    <w:p w:rsidR="008F5EB8" w:rsidRPr="00003B04" w:rsidRDefault="008F5EB8">
      <w:r w:rsidRPr="00003B04">
        <w:br w:type="page"/>
      </w:r>
    </w:p>
    <w:tbl>
      <w:tblPr>
        <w:tblW w:w="4950" w:type="pct"/>
        <w:tblCellMar>
          <w:left w:w="0" w:type="dxa"/>
          <w:bottom w:w="99" w:type="dxa"/>
          <w:right w:w="0" w:type="dxa"/>
        </w:tblCellMar>
        <w:tblLook w:val="04A0" w:firstRow="1" w:lastRow="0" w:firstColumn="1" w:lastColumn="0" w:noHBand="0" w:noVBand="1"/>
      </w:tblPr>
      <w:tblGrid>
        <w:gridCol w:w="1034"/>
        <w:gridCol w:w="3588"/>
        <w:gridCol w:w="463"/>
        <w:gridCol w:w="4438"/>
      </w:tblGrid>
      <w:tr w:rsidR="00EE4290" w:rsidRPr="00003B04" w:rsidTr="00EE4290">
        <w:tc>
          <w:tcPr>
            <w:tcW w:w="543" w:type="pct"/>
            <w:hideMark/>
          </w:tcPr>
          <w:p w:rsidR="00EE4290" w:rsidRPr="00003B04" w:rsidRDefault="00EE4290" w:rsidP="00EE4290">
            <w:pPr>
              <w:jc w:val="both"/>
              <w:rPr>
                <w:rFonts w:eastAsia="Calibri"/>
                <w:sz w:val="20"/>
              </w:rPr>
            </w:pPr>
            <w:r w:rsidRPr="00003B04">
              <w:rPr>
                <w:rFonts w:eastAsia="Calibri"/>
                <w:b/>
                <w:sz w:val="20"/>
              </w:rPr>
              <w:lastRenderedPageBreak/>
              <w:t>37192</w:t>
            </w:r>
          </w:p>
        </w:tc>
        <w:tc>
          <w:tcPr>
            <w:tcW w:w="4457" w:type="pct"/>
            <w:gridSpan w:val="3"/>
            <w:hideMark/>
          </w:tcPr>
          <w:p w:rsidR="00EE4290" w:rsidRPr="00003B04" w:rsidRDefault="00EE4290" w:rsidP="00767A6B">
            <w:pPr>
              <w:jc w:val="both"/>
              <w:rPr>
                <w:rFonts w:eastAsia="Calibri"/>
                <w:sz w:val="20"/>
              </w:rPr>
            </w:pPr>
            <w:r w:rsidRPr="00003B04">
              <w:rPr>
                <w:b/>
                <w:sz w:val="20"/>
              </w:rPr>
              <w:t xml:space="preserve">Tammy </w:t>
            </w:r>
            <w:proofErr w:type="spellStart"/>
            <w:r w:rsidRPr="00003B04">
              <w:rPr>
                <w:b/>
                <w:sz w:val="20"/>
              </w:rPr>
              <w:t>Onyskiw</w:t>
            </w:r>
            <w:proofErr w:type="spellEnd"/>
            <w:r w:rsidRPr="00003B04">
              <w:rPr>
                <w:b/>
                <w:sz w:val="20"/>
              </w:rPr>
              <w:t>, Sherrie Giroux, Jeff Gill, Kimberly George</w:t>
            </w:r>
            <w:r w:rsidR="00B52CAC" w:rsidRPr="00003B04">
              <w:rPr>
                <w:b/>
                <w:sz w:val="20"/>
              </w:rPr>
              <w:t xml:space="preserve"> and</w:t>
            </w:r>
            <w:r w:rsidRPr="00003B04">
              <w:rPr>
                <w:b/>
                <w:sz w:val="20"/>
              </w:rPr>
              <w:t xml:space="preserve"> Ilona Berthiaume v. CJM Property Management Ltd.</w:t>
            </w:r>
            <w:r w:rsidR="00767A6B" w:rsidRPr="00003B04">
              <w:rPr>
                <w:b/>
                <w:sz w:val="20"/>
              </w:rPr>
              <w:t xml:space="preserve"> </w:t>
            </w:r>
            <w:r w:rsidRPr="00003B04">
              <w:rPr>
                <w:b/>
                <w:sz w:val="20"/>
              </w:rPr>
              <w:t>- and -</w:t>
            </w:r>
            <w:r w:rsidR="00767A6B" w:rsidRPr="00003B04">
              <w:rPr>
                <w:b/>
                <w:sz w:val="20"/>
              </w:rPr>
              <w:t xml:space="preserve"> </w:t>
            </w:r>
            <w:r w:rsidRPr="00003B04">
              <w:rPr>
                <w:b/>
                <w:sz w:val="20"/>
              </w:rPr>
              <w:t>Landlord and Tenant Board</w:t>
            </w:r>
            <w:r w:rsidR="00767A6B" w:rsidRPr="00003B04">
              <w:rPr>
                <w:b/>
                <w:sz w:val="20"/>
              </w:rPr>
              <w:t xml:space="preserve"> </w:t>
            </w:r>
            <w:r w:rsidRPr="00003B04">
              <w:rPr>
                <w:rFonts w:eastAsia="Calibri"/>
                <w:sz w:val="20"/>
              </w:rPr>
              <w:t>(Ont.) (Civil) (By Leave)</w:t>
            </w:r>
          </w:p>
          <w:p w:rsidR="00767A6B" w:rsidRPr="00003B04" w:rsidRDefault="00767A6B" w:rsidP="00767A6B">
            <w:pPr>
              <w:jc w:val="both"/>
              <w:rPr>
                <w:rFonts w:eastAsia="Calibri"/>
                <w:sz w:val="20"/>
              </w:rPr>
            </w:pPr>
          </w:p>
        </w:tc>
      </w:tr>
      <w:tr w:rsidR="00AC0490" w:rsidRPr="00003B04" w:rsidTr="00EE4290">
        <w:tc>
          <w:tcPr>
            <w:tcW w:w="543" w:type="pct"/>
          </w:tcPr>
          <w:p w:rsidR="00AC0490" w:rsidRPr="00003B04" w:rsidRDefault="00AC0490" w:rsidP="00EE4290">
            <w:pPr>
              <w:jc w:val="both"/>
              <w:rPr>
                <w:rFonts w:eastAsia="Calibri"/>
                <w:b/>
                <w:sz w:val="20"/>
              </w:rPr>
            </w:pPr>
            <w:r w:rsidRPr="00003B04">
              <w:rPr>
                <w:rFonts w:eastAsia="Calibri"/>
                <w:b/>
                <w:sz w:val="20"/>
              </w:rPr>
              <w:t>Coram:</w:t>
            </w:r>
          </w:p>
        </w:tc>
        <w:tc>
          <w:tcPr>
            <w:tcW w:w="4457" w:type="pct"/>
            <w:gridSpan w:val="3"/>
          </w:tcPr>
          <w:p w:rsidR="00AC0490" w:rsidRPr="00003B04" w:rsidRDefault="00744381" w:rsidP="00EE4290">
            <w:pPr>
              <w:jc w:val="both"/>
              <w:rPr>
                <w:rFonts w:eastAsiaTheme="minorEastAsia" w:cs="Times New Roman"/>
                <w:sz w:val="20"/>
                <w:szCs w:val="20"/>
                <w:lang w:eastAsia="en-CA"/>
              </w:rPr>
            </w:pPr>
            <w:proofErr w:type="spellStart"/>
            <w:r w:rsidRPr="00003B04">
              <w:rPr>
                <w:rFonts w:eastAsiaTheme="minorEastAsia" w:cs="Times New Roman"/>
                <w:sz w:val="20"/>
                <w:szCs w:val="20"/>
                <w:lang w:eastAsia="en-CA"/>
              </w:rPr>
              <w:t>McLachlin</w:t>
            </w:r>
            <w:proofErr w:type="spellEnd"/>
            <w:r w:rsidRPr="00003B04">
              <w:rPr>
                <w:rFonts w:eastAsiaTheme="minorEastAsia" w:cs="Times New Roman"/>
                <w:sz w:val="20"/>
                <w:szCs w:val="20"/>
                <w:lang w:eastAsia="en-CA"/>
              </w:rPr>
              <w:t xml:space="preserve"> C.J. and </w:t>
            </w:r>
            <w:proofErr w:type="spellStart"/>
            <w:r w:rsidRPr="00003B04">
              <w:rPr>
                <w:rFonts w:eastAsiaTheme="minorEastAsia" w:cs="Times New Roman"/>
                <w:sz w:val="20"/>
                <w:szCs w:val="20"/>
                <w:lang w:eastAsia="en-CA"/>
              </w:rPr>
              <w:t>Abella</w:t>
            </w:r>
            <w:proofErr w:type="spellEnd"/>
            <w:r w:rsidRPr="00003B04">
              <w:rPr>
                <w:rFonts w:eastAsiaTheme="minorEastAsia" w:cs="Times New Roman"/>
                <w:sz w:val="20"/>
                <w:szCs w:val="20"/>
                <w:lang w:eastAsia="en-CA"/>
              </w:rPr>
              <w:t xml:space="preserve">, </w:t>
            </w:r>
            <w:proofErr w:type="spellStart"/>
            <w:r w:rsidRPr="00003B04">
              <w:rPr>
                <w:rFonts w:eastAsiaTheme="minorEastAsia" w:cs="Times New Roman"/>
                <w:sz w:val="20"/>
                <w:szCs w:val="20"/>
                <w:lang w:eastAsia="en-CA"/>
              </w:rPr>
              <w:t>Moldaver</w:t>
            </w:r>
            <w:proofErr w:type="spellEnd"/>
            <w:r w:rsidRPr="00003B04">
              <w:rPr>
                <w:rFonts w:eastAsiaTheme="minorEastAsia" w:cs="Times New Roman"/>
                <w:sz w:val="20"/>
                <w:szCs w:val="20"/>
                <w:lang w:eastAsia="en-CA"/>
              </w:rPr>
              <w:t xml:space="preserve">, </w:t>
            </w:r>
            <w:proofErr w:type="spellStart"/>
            <w:r w:rsidRPr="00003B04">
              <w:rPr>
                <w:rFonts w:eastAsiaTheme="minorEastAsia" w:cs="Times New Roman"/>
                <w:sz w:val="20"/>
                <w:szCs w:val="20"/>
                <w:lang w:eastAsia="en-CA"/>
              </w:rPr>
              <w:t>Karakatsanis</w:t>
            </w:r>
            <w:proofErr w:type="spellEnd"/>
            <w:r w:rsidRPr="00003B04">
              <w:rPr>
                <w:rFonts w:eastAsiaTheme="minorEastAsia" w:cs="Times New Roman"/>
                <w:sz w:val="20"/>
                <w:szCs w:val="20"/>
                <w:lang w:eastAsia="en-CA"/>
              </w:rPr>
              <w:t xml:space="preserve">, Wagner, </w:t>
            </w:r>
            <w:proofErr w:type="spellStart"/>
            <w:r w:rsidRPr="00003B04">
              <w:rPr>
                <w:rFonts w:eastAsiaTheme="minorEastAsia" w:cs="Times New Roman"/>
                <w:sz w:val="20"/>
                <w:szCs w:val="20"/>
                <w:lang w:eastAsia="en-CA"/>
              </w:rPr>
              <w:t>Gascon</w:t>
            </w:r>
            <w:proofErr w:type="spellEnd"/>
            <w:r w:rsidRPr="00003B04">
              <w:rPr>
                <w:rFonts w:eastAsiaTheme="minorEastAsia" w:cs="Times New Roman"/>
                <w:sz w:val="20"/>
                <w:szCs w:val="20"/>
                <w:lang w:eastAsia="en-CA"/>
              </w:rPr>
              <w:t xml:space="preserve">, </w:t>
            </w:r>
            <w:proofErr w:type="spellStart"/>
            <w:r w:rsidRPr="00003B04">
              <w:rPr>
                <w:rFonts w:eastAsiaTheme="minorEastAsia" w:cs="Times New Roman"/>
                <w:sz w:val="20"/>
                <w:szCs w:val="20"/>
                <w:lang w:eastAsia="en-CA"/>
              </w:rPr>
              <w:t>Côté</w:t>
            </w:r>
            <w:proofErr w:type="spellEnd"/>
            <w:r w:rsidRPr="00003B04">
              <w:rPr>
                <w:rFonts w:eastAsiaTheme="minorEastAsia" w:cs="Times New Roman"/>
                <w:sz w:val="20"/>
                <w:szCs w:val="20"/>
                <w:lang w:eastAsia="en-CA"/>
              </w:rPr>
              <w:t>, Brown and Rowe JJ.</w:t>
            </w:r>
          </w:p>
          <w:p w:rsidR="00744381" w:rsidRPr="00003B04" w:rsidRDefault="00744381" w:rsidP="00EE4290">
            <w:pPr>
              <w:jc w:val="both"/>
              <w:rPr>
                <w:sz w:val="20"/>
              </w:rPr>
            </w:pPr>
          </w:p>
        </w:tc>
      </w:tr>
      <w:tr w:rsidR="00AC0490" w:rsidRPr="00003B04" w:rsidTr="00AC0490">
        <w:tc>
          <w:tcPr>
            <w:tcW w:w="5000" w:type="pct"/>
            <w:gridSpan w:val="4"/>
          </w:tcPr>
          <w:p w:rsidR="00AC0490" w:rsidRPr="00003B04" w:rsidRDefault="00744381" w:rsidP="00EE4290">
            <w:pPr>
              <w:jc w:val="both"/>
              <w:rPr>
                <w:sz w:val="20"/>
                <w:szCs w:val="20"/>
              </w:rPr>
            </w:pPr>
            <w:r w:rsidRPr="00003B04">
              <w:rPr>
                <w:sz w:val="20"/>
                <w:szCs w:val="20"/>
              </w:rPr>
              <w:t>The application for leave to appeal from the judgment of the Court of Appeal for Ontario, Number C61131, 2016 ONCA 477, dated June 16, 2016, is dismissed without costs.</w:t>
            </w:r>
          </w:p>
          <w:p w:rsidR="00744381" w:rsidRPr="00003B04" w:rsidRDefault="00744381" w:rsidP="00EE4290">
            <w:pPr>
              <w:jc w:val="both"/>
              <w:rPr>
                <w:sz w:val="20"/>
              </w:rPr>
            </w:pPr>
          </w:p>
        </w:tc>
      </w:tr>
      <w:tr w:rsidR="00EE4290" w:rsidRPr="00003B04" w:rsidTr="00EE4290">
        <w:tc>
          <w:tcPr>
            <w:tcW w:w="5000" w:type="pct"/>
            <w:gridSpan w:val="4"/>
            <w:hideMark/>
          </w:tcPr>
          <w:p w:rsidR="00EE4290" w:rsidRPr="00003B04" w:rsidRDefault="00EE4290" w:rsidP="00EE4290">
            <w:pPr>
              <w:jc w:val="both"/>
              <w:rPr>
                <w:rFonts w:eastAsia="Calibri"/>
                <w:sz w:val="20"/>
              </w:rPr>
            </w:pPr>
            <w:r w:rsidRPr="00003B04">
              <w:rPr>
                <w:rFonts w:eastAsia="Calibri"/>
                <w:sz w:val="20"/>
              </w:rPr>
              <w:t>Lease — Landlord and tenant law — Residential tenancies — Landlord’s obligations — Repair — Landlord and Tenant Board — Abatement of rent — Whether the Court of Appeal has changed the way residential tenancy legislation is interpreted and weakened the landlord’s duty to provide and maintain a residential complex in a good state of repair — How does a reasonableness review vary by context — What form should reasonableness take in this context.</w:t>
            </w:r>
          </w:p>
        </w:tc>
      </w:tr>
      <w:tr w:rsidR="00EE4290" w:rsidRPr="00003B04" w:rsidTr="00EE4290">
        <w:tc>
          <w:tcPr>
            <w:tcW w:w="5000" w:type="pct"/>
            <w:gridSpan w:val="4"/>
          </w:tcPr>
          <w:p w:rsidR="00EE4290" w:rsidRPr="00003B04" w:rsidRDefault="00EE4290" w:rsidP="00EE4290">
            <w:pPr>
              <w:jc w:val="both"/>
              <w:rPr>
                <w:rFonts w:eastAsia="Calibri"/>
                <w:sz w:val="20"/>
              </w:rPr>
            </w:pPr>
          </w:p>
        </w:tc>
      </w:tr>
      <w:tr w:rsidR="00EE4290" w:rsidRPr="00003B04" w:rsidTr="00EE4290">
        <w:tc>
          <w:tcPr>
            <w:tcW w:w="5000" w:type="pct"/>
            <w:gridSpan w:val="4"/>
          </w:tcPr>
          <w:p w:rsidR="00EE4290" w:rsidRPr="00003B04" w:rsidRDefault="00EE4290" w:rsidP="00EE4290">
            <w:pPr>
              <w:jc w:val="both"/>
              <w:rPr>
                <w:rFonts w:eastAsia="Calibri"/>
                <w:sz w:val="20"/>
              </w:rPr>
            </w:pPr>
            <w:r w:rsidRPr="00003B04">
              <w:rPr>
                <w:rFonts w:eastAsia="Calibri"/>
                <w:sz w:val="20"/>
              </w:rPr>
              <w:t>The elevator in a 63-unit, six-storey building broke down due to a latent defect in a brake drum on November 2012. The elevator was out of service for 96 days of the following 11 months, and completely failed to service the fourth floor for 12 days. The service interruptions caused the tenants, some of whom are elderly or have mobility issues, a great deal of difficulty and uncertainty. When it broke down, the elevator had a preventative maintenance program, it had passed all annual and monthly inspections, and its licence had been renewed. The landlord, the respondent CJM Property Management Ltd., decided to replace the elevator, but spent more than $30,000 to return the existing elevator to operation as quickly as possible. It warned tenants of planned service disruptions, but could not give warnings of three unplanned interruptions totalling 36 days. It also paid $15,400 to hire runners to assist tenants who had difficulty doing day-to-day tasks that required climbing stairs, spent $5,200 on an evacuation chair for use in emergencies, and changed repair companies as necessary. A province-wide elevator technician strike delayed a scheduled six-week shut-down by nearly 3 months.</w:t>
            </w:r>
          </w:p>
          <w:p w:rsidR="00EE4290" w:rsidRPr="00003B04" w:rsidRDefault="00EE4290" w:rsidP="00EE4290">
            <w:pPr>
              <w:jc w:val="both"/>
              <w:rPr>
                <w:rFonts w:eastAsia="Calibri"/>
                <w:sz w:val="20"/>
              </w:rPr>
            </w:pPr>
          </w:p>
          <w:p w:rsidR="00EE4290" w:rsidRPr="00003B04" w:rsidRDefault="00EE4290" w:rsidP="00EE4290">
            <w:pPr>
              <w:jc w:val="both"/>
              <w:rPr>
                <w:rFonts w:eastAsia="Calibri"/>
                <w:sz w:val="20"/>
              </w:rPr>
            </w:pPr>
            <w:r w:rsidRPr="00003B04">
              <w:rPr>
                <w:rFonts w:eastAsia="Calibri"/>
                <w:sz w:val="20"/>
              </w:rPr>
              <w:t xml:space="preserve">The tenants applied for an abatement of rent, arguing that the landlord failed to comply with its duties to provide and maintain the building under s. 20 of the </w:t>
            </w:r>
            <w:r w:rsidRPr="00003B04">
              <w:rPr>
                <w:rFonts w:eastAsia="Calibri"/>
                <w:i/>
                <w:sz w:val="20"/>
              </w:rPr>
              <w:t>Residential Tenancies Act, 2006</w:t>
            </w:r>
            <w:r w:rsidRPr="00003B04">
              <w:rPr>
                <w:rFonts w:eastAsia="Calibri"/>
                <w:sz w:val="20"/>
              </w:rPr>
              <w:t>, S.O. 2006, c. 17. The Landlord and Tenant Board denied the application on the grounds that the landlord had acted reasonably. The Superior Court of Justice dismissed the tenants’ appeal as of right; leave to appeal to the Court of Appeal was granted, but the appeal was dismissed.</w:t>
            </w:r>
          </w:p>
          <w:p w:rsidR="00EE4290" w:rsidRPr="00003B04" w:rsidRDefault="00EE4290" w:rsidP="00EE4290">
            <w:pPr>
              <w:jc w:val="both"/>
              <w:rPr>
                <w:rFonts w:eastAsia="Calibri"/>
                <w:sz w:val="20"/>
              </w:rPr>
            </w:pPr>
          </w:p>
        </w:tc>
      </w:tr>
      <w:tr w:rsidR="00EE4290" w:rsidRPr="00003B04" w:rsidTr="00EE4290">
        <w:tc>
          <w:tcPr>
            <w:tcW w:w="2427" w:type="pct"/>
            <w:gridSpan w:val="2"/>
          </w:tcPr>
          <w:p w:rsidR="00EE4290" w:rsidRPr="00003B04" w:rsidRDefault="00EE4290" w:rsidP="00EE4290">
            <w:pPr>
              <w:jc w:val="both"/>
              <w:rPr>
                <w:rFonts w:eastAsia="Calibri"/>
                <w:sz w:val="20"/>
              </w:rPr>
            </w:pPr>
            <w:r w:rsidRPr="00003B04">
              <w:rPr>
                <w:rFonts w:eastAsia="Calibri"/>
                <w:sz w:val="20"/>
              </w:rPr>
              <w:t>January 26, 2015</w:t>
            </w:r>
          </w:p>
          <w:p w:rsidR="00EE4290" w:rsidRPr="00003B04" w:rsidRDefault="00EE4290" w:rsidP="00EE4290">
            <w:pPr>
              <w:jc w:val="both"/>
              <w:rPr>
                <w:rFonts w:eastAsia="Calibri"/>
                <w:sz w:val="20"/>
              </w:rPr>
            </w:pPr>
            <w:r w:rsidRPr="00003B04">
              <w:rPr>
                <w:rFonts w:eastAsia="Calibri"/>
                <w:sz w:val="20"/>
              </w:rPr>
              <w:t>Ontario Superior Court of Justice</w:t>
            </w:r>
          </w:p>
          <w:p w:rsidR="00EE4290" w:rsidRPr="00003B04" w:rsidRDefault="00EE4290" w:rsidP="00EE4290">
            <w:pPr>
              <w:jc w:val="both"/>
              <w:rPr>
                <w:rFonts w:eastAsia="Calibri"/>
                <w:sz w:val="20"/>
              </w:rPr>
            </w:pPr>
            <w:r w:rsidRPr="00003B04">
              <w:rPr>
                <w:rFonts w:eastAsia="Calibri"/>
                <w:sz w:val="20"/>
              </w:rPr>
              <w:t xml:space="preserve">(Aitken, </w:t>
            </w:r>
            <w:proofErr w:type="spellStart"/>
            <w:r w:rsidRPr="00003B04">
              <w:rPr>
                <w:rFonts w:eastAsia="Calibri"/>
                <w:sz w:val="20"/>
              </w:rPr>
              <w:t>Lederer</w:t>
            </w:r>
            <w:proofErr w:type="spellEnd"/>
            <w:r w:rsidRPr="00003B04">
              <w:rPr>
                <w:rFonts w:eastAsia="Calibri"/>
                <w:sz w:val="20"/>
              </w:rPr>
              <w:t>, Ramsay JJ.)</w:t>
            </w:r>
          </w:p>
          <w:p w:rsidR="00EE4290" w:rsidRPr="00003B04" w:rsidRDefault="00604445" w:rsidP="00EE4290">
            <w:pPr>
              <w:jc w:val="both"/>
              <w:rPr>
                <w:rFonts w:eastAsia="Calibri"/>
                <w:sz w:val="20"/>
              </w:rPr>
            </w:pPr>
            <w:hyperlink r:id="rId105" w:history="1">
              <w:r w:rsidR="00EE4290" w:rsidRPr="00003B04">
                <w:rPr>
                  <w:rFonts w:eastAsia="Calibri"/>
                  <w:color w:val="0000FF" w:themeColor="hyperlink"/>
                  <w:sz w:val="20"/>
                  <w:u w:val="single"/>
                </w:rPr>
                <w:t>2015 ONSC 606</w:t>
              </w:r>
            </w:hyperlink>
          </w:p>
          <w:p w:rsidR="00EE4290" w:rsidRPr="00003B04" w:rsidRDefault="00EE4290" w:rsidP="00EE4290">
            <w:pPr>
              <w:jc w:val="both"/>
              <w:rPr>
                <w:rFonts w:eastAsia="Calibri"/>
                <w:sz w:val="20"/>
              </w:rPr>
            </w:pPr>
          </w:p>
        </w:tc>
        <w:tc>
          <w:tcPr>
            <w:tcW w:w="243" w:type="pct"/>
          </w:tcPr>
          <w:p w:rsidR="00EE4290" w:rsidRPr="00003B04" w:rsidRDefault="00EE4290" w:rsidP="00EE4290">
            <w:pPr>
              <w:jc w:val="both"/>
              <w:rPr>
                <w:rFonts w:eastAsia="Calibri"/>
                <w:sz w:val="20"/>
              </w:rPr>
            </w:pPr>
          </w:p>
        </w:tc>
        <w:tc>
          <w:tcPr>
            <w:tcW w:w="2330" w:type="pct"/>
          </w:tcPr>
          <w:p w:rsidR="00EE4290" w:rsidRPr="00003B04" w:rsidRDefault="00EE4290" w:rsidP="00EE4290">
            <w:pPr>
              <w:jc w:val="both"/>
              <w:rPr>
                <w:rFonts w:eastAsia="Calibri"/>
                <w:sz w:val="20"/>
              </w:rPr>
            </w:pPr>
            <w:r w:rsidRPr="00003B04">
              <w:rPr>
                <w:rFonts w:eastAsia="Calibri"/>
                <w:sz w:val="20"/>
              </w:rPr>
              <w:t>Appeal dismissed</w:t>
            </w:r>
          </w:p>
          <w:p w:rsidR="00EE4290" w:rsidRPr="00003B04" w:rsidRDefault="00EE4290" w:rsidP="00EE4290">
            <w:pPr>
              <w:jc w:val="both"/>
              <w:rPr>
                <w:rFonts w:eastAsia="Calibri"/>
                <w:sz w:val="20"/>
              </w:rPr>
            </w:pPr>
          </w:p>
        </w:tc>
      </w:tr>
      <w:tr w:rsidR="00EE4290" w:rsidRPr="00003B04" w:rsidTr="00EE4290">
        <w:tc>
          <w:tcPr>
            <w:tcW w:w="2427" w:type="pct"/>
            <w:gridSpan w:val="2"/>
          </w:tcPr>
          <w:p w:rsidR="00EE4290" w:rsidRPr="00003B04" w:rsidRDefault="00EE4290" w:rsidP="00EE4290">
            <w:pPr>
              <w:jc w:val="both"/>
              <w:rPr>
                <w:rFonts w:eastAsia="Calibri"/>
                <w:sz w:val="20"/>
              </w:rPr>
            </w:pPr>
            <w:r w:rsidRPr="00003B04">
              <w:rPr>
                <w:rFonts w:eastAsia="Calibri"/>
                <w:sz w:val="20"/>
              </w:rPr>
              <w:t>June 16, 2016</w:t>
            </w:r>
          </w:p>
          <w:p w:rsidR="00EE4290" w:rsidRPr="00003B04" w:rsidRDefault="00EE4290" w:rsidP="00EE4290">
            <w:pPr>
              <w:jc w:val="both"/>
              <w:rPr>
                <w:rFonts w:eastAsia="Calibri"/>
                <w:sz w:val="20"/>
              </w:rPr>
            </w:pPr>
            <w:r w:rsidRPr="00003B04">
              <w:rPr>
                <w:rFonts w:eastAsia="Calibri"/>
                <w:sz w:val="20"/>
              </w:rPr>
              <w:t>Court of Appeal for Ontario</w:t>
            </w:r>
          </w:p>
          <w:p w:rsidR="00EE4290" w:rsidRPr="00003B04" w:rsidRDefault="00EE4290" w:rsidP="00EE4290">
            <w:pPr>
              <w:jc w:val="both"/>
              <w:rPr>
                <w:rFonts w:eastAsia="Calibri"/>
                <w:sz w:val="20"/>
              </w:rPr>
            </w:pPr>
            <w:r w:rsidRPr="00003B04">
              <w:rPr>
                <w:rFonts w:eastAsia="Calibri"/>
                <w:sz w:val="20"/>
              </w:rPr>
              <w:t>(</w:t>
            </w:r>
            <w:proofErr w:type="spellStart"/>
            <w:r w:rsidRPr="00003B04">
              <w:rPr>
                <w:rFonts w:eastAsia="Calibri"/>
                <w:sz w:val="20"/>
              </w:rPr>
              <w:t>Weiler</w:t>
            </w:r>
            <w:proofErr w:type="spellEnd"/>
            <w:r w:rsidRPr="00003B04">
              <w:rPr>
                <w:rFonts w:eastAsia="Calibri"/>
                <w:sz w:val="20"/>
              </w:rPr>
              <w:t xml:space="preserve">, Cronk, </w:t>
            </w:r>
            <w:proofErr w:type="spellStart"/>
            <w:r w:rsidRPr="00003B04">
              <w:rPr>
                <w:rFonts w:eastAsia="Calibri"/>
                <w:sz w:val="20"/>
              </w:rPr>
              <w:t>Benotto</w:t>
            </w:r>
            <w:proofErr w:type="spellEnd"/>
            <w:r w:rsidRPr="00003B04">
              <w:rPr>
                <w:rFonts w:eastAsia="Calibri"/>
                <w:sz w:val="20"/>
              </w:rPr>
              <w:t xml:space="preserve"> JJ.A.)</w:t>
            </w:r>
          </w:p>
          <w:p w:rsidR="00EE4290" w:rsidRPr="00003B04" w:rsidRDefault="00604445" w:rsidP="00EE4290">
            <w:pPr>
              <w:jc w:val="both"/>
              <w:rPr>
                <w:rFonts w:eastAsia="Calibri"/>
                <w:color w:val="0000FF" w:themeColor="hyperlink"/>
                <w:sz w:val="20"/>
                <w:u w:val="single"/>
              </w:rPr>
            </w:pPr>
            <w:hyperlink r:id="rId106" w:history="1">
              <w:r w:rsidR="00EE4290" w:rsidRPr="00003B04">
                <w:rPr>
                  <w:rFonts w:eastAsia="Calibri"/>
                  <w:color w:val="0000FF" w:themeColor="hyperlink"/>
                  <w:sz w:val="20"/>
                  <w:u w:val="single"/>
                </w:rPr>
                <w:t>2016 ONCA 477</w:t>
              </w:r>
            </w:hyperlink>
          </w:p>
          <w:p w:rsidR="00EE4290" w:rsidRPr="00003B04" w:rsidRDefault="00EE4290" w:rsidP="00EE4290">
            <w:pPr>
              <w:jc w:val="both"/>
              <w:rPr>
                <w:rFonts w:eastAsia="Calibri"/>
                <w:sz w:val="20"/>
              </w:rPr>
            </w:pPr>
          </w:p>
        </w:tc>
        <w:tc>
          <w:tcPr>
            <w:tcW w:w="243" w:type="pct"/>
          </w:tcPr>
          <w:p w:rsidR="00EE4290" w:rsidRPr="00003B04" w:rsidRDefault="00EE4290" w:rsidP="00EE4290">
            <w:pPr>
              <w:jc w:val="both"/>
              <w:rPr>
                <w:rFonts w:eastAsia="Calibri"/>
                <w:sz w:val="20"/>
              </w:rPr>
            </w:pPr>
          </w:p>
        </w:tc>
        <w:tc>
          <w:tcPr>
            <w:tcW w:w="2330" w:type="pct"/>
          </w:tcPr>
          <w:p w:rsidR="00EE4290" w:rsidRPr="00003B04" w:rsidRDefault="00EE4290" w:rsidP="00EE4290">
            <w:pPr>
              <w:jc w:val="both"/>
              <w:rPr>
                <w:rFonts w:eastAsia="Calibri"/>
                <w:sz w:val="20"/>
              </w:rPr>
            </w:pPr>
            <w:r w:rsidRPr="00003B04">
              <w:rPr>
                <w:rFonts w:eastAsia="Calibri"/>
                <w:sz w:val="20"/>
              </w:rPr>
              <w:t>Appeal dismissed</w:t>
            </w:r>
          </w:p>
          <w:p w:rsidR="00EE4290" w:rsidRPr="00003B04" w:rsidRDefault="00EE4290" w:rsidP="00EE4290">
            <w:pPr>
              <w:jc w:val="both"/>
              <w:rPr>
                <w:rFonts w:eastAsia="Calibri"/>
                <w:sz w:val="20"/>
              </w:rPr>
            </w:pPr>
          </w:p>
        </w:tc>
      </w:tr>
      <w:tr w:rsidR="00EE4290" w:rsidRPr="00003B04" w:rsidTr="00EE4290">
        <w:tc>
          <w:tcPr>
            <w:tcW w:w="2427" w:type="pct"/>
            <w:gridSpan w:val="2"/>
            <w:hideMark/>
          </w:tcPr>
          <w:p w:rsidR="00EE4290" w:rsidRPr="00003B04" w:rsidRDefault="00EE4290" w:rsidP="00EE4290">
            <w:pPr>
              <w:jc w:val="both"/>
              <w:rPr>
                <w:rFonts w:eastAsia="Calibri"/>
                <w:sz w:val="20"/>
              </w:rPr>
            </w:pPr>
            <w:r w:rsidRPr="00003B04">
              <w:rPr>
                <w:rFonts w:eastAsia="Calibri"/>
                <w:sz w:val="20"/>
              </w:rPr>
              <w:t>September 14, 2016</w:t>
            </w:r>
          </w:p>
          <w:p w:rsidR="00EE4290" w:rsidRPr="00003B04" w:rsidRDefault="00EE4290" w:rsidP="00EE4290">
            <w:pPr>
              <w:jc w:val="both"/>
              <w:rPr>
                <w:rFonts w:eastAsia="Calibri"/>
                <w:sz w:val="20"/>
              </w:rPr>
            </w:pPr>
            <w:r w:rsidRPr="00003B04">
              <w:rPr>
                <w:rFonts w:eastAsia="Calibri"/>
                <w:sz w:val="20"/>
              </w:rPr>
              <w:t>Supreme Court of Canada</w:t>
            </w:r>
          </w:p>
        </w:tc>
        <w:tc>
          <w:tcPr>
            <w:tcW w:w="243" w:type="pct"/>
          </w:tcPr>
          <w:p w:rsidR="00EE4290" w:rsidRPr="00003B04" w:rsidRDefault="00EE4290" w:rsidP="00EE4290">
            <w:pPr>
              <w:jc w:val="both"/>
              <w:rPr>
                <w:rFonts w:eastAsia="Calibri"/>
                <w:sz w:val="20"/>
              </w:rPr>
            </w:pPr>
          </w:p>
        </w:tc>
        <w:tc>
          <w:tcPr>
            <w:tcW w:w="2330" w:type="pct"/>
          </w:tcPr>
          <w:p w:rsidR="00EE4290" w:rsidRPr="00003B04" w:rsidRDefault="00EE4290" w:rsidP="00EE4290">
            <w:pPr>
              <w:jc w:val="both"/>
              <w:rPr>
                <w:rFonts w:eastAsia="Calibri"/>
                <w:sz w:val="20"/>
              </w:rPr>
            </w:pPr>
            <w:r w:rsidRPr="00003B04">
              <w:rPr>
                <w:rFonts w:eastAsia="Calibri"/>
                <w:sz w:val="20"/>
              </w:rPr>
              <w:t>Application for leave to appeal filed</w:t>
            </w:r>
          </w:p>
          <w:p w:rsidR="00EE4290" w:rsidRPr="00003B04" w:rsidRDefault="00EE4290" w:rsidP="00EE4290">
            <w:pPr>
              <w:jc w:val="both"/>
              <w:rPr>
                <w:rFonts w:eastAsia="Calibri"/>
                <w:sz w:val="20"/>
              </w:rPr>
            </w:pPr>
          </w:p>
        </w:tc>
      </w:tr>
    </w:tbl>
    <w:p w:rsidR="00EE4290" w:rsidRPr="00003B04" w:rsidRDefault="00604445" w:rsidP="00EE4290">
      <w:pPr>
        <w:jc w:val="both"/>
        <w:rPr>
          <w:rFonts w:eastAsia="Calibri"/>
          <w:sz w:val="20"/>
        </w:rPr>
      </w:pPr>
      <w:r>
        <w:rPr>
          <w:sz w:val="20"/>
          <w:szCs w:val="20"/>
        </w:rPr>
        <w:pict>
          <v:rect id="_x0000_i1091" style="width:2in;height:1pt" o:hrpct="0" o:hralign="center" o:hrstd="t" o:hrnoshade="t" o:hr="t" fillcolor="black [3213]" stroked="f"/>
        </w:pict>
      </w:r>
    </w:p>
    <w:p w:rsidR="00EE4290" w:rsidRPr="00003B04" w:rsidRDefault="00EE4290" w:rsidP="00EE4290"/>
    <w:p w:rsidR="00744381" w:rsidRPr="00003B04" w:rsidRDefault="00744381">
      <w:r w:rsidRPr="00003B04">
        <w:br w:type="page"/>
      </w:r>
    </w:p>
    <w:tbl>
      <w:tblPr>
        <w:tblW w:w="4950" w:type="pct"/>
        <w:tblCellMar>
          <w:left w:w="0" w:type="dxa"/>
          <w:bottom w:w="99" w:type="dxa"/>
          <w:right w:w="0" w:type="dxa"/>
        </w:tblCellMar>
        <w:tblLook w:val="04A0" w:firstRow="1" w:lastRow="0" w:firstColumn="1" w:lastColumn="0" w:noHBand="0" w:noVBand="1"/>
      </w:tblPr>
      <w:tblGrid>
        <w:gridCol w:w="1034"/>
        <w:gridCol w:w="3588"/>
        <w:gridCol w:w="463"/>
        <w:gridCol w:w="4438"/>
      </w:tblGrid>
      <w:tr w:rsidR="00EE4290" w:rsidRPr="00003B04" w:rsidTr="00EE4290">
        <w:tc>
          <w:tcPr>
            <w:tcW w:w="543" w:type="pct"/>
            <w:hideMark/>
          </w:tcPr>
          <w:p w:rsidR="00EE4290" w:rsidRPr="00003B04" w:rsidRDefault="00EE4290" w:rsidP="00EE4290">
            <w:pPr>
              <w:jc w:val="both"/>
              <w:rPr>
                <w:rFonts w:eastAsia="Calibri"/>
                <w:sz w:val="20"/>
                <w:lang w:val="fr-CA"/>
              </w:rPr>
            </w:pPr>
            <w:r w:rsidRPr="00003B04">
              <w:rPr>
                <w:rFonts w:eastAsia="Calibri"/>
                <w:b/>
                <w:sz w:val="20"/>
                <w:lang w:val="fr-CA"/>
              </w:rPr>
              <w:lastRenderedPageBreak/>
              <w:t>37192</w:t>
            </w:r>
          </w:p>
        </w:tc>
        <w:tc>
          <w:tcPr>
            <w:tcW w:w="4457" w:type="pct"/>
            <w:gridSpan w:val="3"/>
            <w:hideMark/>
          </w:tcPr>
          <w:p w:rsidR="00EE4290" w:rsidRPr="00003B04" w:rsidRDefault="00EE4290" w:rsidP="00767A6B">
            <w:pPr>
              <w:jc w:val="both"/>
              <w:rPr>
                <w:rFonts w:eastAsia="Calibri"/>
                <w:sz w:val="20"/>
                <w:lang w:val="fr-CA"/>
              </w:rPr>
            </w:pPr>
            <w:r w:rsidRPr="00003B04">
              <w:rPr>
                <w:b/>
                <w:sz w:val="20"/>
                <w:lang w:val="fr-CA"/>
              </w:rPr>
              <w:t xml:space="preserve">Tammy </w:t>
            </w:r>
            <w:proofErr w:type="spellStart"/>
            <w:r w:rsidRPr="00003B04">
              <w:rPr>
                <w:b/>
                <w:sz w:val="20"/>
                <w:lang w:val="fr-CA"/>
              </w:rPr>
              <w:t>Onyskiw</w:t>
            </w:r>
            <w:proofErr w:type="spellEnd"/>
            <w:r w:rsidRPr="00003B04">
              <w:rPr>
                <w:b/>
                <w:sz w:val="20"/>
                <w:lang w:val="fr-CA"/>
              </w:rPr>
              <w:t xml:space="preserve">, </w:t>
            </w:r>
            <w:proofErr w:type="spellStart"/>
            <w:r w:rsidRPr="00003B04">
              <w:rPr>
                <w:b/>
                <w:sz w:val="20"/>
                <w:lang w:val="fr-CA"/>
              </w:rPr>
              <w:t>Sherrie</w:t>
            </w:r>
            <w:proofErr w:type="spellEnd"/>
            <w:r w:rsidRPr="00003B04">
              <w:rPr>
                <w:b/>
                <w:sz w:val="20"/>
                <w:lang w:val="fr-CA"/>
              </w:rPr>
              <w:t xml:space="preserve"> Giroux, Jeff Gill, Kimberly George</w:t>
            </w:r>
            <w:r w:rsidR="00B52CAC" w:rsidRPr="00003B04">
              <w:rPr>
                <w:b/>
                <w:sz w:val="20"/>
                <w:lang w:val="fr-CA"/>
              </w:rPr>
              <w:t xml:space="preserve"> et</w:t>
            </w:r>
            <w:r w:rsidRPr="00003B04">
              <w:rPr>
                <w:b/>
                <w:sz w:val="20"/>
                <w:lang w:val="fr-CA"/>
              </w:rPr>
              <w:t xml:space="preserve"> </w:t>
            </w:r>
            <w:proofErr w:type="spellStart"/>
            <w:r w:rsidRPr="00003B04">
              <w:rPr>
                <w:b/>
                <w:sz w:val="20"/>
                <w:lang w:val="fr-CA"/>
              </w:rPr>
              <w:t>Ilona</w:t>
            </w:r>
            <w:proofErr w:type="spellEnd"/>
            <w:r w:rsidRPr="00003B04">
              <w:rPr>
                <w:b/>
                <w:sz w:val="20"/>
                <w:lang w:val="fr-CA"/>
              </w:rPr>
              <w:t xml:space="preserve"> </w:t>
            </w:r>
            <w:proofErr w:type="spellStart"/>
            <w:r w:rsidRPr="00003B04">
              <w:rPr>
                <w:b/>
                <w:sz w:val="20"/>
                <w:lang w:val="fr-CA"/>
              </w:rPr>
              <w:t>Berthiaume</w:t>
            </w:r>
            <w:proofErr w:type="spellEnd"/>
            <w:r w:rsidRPr="00003B04">
              <w:rPr>
                <w:b/>
                <w:sz w:val="20"/>
                <w:lang w:val="fr-CA"/>
              </w:rPr>
              <w:t xml:space="preserve"> c. CJM </w:t>
            </w:r>
            <w:proofErr w:type="spellStart"/>
            <w:r w:rsidRPr="00003B04">
              <w:rPr>
                <w:b/>
                <w:sz w:val="20"/>
                <w:lang w:val="fr-CA"/>
              </w:rPr>
              <w:t>Property</w:t>
            </w:r>
            <w:proofErr w:type="spellEnd"/>
            <w:r w:rsidRPr="00003B04">
              <w:rPr>
                <w:b/>
                <w:sz w:val="20"/>
                <w:lang w:val="fr-CA"/>
              </w:rPr>
              <w:t xml:space="preserve"> Management Ltd.</w:t>
            </w:r>
            <w:r w:rsidR="00767A6B" w:rsidRPr="00003B04">
              <w:rPr>
                <w:b/>
                <w:sz w:val="20"/>
                <w:lang w:val="fr-CA"/>
              </w:rPr>
              <w:t xml:space="preserve"> </w:t>
            </w:r>
            <w:r w:rsidRPr="00003B04">
              <w:rPr>
                <w:b/>
                <w:sz w:val="20"/>
                <w:lang w:val="fr-CA"/>
              </w:rPr>
              <w:t>- et -</w:t>
            </w:r>
            <w:r w:rsidR="00767A6B" w:rsidRPr="00003B04">
              <w:rPr>
                <w:b/>
                <w:sz w:val="20"/>
                <w:lang w:val="fr-CA"/>
              </w:rPr>
              <w:t xml:space="preserve"> </w:t>
            </w:r>
            <w:r w:rsidRPr="00003B04">
              <w:rPr>
                <w:b/>
                <w:sz w:val="20"/>
                <w:lang w:val="fr-CA"/>
              </w:rPr>
              <w:t xml:space="preserve">Commission de la location immobilière </w:t>
            </w:r>
            <w:r w:rsidRPr="00003B04">
              <w:rPr>
                <w:rFonts w:eastAsia="Calibri"/>
                <w:sz w:val="20"/>
                <w:lang w:val="fr-CA"/>
              </w:rPr>
              <w:t>(Ont.) (Civile) (Sur autorisation)</w:t>
            </w:r>
          </w:p>
          <w:p w:rsidR="00767A6B" w:rsidRPr="00003B04" w:rsidRDefault="00767A6B" w:rsidP="00767A6B">
            <w:pPr>
              <w:jc w:val="both"/>
              <w:rPr>
                <w:rFonts w:eastAsia="Calibri"/>
                <w:sz w:val="20"/>
                <w:lang w:val="fr-CA"/>
              </w:rPr>
            </w:pPr>
          </w:p>
        </w:tc>
      </w:tr>
      <w:tr w:rsidR="00AC0490" w:rsidRPr="00C3697D" w:rsidTr="00EE4290">
        <w:tc>
          <w:tcPr>
            <w:tcW w:w="543" w:type="pct"/>
          </w:tcPr>
          <w:p w:rsidR="00AC0490" w:rsidRPr="00003B04" w:rsidRDefault="00AC0490" w:rsidP="00EE4290">
            <w:pPr>
              <w:jc w:val="both"/>
              <w:rPr>
                <w:rFonts w:eastAsia="Calibri"/>
                <w:b/>
                <w:sz w:val="20"/>
                <w:lang w:val="fr-CA"/>
              </w:rPr>
            </w:pPr>
            <w:r w:rsidRPr="00003B04">
              <w:rPr>
                <w:rFonts w:eastAsia="Calibri"/>
                <w:b/>
                <w:sz w:val="20"/>
                <w:lang w:val="fr-CA"/>
              </w:rPr>
              <w:t>Coram :</w:t>
            </w:r>
          </w:p>
        </w:tc>
        <w:tc>
          <w:tcPr>
            <w:tcW w:w="4457" w:type="pct"/>
            <w:gridSpan w:val="3"/>
          </w:tcPr>
          <w:p w:rsidR="00AC0490" w:rsidRPr="00003B04" w:rsidRDefault="00744381" w:rsidP="00EE4290">
            <w:pPr>
              <w:jc w:val="both"/>
              <w:rPr>
                <w:rFonts w:eastAsiaTheme="minorEastAsia" w:cs="Times New Roman"/>
                <w:sz w:val="20"/>
                <w:szCs w:val="20"/>
                <w:lang w:val="fr-CA" w:eastAsia="en-CA"/>
              </w:rPr>
            </w:pPr>
            <w:r w:rsidRPr="00003B04">
              <w:rPr>
                <w:rFonts w:eastAsiaTheme="minorEastAsia" w:cs="Times New Roman"/>
                <w:sz w:val="20"/>
                <w:szCs w:val="20"/>
                <w:lang w:val="fr-FR" w:eastAsia="en-CA"/>
              </w:rPr>
              <w:t xml:space="preserve">La juge en chef </w:t>
            </w:r>
            <w:proofErr w:type="spellStart"/>
            <w:r w:rsidRPr="00003B04">
              <w:rPr>
                <w:rFonts w:eastAsiaTheme="minorEastAsia" w:cs="Times New Roman"/>
                <w:sz w:val="20"/>
                <w:szCs w:val="20"/>
                <w:lang w:val="fr-FR" w:eastAsia="en-CA"/>
              </w:rPr>
              <w:t>McLachlin</w:t>
            </w:r>
            <w:proofErr w:type="spellEnd"/>
            <w:r w:rsidRPr="00003B04">
              <w:rPr>
                <w:rFonts w:eastAsiaTheme="minorEastAsia" w:cs="Times New Roman"/>
                <w:sz w:val="20"/>
                <w:szCs w:val="20"/>
                <w:lang w:val="fr-FR" w:eastAsia="en-CA"/>
              </w:rPr>
              <w:t xml:space="preserve"> et les juges Abella, </w:t>
            </w:r>
            <w:proofErr w:type="spellStart"/>
            <w:r w:rsidRPr="00003B04">
              <w:rPr>
                <w:rFonts w:eastAsiaTheme="minorEastAsia" w:cs="Times New Roman"/>
                <w:sz w:val="20"/>
                <w:szCs w:val="20"/>
                <w:lang w:val="fr-CA" w:eastAsia="en-CA"/>
              </w:rPr>
              <w:t>Moldaver</w:t>
            </w:r>
            <w:proofErr w:type="spellEnd"/>
            <w:r w:rsidRPr="00003B04">
              <w:rPr>
                <w:rFonts w:eastAsiaTheme="minorEastAsia" w:cs="Times New Roman"/>
                <w:sz w:val="20"/>
                <w:szCs w:val="20"/>
                <w:lang w:val="fr-CA" w:eastAsia="en-CA"/>
              </w:rPr>
              <w:t xml:space="preserve">, </w:t>
            </w:r>
            <w:proofErr w:type="spellStart"/>
            <w:r w:rsidRPr="00003B04">
              <w:rPr>
                <w:rFonts w:eastAsiaTheme="minorEastAsia" w:cs="Times New Roman"/>
                <w:sz w:val="20"/>
                <w:szCs w:val="20"/>
                <w:lang w:val="fr-CA" w:eastAsia="en-CA"/>
              </w:rPr>
              <w:t>Karakatsanis</w:t>
            </w:r>
            <w:proofErr w:type="spellEnd"/>
            <w:r w:rsidRPr="00003B04">
              <w:rPr>
                <w:rFonts w:eastAsiaTheme="minorEastAsia" w:cs="Times New Roman"/>
                <w:sz w:val="20"/>
                <w:szCs w:val="20"/>
                <w:lang w:val="fr-CA" w:eastAsia="en-CA"/>
              </w:rPr>
              <w:t>, Wagner, Gascon, Côté, Brown et Rowe</w:t>
            </w:r>
          </w:p>
          <w:p w:rsidR="00744381" w:rsidRPr="00003B04" w:rsidRDefault="00744381" w:rsidP="00EE4290">
            <w:pPr>
              <w:jc w:val="both"/>
              <w:rPr>
                <w:sz w:val="20"/>
                <w:lang w:val="fr-CA"/>
              </w:rPr>
            </w:pPr>
          </w:p>
        </w:tc>
      </w:tr>
      <w:tr w:rsidR="00AC0490" w:rsidRPr="00C3697D" w:rsidTr="00AC0490">
        <w:tc>
          <w:tcPr>
            <w:tcW w:w="5000" w:type="pct"/>
            <w:gridSpan w:val="4"/>
          </w:tcPr>
          <w:p w:rsidR="00AC0490" w:rsidRPr="00003B04" w:rsidRDefault="00744381" w:rsidP="00EE4290">
            <w:pPr>
              <w:jc w:val="both"/>
              <w:rPr>
                <w:sz w:val="20"/>
                <w:szCs w:val="20"/>
                <w:lang w:val="fr-CA"/>
              </w:rPr>
            </w:pPr>
            <w:r w:rsidRPr="00003B04">
              <w:rPr>
                <w:sz w:val="20"/>
                <w:szCs w:val="20"/>
                <w:lang w:val="fr-CA"/>
              </w:rPr>
              <w:t>La demande d’autorisation d’appel de l’arrêt de la Cour d’appel de l’Ontario, numéro C61131, 2016 ONCA 477, daté du 16 juin 2016, est rejetée sans dépens.</w:t>
            </w:r>
          </w:p>
          <w:p w:rsidR="00744381" w:rsidRPr="00003B04" w:rsidRDefault="00744381" w:rsidP="00EE4290">
            <w:pPr>
              <w:jc w:val="both"/>
              <w:rPr>
                <w:sz w:val="20"/>
                <w:lang w:val="fr-CA"/>
              </w:rPr>
            </w:pPr>
          </w:p>
        </w:tc>
      </w:tr>
      <w:tr w:rsidR="00EE4290" w:rsidRPr="00C3697D" w:rsidTr="00EE4290">
        <w:tc>
          <w:tcPr>
            <w:tcW w:w="5000" w:type="pct"/>
            <w:gridSpan w:val="4"/>
            <w:hideMark/>
          </w:tcPr>
          <w:p w:rsidR="00EE4290" w:rsidRPr="00003B04" w:rsidRDefault="00EE4290" w:rsidP="00EE4290">
            <w:pPr>
              <w:jc w:val="both"/>
              <w:rPr>
                <w:rFonts w:eastAsia="Calibri"/>
                <w:sz w:val="20"/>
                <w:lang w:val="fr-CA"/>
              </w:rPr>
            </w:pPr>
            <w:r w:rsidRPr="00003B04">
              <w:rPr>
                <w:rFonts w:eastAsia="Calibri"/>
                <w:sz w:val="20"/>
                <w:lang w:val="fr-CA"/>
              </w:rPr>
              <w:t>Bail — Droit relatif aux rapports entre propriétaires et locataires — Location à usage d’habitation — Obligations du locateur — Réparation — Commission de la location immobilière — Diminution de loyer — La Cour d’appel a-t-elle modifié la manière d’interpréter la législation sur la location à usage d’habitation et a-t-elle affaibli l’obligation du locateur de garder l’ensemble d’habitation en bon état? — Comment l’appréciation du caractère raisonnable varie-t-elle selon le contexte? — Quelle forme le caractère raisonnable doit-il revêtir en l’espèce?</w:t>
            </w:r>
          </w:p>
        </w:tc>
      </w:tr>
      <w:tr w:rsidR="00EE4290" w:rsidRPr="00C3697D" w:rsidTr="00EE4290">
        <w:tc>
          <w:tcPr>
            <w:tcW w:w="5000" w:type="pct"/>
            <w:gridSpan w:val="4"/>
          </w:tcPr>
          <w:p w:rsidR="00EE4290" w:rsidRPr="00003B04" w:rsidRDefault="00EE4290" w:rsidP="00EE4290">
            <w:pPr>
              <w:jc w:val="both"/>
              <w:rPr>
                <w:rFonts w:eastAsia="Calibri"/>
                <w:sz w:val="20"/>
                <w:lang w:val="fr-CA"/>
              </w:rPr>
            </w:pPr>
          </w:p>
        </w:tc>
      </w:tr>
      <w:tr w:rsidR="00EE4290" w:rsidRPr="00C3697D" w:rsidTr="00EE4290">
        <w:tc>
          <w:tcPr>
            <w:tcW w:w="5000" w:type="pct"/>
            <w:gridSpan w:val="4"/>
          </w:tcPr>
          <w:p w:rsidR="00EE4290" w:rsidRPr="00003B04" w:rsidRDefault="00EE4290" w:rsidP="00EE4290">
            <w:pPr>
              <w:jc w:val="both"/>
              <w:rPr>
                <w:rFonts w:eastAsia="Calibri"/>
                <w:sz w:val="20"/>
                <w:lang w:val="fr-CA"/>
              </w:rPr>
            </w:pPr>
            <w:r w:rsidRPr="00003B04">
              <w:rPr>
                <w:rFonts w:eastAsia="Calibri"/>
                <w:sz w:val="20"/>
                <w:lang w:val="fr-CA"/>
              </w:rPr>
              <w:t xml:space="preserve">En novembre 2012, l’ascenseur d’un édifice de six étages comprenant 63 logements est tombé en panne en raison d’un défaut caché touchant un tambour de frein. Au cours des 11 mois qui ont suivi, l’ascenseur a été hors service pendant 96 jours et a complètement cessé de desservir le quatrième étage pendant 12 jours. Les interruptions du service ont causé chez les locataires, dont certains étaient des personnes âgées ou à mobilité réduite, beaucoup de difficultés et d’incertitude. Lorsqu’il est tombé en panne, l’ascenseur était couvert par un programme d’entretien préventif, il avait passé toutes les inspections annuelles et mensuelles et son permis avait été renouvelé. Le locateur, l’intimée CJM </w:t>
            </w:r>
            <w:proofErr w:type="spellStart"/>
            <w:r w:rsidRPr="00003B04">
              <w:rPr>
                <w:rFonts w:eastAsia="Calibri"/>
                <w:sz w:val="20"/>
                <w:lang w:val="fr-CA"/>
              </w:rPr>
              <w:t>Property</w:t>
            </w:r>
            <w:proofErr w:type="spellEnd"/>
            <w:r w:rsidRPr="00003B04">
              <w:rPr>
                <w:rFonts w:eastAsia="Calibri"/>
                <w:sz w:val="20"/>
                <w:lang w:val="fr-CA"/>
              </w:rPr>
              <w:t xml:space="preserve"> Management Ltd., a décidé de remplacer l’ascenseur, mais il a dépensé plus de 30 000 $ pour remettre en marche l’ascenseur existant le plus tôt possible. Il a prévenu les locataires d’interruptions du service programmées, mais il n’a pas été en mesure de les prévenir de trois interruptions non programmées d’une durée totale de 36 jours. Il a également payé 15 400 $ pour embaucher des coursiers chargés d’aider les locataires qui avaient de la difficulté à s’acquitter de leurs tâches quotidiennes qui les obligeaient de monter des escaliers, a dépensé 5 200 $ pour l’acquisition d’une chaise d’évacuation en cas d’urgence et a changé d’entreprises de réparation au besoin. Une grève de techniciens d’ascenseur à la grandeur de la province a retardé d’environ trois mois une fermeture programmée de six semaines.</w:t>
            </w:r>
          </w:p>
          <w:p w:rsidR="00EE4290" w:rsidRPr="00003B04" w:rsidRDefault="00EE4290" w:rsidP="00EE4290">
            <w:pPr>
              <w:jc w:val="both"/>
              <w:rPr>
                <w:rFonts w:eastAsia="Calibri"/>
                <w:sz w:val="20"/>
                <w:lang w:val="fr-CA"/>
              </w:rPr>
            </w:pPr>
          </w:p>
          <w:p w:rsidR="00EE4290" w:rsidRPr="00003B04" w:rsidRDefault="00EE4290" w:rsidP="00EE4290">
            <w:pPr>
              <w:jc w:val="both"/>
              <w:rPr>
                <w:rFonts w:eastAsia="Calibri"/>
                <w:sz w:val="20"/>
                <w:lang w:val="fr-CA"/>
              </w:rPr>
            </w:pPr>
            <w:r w:rsidRPr="00003B04">
              <w:rPr>
                <w:rFonts w:eastAsia="Calibri"/>
                <w:sz w:val="20"/>
                <w:lang w:val="fr-CA"/>
              </w:rPr>
              <w:t xml:space="preserve">Les locataires ont demandé une diminution de loyer, plaidant que le locateur ne s’était pas acquitté de ses obligations de garder l’édifice en bon état en application de l’art. 20 de la </w:t>
            </w:r>
            <w:r w:rsidRPr="00003B04">
              <w:rPr>
                <w:rFonts w:eastAsia="Calibri"/>
                <w:i/>
                <w:sz w:val="20"/>
                <w:lang w:val="fr-CA"/>
              </w:rPr>
              <w:t>Loi de 2006 sur la location à usage d’habitation</w:t>
            </w:r>
            <w:r w:rsidRPr="00003B04">
              <w:rPr>
                <w:rFonts w:eastAsia="Calibri"/>
                <w:sz w:val="20"/>
                <w:lang w:val="fr-CA"/>
              </w:rPr>
              <w:t>, L.O. 2006, c. 17. La Commission de la location immobilière a rejeté la demande, concluant que le locateur avait agi de façon responsable. La Cour supérieure de justice a rejeté l’appel de plein droit des locataires; l’autorisation d’interjeter appel à la Cour d’appel a été accordée, mais l’appel a été rejeté.</w:t>
            </w:r>
          </w:p>
          <w:p w:rsidR="00EE4290" w:rsidRPr="00003B04" w:rsidRDefault="00EE4290" w:rsidP="00EE4290">
            <w:pPr>
              <w:jc w:val="both"/>
              <w:rPr>
                <w:rFonts w:eastAsia="Calibri"/>
                <w:sz w:val="20"/>
                <w:lang w:val="fr-CA"/>
              </w:rPr>
            </w:pPr>
          </w:p>
        </w:tc>
      </w:tr>
      <w:tr w:rsidR="00EE4290" w:rsidRPr="00003B04" w:rsidTr="00EE4290">
        <w:tc>
          <w:tcPr>
            <w:tcW w:w="2427" w:type="pct"/>
            <w:gridSpan w:val="2"/>
          </w:tcPr>
          <w:p w:rsidR="00EE4290" w:rsidRPr="00003B04" w:rsidRDefault="00EE4290" w:rsidP="00EE4290">
            <w:pPr>
              <w:jc w:val="both"/>
              <w:rPr>
                <w:rFonts w:eastAsia="Calibri"/>
                <w:sz w:val="20"/>
                <w:lang w:val="fr-CA"/>
              </w:rPr>
            </w:pPr>
            <w:r w:rsidRPr="00003B04">
              <w:rPr>
                <w:rFonts w:eastAsia="Calibri"/>
                <w:sz w:val="20"/>
                <w:lang w:val="fr-CA"/>
              </w:rPr>
              <w:t>26 janvier 2015</w:t>
            </w:r>
          </w:p>
          <w:p w:rsidR="00EE4290" w:rsidRPr="00003B04" w:rsidRDefault="00EE4290" w:rsidP="00EE4290">
            <w:pPr>
              <w:jc w:val="both"/>
              <w:rPr>
                <w:rFonts w:eastAsia="Calibri"/>
                <w:sz w:val="20"/>
                <w:lang w:val="fr-CA"/>
              </w:rPr>
            </w:pPr>
            <w:r w:rsidRPr="00003B04">
              <w:rPr>
                <w:rFonts w:eastAsia="Calibri"/>
                <w:sz w:val="20"/>
                <w:lang w:val="fr-CA"/>
              </w:rPr>
              <w:t>Cour supérieure de justice de l’Ontario</w:t>
            </w:r>
          </w:p>
          <w:p w:rsidR="00EE4290" w:rsidRPr="00003B04" w:rsidRDefault="00EE4290" w:rsidP="00EE4290">
            <w:pPr>
              <w:jc w:val="both"/>
              <w:rPr>
                <w:rFonts w:eastAsia="Calibri"/>
                <w:sz w:val="20"/>
                <w:lang w:val="fr-CA"/>
              </w:rPr>
            </w:pPr>
            <w:r w:rsidRPr="00003B04">
              <w:rPr>
                <w:rFonts w:eastAsia="Calibri"/>
                <w:sz w:val="20"/>
                <w:lang w:val="fr-CA"/>
              </w:rPr>
              <w:t xml:space="preserve">(Juges </w:t>
            </w:r>
            <w:proofErr w:type="spellStart"/>
            <w:r w:rsidRPr="00003B04">
              <w:rPr>
                <w:rFonts w:eastAsia="Calibri"/>
                <w:sz w:val="20"/>
                <w:lang w:val="fr-CA"/>
              </w:rPr>
              <w:t>Aitken</w:t>
            </w:r>
            <w:proofErr w:type="spellEnd"/>
            <w:r w:rsidRPr="00003B04">
              <w:rPr>
                <w:rFonts w:eastAsia="Calibri"/>
                <w:sz w:val="20"/>
                <w:lang w:val="fr-CA"/>
              </w:rPr>
              <w:t xml:space="preserve">, </w:t>
            </w:r>
            <w:proofErr w:type="spellStart"/>
            <w:r w:rsidRPr="00003B04">
              <w:rPr>
                <w:rFonts w:eastAsia="Calibri"/>
                <w:sz w:val="20"/>
                <w:lang w:val="fr-CA"/>
              </w:rPr>
              <w:t>Lederer</w:t>
            </w:r>
            <w:proofErr w:type="spellEnd"/>
            <w:r w:rsidRPr="00003B04">
              <w:rPr>
                <w:rFonts w:eastAsia="Calibri"/>
                <w:sz w:val="20"/>
                <w:lang w:val="fr-CA"/>
              </w:rPr>
              <w:t xml:space="preserve"> et Ramsay)</w:t>
            </w:r>
          </w:p>
          <w:p w:rsidR="00EE4290" w:rsidRPr="00003B04" w:rsidRDefault="00604445" w:rsidP="00EE4290">
            <w:pPr>
              <w:jc w:val="both"/>
              <w:rPr>
                <w:rFonts w:eastAsia="Calibri"/>
                <w:sz w:val="20"/>
                <w:lang w:val="fr-CA"/>
              </w:rPr>
            </w:pPr>
            <w:hyperlink r:id="rId107" w:history="1">
              <w:r w:rsidR="00EE4290" w:rsidRPr="00003B04">
                <w:rPr>
                  <w:rFonts w:eastAsia="Calibri"/>
                  <w:color w:val="0000FF" w:themeColor="hyperlink"/>
                  <w:sz w:val="20"/>
                  <w:u w:val="single"/>
                  <w:lang w:val="fr-CA"/>
                </w:rPr>
                <w:t>2015 ONSC 606</w:t>
              </w:r>
            </w:hyperlink>
          </w:p>
          <w:p w:rsidR="00EE4290" w:rsidRPr="00003B04" w:rsidRDefault="00EE4290" w:rsidP="00EE4290">
            <w:pPr>
              <w:jc w:val="both"/>
              <w:rPr>
                <w:rFonts w:eastAsia="Calibri"/>
                <w:sz w:val="20"/>
                <w:lang w:val="fr-CA"/>
              </w:rPr>
            </w:pPr>
          </w:p>
        </w:tc>
        <w:tc>
          <w:tcPr>
            <w:tcW w:w="243" w:type="pct"/>
          </w:tcPr>
          <w:p w:rsidR="00EE4290" w:rsidRPr="00003B04" w:rsidRDefault="00EE4290" w:rsidP="00EE4290">
            <w:pPr>
              <w:jc w:val="both"/>
              <w:rPr>
                <w:rFonts w:eastAsia="Calibri"/>
                <w:sz w:val="20"/>
                <w:lang w:val="fr-CA"/>
              </w:rPr>
            </w:pPr>
          </w:p>
        </w:tc>
        <w:tc>
          <w:tcPr>
            <w:tcW w:w="2330" w:type="pct"/>
          </w:tcPr>
          <w:p w:rsidR="00EE4290" w:rsidRPr="00003B04" w:rsidRDefault="00EE4290" w:rsidP="00EE4290">
            <w:pPr>
              <w:jc w:val="both"/>
              <w:rPr>
                <w:rFonts w:eastAsia="Calibri"/>
                <w:sz w:val="20"/>
                <w:lang w:val="fr-CA"/>
              </w:rPr>
            </w:pPr>
            <w:r w:rsidRPr="00003B04">
              <w:rPr>
                <w:rFonts w:eastAsia="Calibri"/>
                <w:sz w:val="20"/>
                <w:lang w:val="fr-CA"/>
              </w:rPr>
              <w:t>Rejet de l’appel</w:t>
            </w:r>
          </w:p>
          <w:p w:rsidR="00EE4290" w:rsidRPr="00003B04" w:rsidRDefault="00EE4290" w:rsidP="00EE4290">
            <w:pPr>
              <w:jc w:val="both"/>
              <w:rPr>
                <w:rFonts w:eastAsia="Calibri"/>
                <w:sz w:val="20"/>
                <w:lang w:val="fr-CA"/>
              </w:rPr>
            </w:pPr>
          </w:p>
        </w:tc>
      </w:tr>
      <w:tr w:rsidR="00EE4290" w:rsidRPr="00003B04" w:rsidTr="00EE4290">
        <w:tc>
          <w:tcPr>
            <w:tcW w:w="2427" w:type="pct"/>
            <w:gridSpan w:val="2"/>
          </w:tcPr>
          <w:p w:rsidR="00EE4290" w:rsidRPr="00003B04" w:rsidRDefault="00EE4290" w:rsidP="00EE4290">
            <w:pPr>
              <w:jc w:val="both"/>
              <w:rPr>
                <w:rFonts w:eastAsia="Calibri"/>
                <w:sz w:val="20"/>
                <w:lang w:val="fr-CA"/>
              </w:rPr>
            </w:pPr>
            <w:r w:rsidRPr="00003B04">
              <w:rPr>
                <w:rFonts w:eastAsia="Calibri"/>
                <w:sz w:val="20"/>
                <w:lang w:val="fr-CA"/>
              </w:rPr>
              <w:t>16 juin 2016</w:t>
            </w:r>
          </w:p>
          <w:p w:rsidR="00EE4290" w:rsidRPr="00003B04" w:rsidRDefault="00EE4290" w:rsidP="00EE4290">
            <w:pPr>
              <w:jc w:val="both"/>
              <w:rPr>
                <w:rFonts w:eastAsia="Calibri"/>
                <w:sz w:val="20"/>
                <w:lang w:val="fr-CA"/>
              </w:rPr>
            </w:pPr>
            <w:r w:rsidRPr="00003B04">
              <w:rPr>
                <w:rFonts w:eastAsia="Calibri"/>
                <w:sz w:val="20"/>
                <w:lang w:val="fr-CA"/>
              </w:rPr>
              <w:t xml:space="preserve">Cour d’appel de l’Ontario </w:t>
            </w:r>
          </w:p>
          <w:p w:rsidR="00EE4290" w:rsidRPr="00003B04" w:rsidRDefault="00EE4290" w:rsidP="00EE4290">
            <w:pPr>
              <w:jc w:val="both"/>
              <w:rPr>
                <w:rFonts w:eastAsia="Calibri"/>
                <w:sz w:val="20"/>
                <w:lang w:val="fr-CA"/>
              </w:rPr>
            </w:pPr>
            <w:r w:rsidRPr="00003B04">
              <w:rPr>
                <w:rFonts w:eastAsia="Calibri"/>
                <w:sz w:val="20"/>
                <w:lang w:val="fr-CA"/>
              </w:rPr>
              <w:t xml:space="preserve">(Juges </w:t>
            </w:r>
            <w:proofErr w:type="spellStart"/>
            <w:r w:rsidRPr="00003B04">
              <w:rPr>
                <w:rFonts w:eastAsia="Calibri"/>
                <w:sz w:val="20"/>
                <w:lang w:val="fr-CA"/>
              </w:rPr>
              <w:t>Weiler</w:t>
            </w:r>
            <w:proofErr w:type="spellEnd"/>
            <w:r w:rsidRPr="00003B04">
              <w:rPr>
                <w:rFonts w:eastAsia="Calibri"/>
                <w:sz w:val="20"/>
                <w:lang w:val="fr-CA"/>
              </w:rPr>
              <w:t xml:space="preserve">, </w:t>
            </w:r>
            <w:proofErr w:type="spellStart"/>
            <w:r w:rsidRPr="00003B04">
              <w:rPr>
                <w:rFonts w:eastAsia="Calibri"/>
                <w:sz w:val="20"/>
                <w:lang w:val="fr-CA"/>
              </w:rPr>
              <w:t>Cronk</w:t>
            </w:r>
            <w:proofErr w:type="spellEnd"/>
            <w:r w:rsidRPr="00003B04">
              <w:rPr>
                <w:rFonts w:eastAsia="Calibri"/>
                <w:sz w:val="20"/>
                <w:lang w:val="fr-CA"/>
              </w:rPr>
              <w:t xml:space="preserve"> et </w:t>
            </w:r>
            <w:proofErr w:type="spellStart"/>
            <w:r w:rsidRPr="00003B04">
              <w:rPr>
                <w:rFonts w:eastAsia="Calibri"/>
                <w:sz w:val="20"/>
                <w:lang w:val="fr-CA"/>
              </w:rPr>
              <w:t>Benotto</w:t>
            </w:r>
            <w:proofErr w:type="spellEnd"/>
            <w:r w:rsidRPr="00003B04">
              <w:rPr>
                <w:rFonts w:eastAsia="Calibri"/>
                <w:sz w:val="20"/>
                <w:lang w:val="fr-CA"/>
              </w:rPr>
              <w:t>)</w:t>
            </w:r>
          </w:p>
          <w:p w:rsidR="00EE4290" w:rsidRPr="00003B04" w:rsidRDefault="00604445" w:rsidP="00EE4290">
            <w:pPr>
              <w:jc w:val="both"/>
              <w:rPr>
                <w:rFonts w:eastAsia="Calibri"/>
                <w:color w:val="0000FF" w:themeColor="hyperlink"/>
                <w:sz w:val="20"/>
                <w:u w:val="single"/>
                <w:lang w:val="fr-CA"/>
              </w:rPr>
            </w:pPr>
            <w:hyperlink r:id="rId108" w:history="1">
              <w:r w:rsidR="00EE4290" w:rsidRPr="00003B04">
                <w:rPr>
                  <w:rFonts w:eastAsia="Calibri"/>
                  <w:color w:val="0000FF" w:themeColor="hyperlink"/>
                  <w:sz w:val="20"/>
                  <w:u w:val="single"/>
                  <w:lang w:val="fr-CA"/>
                </w:rPr>
                <w:t>2016 ONCA 477</w:t>
              </w:r>
            </w:hyperlink>
          </w:p>
          <w:p w:rsidR="00EE4290" w:rsidRPr="00003B04" w:rsidRDefault="00EE4290" w:rsidP="00EE4290">
            <w:pPr>
              <w:jc w:val="both"/>
              <w:rPr>
                <w:rFonts w:eastAsia="Calibri"/>
                <w:sz w:val="20"/>
                <w:lang w:val="fr-CA"/>
              </w:rPr>
            </w:pPr>
          </w:p>
        </w:tc>
        <w:tc>
          <w:tcPr>
            <w:tcW w:w="243" w:type="pct"/>
          </w:tcPr>
          <w:p w:rsidR="00EE4290" w:rsidRPr="00003B04" w:rsidRDefault="00EE4290" w:rsidP="00EE4290">
            <w:pPr>
              <w:jc w:val="both"/>
              <w:rPr>
                <w:rFonts w:eastAsia="Calibri"/>
                <w:sz w:val="20"/>
                <w:lang w:val="fr-CA"/>
              </w:rPr>
            </w:pPr>
          </w:p>
        </w:tc>
        <w:tc>
          <w:tcPr>
            <w:tcW w:w="2330" w:type="pct"/>
          </w:tcPr>
          <w:p w:rsidR="00EE4290" w:rsidRPr="00003B04" w:rsidRDefault="00EE4290" w:rsidP="00EE4290">
            <w:pPr>
              <w:jc w:val="both"/>
              <w:rPr>
                <w:rFonts w:eastAsia="Calibri"/>
                <w:sz w:val="20"/>
                <w:lang w:val="fr-CA"/>
              </w:rPr>
            </w:pPr>
            <w:r w:rsidRPr="00003B04">
              <w:rPr>
                <w:rFonts w:eastAsia="Calibri"/>
                <w:sz w:val="20"/>
                <w:lang w:val="fr-CA"/>
              </w:rPr>
              <w:t>Rejet de l’appel</w:t>
            </w:r>
          </w:p>
          <w:p w:rsidR="00EE4290" w:rsidRPr="00003B04" w:rsidRDefault="00EE4290" w:rsidP="00EE4290">
            <w:pPr>
              <w:jc w:val="both"/>
              <w:rPr>
                <w:rFonts w:eastAsia="Calibri"/>
                <w:sz w:val="20"/>
                <w:lang w:val="fr-CA"/>
              </w:rPr>
            </w:pPr>
          </w:p>
        </w:tc>
      </w:tr>
      <w:tr w:rsidR="00EE4290" w:rsidRPr="00C3697D" w:rsidTr="00EE4290">
        <w:tc>
          <w:tcPr>
            <w:tcW w:w="2427" w:type="pct"/>
            <w:gridSpan w:val="2"/>
            <w:hideMark/>
          </w:tcPr>
          <w:p w:rsidR="00EE4290" w:rsidRPr="00003B04" w:rsidRDefault="00EE4290" w:rsidP="00EE4290">
            <w:pPr>
              <w:jc w:val="both"/>
              <w:rPr>
                <w:rFonts w:eastAsia="Calibri"/>
                <w:sz w:val="20"/>
                <w:lang w:val="fr-CA"/>
              </w:rPr>
            </w:pPr>
            <w:r w:rsidRPr="00003B04">
              <w:rPr>
                <w:rFonts w:eastAsia="Calibri"/>
                <w:sz w:val="20"/>
                <w:lang w:val="fr-CA"/>
              </w:rPr>
              <w:t>14 septembre 2016</w:t>
            </w:r>
          </w:p>
          <w:p w:rsidR="00EE4290" w:rsidRPr="00003B04" w:rsidRDefault="00EE4290" w:rsidP="00EE4290">
            <w:pPr>
              <w:jc w:val="both"/>
              <w:rPr>
                <w:rFonts w:eastAsia="Calibri"/>
                <w:sz w:val="20"/>
                <w:lang w:val="fr-CA"/>
              </w:rPr>
            </w:pPr>
            <w:r w:rsidRPr="00003B04">
              <w:rPr>
                <w:rFonts w:eastAsia="Calibri"/>
                <w:sz w:val="20"/>
                <w:lang w:val="fr-CA"/>
              </w:rPr>
              <w:t>Cour suprême du Canada</w:t>
            </w:r>
          </w:p>
        </w:tc>
        <w:tc>
          <w:tcPr>
            <w:tcW w:w="243" w:type="pct"/>
          </w:tcPr>
          <w:p w:rsidR="00EE4290" w:rsidRPr="00003B04" w:rsidRDefault="00EE4290" w:rsidP="00EE4290">
            <w:pPr>
              <w:jc w:val="both"/>
              <w:rPr>
                <w:rFonts w:eastAsia="Calibri"/>
                <w:sz w:val="20"/>
                <w:lang w:val="fr-CA"/>
              </w:rPr>
            </w:pPr>
          </w:p>
        </w:tc>
        <w:tc>
          <w:tcPr>
            <w:tcW w:w="2330" w:type="pct"/>
          </w:tcPr>
          <w:p w:rsidR="00EE4290" w:rsidRPr="00003B04" w:rsidRDefault="00EE4290" w:rsidP="00EE4290">
            <w:pPr>
              <w:jc w:val="both"/>
              <w:rPr>
                <w:rFonts w:eastAsia="Calibri"/>
                <w:sz w:val="20"/>
                <w:lang w:val="fr-CA"/>
              </w:rPr>
            </w:pPr>
            <w:r w:rsidRPr="00003B04">
              <w:rPr>
                <w:rFonts w:eastAsia="Calibri"/>
                <w:sz w:val="20"/>
                <w:lang w:val="fr-CA"/>
              </w:rPr>
              <w:t>Dépôt de la demande d’autorisation d’appel</w:t>
            </w:r>
          </w:p>
          <w:p w:rsidR="00EE4290" w:rsidRPr="00003B04" w:rsidRDefault="00EE4290" w:rsidP="00EE4290">
            <w:pPr>
              <w:jc w:val="both"/>
              <w:rPr>
                <w:rFonts w:eastAsia="Calibri"/>
                <w:sz w:val="20"/>
                <w:lang w:val="fr-CA"/>
              </w:rPr>
            </w:pPr>
          </w:p>
        </w:tc>
      </w:tr>
    </w:tbl>
    <w:p w:rsidR="00EE4290" w:rsidRPr="00003B04" w:rsidRDefault="00EE4290" w:rsidP="00E8544A">
      <w:pPr>
        <w:rPr>
          <w:sz w:val="20"/>
          <w:szCs w:val="20"/>
          <w:lang w:val="fr-CA"/>
        </w:rPr>
      </w:pPr>
    </w:p>
    <w:p w:rsidR="00E8544A" w:rsidRPr="00003B04" w:rsidRDefault="00604445" w:rsidP="00E8544A">
      <w:pPr>
        <w:jc w:val="both"/>
        <w:rPr>
          <w:sz w:val="20"/>
        </w:rPr>
      </w:pPr>
      <w:r>
        <w:rPr>
          <w:sz w:val="20"/>
          <w:szCs w:val="20"/>
        </w:rPr>
        <w:pict>
          <v:rect id="_x0000_i1092" style="width:2in;height:1pt" o:hrpct="0" o:hralign="center" o:hrstd="t" o:hrnoshade="t" o:hr="t" fillcolor="black" stroked="f"/>
        </w:pict>
      </w:r>
    </w:p>
    <w:p w:rsidR="00890FEB" w:rsidRPr="00003B04" w:rsidRDefault="00890FEB" w:rsidP="008D292F">
      <w:pPr>
        <w:rPr>
          <w:sz w:val="20"/>
          <w:szCs w:val="20"/>
          <w:lang w:val="fr-CA"/>
        </w:rPr>
      </w:pPr>
    </w:p>
    <w:p w:rsidR="00890FEB" w:rsidRPr="00003B04" w:rsidRDefault="00890FEB" w:rsidP="008D292F">
      <w:pPr>
        <w:rPr>
          <w:b/>
          <w:sz w:val="20"/>
          <w:szCs w:val="20"/>
          <w:lang w:val="fr-CA"/>
        </w:rPr>
        <w:sectPr w:rsidR="00890FEB" w:rsidRPr="00003B04" w:rsidSect="008D292F">
          <w:headerReference w:type="even" r:id="rId109"/>
          <w:headerReference w:type="default" r:id="rId110"/>
          <w:footerReference w:type="even" r:id="rId111"/>
          <w:footerReference w:type="default" r:id="rId112"/>
          <w:headerReference w:type="first" r:id="rId113"/>
          <w:footerReference w:type="first" r:id="rId11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003B04" w:rsidTr="00BA6468">
        <w:tc>
          <w:tcPr>
            <w:tcW w:w="4230" w:type="dxa"/>
            <w:shd w:val="clear" w:color="auto" w:fill="auto"/>
            <w:tcMar>
              <w:left w:w="0" w:type="dxa"/>
              <w:right w:w="0" w:type="dxa"/>
            </w:tcMar>
          </w:tcPr>
          <w:p w:rsidR="00890FEB" w:rsidRPr="00003B04" w:rsidRDefault="00890FEB" w:rsidP="00EB2B90">
            <w:pPr>
              <w:keepNext/>
              <w:keepLines/>
              <w:tabs>
                <w:tab w:val="left" w:pos="-1440"/>
                <w:tab w:val="left" w:pos="-720"/>
              </w:tabs>
              <w:jc w:val="both"/>
              <w:rPr>
                <w:szCs w:val="24"/>
              </w:rPr>
            </w:pPr>
            <w:r w:rsidRPr="00003B04">
              <w:rPr>
                <w:b/>
                <w:szCs w:val="24"/>
              </w:rPr>
              <w:lastRenderedPageBreak/>
              <w:t>MOTIONS</w:t>
            </w:r>
          </w:p>
        </w:tc>
        <w:tc>
          <w:tcPr>
            <w:tcW w:w="1170" w:type="dxa"/>
            <w:shd w:val="clear" w:color="auto" w:fill="auto"/>
            <w:tcMar>
              <w:left w:w="0" w:type="dxa"/>
              <w:right w:w="0" w:type="dxa"/>
            </w:tcMar>
          </w:tcPr>
          <w:p w:rsidR="00890FEB" w:rsidRPr="00003B04" w:rsidRDefault="00890FEB" w:rsidP="00890FEB">
            <w:pPr>
              <w:keepNext/>
              <w:keepLines/>
              <w:tabs>
                <w:tab w:val="left" w:pos="-1440"/>
                <w:tab w:val="left" w:pos="-720"/>
              </w:tabs>
              <w:jc w:val="center"/>
              <w:rPr>
                <w:szCs w:val="24"/>
              </w:rPr>
            </w:pPr>
          </w:p>
          <w:p w:rsidR="00890FEB" w:rsidRPr="00003B04"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003B04" w:rsidRDefault="00890FEB" w:rsidP="00831CA9">
            <w:pPr>
              <w:keepNext/>
              <w:keepLines/>
              <w:tabs>
                <w:tab w:val="left" w:pos="-1440"/>
                <w:tab w:val="left" w:pos="-720"/>
              </w:tabs>
              <w:rPr>
                <w:szCs w:val="24"/>
                <w:lang w:val="fr-CA"/>
              </w:rPr>
            </w:pPr>
            <w:r w:rsidRPr="00003B04">
              <w:rPr>
                <w:b/>
                <w:szCs w:val="24"/>
                <w:lang w:val="fr-CA"/>
              </w:rPr>
              <w:t>REQUÊTES</w:t>
            </w:r>
          </w:p>
        </w:tc>
      </w:tr>
    </w:tbl>
    <w:p w:rsidR="00890FEB" w:rsidRPr="00003B04" w:rsidRDefault="00890FEB" w:rsidP="00890FEB">
      <w:pPr>
        <w:rPr>
          <w:sz w:val="20"/>
          <w:szCs w:val="20"/>
        </w:rPr>
      </w:pPr>
    </w:p>
    <w:p w:rsidR="00A72A8F" w:rsidRPr="00003B04" w:rsidRDefault="00A72A8F" w:rsidP="00A72A8F">
      <w:pPr>
        <w:tabs>
          <w:tab w:val="left" w:pos="-1440"/>
          <w:tab w:val="left" w:pos="-720"/>
        </w:tabs>
        <w:jc w:val="both"/>
        <w:rPr>
          <w:sz w:val="20"/>
          <w:szCs w:val="20"/>
          <w:lang w:val="fr-CA"/>
        </w:rPr>
      </w:pPr>
      <w:r w:rsidRPr="00003B04">
        <w:rPr>
          <w:sz w:val="20"/>
          <w:szCs w:val="20"/>
          <w:lang w:val="fr-CA"/>
        </w:rPr>
        <w:t>10.02.2017</w:t>
      </w:r>
    </w:p>
    <w:p w:rsidR="00A72A8F" w:rsidRPr="00003B04" w:rsidRDefault="00A72A8F" w:rsidP="00A72A8F">
      <w:pPr>
        <w:tabs>
          <w:tab w:val="left" w:pos="-1440"/>
          <w:tab w:val="left" w:pos="-720"/>
        </w:tabs>
        <w:jc w:val="both"/>
        <w:rPr>
          <w:sz w:val="20"/>
          <w:szCs w:val="20"/>
          <w:lang w:val="fr-CA"/>
        </w:rPr>
      </w:pPr>
    </w:p>
    <w:p w:rsidR="00A72A8F" w:rsidRPr="00003B04" w:rsidRDefault="00197407" w:rsidP="00A72A8F">
      <w:pPr>
        <w:tabs>
          <w:tab w:val="left" w:pos="-1440"/>
          <w:tab w:val="left" w:pos="-720"/>
        </w:tabs>
        <w:jc w:val="both"/>
        <w:rPr>
          <w:sz w:val="20"/>
          <w:szCs w:val="20"/>
          <w:lang w:val="fr-CA"/>
        </w:rPr>
      </w:pPr>
      <w:proofErr w:type="spellStart"/>
      <w:r w:rsidRPr="00003B04">
        <w:rPr>
          <w:sz w:val="20"/>
          <w:szCs w:val="20"/>
          <w:lang w:val="fr-CA"/>
        </w:rPr>
        <w:t>Before</w:t>
      </w:r>
      <w:proofErr w:type="spellEnd"/>
      <w:r w:rsidRPr="00003B04">
        <w:rPr>
          <w:sz w:val="20"/>
          <w:szCs w:val="20"/>
          <w:lang w:val="fr-CA"/>
        </w:rPr>
        <w:t xml:space="preserve"> / Devant:   THE REGISTRAR / LE REGISTRAIRE</w:t>
      </w:r>
    </w:p>
    <w:p w:rsidR="00197407" w:rsidRPr="00003B04" w:rsidRDefault="00197407" w:rsidP="00A72A8F">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1142"/>
        <w:gridCol w:w="4235"/>
      </w:tblGrid>
      <w:tr w:rsidR="00A72A8F" w:rsidRPr="00C3697D" w:rsidTr="00A72A8F">
        <w:tc>
          <w:tcPr>
            <w:tcW w:w="4338" w:type="dxa"/>
          </w:tcPr>
          <w:p w:rsidR="00A72A8F" w:rsidRPr="00003B04" w:rsidRDefault="00A72A8F" w:rsidP="00A72A8F">
            <w:pPr>
              <w:tabs>
                <w:tab w:val="left" w:pos="-1440"/>
                <w:tab w:val="left" w:pos="-720"/>
              </w:tabs>
              <w:jc w:val="both"/>
              <w:rPr>
                <w:b/>
                <w:sz w:val="20"/>
                <w:szCs w:val="20"/>
                <w:lang w:val="fr-CA"/>
              </w:rPr>
            </w:pPr>
            <w:r w:rsidRPr="00003B04">
              <w:rPr>
                <w:sz w:val="20"/>
                <w:szCs w:val="20"/>
              </w:rPr>
              <w:fldChar w:fldCharType="begin"/>
            </w:r>
            <w:r w:rsidRPr="00003B04">
              <w:rPr>
                <w:sz w:val="20"/>
                <w:szCs w:val="20"/>
                <w:lang w:val="fr-CA"/>
              </w:rPr>
              <w:instrText xml:space="preserve"> SEQ CHAPTER \h \r 1</w:instrText>
            </w:r>
            <w:r w:rsidRPr="00003B04">
              <w:rPr>
                <w:sz w:val="20"/>
                <w:szCs w:val="20"/>
              </w:rPr>
              <w:fldChar w:fldCharType="end"/>
            </w:r>
            <w:r w:rsidRPr="00003B04">
              <w:rPr>
                <w:b/>
                <w:bCs/>
                <w:sz w:val="20"/>
                <w:szCs w:val="20"/>
                <w:lang w:val="fr-CA"/>
              </w:rPr>
              <w:t xml:space="preserve">Motion to </w:t>
            </w:r>
            <w:proofErr w:type="spellStart"/>
            <w:r w:rsidRPr="00003B04">
              <w:rPr>
                <w:b/>
                <w:bCs/>
                <w:sz w:val="20"/>
                <w:szCs w:val="20"/>
                <w:lang w:val="fr-CA"/>
              </w:rPr>
              <w:t>extend</w:t>
            </w:r>
            <w:proofErr w:type="spellEnd"/>
            <w:r w:rsidRPr="00003B04">
              <w:rPr>
                <w:b/>
                <w:bCs/>
                <w:sz w:val="20"/>
                <w:szCs w:val="20"/>
                <w:lang w:val="fr-CA"/>
              </w:rPr>
              <w:t xml:space="preserve"> time</w:t>
            </w:r>
          </w:p>
        </w:tc>
        <w:tc>
          <w:tcPr>
            <w:tcW w:w="1170" w:type="dxa"/>
          </w:tcPr>
          <w:p w:rsidR="00A72A8F" w:rsidRPr="00003B04" w:rsidRDefault="00A72A8F" w:rsidP="00A72A8F">
            <w:pPr>
              <w:tabs>
                <w:tab w:val="left" w:pos="-1440"/>
                <w:tab w:val="left" w:pos="-720"/>
              </w:tabs>
              <w:jc w:val="both"/>
              <w:rPr>
                <w:sz w:val="20"/>
                <w:szCs w:val="20"/>
                <w:lang w:val="fr-CA"/>
              </w:rPr>
            </w:pPr>
          </w:p>
          <w:p w:rsidR="00A72A8F" w:rsidRPr="00003B04" w:rsidRDefault="00A72A8F" w:rsidP="00A72A8F">
            <w:pPr>
              <w:tabs>
                <w:tab w:val="left" w:pos="-1440"/>
                <w:tab w:val="left" w:pos="-720"/>
              </w:tabs>
              <w:jc w:val="both"/>
              <w:rPr>
                <w:sz w:val="20"/>
                <w:szCs w:val="20"/>
                <w:lang w:val="fr-CA"/>
              </w:rPr>
            </w:pPr>
          </w:p>
        </w:tc>
        <w:tc>
          <w:tcPr>
            <w:tcW w:w="4327" w:type="dxa"/>
          </w:tcPr>
          <w:p w:rsidR="00A72A8F" w:rsidRPr="00003B04" w:rsidRDefault="00A72A8F" w:rsidP="00A72A8F">
            <w:pPr>
              <w:tabs>
                <w:tab w:val="left" w:pos="-1440"/>
                <w:tab w:val="left" w:pos="-720"/>
              </w:tabs>
              <w:jc w:val="both"/>
              <w:rPr>
                <w:sz w:val="20"/>
                <w:szCs w:val="20"/>
                <w:lang w:val="fr-CA"/>
              </w:rPr>
            </w:pPr>
            <w:r w:rsidRPr="00003B04">
              <w:rPr>
                <w:b/>
                <w:bCs/>
                <w:color w:val="000000"/>
                <w:sz w:val="20"/>
                <w:szCs w:val="20"/>
                <w:lang w:val="fr-CA"/>
              </w:rPr>
              <w:t>Requête en prorogation de délai</w:t>
            </w:r>
            <w:r w:rsidRPr="00003B04">
              <w:rPr>
                <w:sz w:val="20"/>
                <w:szCs w:val="20"/>
                <w:lang w:val="fr-CA"/>
              </w:rPr>
              <w:t xml:space="preserve"> </w:t>
            </w:r>
            <w:r w:rsidRPr="00003B04">
              <w:rPr>
                <w:sz w:val="20"/>
                <w:szCs w:val="20"/>
              </w:rPr>
              <w:fldChar w:fldCharType="begin"/>
            </w:r>
            <w:r w:rsidRPr="00003B04">
              <w:rPr>
                <w:sz w:val="20"/>
                <w:szCs w:val="20"/>
                <w:lang w:val="fr-CA"/>
              </w:rPr>
              <w:instrText xml:space="preserve"> SEQ CHAPTER \h \r 1</w:instrText>
            </w:r>
            <w:r w:rsidRPr="00003B04">
              <w:rPr>
                <w:sz w:val="20"/>
                <w:szCs w:val="20"/>
              </w:rPr>
              <w:fldChar w:fldCharType="end"/>
            </w:r>
            <w:r w:rsidRPr="00003B04">
              <w:rPr>
                <w:sz w:val="20"/>
                <w:szCs w:val="20"/>
              </w:rPr>
              <w:fldChar w:fldCharType="begin"/>
            </w:r>
            <w:r w:rsidRPr="00003B04">
              <w:rPr>
                <w:sz w:val="20"/>
                <w:szCs w:val="20"/>
                <w:lang w:val="fr-CA"/>
              </w:rPr>
              <w:instrText xml:space="preserve"> SEQ CHAPTER \h \r 1</w:instrText>
            </w:r>
            <w:r w:rsidRPr="00003B04">
              <w:rPr>
                <w:sz w:val="20"/>
                <w:szCs w:val="20"/>
              </w:rPr>
              <w:fldChar w:fldCharType="end"/>
            </w:r>
          </w:p>
        </w:tc>
      </w:tr>
      <w:tr w:rsidR="00A72A8F" w:rsidRPr="00003B04" w:rsidTr="00A72A8F">
        <w:tc>
          <w:tcPr>
            <w:tcW w:w="4338" w:type="dxa"/>
          </w:tcPr>
          <w:p w:rsidR="00A72A8F" w:rsidRPr="00003B04" w:rsidRDefault="00197407" w:rsidP="00A72A8F">
            <w:pPr>
              <w:tabs>
                <w:tab w:val="left" w:pos="-1440"/>
                <w:tab w:val="left" w:pos="-720"/>
              </w:tabs>
              <w:jc w:val="both"/>
              <w:rPr>
                <w:sz w:val="20"/>
                <w:szCs w:val="20"/>
              </w:rPr>
            </w:pPr>
            <w:r w:rsidRPr="00003B04">
              <w:rPr>
                <w:sz w:val="20"/>
                <w:szCs w:val="20"/>
              </w:rPr>
              <w:t xml:space="preserve">Benjamin Robinson </w:t>
            </w:r>
          </w:p>
          <w:p w:rsidR="00197407" w:rsidRPr="00003B04" w:rsidRDefault="00197407" w:rsidP="00A72A8F">
            <w:pPr>
              <w:tabs>
                <w:tab w:val="left" w:pos="-1440"/>
                <w:tab w:val="left" w:pos="-720"/>
              </w:tabs>
              <w:jc w:val="both"/>
              <w:rPr>
                <w:sz w:val="20"/>
                <w:szCs w:val="20"/>
              </w:rPr>
            </w:pPr>
          </w:p>
          <w:p w:rsidR="00197407" w:rsidRPr="00003B04" w:rsidRDefault="00197407" w:rsidP="00A72A8F">
            <w:pPr>
              <w:tabs>
                <w:tab w:val="left" w:pos="-1440"/>
                <w:tab w:val="left" w:pos="-720"/>
              </w:tabs>
              <w:jc w:val="both"/>
              <w:rPr>
                <w:sz w:val="20"/>
                <w:szCs w:val="20"/>
              </w:rPr>
            </w:pPr>
            <w:r w:rsidRPr="00003B04">
              <w:rPr>
                <w:sz w:val="20"/>
                <w:szCs w:val="20"/>
              </w:rPr>
              <w:tab/>
              <w:t>v. (37411)</w:t>
            </w:r>
          </w:p>
          <w:p w:rsidR="00197407" w:rsidRPr="00003B04" w:rsidRDefault="00197407" w:rsidP="00A72A8F">
            <w:pPr>
              <w:tabs>
                <w:tab w:val="left" w:pos="-1440"/>
                <w:tab w:val="left" w:pos="-720"/>
              </w:tabs>
              <w:jc w:val="both"/>
              <w:rPr>
                <w:sz w:val="20"/>
                <w:szCs w:val="20"/>
              </w:rPr>
            </w:pPr>
          </w:p>
          <w:p w:rsidR="00197407" w:rsidRPr="00003B04" w:rsidRDefault="00197407" w:rsidP="00A72A8F">
            <w:pPr>
              <w:tabs>
                <w:tab w:val="left" w:pos="-1440"/>
                <w:tab w:val="left" w:pos="-720"/>
              </w:tabs>
              <w:jc w:val="both"/>
              <w:rPr>
                <w:sz w:val="20"/>
                <w:szCs w:val="20"/>
                <w:lang w:val="en-US"/>
              </w:rPr>
            </w:pPr>
            <w:r w:rsidRPr="00003B04">
              <w:rPr>
                <w:sz w:val="20"/>
                <w:szCs w:val="20"/>
              </w:rPr>
              <w:t>Her Majesty the Queen (B.C.)</w:t>
            </w:r>
          </w:p>
        </w:tc>
        <w:tc>
          <w:tcPr>
            <w:tcW w:w="1170" w:type="dxa"/>
          </w:tcPr>
          <w:p w:rsidR="00A72A8F" w:rsidRPr="00003B04" w:rsidRDefault="00A72A8F" w:rsidP="00A72A8F">
            <w:pPr>
              <w:tabs>
                <w:tab w:val="left" w:pos="-1440"/>
                <w:tab w:val="left" w:pos="-720"/>
              </w:tabs>
              <w:jc w:val="both"/>
              <w:rPr>
                <w:sz w:val="20"/>
                <w:szCs w:val="20"/>
                <w:lang w:val="en-US"/>
              </w:rPr>
            </w:pPr>
          </w:p>
        </w:tc>
        <w:tc>
          <w:tcPr>
            <w:tcW w:w="4327" w:type="dxa"/>
          </w:tcPr>
          <w:p w:rsidR="00A72A8F" w:rsidRPr="00003B04" w:rsidRDefault="00A72A8F" w:rsidP="00A72A8F">
            <w:pPr>
              <w:tabs>
                <w:tab w:val="left" w:pos="-1440"/>
                <w:tab w:val="left" w:pos="-720"/>
              </w:tabs>
              <w:jc w:val="both"/>
              <w:rPr>
                <w:sz w:val="20"/>
                <w:szCs w:val="20"/>
                <w:lang w:val="en-US"/>
              </w:rPr>
            </w:pPr>
          </w:p>
        </w:tc>
      </w:tr>
    </w:tbl>
    <w:p w:rsidR="00A72A8F" w:rsidRPr="00003B04" w:rsidRDefault="00A72A8F" w:rsidP="00A72A8F">
      <w:pPr>
        <w:tabs>
          <w:tab w:val="left" w:pos="-1440"/>
          <w:tab w:val="left" w:pos="-720"/>
        </w:tabs>
        <w:jc w:val="both"/>
        <w:rPr>
          <w:sz w:val="20"/>
          <w:szCs w:val="20"/>
          <w:lang w:val="en-US"/>
        </w:rPr>
      </w:pPr>
    </w:p>
    <w:p w:rsidR="00A72A8F" w:rsidRPr="00003B04" w:rsidRDefault="00A72A8F" w:rsidP="00A72A8F">
      <w:pPr>
        <w:tabs>
          <w:tab w:val="left" w:pos="-1440"/>
          <w:tab w:val="left" w:pos="-720"/>
        </w:tabs>
        <w:jc w:val="both"/>
        <w:rPr>
          <w:b/>
          <w:sz w:val="20"/>
          <w:szCs w:val="20"/>
        </w:rPr>
      </w:pPr>
      <w:r w:rsidRPr="00003B04">
        <w:rPr>
          <w:b/>
          <w:sz w:val="20"/>
          <w:szCs w:val="20"/>
        </w:rPr>
        <w:t>GRANTED / ACCORDÉE</w:t>
      </w:r>
    </w:p>
    <w:p w:rsidR="00183454" w:rsidRPr="00003B04" w:rsidRDefault="00183454" w:rsidP="00183454">
      <w:pPr>
        <w:tabs>
          <w:tab w:val="left" w:pos="-1440"/>
          <w:tab w:val="left" w:pos="-720"/>
        </w:tabs>
        <w:jc w:val="both"/>
        <w:rPr>
          <w:rFonts w:eastAsia="Times New Roman" w:cs="Times New Roman"/>
          <w:sz w:val="20"/>
          <w:szCs w:val="20"/>
          <w:lang w:val="en-US" w:eastAsia="en-CA"/>
        </w:rPr>
      </w:pPr>
    </w:p>
    <w:p w:rsidR="00197407" w:rsidRPr="00003B04" w:rsidRDefault="00197407" w:rsidP="00197407">
      <w:pPr>
        <w:spacing w:line="233" w:lineRule="auto"/>
        <w:jc w:val="both"/>
        <w:rPr>
          <w:rFonts w:cs="Times New Roman"/>
          <w:sz w:val="20"/>
          <w:szCs w:val="20"/>
        </w:rPr>
      </w:pPr>
      <w:r w:rsidRPr="00003B04">
        <w:rPr>
          <w:rFonts w:cs="Times New Roman"/>
          <w:b/>
          <w:sz w:val="20"/>
          <w:szCs w:val="20"/>
        </w:rPr>
        <w:t>UPON APPLICATION</w:t>
      </w:r>
      <w:r w:rsidRPr="00003B04">
        <w:rPr>
          <w:rFonts w:cs="Times New Roman"/>
          <w:sz w:val="20"/>
          <w:szCs w:val="20"/>
        </w:rPr>
        <w:t xml:space="preserve"> by the appellant for an order extending the time to serve and file his appeal material until after a decision is made in respect of his application for leave to appeal;</w:t>
      </w:r>
    </w:p>
    <w:p w:rsidR="00197407" w:rsidRPr="00003B04" w:rsidRDefault="00197407" w:rsidP="00197407">
      <w:pPr>
        <w:spacing w:line="233" w:lineRule="auto"/>
        <w:jc w:val="both"/>
        <w:rPr>
          <w:rFonts w:cs="Times New Roman"/>
          <w:sz w:val="20"/>
          <w:szCs w:val="20"/>
        </w:rPr>
      </w:pPr>
    </w:p>
    <w:p w:rsidR="00197407" w:rsidRPr="00003B04" w:rsidRDefault="00197407" w:rsidP="00197407">
      <w:pPr>
        <w:spacing w:line="233" w:lineRule="auto"/>
        <w:jc w:val="both"/>
        <w:rPr>
          <w:rFonts w:cs="Times New Roman"/>
          <w:sz w:val="20"/>
          <w:szCs w:val="20"/>
        </w:rPr>
      </w:pPr>
      <w:r w:rsidRPr="00003B04">
        <w:rPr>
          <w:rFonts w:cs="Times New Roman"/>
          <w:b/>
          <w:bCs/>
          <w:sz w:val="20"/>
          <w:szCs w:val="20"/>
        </w:rPr>
        <w:t>AND THE MATERIAL FILED</w:t>
      </w:r>
      <w:r w:rsidRPr="00003B04">
        <w:rPr>
          <w:rFonts w:cs="Times New Roman"/>
          <w:sz w:val="20"/>
          <w:szCs w:val="20"/>
        </w:rPr>
        <w:t xml:space="preserve"> having been read;</w:t>
      </w:r>
    </w:p>
    <w:p w:rsidR="00197407" w:rsidRPr="00003B04" w:rsidRDefault="00197407" w:rsidP="00197407">
      <w:pPr>
        <w:spacing w:line="233" w:lineRule="auto"/>
        <w:jc w:val="both"/>
        <w:rPr>
          <w:rFonts w:cs="Times New Roman"/>
          <w:sz w:val="20"/>
          <w:szCs w:val="20"/>
        </w:rPr>
      </w:pPr>
    </w:p>
    <w:p w:rsidR="00197407" w:rsidRPr="00003B04" w:rsidRDefault="00197407" w:rsidP="00197407">
      <w:pPr>
        <w:spacing w:line="233" w:lineRule="auto"/>
        <w:jc w:val="both"/>
        <w:rPr>
          <w:rFonts w:cs="Times New Roman"/>
          <w:b/>
          <w:bCs/>
          <w:sz w:val="20"/>
          <w:szCs w:val="20"/>
        </w:rPr>
      </w:pPr>
      <w:r w:rsidRPr="00003B04">
        <w:rPr>
          <w:rFonts w:cs="Times New Roman"/>
          <w:b/>
          <w:bCs/>
          <w:sz w:val="20"/>
          <w:szCs w:val="20"/>
        </w:rPr>
        <w:t>IT IS HEREBY ORDERED THAT:</w:t>
      </w:r>
    </w:p>
    <w:p w:rsidR="00197407" w:rsidRPr="00003B04" w:rsidRDefault="00197407" w:rsidP="00197407">
      <w:pPr>
        <w:spacing w:line="233" w:lineRule="auto"/>
        <w:jc w:val="both"/>
        <w:rPr>
          <w:rFonts w:cs="Times New Roman"/>
          <w:b/>
          <w:bCs/>
          <w:sz w:val="20"/>
          <w:szCs w:val="20"/>
        </w:rPr>
      </w:pPr>
    </w:p>
    <w:p w:rsidR="00197407" w:rsidRPr="00003B04" w:rsidRDefault="00197407" w:rsidP="00197407">
      <w:pPr>
        <w:jc w:val="both"/>
        <w:rPr>
          <w:rFonts w:cs="Times New Roman"/>
          <w:sz w:val="20"/>
          <w:szCs w:val="20"/>
        </w:rPr>
      </w:pPr>
      <w:r w:rsidRPr="00003B04">
        <w:rPr>
          <w:rFonts w:cs="Times New Roman"/>
          <w:sz w:val="20"/>
          <w:szCs w:val="20"/>
        </w:rPr>
        <w:t>The motion is granted. The appellant shall have eight (8) weeks, following the date on which the order disposing of his application for leave to appeal is rendered, in which to file his appeal materials. In the event that leave to appeal is denied, the appellant shall instead have two (2) weeks from that date in which to file his appeal materials.</w:t>
      </w:r>
    </w:p>
    <w:p w:rsidR="00CA2DEA" w:rsidRPr="00003B04" w:rsidRDefault="00CA2DEA" w:rsidP="00CA2DEA">
      <w:pPr>
        <w:widowControl w:val="0"/>
        <w:rPr>
          <w:rFonts w:eastAsia="Times New Roman" w:cs="Times New Roman"/>
          <w:sz w:val="20"/>
          <w:szCs w:val="20"/>
          <w:lang w:eastAsia="en-CA"/>
        </w:rPr>
      </w:pPr>
    </w:p>
    <w:p w:rsidR="00197407" w:rsidRPr="00003B04" w:rsidRDefault="00197407" w:rsidP="00CA2DEA">
      <w:pPr>
        <w:widowControl w:val="0"/>
        <w:rPr>
          <w:rFonts w:eastAsia="Times New Roman" w:cs="Times New Roman"/>
          <w:sz w:val="20"/>
          <w:szCs w:val="20"/>
          <w:lang w:eastAsia="en-CA"/>
        </w:rPr>
      </w:pPr>
    </w:p>
    <w:p w:rsidR="00197407" w:rsidRPr="00003B04" w:rsidRDefault="00197407" w:rsidP="00197407">
      <w:pPr>
        <w:spacing w:line="233" w:lineRule="auto"/>
        <w:jc w:val="both"/>
        <w:rPr>
          <w:rFonts w:cs="Times New Roman"/>
          <w:sz w:val="20"/>
          <w:szCs w:val="20"/>
          <w:lang w:val="fr-CA"/>
        </w:rPr>
      </w:pPr>
      <w:r w:rsidRPr="00003B04">
        <w:rPr>
          <w:rFonts w:cs="Times New Roman"/>
          <w:b/>
          <w:sz w:val="20"/>
          <w:szCs w:val="20"/>
          <w:lang w:val="fr-CA"/>
        </w:rPr>
        <w:t>À LA SUITE DE LA DEMANDE</w:t>
      </w:r>
      <w:r w:rsidRPr="00003B04">
        <w:rPr>
          <w:rFonts w:cs="Times New Roman"/>
          <w:sz w:val="20"/>
          <w:szCs w:val="20"/>
          <w:lang w:val="fr-CA"/>
        </w:rPr>
        <w:t xml:space="preserve"> présentée par l’appelant en prorogation du délai pour signifier et déposer ses documents d’appel à une date postérieure à celle de la décision qui sera rendue quant à sa demande d’autorisation d’appel;</w:t>
      </w:r>
    </w:p>
    <w:p w:rsidR="00197407" w:rsidRPr="00003B04" w:rsidRDefault="00197407" w:rsidP="00197407">
      <w:pPr>
        <w:spacing w:line="233" w:lineRule="auto"/>
        <w:jc w:val="both"/>
        <w:rPr>
          <w:rFonts w:cs="Times New Roman"/>
          <w:sz w:val="20"/>
          <w:szCs w:val="20"/>
          <w:lang w:val="fr-CA"/>
        </w:rPr>
      </w:pPr>
    </w:p>
    <w:p w:rsidR="00197407" w:rsidRPr="00003B04" w:rsidRDefault="00197407" w:rsidP="00197407">
      <w:pPr>
        <w:spacing w:line="233" w:lineRule="auto"/>
        <w:jc w:val="both"/>
        <w:rPr>
          <w:rFonts w:cs="Times New Roman"/>
          <w:sz w:val="20"/>
          <w:szCs w:val="20"/>
          <w:lang w:val="fr-CA"/>
        </w:rPr>
      </w:pPr>
      <w:r w:rsidRPr="00003B04">
        <w:rPr>
          <w:rFonts w:cs="Times New Roman"/>
          <w:b/>
          <w:sz w:val="20"/>
          <w:szCs w:val="20"/>
          <w:lang w:val="fr-CA"/>
        </w:rPr>
        <w:t xml:space="preserve">ET APRÈS EXAMEN </w:t>
      </w:r>
      <w:r w:rsidRPr="00003B04">
        <w:rPr>
          <w:rFonts w:cs="Times New Roman"/>
          <w:sz w:val="20"/>
          <w:szCs w:val="20"/>
          <w:lang w:val="fr-CA"/>
        </w:rPr>
        <w:t>des documents déposés;</w:t>
      </w:r>
    </w:p>
    <w:p w:rsidR="00197407" w:rsidRPr="00003B04" w:rsidRDefault="00197407" w:rsidP="00197407">
      <w:pPr>
        <w:spacing w:line="233" w:lineRule="auto"/>
        <w:jc w:val="both"/>
        <w:rPr>
          <w:rFonts w:cs="Times New Roman"/>
          <w:sz w:val="20"/>
          <w:szCs w:val="20"/>
          <w:lang w:val="fr-CA"/>
        </w:rPr>
      </w:pPr>
    </w:p>
    <w:p w:rsidR="00197407" w:rsidRPr="00003B04" w:rsidRDefault="00197407" w:rsidP="00197407">
      <w:pPr>
        <w:spacing w:line="233" w:lineRule="auto"/>
        <w:jc w:val="both"/>
        <w:rPr>
          <w:rFonts w:cs="Times New Roman"/>
          <w:b/>
          <w:sz w:val="20"/>
          <w:szCs w:val="20"/>
          <w:lang w:val="fr-CA"/>
        </w:rPr>
      </w:pPr>
      <w:r w:rsidRPr="00003B04">
        <w:rPr>
          <w:rFonts w:cs="Times New Roman"/>
          <w:b/>
          <w:sz w:val="20"/>
          <w:szCs w:val="20"/>
          <w:lang w:val="fr-CA"/>
        </w:rPr>
        <w:t>IL EST ORDONNÉ CE QUI SUIT :</w:t>
      </w:r>
    </w:p>
    <w:p w:rsidR="00197407" w:rsidRPr="00003B04" w:rsidRDefault="00197407" w:rsidP="00197407">
      <w:pPr>
        <w:spacing w:line="233" w:lineRule="auto"/>
        <w:jc w:val="both"/>
        <w:rPr>
          <w:rFonts w:cs="Times New Roman"/>
          <w:sz w:val="20"/>
          <w:szCs w:val="20"/>
          <w:lang w:val="fr-CA"/>
        </w:rPr>
      </w:pPr>
    </w:p>
    <w:p w:rsidR="00197407" w:rsidRPr="00003B04" w:rsidRDefault="00197407" w:rsidP="00197407">
      <w:pPr>
        <w:spacing w:line="233" w:lineRule="auto"/>
        <w:jc w:val="both"/>
        <w:rPr>
          <w:rFonts w:cs="Times New Roman"/>
          <w:sz w:val="20"/>
          <w:szCs w:val="20"/>
          <w:lang w:val="fr-CA"/>
        </w:rPr>
      </w:pPr>
      <w:r w:rsidRPr="00003B04">
        <w:rPr>
          <w:rFonts w:cs="Times New Roman"/>
          <w:sz w:val="20"/>
          <w:szCs w:val="20"/>
          <w:lang w:val="fr-CA"/>
        </w:rPr>
        <w:t>La requête est accueillie. L’appelant disposera d’un délai de huit (8) semaines après la date de l’ordonnance qui disposera de sa demande d’autorisation d’appel pour déposer ses documents d’appel. Si l’autorisation d’appel était rejetée, l’appelant aurait alors plutôt deux (2) semaines à compter de cette date pour déposer ses documents d’appel.</w:t>
      </w:r>
    </w:p>
    <w:p w:rsidR="00197407" w:rsidRPr="00003B04" w:rsidRDefault="00197407" w:rsidP="00CA2DEA">
      <w:pPr>
        <w:widowControl w:val="0"/>
        <w:rPr>
          <w:rFonts w:eastAsia="Times New Roman" w:cs="Times New Roman"/>
          <w:sz w:val="20"/>
          <w:szCs w:val="20"/>
          <w:lang w:val="fr-CA" w:eastAsia="en-CA"/>
        </w:rPr>
      </w:pPr>
    </w:p>
    <w:p w:rsidR="00CA2DEA" w:rsidRPr="00003B04" w:rsidRDefault="00604445" w:rsidP="00CA2DEA">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95" style="width:2in;height:1pt" o:hrpct="0" o:hralign="center" o:hrstd="t" o:hrnoshade="t" o:hr="t" fillcolor="black [3213]" stroked="f"/>
        </w:pict>
      </w:r>
    </w:p>
    <w:p w:rsidR="00CA2DEA" w:rsidRPr="00003B04" w:rsidRDefault="00CA2DEA" w:rsidP="00CA2DEA">
      <w:pPr>
        <w:widowControl w:val="0"/>
        <w:rPr>
          <w:rFonts w:eastAsia="Times New Roman" w:cs="Times New Roman"/>
          <w:sz w:val="20"/>
          <w:szCs w:val="20"/>
          <w:lang w:val="en-US" w:eastAsia="en-CA"/>
        </w:rPr>
      </w:pPr>
    </w:p>
    <w:p w:rsidR="00197407" w:rsidRPr="00003B04" w:rsidRDefault="00197407">
      <w:pPr>
        <w:rPr>
          <w:sz w:val="20"/>
          <w:szCs w:val="20"/>
          <w:lang w:val="fr-CA"/>
        </w:rPr>
      </w:pPr>
      <w:r w:rsidRPr="00003B04">
        <w:rPr>
          <w:sz w:val="20"/>
          <w:szCs w:val="20"/>
          <w:lang w:val="fr-CA"/>
        </w:rPr>
        <w:br w:type="page"/>
      </w:r>
    </w:p>
    <w:p w:rsidR="00A72A8F" w:rsidRPr="00003B04" w:rsidRDefault="00D71EE6" w:rsidP="00A72A8F">
      <w:pPr>
        <w:tabs>
          <w:tab w:val="left" w:pos="-1440"/>
          <w:tab w:val="left" w:pos="-720"/>
        </w:tabs>
        <w:jc w:val="both"/>
        <w:rPr>
          <w:sz w:val="20"/>
          <w:szCs w:val="20"/>
          <w:lang w:val="fr-CA"/>
        </w:rPr>
      </w:pPr>
      <w:r w:rsidRPr="00003B04">
        <w:rPr>
          <w:sz w:val="20"/>
          <w:szCs w:val="20"/>
          <w:lang w:val="fr-CA"/>
        </w:rPr>
        <w:lastRenderedPageBreak/>
        <w:t>16.02</w:t>
      </w:r>
      <w:r w:rsidR="00A72A8F" w:rsidRPr="00003B04">
        <w:rPr>
          <w:sz w:val="20"/>
          <w:szCs w:val="20"/>
          <w:lang w:val="fr-CA"/>
        </w:rPr>
        <w:t>.2017</w:t>
      </w:r>
    </w:p>
    <w:p w:rsidR="00A72A8F" w:rsidRPr="00003B04" w:rsidRDefault="00A72A8F" w:rsidP="00A72A8F">
      <w:pPr>
        <w:tabs>
          <w:tab w:val="left" w:pos="-1440"/>
          <w:tab w:val="left" w:pos="-720"/>
        </w:tabs>
        <w:jc w:val="both"/>
        <w:rPr>
          <w:sz w:val="20"/>
          <w:szCs w:val="20"/>
          <w:lang w:val="fr-CA"/>
        </w:rPr>
      </w:pPr>
    </w:p>
    <w:p w:rsidR="00A72A8F" w:rsidRPr="00003B04" w:rsidRDefault="00A72A8F" w:rsidP="00A72A8F">
      <w:pPr>
        <w:tabs>
          <w:tab w:val="left" w:pos="-1440"/>
          <w:tab w:val="left" w:pos="-720"/>
        </w:tabs>
        <w:jc w:val="both"/>
        <w:rPr>
          <w:sz w:val="20"/>
          <w:szCs w:val="20"/>
          <w:lang w:val="fr-CA"/>
        </w:rPr>
      </w:pPr>
      <w:proofErr w:type="spellStart"/>
      <w:r w:rsidRPr="00003B04">
        <w:rPr>
          <w:sz w:val="20"/>
          <w:szCs w:val="20"/>
          <w:lang w:val="fr-CA"/>
        </w:rPr>
        <w:t>Before</w:t>
      </w:r>
      <w:proofErr w:type="spellEnd"/>
      <w:r w:rsidRPr="00003B04">
        <w:rPr>
          <w:sz w:val="20"/>
          <w:szCs w:val="20"/>
          <w:lang w:val="fr-CA"/>
        </w:rPr>
        <w:t xml:space="preserve"> / Devant :   </w:t>
      </w:r>
      <w:r w:rsidR="00D71EE6" w:rsidRPr="00003B04">
        <w:rPr>
          <w:sz w:val="20"/>
          <w:szCs w:val="20"/>
          <w:lang w:val="fr-CA"/>
        </w:rPr>
        <w:t>CÔTÉ</w:t>
      </w:r>
      <w:r w:rsidRPr="00003B04">
        <w:rPr>
          <w:sz w:val="20"/>
          <w:szCs w:val="20"/>
          <w:lang w:val="fr-CA"/>
        </w:rPr>
        <w:t xml:space="preserve"> J. / LA JUGE </w:t>
      </w:r>
      <w:r w:rsidR="00D71EE6" w:rsidRPr="00003B04">
        <w:rPr>
          <w:sz w:val="20"/>
          <w:szCs w:val="20"/>
          <w:lang w:val="fr-CA"/>
        </w:rPr>
        <w:t>CÔTÉ</w:t>
      </w:r>
    </w:p>
    <w:p w:rsidR="00A72A8F" w:rsidRPr="00003B04" w:rsidRDefault="00A72A8F" w:rsidP="00A72A8F">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2890"/>
        <w:gridCol w:w="1142"/>
        <w:gridCol w:w="4237"/>
      </w:tblGrid>
      <w:tr w:rsidR="00A72A8F" w:rsidRPr="00003B04" w:rsidTr="00197407">
        <w:tc>
          <w:tcPr>
            <w:tcW w:w="4240" w:type="dxa"/>
            <w:gridSpan w:val="2"/>
          </w:tcPr>
          <w:p w:rsidR="00A72A8F" w:rsidRPr="00003B04" w:rsidRDefault="009901D3" w:rsidP="00A72A8F">
            <w:pPr>
              <w:rPr>
                <w:b/>
                <w:sz w:val="20"/>
                <w:szCs w:val="20"/>
              </w:rPr>
            </w:pPr>
            <w:r w:rsidRPr="00003B04">
              <w:rPr>
                <w:b/>
                <w:sz w:val="20"/>
                <w:szCs w:val="20"/>
              </w:rPr>
              <w:t>Motion</w:t>
            </w:r>
            <w:r w:rsidR="00A72A8F" w:rsidRPr="00003B04">
              <w:rPr>
                <w:b/>
                <w:sz w:val="20"/>
                <w:szCs w:val="20"/>
              </w:rPr>
              <w:t xml:space="preserve"> for leave to intervene</w:t>
            </w:r>
            <w:r w:rsidR="00A72A8F" w:rsidRPr="00003B04">
              <w:rPr>
                <w:sz w:val="20"/>
                <w:szCs w:val="20"/>
              </w:rPr>
              <w:t xml:space="preserve"> </w:t>
            </w:r>
            <w:r w:rsidR="00A72A8F" w:rsidRPr="00003B04">
              <w:rPr>
                <w:sz w:val="20"/>
                <w:szCs w:val="20"/>
              </w:rPr>
              <w:fldChar w:fldCharType="begin"/>
            </w:r>
            <w:r w:rsidR="00A72A8F" w:rsidRPr="00003B04">
              <w:rPr>
                <w:sz w:val="20"/>
                <w:szCs w:val="20"/>
              </w:rPr>
              <w:instrText xml:space="preserve"> SEQ CHAPTER \h \r 1</w:instrText>
            </w:r>
            <w:r w:rsidR="00A72A8F" w:rsidRPr="00003B04">
              <w:rPr>
                <w:sz w:val="20"/>
                <w:szCs w:val="20"/>
              </w:rPr>
              <w:fldChar w:fldCharType="end"/>
            </w:r>
          </w:p>
        </w:tc>
        <w:tc>
          <w:tcPr>
            <w:tcW w:w="1142" w:type="dxa"/>
          </w:tcPr>
          <w:p w:rsidR="00A72A8F" w:rsidRPr="00003B04" w:rsidRDefault="00A72A8F" w:rsidP="00A72A8F">
            <w:pPr>
              <w:rPr>
                <w:sz w:val="20"/>
                <w:szCs w:val="20"/>
              </w:rPr>
            </w:pPr>
          </w:p>
          <w:p w:rsidR="00A72A8F" w:rsidRPr="00003B04" w:rsidRDefault="00A72A8F" w:rsidP="00A72A8F">
            <w:pPr>
              <w:rPr>
                <w:sz w:val="20"/>
                <w:szCs w:val="20"/>
              </w:rPr>
            </w:pPr>
          </w:p>
        </w:tc>
        <w:tc>
          <w:tcPr>
            <w:tcW w:w="4237" w:type="dxa"/>
          </w:tcPr>
          <w:p w:rsidR="00A72A8F" w:rsidRPr="00003B04" w:rsidRDefault="009901D3" w:rsidP="00A72A8F">
            <w:pPr>
              <w:rPr>
                <w:b/>
                <w:sz w:val="20"/>
                <w:szCs w:val="20"/>
              </w:rPr>
            </w:pPr>
            <w:r w:rsidRPr="00003B04">
              <w:rPr>
                <w:b/>
                <w:bCs/>
                <w:sz w:val="20"/>
                <w:szCs w:val="20"/>
                <w:lang w:val="fr-CA"/>
              </w:rPr>
              <w:t>Requête</w:t>
            </w:r>
            <w:r w:rsidR="00A72A8F" w:rsidRPr="00003B04">
              <w:rPr>
                <w:b/>
                <w:bCs/>
                <w:sz w:val="20"/>
                <w:szCs w:val="20"/>
                <w:lang w:val="fr-CA"/>
              </w:rPr>
              <w:t xml:space="preserve"> en autorisation d’intervenir</w:t>
            </w:r>
            <w:r w:rsidR="00A72A8F" w:rsidRPr="00003B04">
              <w:rPr>
                <w:sz w:val="20"/>
                <w:szCs w:val="20"/>
              </w:rPr>
              <w:t xml:space="preserve"> </w:t>
            </w:r>
            <w:r w:rsidR="00A72A8F" w:rsidRPr="00003B04">
              <w:rPr>
                <w:sz w:val="20"/>
                <w:szCs w:val="20"/>
              </w:rPr>
              <w:fldChar w:fldCharType="begin"/>
            </w:r>
            <w:r w:rsidR="00A72A8F" w:rsidRPr="00003B04">
              <w:rPr>
                <w:sz w:val="20"/>
                <w:szCs w:val="20"/>
              </w:rPr>
              <w:instrText xml:space="preserve"> SEQ CHAPTER \h \r 1</w:instrText>
            </w:r>
            <w:r w:rsidR="00A72A8F" w:rsidRPr="00003B04">
              <w:rPr>
                <w:sz w:val="20"/>
                <w:szCs w:val="20"/>
              </w:rPr>
              <w:fldChar w:fldCharType="end"/>
            </w:r>
          </w:p>
        </w:tc>
      </w:tr>
      <w:tr w:rsidR="00A72A8F" w:rsidRPr="00C3697D" w:rsidTr="00197407">
        <w:tc>
          <w:tcPr>
            <w:tcW w:w="1350" w:type="dxa"/>
          </w:tcPr>
          <w:p w:rsidR="00A72A8F" w:rsidRPr="00003B04" w:rsidRDefault="00197407" w:rsidP="00A72A8F">
            <w:pPr>
              <w:rPr>
                <w:sz w:val="20"/>
                <w:szCs w:val="20"/>
                <w:lang w:val="fr-CA"/>
              </w:rPr>
            </w:pPr>
            <w:r w:rsidRPr="00003B04">
              <w:rPr>
                <w:sz w:val="20"/>
                <w:szCs w:val="20"/>
              </w:rPr>
              <w:t>BY / PAR</w:t>
            </w:r>
          </w:p>
        </w:tc>
        <w:tc>
          <w:tcPr>
            <w:tcW w:w="2890" w:type="dxa"/>
          </w:tcPr>
          <w:p w:rsidR="00A72A8F" w:rsidRPr="00003B04" w:rsidRDefault="00197407" w:rsidP="00A72A8F">
            <w:pPr>
              <w:rPr>
                <w:sz w:val="20"/>
                <w:szCs w:val="20"/>
                <w:lang w:val="fr-CA"/>
              </w:rPr>
            </w:pPr>
            <w:r w:rsidRPr="00003B04">
              <w:rPr>
                <w:rFonts w:cs="Times New Roman"/>
                <w:bCs/>
                <w:sz w:val="20"/>
                <w:szCs w:val="20"/>
                <w:lang w:val="fr-CA"/>
              </w:rPr>
              <w:t>Ordre des comptables professionnels agréés du Québec et</w:t>
            </w:r>
            <w:r w:rsidRPr="00003B04">
              <w:rPr>
                <w:rFonts w:cs="Times New Roman"/>
                <w:sz w:val="20"/>
                <w:szCs w:val="20"/>
                <w:lang w:val="fr-CA" w:eastAsia="fr-FR"/>
              </w:rPr>
              <w:t xml:space="preserve"> les Comptables professionnels agréés du Canada </w:t>
            </w:r>
            <w:r w:rsidRPr="00003B04">
              <w:rPr>
                <w:rFonts w:cs="Times New Roman"/>
                <w:sz w:val="20"/>
                <w:szCs w:val="20"/>
                <w:lang w:val="fr-CA"/>
              </w:rPr>
              <w:t>(conjointement)</w:t>
            </w:r>
          </w:p>
        </w:tc>
        <w:tc>
          <w:tcPr>
            <w:tcW w:w="1142" w:type="dxa"/>
          </w:tcPr>
          <w:p w:rsidR="00A72A8F" w:rsidRPr="00003B04" w:rsidRDefault="00A72A8F" w:rsidP="00A72A8F">
            <w:pPr>
              <w:rPr>
                <w:sz w:val="20"/>
                <w:szCs w:val="20"/>
                <w:lang w:val="fr-CA"/>
              </w:rPr>
            </w:pPr>
          </w:p>
        </w:tc>
        <w:tc>
          <w:tcPr>
            <w:tcW w:w="4237" w:type="dxa"/>
          </w:tcPr>
          <w:p w:rsidR="00A72A8F" w:rsidRPr="00003B04" w:rsidRDefault="00A72A8F" w:rsidP="00A72A8F">
            <w:pPr>
              <w:rPr>
                <w:sz w:val="20"/>
                <w:szCs w:val="20"/>
                <w:lang w:val="fr-CA"/>
              </w:rPr>
            </w:pPr>
          </w:p>
        </w:tc>
      </w:tr>
      <w:tr w:rsidR="00197407" w:rsidRPr="00C3697D" w:rsidTr="00197407">
        <w:tc>
          <w:tcPr>
            <w:tcW w:w="1350" w:type="dxa"/>
          </w:tcPr>
          <w:p w:rsidR="00197407" w:rsidRPr="00003B04" w:rsidRDefault="00197407" w:rsidP="00A72A8F">
            <w:pPr>
              <w:rPr>
                <w:sz w:val="20"/>
                <w:szCs w:val="20"/>
                <w:lang w:val="fr-CA"/>
              </w:rPr>
            </w:pPr>
          </w:p>
        </w:tc>
        <w:tc>
          <w:tcPr>
            <w:tcW w:w="2890" w:type="dxa"/>
          </w:tcPr>
          <w:p w:rsidR="00197407" w:rsidRPr="00003B04" w:rsidRDefault="00197407" w:rsidP="00A72A8F">
            <w:pPr>
              <w:rPr>
                <w:sz w:val="20"/>
                <w:szCs w:val="20"/>
                <w:lang w:val="fr-CA"/>
              </w:rPr>
            </w:pPr>
          </w:p>
        </w:tc>
        <w:tc>
          <w:tcPr>
            <w:tcW w:w="1142" w:type="dxa"/>
          </w:tcPr>
          <w:p w:rsidR="00197407" w:rsidRPr="00003B04" w:rsidRDefault="00197407" w:rsidP="00A72A8F">
            <w:pPr>
              <w:rPr>
                <w:sz w:val="20"/>
                <w:szCs w:val="20"/>
                <w:lang w:val="fr-CA"/>
              </w:rPr>
            </w:pPr>
          </w:p>
        </w:tc>
        <w:tc>
          <w:tcPr>
            <w:tcW w:w="4237" w:type="dxa"/>
          </w:tcPr>
          <w:p w:rsidR="00197407" w:rsidRPr="00003B04" w:rsidRDefault="00197407" w:rsidP="00A72A8F">
            <w:pPr>
              <w:rPr>
                <w:sz w:val="20"/>
                <w:szCs w:val="20"/>
                <w:lang w:val="fr-CA"/>
              </w:rPr>
            </w:pPr>
          </w:p>
        </w:tc>
      </w:tr>
      <w:tr w:rsidR="00A72A8F" w:rsidRPr="00C3697D" w:rsidTr="00197407">
        <w:tc>
          <w:tcPr>
            <w:tcW w:w="1350" w:type="dxa"/>
          </w:tcPr>
          <w:p w:rsidR="00A72A8F" w:rsidRPr="00003B04" w:rsidRDefault="00A72A8F" w:rsidP="00A72A8F">
            <w:pPr>
              <w:rPr>
                <w:sz w:val="20"/>
                <w:szCs w:val="20"/>
              </w:rPr>
            </w:pPr>
            <w:r w:rsidRPr="00003B04">
              <w:rPr>
                <w:sz w:val="20"/>
                <w:szCs w:val="20"/>
              </w:rPr>
              <w:t>IN / DANS :</w:t>
            </w:r>
          </w:p>
        </w:tc>
        <w:tc>
          <w:tcPr>
            <w:tcW w:w="2890" w:type="dxa"/>
          </w:tcPr>
          <w:p w:rsidR="00A72A8F" w:rsidRPr="00003B04" w:rsidRDefault="00197407" w:rsidP="00A72A8F">
            <w:pPr>
              <w:rPr>
                <w:sz w:val="20"/>
                <w:szCs w:val="20"/>
                <w:lang w:val="fr-CA"/>
              </w:rPr>
            </w:pPr>
            <w:r w:rsidRPr="00003B04">
              <w:rPr>
                <w:sz w:val="20"/>
                <w:szCs w:val="20"/>
                <w:lang w:val="fr-CA"/>
              </w:rPr>
              <w:t>Barreau du Québec</w:t>
            </w:r>
          </w:p>
          <w:p w:rsidR="00197407" w:rsidRPr="00003B04" w:rsidRDefault="00197407" w:rsidP="00A72A8F">
            <w:pPr>
              <w:rPr>
                <w:sz w:val="20"/>
                <w:szCs w:val="20"/>
                <w:lang w:val="fr-CA"/>
              </w:rPr>
            </w:pPr>
          </w:p>
          <w:p w:rsidR="00197407" w:rsidRPr="00003B04" w:rsidRDefault="00197407" w:rsidP="00A72A8F">
            <w:pPr>
              <w:rPr>
                <w:sz w:val="20"/>
                <w:szCs w:val="20"/>
                <w:lang w:val="fr-CA"/>
              </w:rPr>
            </w:pPr>
            <w:r w:rsidRPr="00003B04">
              <w:rPr>
                <w:sz w:val="20"/>
                <w:szCs w:val="20"/>
                <w:lang w:val="fr-CA"/>
              </w:rPr>
              <w:tab/>
              <w:t>c. (37034)</w:t>
            </w:r>
          </w:p>
          <w:p w:rsidR="00197407" w:rsidRPr="00003B04" w:rsidRDefault="00197407" w:rsidP="00A72A8F">
            <w:pPr>
              <w:rPr>
                <w:sz w:val="20"/>
                <w:szCs w:val="20"/>
                <w:lang w:val="fr-CA"/>
              </w:rPr>
            </w:pPr>
          </w:p>
          <w:p w:rsidR="00197407" w:rsidRPr="00003B04" w:rsidRDefault="00197407" w:rsidP="00A72A8F">
            <w:pPr>
              <w:rPr>
                <w:sz w:val="20"/>
                <w:szCs w:val="20"/>
                <w:lang w:val="fr-CA"/>
              </w:rPr>
            </w:pPr>
            <w:r w:rsidRPr="00003B04">
              <w:rPr>
                <w:sz w:val="20"/>
                <w:szCs w:val="20"/>
                <w:lang w:val="fr-CA"/>
              </w:rPr>
              <w:t>Procureure Générale du Québec (</w:t>
            </w:r>
            <w:proofErr w:type="spellStart"/>
            <w:r w:rsidRPr="00003B04">
              <w:rPr>
                <w:sz w:val="20"/>
                <w:szCs w:val="20"/>
                <w:lang w:val="fr-CA"/>
              </w:rPr>
              <w:t>Qc</w:t>
            </w:r>
            <w:proofErr w:type="spellEnd"/>
            <w:r w:rsidRPr="00003B04">
              <w:rPr>
                <w:sz w:val="20"/>
                <w:szCs w:val="20"/>
                <w:lang w:val="fr-CA"/>
              </w:rPr>
              <w:t>)</w:t>
            </w:r>
          </w:p>
        </w:tc>
        <w:tc>
          <w:tcPr>
            <w:tcW w:w="1142" w:type="dxa"/>
          </w:tcPr>
          <w:p w:rsidR="00A72A8F" w:rsidRPr="00003B04" w:rsidRDefault="00A72A8F" w:rsidP="00A72A8F">
            <w:pPr>
              <w:rPr>
                <w:sz w:val="20"/>
                <w:szCs w:val="20"/>
                <w:lang w:val="fr-CA"/>
              </w:rPr>
            </w:pPr>
          </w:p>
        </w:tc>
        <w:tc>
          <w:tcPr>
            <w:tcW w:w="4237" w:type="dxa"/>
          </w:tcPr>
          <w:p w:rsidR="00A72A8F" w:rsidRPr="00003B04" w:rsidRDefault="00A72A8F" w:rsidP="00A72A8F">
            <w:pPr>
              <w:rPr>
                <w:sz w:val="20"/>
                <w:szCs w:val="20"/>
                <w:lang w:val="fr-CA"/>
              </w:rPr>
            </w:pPr>
          </w:p>
        </w:tc>
      </w:tr>
    </w:tbl>
    <w:p w:rsidR="00A72A8F" w:rsidRPr="00003B04" w:rsidRDefault="00A72A8F" w:rsidP="00A72A8F">
      <w:pPr>
        <w:tabs>
          <w:tab w:val="left" w:pos="-1440"/>
          <w:tab w:val="left" w:pos="-720"/>
        </w:tabs>
        <w:jc w:val="both"/>
        <w:rPr>
          <w:sz w:val="20"/>
          <w:szCs w:val="20"/>
          <w:lang w:val="fr-CA"/>
        </w:rPr>
      </w:pPr>
    </w:p>
    <w:p w:rsidR="00A72A8F" w:rsidRPr="00003B04" w:rsidRDefault="009901D3" w:rsidP="00A72A8F">
      <w:pPr>
        <w:tabs>
          <w:tab w:val="left" w:pos="-1440"/>
          <w:tab w:val="left" w:pos="-720"/>
        </w:tabs>
        <w:jc w:val="both"/>
        <w:rPr>
          <w:b/>
          <w:sz w:val="20"/>
          <w:szCs w:val="20"/>
          <w:lang w:val="fr-CA"/>
        </w:rPr>
      </w:pPr>
      <w:r w:rsidRPr="00003B04">
        <w:rPr>
          <w:b/>
          <w:sz w:val="20"/>
          <w:szCs w:val="20"/>
          <w:lang w:val="fr-CA"/>
        </w:rPr>
        <w:t>GRANTED / ACCORDÉE</w:t>
      </w:r>
    </w:p>
    <w:p w:rsidR="00A72A8F" w:rsidRPr="00003B04" w:rsidRDefault="00A72A8F" w:rsidP="00A72A8F">
      <w:pPr>
        <w:tabs>
          <w:tab w:val="left" w:pos="-1440"/>
          <w:tab w:val="left" w:pos="-720"/>
        </w:tabs>
        <w:jc w:val="both"/>
        <w:rPr>
          <w:b/>
          <w:sz w:val="20"/>
          <w:szCs w:val="20"/>
          <w:lang w:val="fr-CA"/>
        </w:rPr>
      </w:pPr>
    </w:p>
    <w:p w:rsidR="00197407" w:rsidRPr="00003B04" w:rsidRDefault="00197407" w:rsidP="00197407">
      <w:pPr>
        <w:spacing w:line="232" w:lineRule="auto"/>
        <w:rPr>
          <w:rFonts w:cs="Times New Roman"/>
          <w:sz w:val="20"/>
          <w:szCs w:val="20"/>
          <w:lang w:val="fr-CA"/>
        </w:rPr>
      </w:pPr>
      <w:r w:rsidRPr="00003B04">
        <w:rPr>
          <w:rFonts w:cs="Times New Roman"/>
          <w:b/>
          <w:bCs/>
          <w:sz w:val="20"/>
          <w:szCs w:val="20"/>
          <w:lang w:val="fr-CA"/>
        </w:rPr>
        <w:t xml:space="preserve">À LA SUITE DE LA DEMANDE </w:t>
      </w:r>
      <w:r w:rsidRPr="00003B04">
        <w:rPr>
          <w:rFonts w:cs="Times New Roman"/>
          <w:bCs/>
          <w:sz w:val="20"/>
          <w:szCs w:val="20"/>
          <w:lang w:val="fr-CA"/>
        </w:rPr>
        <w:t>conjointe</w:t>
      </w:r>
      <w:r w:rsidRPr="00003B04">
        <w:rPr>
          <w:rFonts w:cs="Times New Roman"/>
          <w:b/>
          <w:bCs/>
          <w:sz w:val="20"/>
          <w:szCs w:val="20"/>
          <w:lang w:val="fr-CA"/>
        </w:rPr>
        <w:t xml:space="preserve"> </w:t>
      </w:r>
      <w:r w:rsidRPr="00003B04">
        <w:rPr>
          <w:rFonts w:cs="Times New Roman"/>
          <w:bCs/>
          <w:sz w:val="20"/>
          <w:szCs w:val="20"/>
          <w:lang w:val="fr-CA"/>
        </w:rPr>
        <w:t>présentée par l’Ordre des comptables professionnels agréés du Québec et</w:t>
      </w:r>
      <w:r w:rsidRPr="00003B04">
        <w:rPr>
          <w:rFonts w:cs="Times New Roman"/>
          <w:sz w:val="20"/>
          <w:szCs w:val="20"/>
          <w:lang w:val="fr-CA" w:eastAsia="fr-FR"/>
        </w:rPr>
        <w:t xml:space="preserve"> les Comptables professionnels agréés du Canada </w:t>
      </w:r>
      <w:r w:rsidRPr="00003B04">
        <w:rPr>
          <w:rFonts w:cs="Times New Roman"/>
          <w:sz w:val="20"/>
          <w:szCs w:val="20"/>
          <w:lang w:val="fr-CA"/>
        </w:rPr>
        <w:t>(conjointement)</w:t>
      </w:r>
      <w:r w:rsidRPr="00003B04">
        <w:rPr>
          <w:rFonts w:cs="Times New Roman"/>
          <w:sz w:val="20"/>
          <w:szCs w:val="20"/>
          <w:lang w:val="fr-CA" w:eastAsia="fr-FR"/>
        </w:rPr>
        <w:t xml:space="preserve"> </w:t>
      </w:r>
      <w:r w:rsidRPr="00003B04">
        <w:rPr>
          <w:rFonts w:cs="Times New Roman"/>
          <w:bCs/>
          <w:sz w:val="20"/>
          <w:szCs w:val="20"/>
          <w:lang w:val="fr-CA"/>
        </w:rPr>
        <w:t>en vue d’intervenir dans l’appel</w:t>
      </w:r>
      <w:r w:rsidRPr="00003B04">
        <w:rPr>
          <w:rFonts w:cs="Times New Roman"/>
          <w:sz w:val="20"/>
          <w:szCs w:val="20"/>
          <w:lang w:val="fr-CA"/>
        </w:rPr>
        <w:t>;</w:t>
      </w:r>
    </w:p>
    <w:p w:rsidR="00197407" w:rsidRPr="00003B04" w:rsidRDefault="00197407" w:rsidP="00197407">
      <w:pPr>
        <w:spacing w:line="232" w:lineRule="auto"/>
        <w:rPr>
          <w:rFonts w:cs="Times New Roman"/>
          <w:sz w:val="20"/>
          <w:szCs w:val="20"/>
          <w:lang w:val="fr-CA"/>
        </w:rPr>
      </w:pPr>
    </w:p>
    <w:p w:rsidR="00197407" w:rsidRPr="00003B04" w:rsidRDefault="00197407" w:rsidP="00197407">
      <w:pPr>
        <w:spacing w:line="232" w:lineRule="auto"/>
        <w:rPr>
          <w:rFonts w:cs="Times New Roman"/>
          <w:sz w:val="20"/>
          <w:szCs w:val="20"/>
          <w:lang w:val="fr-CA"/>
        </w:rPr>
      </w:pPr>
      <w:r w:rsidRPr="00003B04">
        <w:rPr>
          <w:rFonts w:cs="Times New Roman"/>
          <w:b/>
          <w:bCs/>
          <w:sz w:val="20"/>
          <w:szCs w:val="20"/>
          <w:lang w:val="fr-CA"/>
        </w:rPr>
        <w:t xml:space="preserve">ET APRÈS EXAMEN </w:t>
      </w:r>
      <w:r w:rsidRPr="00003B04">
        <w:rPr>
          <w:rFonts w:cs="Times New Roman"/>
          <w:bCs/>
          <w:sz w:val="20"/>
          <w:szCs w:val="20"/>
          <w:lang w:val="fr-CA"/>
        </w:rPr>
        <w:t>des documents déposés</w:t>
      </w:r>
      <w:r w:rsidRPr="00003B04">
        <w:rPr>
          <w:rFonts w:cs="Times New Roman"/>
          <w:sz w:val="20"/>
          <w:szCs w:val="20"/>
          <w:lang w:val="fr-CA"/>
        </w:rPr>
        <w:t>;</w:t>
      </w:r>
    </w:p>
    <w:p w:rsidR="00197407" w:rsidRPr="00003B04" w:rsidRDefault="00197407" w:rsidP="00197407">
      <w:pPr>
        <w:spacing w:line="232" w:lineRule="auto"/>
        <w:rPr>
          <w:rFonts w:cs="Times New Roman"/>
          <w:sz w:val="20"/>
          <w:szCs w:val="20"/>
          <w:lang w:val="fr-CA"/>
        </w:rPr>
      </w:pPr>
    </w:p>
    <w:p w:rsidR="00197407" w:rsidRPr="00003B04" w:rsidRDefault="00197407" w:rsidP="00197407">
      <w:pPr>
        <w:spacing w:line="232" w:lineRule="auto"/>
        <w:rPr>
          <w:rFonts w:cs="Times New Roman"/>
          <w:sz w:val="20"/>
          <w:szCs w:val="20"/>
          <w:lang w:val="fr-CA"/>
        </w:rPr>
      </w:pPr>
      <w:r w:rsidRPr="00003B04">
        <w:rPr>
          <w:rFonts w:cs="Times New Roman"/>
          <w:b/>
          <w:bCs/>
          <w:sz w:val="20"/>
          <w:szCs w:val="20"/>
          <w:lang w:val="fr-CA"/>
        </w:rPr>
        <w:t>IL EST ORDONNÉ CE QUI SUIT :</w:t>
      </w:r>
    </w:p>
    <w:p w:rsidR="00197407" w:rsidRPr="00003B04" w:rsidRDefault="00197407" w:rsidP="00197407">
      <w:pPr>
        <w:spacing w:line="232" w:lineRule="auto"/>
        <w:rPr>
          <w:rFonts w:cs="Times New Roman"/>
          <w:sz w:val="20"/>
          <w:szCs w:val="20"/>
          <w:lang w:val="fr-CA"/>
        </w:rPr>
      </w:pPr>
    </w:p>
    <w:p w:rsidR="00197407" w:rsidRPr="00003B04" w:rsidRDefault="00197407" w:rsidP="00197407">
      <w:pPr>
        <w:spacing w:line="232" w:lineRule="auto"/>
        <w:rPr>
          <w:rFonts w:cs="Times New Roman"/>
          <w:sz w:val="20"/>
          <w:szCs w:val="20"/>
          <w:lang w:val="fr-CA"/>
        </w:rPr>
      </w:pPr>
      <w:r w:rsidRPr="00003B04">
        <w:rPr>
          <w:rFonts w:cs="Times New Roman"/>
          <w:sz w:val="20"/>
          <w:szCs w:val="20"/>
          <w:lang w:val="fr-CA"/>
        </w:rPr>
        <w:t>La requête conjointe pour permission d’intervenir est accueillie et ces intervenants pourront signifier et déposer un mémoire conjoint d’au plus dix (10) pages au plus tard le 17 mars 2017.</w:t>
      </w:r>
    </w:p>
    <w:p w:rsidR="00197407" w:rsidRPr="00003B04" w:rsidRDefault="00197407" w:rsidP="00197407">
      <w:pPr>
        <w:spacing w:line="232" w:lineRule="auto"/>
        <w:rPr>
          <w:rFonts w:cs="Times New Roman"/>
          <w:sz w:val="20"/>
          <w:szCs w:val="20"/>
          <w:lang w:val="fr-CA"/>
        </w:rPr>
      </w:pPr>
    </w:p>
    <w:p w:rsidR="00197407" w:rsidRPr="00003B04" w:rsidRDefault="00197407" w:rsidP="00197407">
      <w:pPr>
        <w:spacing w:line="233" w:lineRule="auto"/>
        <w:rPr>
          <w:rFonts w:cs="Times New Roman"/>
          <w:sz w:val="20"/>
          <w:szCs w:val="20"/>
          <w:lang w:val="fr-CA"/>
        </w:rPr>
      </w:pPr>
      <w:r w:rsidRPr="00003B04">
        <w:rPr>
          <w:rFonts w:cs="Times New Roman"/>
          <w:bCs/>
          <w:sz w:val="20"/>
          <w:szCs w:val="20"/>
          <w:lang w:val="fr-CA"/>
        </w:rPr>
        <w:t>Chacun de ces</w:t>
      </w:r>
      <w:r w:rsidRPr="00003B04">
        <w:rPr>
          <w:rFonts w:cs="Times New Roman"/>
          <w:sz w:val="20"/>
          <w:szCs w:val="20"/>
          <w:lang w:val="fr-CA"/>
        </w:rPr>
        <w:t xml:space="preserve"> intervenants aura le droit de présenter une plaidoirie orale d’au plus cinq (5) minutes lors de l’audition de l’appel.</w:t>
      </w:r>
    </w:p>
    <w:p w:rsidR="00197407" w:rsidRPr="00003B04" w:rsidRDefault="00197407" w:rsidP="00197407">
      <w:pPr>
        <w:spacing w:line="232" w:lineRule="auto"/>
        <w:rPr>
          <w:rFonts w:cs="Times New Roman"/>
          <w:sz w:val="20"/>
          <w:szCs w:val="20"/>
          <w:lang w:val="fr-CA"/>
        </w:rPr>
      </w:pPr>
    </w:p>
    <w:p w:rsidR="00197407" w:rsidRPr="00003B04" w:rsidRDefault="00197407" w:rsidP="00197407">
      <w:pPr>
        <w:spacing w:line="232" w:lineRule="auto"/>
        <w:rPr>
          <w:rFonts w:cs="Times New Roman"/>
          <w:sz w:val="20"/>
          <w:szCs w:val="20"/>
          <w:lang w:val="fr-CA"/>
        </w:rPr>
      </w:pPr>
      <w:r w:rsidRPr="00003B04">
        <w:rPr>
          <w:rFonts w:cs="Times New Roman"/>
          <w:sz w:val="20"/>
          <w:szCs w:val="20"/>
          <w:lang w:val="fr-CA"/>
        </w:rPr>
        <w:t xml:space="preserve">Les intervenants n’ont pas le droit de soulever de nouvelles questions, de produire d’autres éléments de preuve ni de compléter de quelque autre façon le dossier des </w:t>
      </w:r>
      <w:r w:rsidRPr="00003B04">
        <w:rPr>
          <w:rFonts w:cs="Times New Roman"/>
          <w:sz w:val="20"/>
          <w:szCs w:val="20"/>
        </w:rPr>
        <w:fldChar w:fldCharType="begin"/>
      </w:r>
      <w:r w:rsidRPr="00003B04">
        <w:rPr>
          <w:rFonts w:cs="Times New Roman"/>
          <w:sz w:val="20"/>
          <w:szCs w:val="20"/>
          <w:lang w:val="fr-CA"/>
        </w:rPr>
        <w:instrText xml:space="preserve"> SEQ CHAPTER \h \r 1</w:instrText>
      </w:r>
      <w:r w:rsidRPr="00003B04">
        <w:rPr>
          <w:rFonts w:cs="Times New Roman"/>
          <w:sz w:val="20"/>
          <w:szCs w:val="20"/>
        </w:rPr>
        <w:fldChar w:fldCharType="end"/>
      </w:r>
      <w:r w:rsidRPr="00003B04">
        <w:rPr>
          <w:rFonts w:cs="Times New Roman"/>
          <w:bCs/>
          <w:sz w:val="20"/>
          <w:szCs w:val="20"/>
          <w:lang w:val="fr-CA"/>
        </w:rPr>
        <w:t>parties.</w:t>
      </w:r>
    </w:p>
    <w:p w:rsidR="00197407" w:rsidRPr="00003B04" w:rsidRDefault="00197407" w:rsidP="00197407">
      <w:pPr>
        <w:spacing w:line="232" w:lineRule="auto"/>
        <w:rPr>
          <w:rFonts w:cs="Times New Roman"/>
          <w:sz w:val="20"/>
          <w:szCs w:val="20"/>
          <w:lang w:val="fr-CA"/>
        </w:rPr>
      </w:pPr>
    </w:p>
    <w:p w:rsidR="00197407" w:rsidRPr="00003B04" w:rsidRDefault="00197407" w:rsidP="00197407">
      <w:pPr>
        <w:rPr>
          <w:rFonts w:cs="Times New Roman"/>
          <w:sz w:val="20"/>
          <w:szCs w:val="20"/>
          <w:lang w:val="fr-CA" w:eastAsia="fr-FR"/>
        </w:rPr>
      </w:pPr>
      <w:r w:rsidRPr="00003B04">
        <w:rPr>
          <w:rFonts w:cs="Times New Roman"/>
          <w:sz w:val="20"/>
          <w:szCs w:val="20"/>
          <w:lang w:val="fr-CA"/>
        </w:rPr>
        <w:t>Conformément à l’alinéa 59(1)</w:t>
      </w:r>
      <w:r w:rsidRPr="00003B04">
        <w:rPr>
          <w:rFonts w:cs="Times New Roman"/>
          <w:i/>
          <w:iCs/>
          <w:sz w:val="20"/>
          <w:szCs w:val="20"/>
          <w:lang w:val="fr-CA"/>
        </w:rPr>
        <w:t>a</w:t>
      </w:r>
      <w:r w:rsidRPr="00003B04">
        <w:rPr>
          <w:rFonts w:cs="Times New Roman"/>
          <w:sz w:val="20"/>
          <w:szCs w:val="20"/>
          <w:lang w:val="fr-CA"/>
        </w:rPr>
        <w:t xml:space="preserve">) des </w:t>
      </w:r>
      <w:r w:rsidRPr="00003B04">
        <w:rPr>
          <w:rFonts w:cs="Times New Roman"/>
          <w:i/>
          <w:iCs/>
          <w:sz w:val="20"/>
          <w:szCs w:val="20"/>
          <w:lang w:val="fr-CA"/>
        </w:rPr>
        <w:t>Règles de la Cour suprême du Canada</w:t>
      </w:r>
      <w:r w:rsidRPr="00003B04">
        <w:rPr>
          <w:rFonts w:cs="Times New Roman"/>
          <w:sz w:val="20"/>
          <w:szCs w:val="20"/>
          <w:lang w:val="fr-CA"/>
        </w:rPr>
        <w:t>, les intervenants paieront à l’appelant et à l’intimée tous débours supplémentaires résultant de leurs interventions.</w:t>
      </w:r>
    </w:p>
    <w:p w:rsidR="00A72A8F" w:rsidRPr="00003B04" w:rsidRDefault="00A72A8F" w:rsidP="00A72A8F">
      <w:pPr>
        <w:tabs>
          <w:tab w:val="left" w:pos="-1440"/>
          <w:tab w:val="left" w:pos="-720"/>
        </w:tabs>
        <w:jc w:val="both"/>
        <w:rPr>
          <w:b/>
          <w:sz w:val="20"/>
          <w:szCs w:val="20"/>
          <w:lang w:val="fr-CA"/>
        </w:rPr>
      </w:pPr>
    </w:p>
    <w:p w:rsidR="001E5DEB" w:rsidRPr="00003B04" w:rsidRDefault="001E5DEB" w:rsidP="00A72A8F">
      <w:pPr>
        <w:tabs>
          <w:tab w:val="left" w:pos="-1440"/>
          <w:tab w:val="left" w:pos="-720"/>
        </w:tabs>
        <w:jc w:val="both"/>
        <w:rPr>
          <w:b/>
          <w:sz w:val="20"/>
          <w:szCs w:val="20"/>
          <w:lang w:val="fr-CA"/>
        </w:rPr>
      </w:pPr>
    </w:p>
    <w:p w:rsidR="001E5DEB" w:rsidRPr="00003B04" w:rsidRDefault="001E5DEB" w:rsidP="00A72A8F">
      <w:pPr>
        <w:tabs>
          <w:tab w:val="left" w:pos="-1440"/>
          <w:tab w:val="left" w:pos="-720"/>
        </w:tabs>
        <w:jc w:val="both"/>
        <w:rPr>
          <w:b/>
          <w:sz w:val="20"/>
          <w:szCs w:val="20"/>
          <w:lang w:val="fr-CA"/>
        </w:rPr>
      </w:pPr>
    </w:p>
    <w:p w:rsidR="001E5DEB" w:rsidRPr="00003B04" w:rsidRDefault="001E5DEB" w:rsidP="001E5DEB">
      <w:pPr>
        <w:spacing w:line="232" w:lineRule="auto"/>
        <w:rPr>
          <w:rFonts w:cs="Times New Roman"/>
          <w:sz w:val="20"/>
          <w:szCs w:val="20"/>
        </w:rPr>
      </w:pPr>
      <w:r w:rsidRPr="00003B04">
        <w:rPr>
          <w:rFonts w:cs="Times New Roman"/>
          <w:b/>
          <w:bCs/>
          <w:sz w:val="20"/>
          <w:szCs w:val="20"/>
        </w:rPr>
        <w:t xml:space="preserve">UPON A JOINT APPLICATION </w:t>
      </w:r>
      <w:r w:rsidRPr="00003B04">
        <w:rPr>
          <w:rFonts w:cs="Times New Roman"/>
          <w:bCs/>
          <w:sz w:val="20"/>
          <w:szCs w:val="20"/>
        </w:rPr>
        <w:t xml:space="preserve">by the </w:t>
      </w:r>
      <w:proofErr w:type="spellStart"/>
      <w:r w:rsidRPr="00003B04">
        <w:rPr>
          <w:rFonts w:cs="Times New Roman"/>
          <w:bCs/>
          <w:sz w:val="20"/>
          <w:szCs w:val="20"/>
        </w:rPr>
        <w:t>Ordre</w:t>
      </w:r>
      <w:proofErr w:type="spellEnd"/>
      <w:r w:rsidRPr="00003B04">
        <w:rPr>
          <w:rFonts w:cs="Times New Roman"/>
          <w:bCs/>
          <w:sz w:val="20"/>
          <w:szCs w:val="20"/>
        </w:rPr>
        <w:t xml:space="preserve"> des </w:t>
      </w:r>
      <w:proofErr w:type="spellStart"/>
      <w:r w:rsidRPr="00003B04">
        <w:rPr>
          <w:rFonts w:cs="Times New Roman"/>
          <w:bCs/>
          <w:sz w:val="20"/>
          <w:szCs w:val="20"/>
        </w:rPr>
        <w:t>comptables</w:t>
      </w:r>
      <w:proofErr w:type="spellEnd"/>
      <w:r w:rsidRPr="00003B04">
        <w:rPr>
          <w:rFonts w:cs="Times New Roman"/>
          <w:bCs/>
          <w:sz w:val="20"/>
          <w:szCs w:val="20"/>
        </w:rPr>
        <w:t xml:space="preserve"> </w:t>
      </w:r>
      <w:proofErr w:type="spellStart"/>
      <w:r w:rsidRPr="00003B04">
        <w:rPr>
          <w:rFonts w:cs="Times New Roman"/>
          <w:bCs/>
          <w:sz w:val="20"/>
          <w:szCs w:val="20"/>
        </w:rPr>
        <w:t>professionnels</w:t>
      </w:r>
      <w:proofErr w:type="spellEnd"/>
      <w:r w:rsidRPr="00003B04">
        <w:rPr>
          <w:rFonts w:cs="Times New Roman"/>
          <w:bCs/>
          <w:sz w:val="20"/>
          <w:szCs w:val="20"/>
        </w:rPr>
        <w:t xml:space="preserve"> </w:t>
      </w:r>
      <w:proofErr w:type="spellStart"/>
      <w:r w:rsidRPr="00003B04">
        <w:rPr>
          <w:rFonts w:cs="Times New Roman"/>
          <w:bCs/>
          <w:sz w:val="20"/>
          <w:szCs w:val="20"/>
        </w:rPr>
        <w:t>agréés</w:t>
      </w:r>
      <w:proofErr w:type="spellEnd"/>
      <w:r w:rsidRPr="00003B04">
        <w:rPr>
          <w:rFonts w:cs="Times New Roman"/>
          <w:bCs/>
          <w:sz w:val="20"/>
          <w:szCs w:val="20"/>
        </w:rPr>
        <w:t xml:space="preserve"> du Québec and Chartered Professional Accountants of</w:t>
      </w:r>
      <w:r w:rsidRPr="00003B04">
        <w:rPr>
          <w:rFonts w:cs="Times New Roman"/>
          <w:sz w:val="20"/>
          <w:szCs w:val="20"/>
          <w:lang w:eastAsia="fr-FR"/>
        </w:rPr>
        <w:t xml:space="preserve"> Canada </w:t>
      </w:r>
      <w:r w:rsidRPr="00003B04">
        <w:rPr>
          <w:rFonts w:cs="Times New Roman"/>
          <w:bCs/>
          <w:sz w:val="20"/>
          <w:szCs w:val="20"/>
        </w:rPr>
        <w:t>for leave to intervene in the above appeal</w:t>
      </w:r>
      <w:r w:rsidRPr="00003B04">
        <w:rPr>
          <w:rFonts w:cs="Times New Roman"/>
          <w:sz w:val="20"/>
          <w:szCs w:val="20"/>
        </w:rPr>
        <w:t>;</w:t>
      </w:r>
    </w:p>
    <w:p w:rsidR="001E5DEB" w:rsidRPr="00003B04" w:rsidRDefault="001E5DEB" w:rsidP="001E5DEB">
      <w:pPr>
        <w:spacing w:line="232" w:lineRule="auto"/>
        <w:rPr>
          <w:rFonts w:cs="Times New Roman"/>
          <w:sz w:val="20"/>
          <w:szCs w:val="20"/>
        </w:rPr>
      </w:pPr>
    </w:p>
    <w:p w:rsidR="001E5DEB" w:rsidRPr="00003B04" w:rsidRDefault="001E5DEB" w:rsidP="001E5DEB">
      <w:pPr>
        <w:spacing w:line="232" w:lineRule="auto"/>
        <w:rPr>
          <w:rFonts w:cs="Times New Roman"/>
          <w:sz w:val="20"/>
          <w:szCs w:val="20"/>
        </w:rPr>
      </w:pPr>
      <w:r w:rsidRPr="00003B04">
        <w:rPr>
          <w:rFonts w:cs="Times New Roman"/>
          <w:b/>
          <w:bCs/>
          <w:sz w:val="20"/>
          <w:szCs w:val="20"/>
        </w:rPr>
        <w:t xml:space="preserve">AND THE MATERIAL FILED </w:t>
      </w:r>
      <w:r w:rsidRPr="00003B04">
        <w:rPr>
          <w:rFonts w:cs="Times New Roman"/>
          <w:bCs/>
          <w:sz w:val="20"/>
          <w:szCs w:val="20"/>
        </w:rPr>
        <w:t>having been read</w:t>
      </w:r>
      <w:r w:rsidRPr="00003B04">
        <w:rPr>
          <w:rFonts w:cs="Times New Roman"/>
          <w:sz w:val="20"/>
          <w:szCs w:val="20"/>
        </w:rPr>
        <w:t>;</w:t>
      </w:r>
    </w:p>
    <w:p w:rsidR="001E5DEB" w:rsidRPr="00003B04" w:rsidRDefault="001E5DEB" w:rsidP="001E5DEB">
      <w:pPr>
        <w:spacing w:line="232" w:lineRule="auto"/>
        <w:rPr>
          <w:rFonts w:cs="Times New Roman"/>
          <w:sz w:val="20"/>
          <w:szCs w:val="20"/>
        </w:rPr>
      </w:pPr>
    </w:p>
    <w:p w:rsidR="001E5DEB" w:rsidRPr="00003B04" w:rsidRDefault="001E5DEB" w:rsidP="001E5DEB">
      <w:pPr>
        <w:spacing w:line="232" w:lineRule="auto"/>
        <w:rPr>
          <w:rFonts w:cs="Times New Roman"/>
          <w:sz w:val="20"/>
          <w:szCs w:val="20"/>
        </w:rPr>
      </w:pPr>
      <w:r w:rsidRPr="00003B04">
        <w:rPr>
          <w:rFonts w:cs="Times New Roman"/>
          <w:b/>
          <w:bCs/>
          <w:sz w:val="20"/>
          <w:szCs w:val="20"/>
        </w:rPr>
        <w:t>IT IS HEREBY ORDERED THAT:</w:t>
      </w:r>
    </w:p>
    <w:p w:rsidR="001E5DEB" w:rsidRPr="00003B04" w:rsidRDefault="001E5DEB" w:rsidP="001E5DEB">
      <w:pPr>
        <w:spacing w:line="232" w:lineRule="auto"/>
        <w:rPr>
          <w:rFonts w:cs="Times New Roman"/>
          <w:sz w:val="20"/>
          <w:szCs w:val="20"/>
        </w:rPr>
      </w:pPr>
    </w:p>
    <w:p w:rsidR="001E5DEB" w:rsidRPr="00003B04" w:rsidRDefault="001E5DEB" w:rsidP="001E5DEB">
      <w:pPr>
        <w:spacing w:line="232" w:lineRule="auto"/>
        <w:rPr>
          <w:rFonts w:cs="Times New Roman"/>
          <w:sz w:val="20"/>
          <w:szCs w:val="20"/>
        </w:rPr>
      </w:pPr>
      <w:r w:rsidRPr="00003B04">
        <w:rPr>
          <w:rFonts w:cs="Times New Roman"/>
          <w:sz w:val="20"/>
          <w:szCs w:val="20"/>
        </w:rPr>
        <w:t>The joint motion for leave to intervene is granted and the said interveners shall be entitled to serve and file a joint factum not to exceed ten (10) pages in length on or before March 17, 2017.</w:t>
      </w:r>
    </w:p>
    <w:p w:rsidR="001E5DEB" w:rsidRPr="00003B04" w:rsidRDefault="001E5DEB" w:rsidP="001E5DEB">
      <w:pPr>
        <w:spacing w:line="232" w:lineRule="auto"/>
        <w:rPr>
          <w:rFonts w:cs="Times New Roman"/>
          <w:sz w:val="20"/>
          <w:szCs w:val="20"/>
        </w:rPr>
      </w:pPr>
    </w:p>
    <w:p w:rsidR="001E5DEB" w:rsidRPr="00003B04" w:rsidRDefault="001E5DEB" w:rsidP="001E5DEB">
      <w:pPr>
        <w:spacing w:line="233" w:lineRule="auto"/>
        <w:rPr>
          <w:rFonts w:cs="Times New Roman"/>
          <w:sz w:val="20"/>
          <w:szCs w:val="20"/>
        </w:rPr>
      </w:pPr>
      <w:r w:rsidRPr="00003B04">
        <w:rPr>
          <w:rFonts w:cs="Times New Roman"/>
          <w:bCs/>
          <w:sz w:val="20"/>
          <w:szCs w:val="20"/>
        </w:rPr>
        <w:t xml:space="preserve">Each of the said interveners is granted permission to present oral argument not exceeding five </w:t>
      </w:r>
      <w:r w:rsidRPr="00003B04">
        <w:rPr>
          <w:rFonts w:cs="Times New Roman"/>
          <w:sz w:val="20"/>
          <w:szCs w:val="20"/>
        </w:rPr>
        <w:t>(5) minutes at the hearing of the appeal.</w:t>
      </w:r>
    </w:p>
    <w:p w:rsidR="001E5DEB" w:rsidRPr="00003B04" w:rsidRDefault="001E5DEB" w:rsidP="001E5DEB">
      <w:pPr>
        <w:spacing w:line="232" w:lineRule="auto"/>
        <w:rPr>
          <w:rFonts w:cs="Times New Roman"/>
          <w:sz w:val="20"/>
          <w:szCs w:val="20"/>
        </w:rPr>
      </w:pPr>
    </w:p>
    <w:p w:rsidR="001E5DEB" w:rsidRPr="00003B04" w:rsidRDefault="001E5DEB" w:rsidP="001E5DEB">
      <w:pPr>
        <w:spacing w:line="232" w:lineRule="auto"/>
        <w:rPr>
          <w:rFonts w:cs="Times New Roman"/>
          <w:sz w:val="20"/>
          <w:szCs w:val="20"/>
        </w:rPr>
      </w:pPr>
      <w:r w:rsidRPr="00003B04">
        <w:rPr>
          <w:rFonts w:cs="Times New Roman"/>
          <w:sz w:val="20"/>
          <w:szCs w:val="20"/>
        </w:rPr>
        <w:lastRenderedPageBreak/>
        <w:t>The interveners shall not be entitled to raise new issues or to adduce further evidence or otherwise to supplement the record of the parties</w:t>
      </w:r>
      <w:r w:rsidRPr="00003B04">
        <w:rPr>
          <w:rFonts w:cs="Times New Roman"/>
          <w:bCs/>
          <w:sz w:val="20"/>
          <w:szCs w:val="20"/>
        </w:rPr>
        <w:t>.</w:t>
      </w:r>
    </w:p>
    <w:p w:rsidR="001E5DEB" w:rsidRPr="00003B04" w:rsidRDefault="001E5DEB" w:rsidP="001E5DEB">
      <w:pPr>
        <w:spacing w:line="232" w:lineRule="auto"/>
        <w:rPr>
          <w:rFonts w:cs="Times New Roman"/>
          <w:sz w:val="20"/>
          <w:szCs w:val="20"/>
        </w:rPr>
      </w:pPr>
    </w:p>
    <w:p w:rsidR="001E5DEB" w:rsidRPr="00003B04" w:rsidRDefault="001E5DEB" w:rsidP="001E5DEB">
      <w:pPr>
        <w:rPr>
          <w:rFonts w:cs="Times New Roman"/>
          <w:sz w:val="20"/>
          <w:szCs w:val="20"/>
          <w:lang w:eastAsia="fr-FR"/>
        </w:rPr>
      </w:pPr>
      <w:r w:rsidRPr="00003B04">
        <w:rPr>
          <w:rFonts w:cs="Times New Roman"/>
          <w:sz w:val="20"/>
          <w:szCs w:val="20"/>
        </w:rPr>
        <w:t>Pursuant to Rule 59(1</w:t>
      </w:r>
      <w:proofErr w:type="gramStart"/>
      <w:r w:rsidRPr="00003B04">
        <w:rPr>
          <w:rFonts w:cs="Times New Roman"/>
          <w:sz w:val="20"/>
          <w:szCs w:val="20"/>
        </w:rPr>
        <w:t>)(</w:t>
      </w:r>
      <w:proofErr w:type="gramEnd"/>
      <w:r w:rsidRPr="00003B04">
        <w:rPr>
          <w:rFonts w:cs="Times New Roman"/>
          <w:i/>
          <w:sz w:val="20"/>
          <w:szCs w:val="20"/>
        </w:rPr>
        <w:t>a</w:t>
      </w:r>
      <w:r w:rsidRPr="00003B04">
        <w:rPr>
          <w:rFonts w:cs="Times New Roman"/>
          <w:sz w:val="20"/>
          <w:szCs w:val="20"/>
        </w:rPr>
        <w:t xml:space="preserve">) of the </w:t>
      </w:r>
      <w:r w:rsidRPr="00003B04">
        <w:rPr>
          <w:rFonts w:cs="Times New Roman"/>
          <w:i/>
          <w:sz w:val="20"/>
          <w:szCs w:val="20"/>
        </w:rPr>
        <w:t>Rules of the Supreme Court of Canada</w:t>
      </w:r>
      <w:r w:rsidRPr="00003B04">
        <w:rPr>
          <w:rFonts w:cs="Times New Roman"/>
          <w:sz w:val="20"/>
          <w:szCs w:val="20"/>
        </w:rPr>
        <w:t>, the interveners shall pay to the appellant and respondent any additional disbursements occasioned to the appellant and respondent by their interventions.</w:t>
      </w:r>
    </w:p>
    <w:p w:rsidR="001E5DEB" w:rsidRPr="00003B04" w:rsidRDefault="001E5DEB" w:rsidP="00A72A8F">
      <w:pPr>
        <w:tabs>
          <w:tab w:val="left" w:pos="-1440"/>
          <w:tab w:val="left" w:pos="-720"/>
        </w:tabs>
        <w:jc w:val="both"/>
        <w:rPr>
          <w:sz w:val="20"/>
          <w:szCs w:val="20"/>
        </w:rPr>
      </w:pPr>
    </w:p>
    <w:p w:rsidR="00A72A8F" w:rsidRPr="00003B04" w:rsidRDefault="00604445" w:rsidP="00A72A8F">
      <w:pPr>
        <w:tabs>
          <w:tab w:val="left" w:pos="-1440"/>
          <w:tab w:val="left" w:pos="-720"/>
        </w:tabs>
        <w:jc w:val="both"/>
        <w:rPr>
          <w:sz w:val="20"/>
          <w:szCs w:val="20"/>
        </w:rPr>
      </w:pPr>
      <w:r>
        <w:rPr>
          <w:lang w:val="fr-CA"/>
        </w:rPr>
        <w:pict>
          <v:rect id="_x0000_i1096" style="width:2in;height:1pt" o:hrpct="0" o:hralign="center" o:hrstd="t" o:hrnoshade="t" o:hr="t" fillcolor="black [3213]" stroked="f"/>
        </w:pict>
      </w:r>
    </w:p>
    <w:p w:rsidR="00CA2DEA" w:rsidRPr="00003B04" w:rsidRDefault="00CA2DEA" w:rsidP="0010587F">
      <w:pPr>
        <w:tabs>
          <w:tab w:val="left" w:pos="-1440"/>
          <w:tab w:val="left" w:pos="-720"/>
        </w:tabs>
        <w:jc w:val="both"/>
        <w:rPr>
          <w:sz w:val="20"/>
          <w:szCs w:val="20"/>
          <w:lang w:val="fr-CA"/>
        </w:rPr>
      </w:pPr>
    </w:p>
    <w:p w:rsidR="00890FEB" w:rsidRPr="00003B04" w:rsidRDefault="00890FEB" w:rsidP="00831CA9">
      <w:pPr>
        <w:jc w:val="both"/>
        <w:rPr>
          <w:sz w:val="20"/>
          <w:szCs w:val="20"/>
          <w:lang w:val="fr-CA"/>
        </w:rPr>
      </w:pPr>
    </w:p>
    <w:p w:rsidR="00831CA9" w:rsidRPr="00003B04" w:rsidRDefault="00831CA9" w:rsidP="00831CA9">
      <w:pPr>
        <w:jc w:val="both"/>
        <w:rPr>
          <w:sz w:val="20"/>
          <w:szCs w:val="20"/>
          <w:lang w:val="fr-CA"/>
        </w:rPr>
        <w:sectPr w:rsidR="00831CA9" w:rsidRPr="00003B04" w:rsidSect="00831CA9">
          <w:headerReference w:type="even" r:id="rId115"/>
          <w:headerReference w:type="default" r:id="rId116"/>
          <w:footerReference w:type="even" r:id="rId117"/>
          <w:footerReference w:type="default" r:id="rId118"/>
          <w:headerReference w:type="first" r:id="rId119"/>
          <w:footerReference w:type="first" r:id="rId12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C3697D" w:rsidTr="0085476B">
        <w:trPr>
          <w:cantSplit/>
        </w:trPr>
        <w:tc>
          <w:tcPr>
            <w:tcW w:w="4410" w:type="dxa"/>
            <w:tcMar>
              <w:left w:w="0" w:type="dxa"/>
              <w:right w:w="0" w:type="dxa"/>
            </w:tcMar>
          </w:tcPr>
          <w:p w:rsidR="00C1697B" w:rsidRPr="00003B04" w:rsidRDefault="00732DB7" w:rsidP="00697C62">
            <w:pPr>
              <w:keepNext/>
              <w:keepLines/>
              <w:widowControl w:val="0"/>
              <w:jc w:val="both"/>
              <w:rPr>
                <w:b/>
                <w:szCs w:val="24"/>
              </w:rPr>
            </w:pPr>
            <w:r w:rsidRPr="00003B04">
              <w:rPr>
                <w:b/>
                <w:szCs w:val="24"/>
              </w:rPr>
              <w:lastRenderedPageBreak/>
              <w:t>APPEALS HEARD SINCE LAST ISSUE AND DISPOSITION</w:t>
            </w:r>
          </w:p>
          <w:p w:rsidR="00732DB7" w:rsidRPr="00003B04" w:rsidRDefault="00732DB7" w:rsidP="00C1697B">
            <w:pPr>
              <w:tabs>
                <w:tab w:val="left" w:pos="1116"/>
              </w:tabs>
              <w:rPr>
                <w:szCs w:val="24"/>
              </w:rPr>
            </w:pPr>
          </w:p>
        </w:tc>
        <w:tc>
          <w:tcPr>
            <w:tcW w:w="720" w:type="dxa"/>
            <w:tcMar>
              <w:left w:w="0" w:type="dxa"/>
              <w:right w:w="0" w:type="dxa"/>
            </w:tcMar>
          </w:tcPr>
          <w:p w:rsidR="00732DB7" w:rsidRPr="00003B04" w:rsidRDefault="00732DB7" w:rsidP="00732DB7">
            <w:pPr>
              <w:keepNext/>
              <w:keepLines/>
              <w:widowControl w:val="0"/>
              <w:jc w:val="center"/>
              <w:rPr>
                <w:b/>
                <w:szCs w:val="24"/>
              </w:rPr>
            </w:pPr>
          </w:p>
          <w:p w:rsidR="00732DB7" w:rsidRPr="00003B04" w:rsidRDefault="00732DB7" w:rsidP="00732DB7">
            <w:pPr>
              <w:keepNext/>
              <w:keepLines/>
              <w:widowControl w:val="0"/>
              <w:jc w:val="center"/>
              <w:rPr>
                <w:b/>
                <w:szCs w:val="24"/>
              </w:rPr>
            </w:pPr>
          </w:p>
          <w:p w:rsidR="00732DB7" w:rsidRPr="00003B04" w:rsidRDefault="00732DB7" w:rsidP="00732DB7">
            <w:pPr>
              <w:keepNext/>
              <w:keepLines/>
              <w:widowControl w:val="0"/>
              <w:jc w:val="center"/>
              <w:rPr>
                <w:b/>
                <w:szCs w:val="24"/>
              </w:rPr>
            </w:pPr>
          </w:p>
        </w:tc>
        <w:tc>
          <w:tcPr>
            <w:tcW w:w="4350" w:type="dxa"/>
            <w:tcMar>
              <w:left w:w="0" w:type="dxa"/>
              <w:right w:w="0" w:type="dxa"/>
            </w:tcMar>
          </w:tcPr>
          <w:p w:rsidR="00732DB7" w:rsidRPr="00003B04" w:rsidRDefault="00732DB7" w:rsidP="00697C62">
            <w:pPr>
              <w:keepNext/>
              <w:keepLines/>
              <w:widowControl w:val="0"/>
              <w:jc w:val="both"/>
              <w:rPr>
                <w:b/>
                <w:szCs w:val="24"/>
                <w:lang w:val="fr-CA"/>
              </w:rPr>
            </w:pPr>
            <w:r w:rsidRPr="00003B04">
              <w:rPr>
                <w:b/>
                <w:szCs w:val="24"/>
                <w:lang w:val="fr-CA"/>
              </w:rPr>
              <w:t>APPELS ENTENDUS DEPUIS LA DERNIÈRE PARUTION ET RÉSULTAT</w:t>
            </w:r>
          </w:p>
        </w:tc>
      </w:tr>
    </w:tbl>
    <w:p w:rsidR="007C47C2" w:rsidRPr="00003B04" w:rsidRDefault="007C47C2" w:rsidP="007C47C2">
      <w:pPr>
        <w:widowControl w:val="0"/>
        <w:rPr>
          <w:sz w:val="20"/>
          <w:szCs w:val="20"/>
          <w:lang w:val="fr-CA"/>
        </w:rPr>
      </w:pPr>
    </w:p>
    <w:p w:rsidR="007C47C2" w:rsidRPr="00003B04" w:rsidRDefault="00F6022A" w:rsidP="007C47C2">
      <w:pPr>
        <w:widowControl w:val="0"/>
        <w:rPr>
          <w:sz w:val="20"/>
          <w:szCs w:val="20"/>
        </w:rPr>
      </w:pPr>
      <w:r w:rsidRPr="00003B04">
        <w:rPr>
          <w:sz w:val="20"/>
          <w:szCs w:val="20"/>
        </w:rPr>
        <w:t>17.02.2017</w:t>
      </w:r>
    </w:p>
    <w:p w:rsidR="007C47C2" w:rsidRPr="00003B04" w:rsidRDefault="007C47C2" w:rsidP="007C47C2">
      <w:pPr>
        <w:widowControl w:val="0"/>
        <w:rPr>
          <w:sz w:val="20"/>
          <w:szCs w:val="20"/>
        </w:rPr>
      </w:pPr>
    </w:p>
    <w:p w:rsidR="007C47C2" w:rsidRPr="00003B04" w:rsidRDefault="007C47C2" w:rsidP="007C47C2">
      <w:pPr>
        <w:widowControl w:val="0"/>
        <w:ind w:left="720" w:hanging="720"/>
        <w:rPr>
          <w:sz w:val="20"/>
          <w:szCs w:val="20"/>
          <w:u w:val="single"/>
        </w:rPr>
      </w:pPr>
      <w:r w:rsidRPr="00003B04">
        <w:rPr>
          <w:sz w:val="20"/>
          <w:szCs w:val="20"/>
        </w:rPr>
        <w:t xml:space="preserve">Coram: </w:t>
      </w:r>
      <w:r w:rsidRPr="00003B04">
        <w:rPr>
          <w:sz w:val="20"/>
          <w:szCs w:val="20"/>
        </w:rPr>
        <w:tab/>
      </w:r>
      <w:proofErr w:type="spellStart"/>
      <w:r w:rsidR="00F6022A" w:rsidRPr="00003B04">
        <w:rPr>
          <w:rFonts w:cs="Times New Roman"/>
          <w:sz w:val="20"/>
          <w:szCs w:val="20"/>
          <w:u w:val="single"/>
        </w:rPr>
        <w:t>Abella</w:t>
      </w:r>
      <w:proofErr w:type="spellEnd"/>
      <w:r w:rsidR="00F6022A" w:rsidRPr="00003B04">
        <w:rPr>
          <w:rFonts w:cs="Times New Roman"/>
          <w:sz w:val="20"/>
          <w:szCs w:val="20"/>
          <w:u w:val="single"/>
        </w:rPr>
        <w:t xml:space="preserve">, </w:t>
      </w:r>
      <w:proofErr w:type="spellStart"/>
      <w:r w:rsidR="00F6022A" w:rsidRPr="00003B04">
        <w:rPr>
          <w:rFonts w:cs="Times New Roman"/>
          <w:sz w:val="20"/>
          <w:szCs w:val="20"/>
          <w:u w:val="single"/>
        </w:rPr>
        <w:t>Moldaver</w:t>
      </w:r>
      <w:proofErr w:type="spellEnd"/>
      <w:r w:rsidR="00F6022A" w:rsidRPr="00003B04">
        <w:rPr>
          <w:rFonts w:cs="Times New Roman"/>
          <w:sz w:val="20"/>
          <w:szCs w:val="20"/>
          <w:u w:val="single"/>
        </w:rPr>
        <w:t xml:space="preserve">, </w:t>
      </w:r>
      <w:proofErr w:type="spellStart"/>
      <w:r w:rsidR="00F6022A" w:rsidRPr="00003B04">
        <w:rPr>
          <w:rFonts w:cs="Times New Roman"/>
          <w:sz w:val="20"/>
          <w:szCs w:val="20"/>
          <w:u w:val="single"/>
        </w:rPr>
        <w:t>Karakatsanis</w:t>
      </w:r>
      <w:proofErr w:type="spellEnd"/>
      <w:r w:rsidR="00F6022A" w:rsidRPr="00003B04">
        <w:rPr>
          <w:rFonts w:cs="Times New Roman"/>
          <w:sz w:val="20"/>
          <w:szCs w:val="20"/>
          <w:u w:val="single"/>
        </w:rPr>
        <w:t xml:space="preserve">, Wagner, </w:t>
      </w:r>
      <w:proofErr w:type="spellStart"/>
      <w:r w:rsidR="00F6022A" w:rsidRPr="00003B04">
        <w:rPr>
          <w:rFonts w:cs="Times New Roman"/>
          <w:sz w:val="20"/>
          <w:szCs w:val="20"/>
          <w:u w:val="single"/>
        </w:rPr>
        <w:t>Côté</w:t>
      </w:r>
      <w:proofErr w:type="spellEnd"/>
      <w:r w:rsidR="00F6022A" w:rsidRPr="00003B04">
        <w:rPr>
          <w:rFonts w:cs="Times New Roman"/>
          <w:sz w:val="20"/>
          <w:szCs w:val="20"/>
          <w:u w:val="single"/>
        </w:rPr>
        <w:t>, Brown and Rowe JJ.</w:t>
      </w:r>
    </w:p>
    <w:p w:rsidR="007C47C2" w:rsidRPr="00003B04" w:rsidRDefault="007C47C2" w:rsidP="007C47C2">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003B04" w:rsidTr="00E942C2">
        <w:tc>
          <w:tcPr>
            <w:tcW w:w="4380" w:type="dxa"/>
            <w:tcMar>
              <w:left w:w="0" w:type="dxa"/>
              <w:right w:w="0" w:type="dxa"/>
            </w:tcMar>
          </w:tcPr>
          <w:p w:rsidR="007C47C2" w:rsidRPr="00003B04" w:rsidRDefault="00F6022A" w:rsidP="00E942C2">
            <w:pPr>
              <w:widowControl w:val="0"/>
              <w:jc w:val="both"/>
              <w:rPr>
                <w:b/>
                <w:sz w:val="20"/>
                <w:szCs w:val="20"/>
              </w:rPr>
            </w:pPr>
            <w:r w:rsidRPr="00003B04">
              <w:rPr>
                <w:b/>
                <w:sz w:val="20"/>
                <w:szCs w:val="20"/>
              </w:rPr>
              <w:t>William Scott Clifford</w:t>
            </w:r>
          </w:p>
          <w:p w:rsidR="007C47C2" w:rsidRPr="00003B04" w:rsidRDefault="007C47C2" w:rsidP="00E942C2">
            <w:pPr>
              <w:widowControl w:val="0"/>
              <w:jc w:val="both"/>
              <w:rPr>
                <w:b/>
                <w:sz w:val="20"/>
                <w:szCs w:val="20"/>
              </w:rPr>
            </w:pPr>
          </w:p>
          <w:p w:rsidR="007C47C2" w:rsidRPr="00003B04" w:rsidRDefault="007C47C2" w:rsidP="00E942C2">
            <w:pPr>
              <w:widowControl w:val="0"/>
              <w:tabs>
                <w:tab w:val="left" w:pos="736"/>
              </w:tabs>
              <w:jc w:val="both"/>
              <w:rPr>
                <w:b/>
                <w:sz w:val="20"/>
                <w:szCs w:val="20"/>
              </w:rPr>
            </w:pPr>
            <w:r w:rsidRPr="00003B04">
              <w:rPr>
                <w:b/>
                <w:sz w:val="20"/>
                <w:szCs w:val="20"/>
              </w:rPr>
              <w:tab/>
              <w:t xml:space="preserve">v. </w:t>
            </w:r>
            <w:r w:rsidRPr="00003B04">
              <w:rPr>
                <w:sz w:val="20"/>
                <w:szCs w:val="20"/>
              </w:rPr>
              <w:t>(</w:t>
            </w:r>
            <w:hyperlink r:id="rId121" w:history="1">
              <w:r w:rsidRPr="00003B04">
                <w:rPr>
                  <w:rStyle w:val="Hyperlink"/>
                  <w:sz w:val="20"/>
                  <w:szCs w:val="20"/>
                </w:rPr>
                <w:t>3</w:t>
              </w:r>
              <w:r w:rsidR="00AA2FD9" w:rsidRPr="00003B04">
                <w:rPr>
                  <w:rStyle w:val="Hyperlink"/>
                  <w:sz w:val="20"/>
                  <w:szCs w:val="20"/>
                </w:rPr>
                <w:t>7140</w:t>
              </w:r>
            </w:hyperlink>
            <w:r w:rsidRPr="00003B04">
              <w:rPr>
                <w:sz w:val="20"/>
                <w:szCs w:val="20"/>
              </w:rPr>
              <w:t>)</w:t>
            </w:r>
          </w:p>
          <w:p w:rsidR="007C47C2" w:rsidRPr="00003B04" w:rsidRDefault="007C47C2" w:rsidP="00E942C2">
            <w:pPr>
              <w:widowControl w:val="0"/>
              <w:jc w:val="both"/>
              <w:rPr>
                <w:b/>
                <w:sz w:val="20"/>
                <w:szCs w:val="20"/>
              </w:rPr>
            </w:pPr>
          </w:p>
          <w:p w:rsidR="007C47C2" w:rsidRPr="00003B04" w:rsidRDefault="00F6022A" w:rsidP="00E942C2">
            <w:pPr>
              <w:widowControl w:val="0"/>
              <w:jc w:val="both"/>
              <w:rPr>
                <w:sz w:val="20"/>
                <w:szCs w:val="20"/>
              </w:rPr>
            </w:pPr>
            <w:r w:rsidRPr="00003B04">
              <w:rPr>
                <w:b/>
                <w:sz w:val="20"/>
                <w:szCs w:val="20"/>
              </w:rPr>
              <w:t>Her Majesty the Queen (B.C.) (Crim.) (As of Right)</w:t>
            </w:r>
          </w:p>
        </w:tc>
        <w:tc>
          <w:tcPr>
            <w:tcW w:w="720" w:type="dxa"/>
            <w:tcMar>
              <w:left w:w="0" w:type="dxa"/>
              <w:right w:w="0" w:type="dxa"/>
            </w:tcMar>
          </w:tcPr>
          <w:p w:rsidR="007C47C2" w:rsidRPr="00003B04" w:rsidRDefault="007C47C2" w:rsidP="00E942C2">
            <w:pPr>
              <w:widowControl w:val="0"/>
              <w:jc w:val="center"/>
              <w:rPr>
                <w:sz w:val="20"/>
                <w:szCs w:val="20"/>
              </w:rPr>
            </w:pPr>
          </w:p>
        </w:tc>
        <w:tc>
          <w:tcPr>
            <w:tcW w:w="4380" w:type="dxa"/>
            <w:tcMar>
              <w:left w:w="0" w:type="dxa"/>
              <w:right w:w="0" w:type="dxa"/>
            </w:tcMar>
          </w:tcPr>
          <w:p w:rsidR="001431D5" w:rsidRPr="00003B04" w:rsidRDefault="001431D5" w:rsidP="001431D5">
            <w:pPr>
              <w:rPr>
                <w:sz w:val="20"/>
                <w:szCs w:val="20"/>
                <w:lang w:val="en-US"/>
              </w:rPr>
            </w:pPr>
            <w:r w:rsidRPr="00003B04">
              <w:rPr>
                <w:sz w:val="20"/>
                <w:szCs w:val="20"/>
                <w:lang w:val="en-US"/>
              </w:rPr>
              <w:t xml:space="preserve">Dane F. </w:t>
            </w:r>
            <w:proofErr w:type="spellStart"/>
            <w:r w:rsidRPr="00003B04">
              <w:rPr>
                <w:sz w:val="20"/>
                <w:szCs w:val="20"/>
                <w:lang w:val="en-US"/>
              </w:rPr>
              <w:t>Bullerwell</w:t>
            </w:r>
            <w:proofErr w:type="spellEnd"/>
            <w:r w:rsidRPr="00003B04">
              <w:rPr>
                <w:sz w:val="20"/>
                <w:szCs w:val="20"/>
                <w:lang w:val="en-US"/>
              </w:rPr>
              <w:t xml:space="preserve"> and Jeffrey W. </w:t>
            </w:r>
            <w:proofErr w:type="spellStart"/>
            <w:r w:rsidRPr="00003B04">
              <w:rPr>
                <w:sz w:val="20"/>
                <w:szCs w:val="20"/>
                <w:lang w:val="en-US"/>
              </w:rPr>
              <w:t>Beedell</w:t>
            </w:r>
            <w:proofErr w:type="spellEnd"/>
            <w:r w:rsidRPr="00003B04">
              <w:rPr>
                <w:sz w:val="20"/>
                <w:szCs w:val="20"/>
                <w:lang w:val="en-US"/>
              </w:rPr>
              <w:t xml:space="preserve"> for the appellant.</w:t>
            </w:r>
          </w:p>
          <w:p w:rsidR="001431D5" w:rsidRPr="00003B04" w:rsidRDefault="001431D5" w:rsidP="001431D5">
            <w:pPr>
              <w:ind w:left="1440" w:hanging="1440"/>
              <w:rPr>
                <w:sz w:val="20"/>
                <w:szCs w:val="20"/>
                <w:lang w:val="en-US"/>
              </w:rPr>
            </w:pPr>
          </w:p>
          <w:p w:rsidR="001431D5" w:rsidRPr="00003B04" w:rsidRDefault="001431D5" w:rsidP="001431D5">
            <w:pPr>
              <w:rPr>
                <w:sz w:val="20"/>
                <w:szCs w:val="20"/>
                <w:lang w:val="en-US"/>
              </w:rPr>
            </w:pPr>
            <w:r w:rsidRPr="00003B04">
              <w:rPr>
                <w:sz w:val="20"/>
                <w:szCs w:val="20"/>
                <w:lang w:val="en-US"/>
              </w:rPr>
              <w:t xml:space="preserve">Michael Dineen and Jonathan Dawe for the intervener Criminal Lawyers’ Association of Ontario </w:t>
            </w:r>
          </w:p>
          <w:p w:rsidR="001431D5" w:rsidRPr="00003B04" w:rsidRDefault="001431D5" w:rsidP="001431D5">
            <w:pPr>
              <w:rPr>
                <w:sz w:val="20"/>
                <w:szCs w:val="20"/>
                <w:lang w:val="en-US"/>
              </w:rPr>
            </w:pPr>
          </w:p>
          <w:p w:rsidR="001431D5" w:rsidRPr="00003B04" w:rsidRDefault="001431D5" w:rsidP="001431D5">
            <w:pPr>
              <w:rPr>
                <w:sz w:val="20"/>
                <w:szCs w:val="20"/>
                <w:lang w:val="en-US"/>
              </w:rPr>
            </w:pPr>
            <w:r w:rsidRPr="00003B04">
              <w:rPr>
                <w:sz w:val="20"/>
                <w:szCs w:val="20"/>
                <w:lang w:val="en-US"/>
              </w:rPr>
              <w:t>John M. Gordon, Q.C. for the respondent.</w:t>
            </w:r>
          </w:p>
          <w:p w:rsidR="001431D5" w:rsidRPr="00003B04" w:rsidRDefault="001431D5" w:rsidP="001431D5">
            <w:pPr>
              <w:rPr>
                <w:sz w:val="20"/>
                <w:szCs w:val="20"/>
                <w:lang w:val="en-US"/>
              </w:rPr>
            </w:pPr>
            <w:r w:rsidRPr="00003B04">
              <w:rPr>
                <w:sz w:val="20"/>
                <w:szCs w:val="20"/>
                <w:lang w:val="en-US"/>
              </w:rPr>
              <w:t xml:space="preserve"> </w:t>
            </w:r>
          </w:p>
          <w:p w:rsidR="007C47C2" w:rsidRPr="00003B04" w:rsidRDefault="001431D5" w:rsidP="001431D5">
            <w:pPr>
              <w:rPr>
                <w:sz w:val="20"/>
                <w:szCs w:val="20"/>
                <w:lang w:val="en-US"/>
              </w:rPr>
            </w:pPr>
            <w:r w:rsidRPr="00003B04">
              <w:rPr>
                <w:sz w:val="20"/>
                <w:szCs w:val="20"/>
                <w:lang w:val="en-US"/>
              </w:rPr>
              <w:t xml:space="preserve">Janna Hyman and François </w:t>
            </w:r>
            <w:proofErr w:type="spellStart"/>
            <w:r w:rsidRPr="00003B04">
              <w:rPr>
                <w:sz w:val="20"/>
                <w:szCs w:val="20"/>
                <w:lang w:val="en-US"/>
              </w:rPr>
              <w:t>Lacasse</w:t>
            </w:r>
            <w:proofErr w:type="spellEnd"/>
            <w:r w:rsidRPr="00003B04">
              <w:rPr>
                <w:sz w:val="20"/>
                <w:szCs w:val="20"/>
                <w:lang w:val="en-US"/>
              </w:rPr>
              <w:t xml:space="preserve"> for the intervener Director of Public Prosecutions of Canada</w:t>
            </w:r>
            <w:r w:rsidR="007C47C2" w:rsidRPr="00003B04">
              <w:rPr>
                <w:sz w:val="20"/>
                <w:szCs w:val="20"/>
              </w:rPr>
              <w:t>.</w:t>
            </w:r>
          </w:p>
        </w:tc>
      </w:tr>
    </w:tbl>
    <w:p w:rsidR="007C47C2" w:rsidRPr="00003B04" w:rsidRDefault="007C47C2" w:rsidP="007C47C2">
      <w:pPr>
        <w:widowControl w:val="0"/>
      </w:pPr>
    </w:p>
    <w:p w:rsidR="007C47C2" w:rsidRPr="00003B04" w:rsidRDefault="007C47C2" w:rsidP="007C47C2">
      <w:pPr>
        <w:rPr>
          <w:rFonts w:eastAsia="Calibri" w:cs="Times New Roman"/>
          <w:b/>
          <w:bCs/>
          <w:sz w:val="20"/>
          <w:szCs w:val="20"/>
          <w:lang w:val="fr-CA"/>
        </w:rPr>
      </w:pPr>
      <w:r w:rsidRPr="00003B04">
        <w:rPr>
          <w:rFonts w:eastAsia="Calibri" w:cs="Times New Roman"/>
          <w:b/>
          <w:bCs/>
          <w:sz w:val="20"/>
          <w:szCs w:val="20"/>
          <w:lang w:val="fr-CA"/>
        </w:rPr>
        <w:t>201</w:t>
      </w:r>
      <w:r w:rsidR="0056248C" w:rsidRPr="00003B04">
        <w:rPr>
          <w:rFonts w:eastAsia="Calibri" w:cs="Times New Roman"/>
          <w:b/>
          <w:bCs/>
          <w:sz w:val="20"/>
          <w:szCs w:val="20"/>
          <w:lang w:val="fr-CA"/>
        </w:rPr>
        <w:t>7</w:t>
      </w:r>
      <w:r w:rsidRPr="00003B04">
        <w:rPr>
          <w:rFonts w:eastAsia="Calibri" w:cs="Times New Roman"/>
          <w:b/>
          <w:bCs/>
          <w:sz w:val="20"/>
          <w:szCs w:val="20"/>
          <w:lang w:val="fr-CA"/>
        </w:rPr>
        <w:t xml:space="preserve"> </w:t>
      </w:r>
      <w:r w:rsidRPr="00003B04">
        <w:rPr>
          <w:rFonts w:eastAsia="Calibri" w:cs="Times New Roman"/>
          <w:b/>
          <w:bCs/>
          <w:sz w:val="20"/>
          <w:szCs w:val="20"/>
        </w:rPr>
        <w:t xml:space="preserve">SCC </w:t>
      </w:r>
      <w:r w:rsidR="00F6022A" w:rsidRPr="00003B04">
        <w:rPr>
          <w:rFonts w:eastAsia="Calibri" w:cs="Times New Roman"/>
          <w:b/>
          <w:bCs/>
          <w:sz w:val="20"/>
          <w:szCs w:val="20"/>
        </w:rPr>
        <w:t>9</w:t>
      </w:r>
      <w:r w:rsidRPr="00003B04">
        <w:rPr>
          <w:rFonts w:eastAsia="Calibri" w:cs="Times New Roman"/>
          <w:b/>
          <w:bCs/>
          <w:sz w:val="20"/>
          <w:szCs w:val="20"/>
          <w:lang w:val="fr-CA"/>
        </w:rPr>
        <w:t xml:space="preserve"> / 201</w:t>
      </w:r>
      <w:r w:rsidR="0056248C" w:rsidRPr="00003B04">
        <w:rPr>
          <w:rFonts w:eastAsia="Calibri" w:cs="Times New Roman"/>
          <w:b/>
          <w:bCs/>
          <w:sz w:val="20"/>
          <w:szCs w:val="20"/>
          <w:lang w:val="fr-CA"/>
        </w:rPr>
        <w:t>7</w:t>
      </w:r>
      <w:r w:rsidRPr="00003B04">
        <w:rPr>
          <w:rFonts w:eastAsia="Calibri" w:cs="Times New Roman"/>
          <w:b/>
          <w:bCs/>
          <w:sz w:val="20"/>
          <w:szCs w:val="20"/>
          <w:lang w:val="fr-CA"/>
        </w:rPr>
        <w:t xml:space="preserve"> CSC </w:t>
      </w:r>
      <w:r w:rsidR="00F6022A" w:rsidRPr="00003B04">
        <w:rPr>
          <w:rFonts w:eastAsia="Calibri" w:cs="Times New Roman"/>
          <w:b/>
          <w:bCs/>
          <w:sz w:val="20"/>
          <w:szCs w:val="20"/>
          <w:lang w:val="fr-CA"/>
        </w:rPr>
        <w:t>9</w:t>
      </w:r>
    </w:p>
    <w:p w:rsidR="007C47C2" w:rsidRPr="00003B04" w:rsidRDefault="007C47C2" w:rsidP="007C47C2">
      <w:pPr>
        <w:widowControl w:val="0"/>
        <w:rPr>
          <w:sz w:val="20"/>
          <w:szCs w:val="20"/>
        </w:rPr>
      </w:pPr>
    </w:p>
    <w:p w:rsidR="007C47C2" w:rsidRPr="00003B04" w:rsidRDefault="00F6022A" w:rsidP="007C47C2">
      <w:pPr>
        <w:rPr>
          <w:b/>
          <w:sz w:val="20"/>
          <w:szCs w:val="20"/>
        </w:rPr>
      </w:pPr>
      <w:r w:rsidRPr="00003B04">
        <w:rPr>
          <w:b/>
          <w:sz w:val="20"/>
          <w:szCs w:val="20"/>
        </w:rPr>
        <w:t>DISMISSED / REJETÉ</w:t>
      </w:r>
    </w:p>
    <w:p w:rsidR="00F6022A" w:rsidRPr="00003B04" w:rsidRDefault="00F6022A" w:rsidP="007C47C2">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C3697D" w:rsidTr="00E942C2">
        <w:tc>
          <w:tcPr>
            <w:tcW w:w="4380" w:type="dxa"/>
            <w:tcMar>
              <w:left w:w="0" w:type="dxa"/>
              <w:right w:w="0" w:type="dxa"/>
            </w:tcMar>
          </w:tcPr>
          <w:p w:rsidR="007C47C2" w:rsidRPr="00003B04" w:rsidRDefault="007C47C2" w:rsidP="00E942C2">
            <w:pPr>
              <w:widowControl w:val="0"/>
              <w:jc w:val="both"/>
              <w:rPr>
                <w:b/>
                <w:sz w:val="20"/>
                <w:szCs w:val="20"/>
                <w:u w:val="single"/>
              </w:rPr>
            </w:pPr>
            <w:r w:rsidRPr="00003B04">
              <w:rPr>
                <w:b/>
                <w:sz w:val="20"/>
                <w:szCs w:val="20"/>
                <w:u w:val="single"/>
              </w:rPr>
              <w:t>JUDGMENT:</w:t>
            </w:r>
          </w:p>
          <w:p w:rsidR="007C47C2" w:rsidRPr="00003B04" w:rsidRDefault="007C47C2" w:rsidP="00E942C2">
            <w:pPr>
              <w:widowControl w:val="0"/>
              <w:jc w:val="both"/>
              <w:rPr>
                <w:b/>
                <w:sz w:val="20"/>
                <w:szCs w:val="20"/>
              </w:rPr>
            </w:pPr>
          </w:p>
          <w:p w:rsidR="00F6022A" w:rsidRPr="00003B04" w:rsidRDefault="00F6022A" w:rsidP="00F6022A">
            <w:pPr>
              <w:jc w:val="both"/>
              <w:rPr>
                <w:rFonts w:cs="Times New Roman"/>
                <w:sz w:val="20"/>
                <w:szCs w:val="20"/>
              </w:rPr>
            </w:pPr>
            <w:r w:rsidRPr="00003B04">
              <w:rPr>
                <w:rFonts w:cs="Times New Roman"/>
                <w:sz w:val="20"/>
                <w:szCs w:val="20"/>
              </w:rPr>
              <w:t xml:space="preserve">The appeal from the judgment of the Court of Appeal for British Columbia (Vancouver), Number CA42758, 2016 BCCA 336, dated August 4, 2016, was heard on February 17, 2017, and the Court on that day delivered the following judgment orally: </w:t>
            </w:r>
          </w:p>
          <w:p w:rsidR="00F6022A" w:rsidRPr="00003B04" w:rsidRDefault="00F6022A" w:rsidP="00F6022A">
            <w:pPr>
              <w:jc w:val="both"/>
              <w:rPr>
                <w:rFonts w:cs="Times New Roman"/>
                <w:sz w:val="20"/>
                <w:szCs w:val="20"/>
              </w:rPr>
            </w:pPr>
            <w:r w:rsidRPr="00003B04">
              <w:rPr>
                <w:rFonts w:cs="Times New Roman"/>
                <w:sz w:val="20"/>
                <w:szCs w:val="20"/>
              </w:rPr>
              <w:tab/>
            </w:r>
          </w:p>
          <w:p w:rsidR="00F6022A" w:rsidRPr="00003B04" w:rsidRDefault="00F6022A" w:rsidP="00F6022A">
            <w:pPr>
              <w:jc w:val="both"/>
              <w:rPr>
                <w:rFonts w:cs="Times New Roman"/>
                <w:sz w:val="20"/>
                <w:szCs w:val="20"/>
              </w:rPr>
            </w:pPr>
          </w:p>
          <w:p w:rsidR="00F6022A" w:rsidRPr="00003B04" w:rsidRDefault="00F6022A" w:rsidP="00F6022A">
            <w:pPr>
              <w:jc w:val="both"/>
              <w:rPr>
                <w:rFonts w:cs="Times New Roman"/>
                <w:sz w:val="20"/>
                <w:szCs w:val="20"/>
              </w:rPr>
            </w:pPr>
            <w:proofErr w:type="spellStart"/>
            <w:r w:rsidRPr="00003B04">
              <w:rPr>
                <w:rFonts w:cs="Times New Roman"/>
                <w:smallCaps/>
                <w:sz w:val="20"/>
                <w:szCs w:val="20"/>
              </w:rPr>
              <w:t>Abella</w:t>
            </w:r>
            <w:proofErr w:type="spellEnd"/>
            <w:r w:rsidRPr="00003B04">
              <w:rPr>
                <w:rFonts w:cs="Times New Roman"/>
                <w:smallCaps/>
                <w:sz w:val="20"/>
                <w:szCs w:val="20"/>
              </w:rPr>
              <w:t xml:space="preserve"> J.</w:t>
            </w:r>
            <w:r w:rsidRPr="00003B04">
              <w:rPr>
                <w:rFonts w:cs="Times New Roman"/>
                <w:sz w:val="20"/>
                <w:szCs w:val="20"/>
              </w:rPr>
              <w:t xml:space="preserve"> — </w:t>
            </w:r>
          </w:p>
          <w:p w:rsidR="00F6022A" w:rsidRPr="00003B04" w:rsidRDefault="00F6022A" w:rsidP="00F6022A">
            <w:pPr>
              <w:jc w:val="both"/>
              <w:rPr>
                <w:rFonts w:cs="Times New Roman"/>
                <w:sz w:val="20"/>
                <w:szCs w:val="20"/>
              </w:rPr>
            </w:pPr>
          </w:p>
          <w:p w:rsidR="00F6022A" w:rsidRPr="00003B04" w:rsidRDefault="00F6022A" w:rsidP="00F6022A">
            <w:pPr>
              <w:jc w:val="both"/>
              <w:rPr>
                <w:rFonts w:cs="Times New Roman"/>
                <w:sz w:val="20"/>
                <w:szCs w:val="20"/>
              </w:rPr>
            </w:pPr>
            <w:r w:rsidRPr="00003B04">
              <w:rPr>
                <w:rFonts w:cs="Times New Roman"/>
                <w:sz w:val="20"/>
                <w:szCs w:val="20"/>
              </w:rPr>
              <w:t xml:space="preserve">A majority of this Court would dismiss the appeal, substantially for the reasons of </w:t>
            </w:r>
            <w:proofErr w:type="spellStart"/>
            <w:r w:rsidRPr="00003B04">
              <w:rPr>
                <w:rFonts w:cs="Times New Roman"/>
                <w:sz w:val="20"/>
                <w:szCs w:val="20"/>
              </w:rPr>
              <w:t>Willcock</w:t>
            </w:r>
            <w:proofErr w:type="spellEnd"/>
            <w:r w:rsidRPr="00003B04">
              <w:rPr>
                <w:rFonts w:cs="Times New Roman"/>
                <w:sz w:val="20"/>
                <w:szCs w:val="20"/>
              </w:rPr>
              <w:t xml:space="preserve"> J.A. While we appreciate the suggestions of the Intervenors that the law be re-examined, we are not satisfied that such re-examination is warranted in this case, particularly where neither party has asked us to depart from the jurisprudence of this Court.</w:t>
            </w:r>
          </w:p>
          <w:p w:rsidR="00F6022A" w:rsidRPr="00003B04" w:rsidRDefault="00F6022A" w:rsidP="00F6022A">
            <w:pPr>
              <w:jc w:val="both"/>
              <w:rPr>
                <w:rFonts w:cs="Times New Roman"/>
                <w:sz w:val="20"/>
                <w:szCs w:val="20"/>
              </w:rPr>
            </w:pPr>
          </w:p>
          <w:p w:rsidR="00AA2FD9" w:rsidRPr="00003B04" w:rsidRDefault="00AA2FD9" w:rsidP="00F6022A">
            <w:pPr>
              <w:jc w:val="both"/>
              <w:rPr>
                <w:rFonts w:cs="Times New Roman"/>
                <w:sz w:val="20"/>
                <w:szCs w:val="20"/>
              </w:rPr>
            </w:pPr>
          </w:p>
          <w:p w:rsidR="00F6022A" w:rsidRPr="00003B04" w:rsidRDefault="00F6022A" w:rsidP="00F6022A">
            <w:pPr>
              <w:jc w:val="both"/>
              <w:rPr>
                <w:rFonts w:cs="Times New Roman"/>
                <w:sz w:val="20"/>
                <w:szCs w:val="20"/>
              </w:rPr>
            </w:pPr>
          </w:p>
          <w:p w:rsidR="00F6022A" w:rsidRPr="00003B04" w:rsidRDefault="00F6022A" w:rsidP="00F6022A">
            <w:pPr>
              <w:widowControl w:val="0"/>
              <w:jc w:val="both"/>
              <w:rPr>
                <w:b/>
                <w:sz w:val="20"/>
                <w:szCs w:val="20"/>
              </w:rPr>
            </w:pPr>
            <w:r w:rsidRPr="00003B04">
              <w:rPr>
                <w:rFonts w:cs="Times New Roman"/>
                <w:sz w:val="20"/>
                <w:szCs w:val="20"/>
              </w:rPr>
              <w:t>Justice Rowe would have allowed the appeal, based on the dissenting reasons of Newbury J.A., as set out in paras. 22-26 of her reasons.</w:t>
            </w:r>
          </w:p>
          <w:p w:rsidR="007C47C2" w:rsidRPr="00003B04" w:rsidRDefault="007C47C2" w:rsidP="00E942C2">
            <w:pPr>
              <w:jc w:val="both"/>
              <w:rPr>
                <w:b/>
                <w:sz w:val="20"/>
                <w:szCs w:val="20"/>
              </w:rPr>
            </w:pPr>
          </w:p>
        </w:tc>
        <w:tc>
          <w:tcPr>
            <w:tcW w:w="720" w:type="dxa"/>
            <w:tcMar>
              <w:left w:w="0" w:type="dxa"/>
              <w:right w:w="0" w:type="dxa"/>
            </w:tcMar>
          </w:tcPr>
          <w:p w:rsidR="007C47C2" w:rsidRPr="00003B04" w:rsidRDefault="007C47C2" w:rsidP="00E942C2">
            <w:pPr>
              <w:widowControl w:val="0"/>
              <w:jc w:val="center"/>
              <w:rPr>
                <w:sz w:val="20"/>
                <w:szCs w:val="20"/>
              </w:rPr>
            </w:pPr>
          </w:p>
        </w:tc>
        <w:tc>
          <w:tcPr>
            <w:tcW w:w="4380" w:type="dxa"/>
            <w:tcMar>
              <w:left w:w="0" w:type="dxa"/>
              <w:right w:w="0" w:type="dxa"/>
            </w:tcMar>
          </w:tcPr>
          <w:p w:rsidR="007C47C2" w:rsidRPr="00003B04" w:rsidRDefault="007C47C2" w:rsidP="00E942C2">
            <w:pPr>
              <w:widowControl w:val="0"/>
              <w:jc w:val="both"/>
              <w:rPr>
                <w:b/>
                <w:sz w:val="20"/>
                <w:szCs w:val="20"/>
                <w:u w:val="single"/>
                <w:lang w:val="fr-CA"/>
              </w:rPr>
            </w:pPr>
            <w:r w:rsidRPr="00003B04">
              <w:rPr>
                <w:b/>
                <w:sz w:val="20"/>
                <w:szCs w:val="20"/>
                <w:u w:val="single"/>
                <w:lang w:val="fr-CA"/>
              </w:rPr>
              <w:t>JUGEMENT :</w:t>
            </w:r>
          </w:p>
          <w:p w:rsidR="007C47C2" w:rsidRPr="00003B04" w:rsidRDefault="007C47C2" w:rsidP="00E942C2">
            <w:pPr>
              <w:widowControl w:val="0"/>
              <w:jc w:val="both"/>
              <w:rPr>
                <w:sz w:val="20"/>
                <w:szCs w:val="20"/>
                <w:lang w:val="fr-CA"/>
              </w:rPr>
            </w:pPr>
          </w:p>
          <w:p w:rsidR="00F6022A" w:rsidRPr="00003B04" w:rsidRDefault="00F6022A" w:rsidP="00F6022A">
            <w:pPr>
              <w:jc w:val="both"/>
              <w:rPr>
                <w:rFonts w:cs="Times New Roman"/>
                <w:sz w:val="20"/>
                <w:szCs w:val="20"/>
                <w:lang w:val="fr-CA"/>
              </w:rPr>
            </w:pPr>
            <w:r w:rsidRPr="00003B04">
              <w:rPr>
                <w:rFonts w:cs="Times New Roman"/>
                <w:sz w:val="20"/>
                <w:szCs w:val="20"/>
                <w:lang w:val="fr-FR"/>
              </w:rPr>
              <w:t>L’appel interjeté contre l’arrêt de la Cour d’appel de la Colombie-Britannique (Vancouver), numéro CA42758, 2016 BCCA 336</w:t>
            </w:r>
            <w:r w:rsidRPr="00003B04">
              <w:rPr>
                <w:rFonts w:cs="Times New Roman"/>
                <w:sz w:val="20"/>
                <w:szCs w:val="20"/>
                <w:lang w:val="fr-CA"/>
              </w:rPr>
              <w:t xml:space="preserve">, daté du 4 août 2016, a été entendu le </w:t>
            </w:r>
            <w:r w:rsidRPr="00003B04">
              <w:rPr>
                <w:rFonts w:cs="Times New Roman"/>
                <w:sz w:val="20"/>
                <w:szCs w:val="20"/>
                <w:lang w:val="fr-FR"/>
              </w:rPr>
              <w:t>17 février 2017</w:t>
            </w:r>
            <w:r w:rsidRPr="00003B04">
              <w:rPr>
                <w:rFonts w:cs="Times New Roman"/>
                <w:sz w:val="20"/>
                <w:szCs w:val="20"/>
                <w:lang w:val="fr-CA"/>
              </w:rPr>
              <w:t xml:space="preserve"> et la Cour a prononcé oralement le même jour le jugement suivant :</w:t>
            </w:r>
          </w:p>
          <w:p w:rsidR="00F6022A" w:rsidRPr="00003B04" w:rsidRDefault="00F6022A" w:rsidP="00F6022A">
            <w:pPr>
              <w:jc w:val="both"/>
              <w:rPr>
                <w:rFonts w:cs="Times New Roman"/>
                <w:sz w:val="20"/>
                <w:szCs w:val="20"/>
                <w:lang w:val="fr-CA"/>
              </w:rPr>
            </w:pPr>
            <w:r w:rsidRPr="00003B04">
              <w:rPr>
                <w:rFonts w:cs="Times New Roman"/>
                <w:sz w:val="20"/>
                <w:szCs w:val="20"/>
                <w:lang w:val="fr-CA"/>
              </w:rPr>
              <w:tab/>
            </w:r>
          </w:p>
          <w:p w:rsidR="00F6022A" w:rsidRPr="00003B04" w:rsidRDefault="00F6022A" w:rsidP="00F6022A">
            <w:pPr>
              <w:jc w:val="both"/>
              <w:rPr>
                <w:rFonts w:cs="Times New Roman"/>
                <w:smallCaps/>
                <w:sz w:val="20"/>
                <w:szCs w:val="20"/>
                <w:lang w:val="fr-CA"/>
              </w:rPr>
            </w:pPr>
            <w:r w:rsidRPr="00003B04">
              <w:rPr>
                <w:rFonts w:cs="Times New Roman"/>
                <w:smallCaps/>
                <w:sz w:val="20"/>
                <w:szCs w:val="20"/>
                <w:lang w:val="fr-CA"/>
              </w:rPr>
              <w:t>[traduction]</w:t>
            </w:r>
          </w:p>
          <w:p w:rsidR="00F6022A" w:rsidRPr="00003B04" w:rsidRDefault="00F6022A" w:rsidP="00F6022A">
            <w:pPr>
              <w:jc w:val="both"/>
              <w:rPr>
                <w:rFonts w:cs="Times New Roman"/>
                <w:sz w:val="20"/>
                <w:szCs w:val="20"/>
                <w:lang w:val="fr-CA"/>
              </w:rPr>
            </w:pPr>
            <w:r w:rsidRPr="00003B04">
              <w:rPr>
                <w:rFonts w:cs="Times New Roman"/>
                <w:smallCaps/>
                <w:sz w:val="20"/>
                <w:szCs w:val="20"/>
                <w:lang w:val="fr-CA"/>
              </w:rPr>
              <w:t>La juge Abella</w:t>
            </w:r>
            <w:r w:rsidRPr="00003B04">
              <w:rPr>
                <w:rFonts w:cs="Times New Roman"/>
                <w:sz w:val="20"/>
                <w:szCs w:val="20"/>
                <w:lang w:val="fr-CA"/>
              </w:rPr>
              <w:t xml:space="preserve"> —</w:t>
            </w:r>
          </w:p>
          <w:p w:rsidR="00F6022A" w:rsidRPr="00003B04" w:rsidRDefault="00F6022A" w:rsidP="00F6022A">
            <w:pPr>
              <w:jc w:val="both"/>
              <w:rPr>
                <w:rFonts w:cs="Times New Roman"/>
                <w:sz w:val="20"/>
                <w:szCs w:val="20"/>
                <w:lang w:val="fr-CA"/>
              </w:rPr>
            </w:pPr>
          </w:p>
          <w:p w:rsidR="00F6022A" w:rsidRPr="00003B04" w:rsidRDefault="00F6022A" w:rsidP="00F6022A">
            <w:pPr>
              <w:jc w:val="both"/>
              <w:rPr>
                <w:rFonts w:cs="Times New Roman"/>
                <w:sz w:val="20"/>
                <w:szCs w:val="20"/>
                <w:lang w:val="fr-FR"/>
              </w:rPr>
            </w:pPr>
            <w:r w:rsidRPr="00003B04">
              <w:rPr>
                <w:rFonts w:cs="Times New Roman"/>
                <w:sz w:val="20"/>
                <w:szCs w:val="20"/>
                <w:lang w:val="fr-FR"/>
              </w:rPr>
              <w:t xml:space="preserve">Notre Cour, à la majorité, est d’avis de rejeter le pourvoi, essentiellement pour les motifs exposés par le juge d’appel </w:t>
            </w:r>
            <w:proofErr w:type="spellStart"/>
            <w:r w:rsidRPr="00003B04">
              <w:rPr>
                <w:rFonts w:cs="Times New Roman"/>
                <w:sz w:val="20"/>
                <w:szCs w:val="20"/>
                <w:lang w:val="fr-FR"/>
              </w:rPr>
              <w:t>Willcock</w:t>
            </w:r>
            <w:proofErr w:type="spellEnd"/>
            <w:r w:rsidRPr="00003B04">
              <w:rPr>
                <w:rFonts w:cs="Times New Roman"/>
                <w:sz w:val="20"/>
                <w:szCs w:val="20"/>
                <w:lang w:val="fr-FR"/>
              </w:rPr>
              <w:t>. Bien que nous soyons sensibles aux suggestions des intervenants selon lesquelles il y a lieu de réexaminer le droit, nous ne sommes pas convaincus qu’un tel réexamen s’impose en l’espèce, particulièrement dans un cas où aucune des parties ne nous a demandé de déroger à la jurisprudence de notre Cour.</w:t>
            </w:r>
          </w:p>
          <w:p w:rsidR="00F6022A" w:rsidRPr="00003B04" w:rsidRDefault="00F6022A" w:rsidP="00F6022A">
            <w:pPr>
              <w:rPr>
                <w:rFonts w:cs="Times New Roman"/>
                <w:sz w:val="20"/>
                <w:szCs w:val="20"/>
                <w:lang w:val="fr-FR"/>
              </w:rPr>
            </w:pPr>
          </w:p>
          <w:p w:rsidR="007C47C2" w:rsidRPr="00003B04" w:rsidRDefault="00F6022A" w:rsidP="00F6022A">
            <w:pPr>
              <w:jc w:val="both"/>
              <w:rPr>
                <w:sz w:val="20"/>
                <w:szCs w:val="20"/>
                <w:lang w:val="fr-CA"/>
              </w:rPr>
            </w:pPr>
            <w:r w:rsidRPr="00003B04">
              <w:rPr>
                <w:rFonts w:cs="Times New Roman"/>
                <w:sz w:val="20"/>
                <w:szCs w:val="20"/>
                <w:lang w:val="fr-FR"/>
              </w:rPr>
              <w:t xml:space="preserve">Le juge Rowe aurait accueilli le pourvoi, pour les raisons énoncées par la juge d’appel Newbury aux </w:t>
            </w:r>
            <w:proofErr w:type="spellStart"/>
            <w:r w:rsidRPr="00003B04">
              <w:rPr>
                <w:rFonts w:cs="Times New Roman"/>
                <w:sz w:val="20"/>
                <w:szCs w:val="20"/>
                <w:lang w:val="fr-FR"/>
              </w:rPr>
              <w:t>par</w:t>
            </w:r>
            <w:proofErr w:type="spellEnd"/>
            <w:r w:rsidRPr="00003B04">
              <w:rPr>
                <w:rFonts w:cs="Times New Roman"/>
                <w:sz w:val="20"/>
                <w:szCs w:val="20"/>
                <w:lang w:val="fr-FR"/>
              </w:rPr>
              <w:t>. 22 à 26 de ses motifs dissidents.</w:t>
            </w:r>
          </w:p>
        </w:tc>
      </w:tr>
    </w:tbl>
    <w:p w:rsidR="007C47C2" w:rsidRPr="00003B04" w:rsidRDefault="007C47C2" w:rsidP="007C47C2">
      <w:pPr>
        <w:rPr>
          <w:sz w:val="20"/>
          <w:szCs w:val="20"/>
          <w:lang w:val="fr-CA"/>
        </w:rPr>
      </w:pPr>
    </w:p>
    <w:p w:rsidR="001431D5" w:rsidRPr="00003B04" w:rsidRDefault="001431D5">
      <w:pPr>
        <w:rPr>
          <w:lang w:val="fr-CA"/>
        </w:rPr>
      </w:pPr>
      <w:r w:rsidRPr="00003B04">
        <w:rPr>
          <w:lang w:val="fr-CA"/>
        </w:rPr>
        <w:br w:type="page"/>
      </w: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C3697D" w:rsidTr="00E942C2">
        <w:tc>
          <w:tcPr>
            <w:tcW w:w="4380" w:type="dxa"/>
            <w:tcMar>
              <w:left w:w="0" w:type="dxa"/>
              <w:right w:w="0" w:type="dxa"/>
            </w:tcMar>
          </w:tcPr>
          <w:p w:rsidR="007C47C2" w:rsidRPr="00003B04" w:rsidRDefault="007C47C2" w:rsidP="00E942C2">
            <w:pPr>
              <w:widowControl w:val="0"/>
              <w:jc w:val="both"/>
              <w:rPr>
                <w:b/>
                <w:sz w:val="20"/>
                <w:szCs w:val="20"/>
                <w:u w:val="single"/>
              </w:rPr>
            </w:pPr>
            <w:r w:rsidRPr="00003B04">
              <w:rPr>
                <w:b/>
                <w:sz w:val="20"/>
                <w:szCs w:val="20"/>
                <w:u w:val="single"/>
              </w:rPr>
              <w:lastRenderedPageBreak/>
              <w:t>Nature of the case:</w:t>
            </w:r>
          </w:p>
          <w:p w:rsidR="007C47C2" w:rsidRPr="00003B04" w:rsidRDefault="007C47C2" w:rsidP="00E942C2">
            <w:pPr>
              <w:widowControl w:val="0"/>
              <w:jc w:val="both"/>
              <w:rPr>
                <w:b/>
                <w:sz w:val="20"/>
                <w:szCs w:val="20"/>
              </w:rPr>
            </w:pPr>
          </w:p>
          <w:p w:rsidR="007C47C2" w:rsidRPr="00003B04" w:rsidRDefault="00AA2FD9" w:rsidP="00E942C2">
            <w:pPr>
              <w:widowControl w:val="0"/>
              <w:jc w:val="both"/>
              <w:rPr>
                <w:sz w:val="20"/>
                <w:szCs w:val="20"/>
              </w:rPr>
            </w:pPr>
            <w:r w:rsidRPr="00003B04">
              <w:rPr>
                <w:sz w:val="20"/>
                <w:szCs w:val="20"/>
              </w:rPr>
              <w:t xml:space="preserve">Criminal law - Defences - Alibi - Evidence - Similar fact evidence - Whether the trial judge erred in using the appellant’s disbelieved alibi as post-offence conduct supportive of guilt - Whether the trial judge erred by treating an incident of attempted wilful damage as similar fact evidence probative of the issue of identity. </w:t>
            </w:r>
          </w:p>
        </w:tc>
        <w:tc>
          <w:tcPr>
            <w:tcW w:w="720" w:type="dxa"/>
            <w:tcMar>
              <w:left w:w="0" w:type="dxa"/>
              <w:right w:w="0" w:type="dxa"/>
            </w:tcMar>
          </w:tcPr>
          <w:p w:rsidR="007C47C2" w:rsidRPr="00003B04" w:rsidRDefault="007C47C2" w:rsidP="00E942C2">
            <w:pPr>
              <w:widowControl w:val="0"/>
              <w:jc w:val="center"/>
              <w:rPr>
                <w:sz w:val="20"/>
                <w:szCs w:val="20"/>
              </w:rPr>
            </w:pPr>
          </w:p>
        </w:tc>
        <w:tc>
          <w:tcPr>
            <w:tcW w:w="4380" w:type="dxa"/>
            <w:tcMar>
              <w:left w:w="0" w:type="dxa"/>
              <w:right w:w="0" w:type="dxa"/>
            </w:tcMar>
          </w:tcPr>
          <w:p w:rsidR="007C47C2" w:rsidRPr="00003B04" w:rsidRDefault="007C47C2" w:rsidP="00E942C2">
            <w:pPr>
              <w:widowControl w:val="0"/>
              <w:jc w:val="both"/>
              <w:rPr>
                <w:b/>
                <w:sz w:val="20"/>
                <w:szCs w:val="20"/>
                <w:u w:val="single"/>
                <w:lang w:val="fr-CA"/>
              </w:rPr>
            </w:pPr>
            <w:r w:rsidRPr="00003B04">
              <w:rPr>
                <w:b/>
                <w:sz w:val="20"/>
                <w:szCs w:val="20"/>
                <w:u w:val="single"/>
                <w:lang w:val="fr-CA"/>
              </w:rPr>
              <w:t>Nature de la cause :</w:t>
            </w:r>
          </w:p>
          <w:p w:rsidR="007C47C2" w:rsidRPr="00003B04" w:rsidRDefault="007C47C2" w:rsidP="00E942C2">
            <w:pPr>
              <w:widowControl w:val="0"/>
              <w:jc w:val="both"/>
              <w:rPr>
                <w:sz w:val="20"/>
                <w:szCs w:val="20"/>
                <w:lang w:val="fr-CA"/>
              </w:rPr>
            </w:pPr>
          </w:p>
          <w:p w:rsidR="00AA2FD9" w:rsidRPr="00003B04" w:rsidRDefault="00AA2FD9" w:rsidP="00AA2FD9">
            <w:pPr>
              <w:widowControl w:val="0"/>
              <w:jc w:val="both"/>
              <w:rPr>
                <w:sz w:val="20"/>
                <w:szCs w:val="20"/>
                <w:lang w:val="fr-CA"/>
              </w:rPr>
            </w:pPr>
            <w:r w:rsidRPr="00003B04">
              <w:rPr>
                <w:sz w:val="20"/>
                <w:szCs w:val="20"/>
                <w:lang w:val="fr-CA"/>
              </w:rPr>
              <w:t xml:space="preserve">Droit criminel - Moyens de défense - Alibi - Preuve - Preuve de faits similaires - Le juge du procès </w:t>
            </w:r>
            <w:proofErr w:type="spellStart"/>
            <w:r w:rsidRPr="00003B04">
              <w:rPr>
                <w:sz w:val="20"/>
                <w:szCs w:val="20"/>
                <w:lang w:val="fr-CA"/>
              </w:rPr>
              <w:t>a-t-il</w:t>
            </w:r>
            <w:proofErr w:type="spellEnd"/>
            <w:r w:rsidRPr="00003B04">
              <w:rPr>
                <w:sz w:val="20"/>
                <w:szCs w:val="20"/>
                <w:lang w:val="fr-CA"/>
              </w:rPr>
              <w:t xml:space="preserve"> commis une erreur en considérant l’alibi de l’appelant n’ayant pas été jugé digne de foi comme une preuve relative au comportement postérieur à l’infraction permettant d’appuyer une conclusion de culpabilité? - Le juge du procès </w:t>
            </w:r>
            <w:proofErr w:type="spellStart"/>
            <w:r w:rsidRPr="00003B04">
              <w:rPr>
                <w:sz w:val="20"/>
                <w:szCs w:val="20"/>
                <w:lang w:val="fr-CA"/>
              </w:rPr>
              <w:t>a-t-il</w:t>
            </w:r>
            <w:proofErr w:type="spellEnd"/>
            <w:r w:rsidRPr="00003B04">
              <w:rPr>
                <w:sz w:val="20"/>
                <w:szCs w:val="20"/>
                <w:lang w:val="fr-CA"/>
              </w:rPr>
              <w:t xml:space="preserve"> commis une erreur en assimilant la tentative de méfait à une preuve de fait similaire probante quant à question de l’identité?</w:t>
            </w:r>
          </w:p>
          <w:p w:rsidR="007C47C2" w:rsidRPr="00003B04" w:rsidRDefault="007C47C2" w:rsidP="00E942C2">
            <w:pPr>
              <w:widowControl w:val="0"/>
              <w:jc w:val="both"/>
              <w:rPr>
                <w:sz w:val="20"/>
                <w:szCs w:val="20"/>
                <w:lang w:val="fr-CA"/>
              </w:rPr>
            </w:pPr>
          </w:p>
        </w:tc>
      </w:tr>
    </w:tbl>
    <w:p w:rsidR="00E940EB" w:rsidRPr="00003B04" w:rsidRDefault="00604445" w:rsidP="00732DB7">
      <w:pPr>
        <w:widowControl w:val="0"/>
        <w:rPr>
          <w:sz w:val="20"/>
          <w:szCs w:val="20"/>
          <w:lang w:val="fr-CA"/>
        </w:rPr>
      </w:pPr>
      <w:r>
        <w:rPr>
          <w:sz w:val="20"/>
          <w:szCs w:val="20"/>
          <w:lang w:val="fr-CA"/>
        </w:rPr>
        <w:pict>
          <v:rect id="_x0000_i1099" style="width:2in;height:1pt" o:hrpct="0" o:hralign="center" o:hrstd="t" o:hrnoshade="t" o:hr="t" fillcolor="black [3213]" stroked="f"/>
        </w:pict>
      </w:r>
    </w:p>
    <w:p w:rsidR="000555BA" w:rsidRPr="00003B04" w:rsidRDefault="000555BA" w:rsidP="001431D5">
      <w:pPr>
        <w:widowControl w:val="0"/>
        <w:rPr>
          <w:sz w:val="20"/>
          <w:szCs w:val="20"/>
        </w:rPr>
      </w:pPr>
    </w:p>
    <w:p w:rsidR="001431D5" w:rsidRPr="00003B04" w:rsidRDefault="001431D5" w:rsidP="001431D5">
      <w:pPr>
        <w:widowControl w:val="0"/>
        <w:rPr>
          <w:sz w:val="20"/>
          <w:szCs w:val="20"/>
        </w:rPr>
      </w:pPr>
      <w:r w:rsidRPr="00003B04">
        <w:rPr>
          <w:sz w:val="20"/>
          <w:szCs w:val="20"/>
        </w:rPr>
        <w:t>20.02.2017</w:t>
      </w:r>
    </w:p>
    <w:p w:rsidR="001431D5" w:rsidRPr="00003B04" w:rsidRDefault="001431D5" w:rsidP="001431D5">
      <w:pPr>
        <w:widowControl w:val="0"/>
        <w:rPr>
          <w:sz w:val="20"/>
          <w:szCs w:val="20"/>
        </w:rPr>
      </w:pPr>
    </w:p>
    <w:p w:rsidR="001431D5" w:rsidRPr="00003B04" w:rsidRDefault="001431D5" w:rsidP="001431D5">
      <w:pPr>
        <w:widowControl w:val="0"/>
        <w:ind w:left="720" w:hanging="720"/>
        <w:rPr>
          <w:sz w:val="20"/>
          <w:szCs w:val="20"/>
          <w:u w:val="single"/>
        </w:rPr>
      </w:pPr>
      <w:r w:rsidRPr="00003B04">
        <w:rPr>
          <w:sz w:val="20"/>
          <w:szCs w:val="20"/>
        </w:rPr>
        <w:t xml:space="preserve">Coram: </w:t>
      </w:r>
      <w:r w:rsidRPr="00003B04">
        <w:rPr>
          <w:sz w:val="20"/>
          <w:szCs w:val="20"/>
        </w:rPr>
        <w:tab/>
      </w:r>
      <w:proofErr w:type="spellStart"/>
      <w:r w:rsidRPr="00003B04">
        <w:rPr>
          <w:rFonts w:cs="Times New Roman"/>
          <w:sz w:val="20"/>
          <w:szCs w:val="20"/>
          <w:u w:val="single"/>
        </w:rPr>
        <w:t>Abella</w:t>
      </w:r>
      <w:proofErr w:type="spellEnd"/>
      <w:r w:rsidRPr="00003B04">
        <w:rPr>
          <w:rFonts w:cs="Times New Roman"/>
          <w:sz w:val="20"/>
          <w:szCs w:val="20"/>
          <w:u w:val="single"/>
        </w:rPr>
        <w:t xml:space="preserve">, </w:t>
      </w:r>
      <w:proofErr w:type="spellStart"/>
      <w:r w:rsidRPr="00003B04">
        <w:rPr>
          <w:rFonts w:cs="Times New Roman"/>
          <w:sz w:val="20"/>
          <w:szCs w:val="20"/>
          <w:u w:val="single"/>
        </w:rPr>
        <w:t>Moldaver</w:t>
      </w:r>
      <w:proofErr w:type="spellEnd"/>
      <w:r w:rsidRPr="00003B04">
        <w:rPr>
          <w:rFonts w:cs="Times New Roman"/>
          <w:sz w:val="20"/>
          <w:szCs w:val="20"/>
          <w:u w:val="single"/>
        </w:rPr>
        <w:t xml:space="preserve">, </w:t>
      </w:r>
      <w:proofErr w:type="spellStart"/>
      <w:r w:rsidRPr="00003B04">
        <w:rPr>
          <w:rFonts w:cs="Times New Roman"/>
          <w:sz w:val="20"/>
          <w:szCs w:val="20"/>
          <w:u w:val="single"/>
        </w:rPr>
        <w:t>Karakatsanis</w:t>
      </w:r>
      <w:proofErr w:type="spellEnd"/>
      <w:r w:rsidRPr="00003B04">
        <w:rPr>
          <w:rFonts w:cs="Times New Roman"/>
          <w:sz w:val="20"/>
          <w:szCs w:val="20"/>
          <w:u w:val="single"/>
        </w:rPr>
        <w:t xml:space="preserve">, </w:t>
      </w:r>
      <w:proofErr w:type="spellStart"/>
      <w:r w:rsidRPr="00003B04">
        <w:rPr>
          <w:rFonts w:cs="Times New Roman"/>
          <w:sz w:val="20"/>
          <w:szCs w:val="20"/>
          <w:u w:val="single"/>
        </w:rPr>
        <w:t>Gascon</w:t>
      </w:r>
      <w:proofErr w:type="spellEnd"/>
      <w:r w:rsidRPr="00003B04">
        <w:rPr>
          <w:rFonts w:cs="Times New Roman"/>
          <w:sz w:val="20"/>
          <w:szCs w:val="20"/>
          <w:u w:val="single"/>
        </w:rPr>
        <w:t xml:space="preserve"> and Rowe JJ.</w:t>
      </w:r>
    </w:p>
    <w:p w:rsidR="001431D5" w:rsidRPr="00003B04" w:rsidRDefault="001431D5" w:rsidP="001431D5">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1431D5" w:rsidRPr="00003B04" w:rsidTr="001337BF">
        <w:tc>
          <w:tcPr>
            <w:tcW w:w="4380" w:type="dxa"/>
            <w:tcMar>
              <w:left w:w="0" w:type="dxa"/>
              <w:right w:w="0" w:type="dxa"/>
            </w:tcMar>
          </w:tcPr>
          <w:p w:rsidR="001431D5" w:rsidRPr="00003B04" w:rsidRDefault="001431D5" w:rsidP="001337BF">
            <w:pPr>
              <w:widowControl w:val="0"/>
              <w:jc w:val="both"/>
              <w:rPr>
                <w:b/>
                <w:sz w:val="20"/>
                <w:szCs w:val="20"/>
              </w:rPr>
            </w:pPr>
            <w:r w:rsidRPr="00003B04">
              <w:rPr>
                <w:b/>
                <w:sz w:val="20"/>
                <w:szCs w:val="20"/>
              </w:rPr>
              <w:t>Her Majesty the Queen</w:t>
            </w:r>
          </w:p>
          <w:p w:rsidR="001431D5" w:rsidRPr="00003B04" w:rsidRDefault="001431D5" w:rsidP="001337BF">
            <w:pPr>
              <w:widowControl w:val="0"/>
              <w:jc w:val="both"/>
              <w:rPr>
                <w:b/>
                <w:sz w:val="20"/>
                <w:szCs w:val="20"/>
              </w:rPr>
            </w:pPr>
          </w:p>
          <w:p w:rsidR="001431D5" w:rsidRPr="00003B04" w:rsidRDefault="001431D5" w:rsidP="001337BF">
            <w:pPr>
              <w:widowControl w:val="0"/>
              <w:tabs>
                <w:tab w:val="left" w:pos="736"/>
              </w:tabs>
              <w:jc w:val="both"/>
              <w:rPr>
                <w:b/>
                <w:sz w:val="20"/>
                <w:szCs w:val="20"/>
              </w:rPr>
            </w:pPr>
            <w:r w:rsidRPr="00003B04">
              <w:rPr>
                <w:b/>
                <w:sz w:val="20"/>
                <w:szCs w:val="20"/>
              </w:rPr>
              <w:tab/>
              <w:t xml:space="preserve">v. </w:t>
            </w:r>
            <w:r w:rsidRPr="00003B04">
              <w:rPr>
                <w:sz w:val="20"/>
                <w:szCs w:val="20"/>
              </w:rPr>
              <w:t>(</w:t>
            </w:r>
            <w:hyperlink r:id="rId122" w:history="1">
              <w:r w:rsidRPr="00003B04">
                <w:rPr>
                  <w:rStyle w:val="Hyperlink"/>
                  <w:sz w:val="20"/>
                  <w:szCs w:val="20"/>
                </w:rPr>
                <w:t>37153</w:t>
              </w:r>
            </w:hyperlink>
            <w:r w:rsidRPr="00003B04">
              <w:rPr>
                <w:sz w:val="20"/>
                <w:szCs w:val="20"/>
              </w:rPr>
              <w:t>)</w:t>
            </w:r>
          </w:p>
          <w:p w:rsidR="001431D5" w:rsidRPr="00003B04" w:rsidRDefault="001431D5" w:rsidP="001337BF">
            <w:pPr>
              <w:widowControl w:val="0"/>
              <w:jc w:val="both"/>
              <w:rPr>
                <w:b/>
                <w:sz w:val="20"/>
                <w:szCs w:val="20"/>
              </w:rPr>
            </w:pPr>
          </w:p>
          <w:p w:rsidR="001431D5" w:rsidRPr="00003B04" w:rsidRDefault="001431D5" w:rsidP="001431D5">
            <w:pPr>
              <w:widowControl w:val="0"/>
              <w:jc w:val="both"/>
              <w:rPr>
                <w:sz w:val="20"/>
                <w:szCs w:val="20"/>
              </w:rPr>
            </w:pPr>
            <w:r w:rsidRPr="00003B04">
              <w:rPr>
                <w:b/>
                <w:sz w:val="20"/>
                <w:szCs w:val="20"/>
              </w:rPr>
              <w:t>Adam Michael Brown (Alta.) (Crim.) (As of Right)</w:t>
            </w:r>
          </w:p>
        </w:tc>
        <w:tc>
          <w:tcPr>
            <w:tcW w:w="720" w:type="dxa"/>
            <w:tcMar>
              <w:left w:w="0" w:type="dxa"/>
              <w:right w:w="0" w:type="dxa"/>
            </w:tcMar>
          </w:tcPr>
          <w:p w:rsidR="001431D5" w:rsidRPr="00003B04" w:rsidRDefault="001431D5" w:rsidP="001337BF">
            <w:pPr>
              <w:widowControl w:val="0"/>
              <w:jc w:val="center"/>
              <w:rPr>
                <w:sz w:val="20"/>
                <w:szCs w:val="20"/>
              </w:rPr>
            </w:pPr>
          </w:p>
        </w:tc>
        <w:tc>
          <w:tcPr>
            <w:tcW w:w="4380" w:type="dxa"/>
            <w:tcMar>
              <w:left w:w="0" w:type="dxa"/>
              <w:right w:w="0" w:type="dxa"/>
            </w:tcMar>
          </w:tcPr>
          <w:p w:rsidR="00BA7C8B" w:rsidRPr="00003B04" w:rsidRDefault="00BA7C8B" w:rsidP="00BA7C8B">
            <w:pPr>
              <w:rPr>
                <w:sz w:val="20"/>
                <w:szCs w:val="20"/>
                <w:lang w:val="en-US"/>
              </w:rPr>
            </w:pPr>
            <w:r w:rsidRPr="00003B04">
              <w:rPr>
                <w:sz w:val="20"/>
                <w:szCs w:val="20"/>
                <w:lang w:val="en-US"/>
              </w:rPr>
              <w:t xml:space="preserve">Troy </w:t>
            </w:r>
            <w:proofErr w:type="spellStart"/>
            <w:r w:rsidRPr="00003B04">
              <w:rPr>
                <w:sz w:val="20"/>
                <w:szCs w:val="20"/>
                <w:lang w:val="en-US"/>
              </w:rPr>
              <w:t>Couillard</w:t>
            </w:r>
            <w:proofErr w:type="spellEnd"/>
            <w:r w:rsidRPr="00003B04">
              <w:rPr>
                <w:sz w:val="20"/>
                <w:szCs w:val="20"/>
                <w:lang w:val="en-US"/>
              </w:rPr>
              <w:t xml:space="preserve"> for the appellant. </w:t>
            </w:r>
          </w:p>
          <w:p w:rsidR="00BA7C8B" w:rsidRPr="00003B04" w:rsidRDefault="00BA7C8B" w:rsidP="00BA7C8B">
            <w:pPr>
              <w:rPr>
                <w:sz w:val="20"/>
                <w:szCs w:val="20"/>
                <w:lang w:val="en-US"/>
              </w:rPr>
            </w:pPr>
          </w:p>
          <w:p w:rsidR="00BA7C8B" w:rsidRPr="00003B04" w:rsidRDefault="00BA7C8B" w:rsidP="00BA7C8B">
            <w:pPr>
              <w:rPr>
                <w:sz w:val="20"/>
                <w:szCs w:val="20"/>
                <w:lang w:val="en-US"/>
              </w:rPr>
            </w:pPr>
            <w:r w:rsidRPr="00003B04">
              <w:rPr>
                <w:sz w:val="20"/>
                <w:szCs w:val="20"/>
                <w:lang w:val="en-US"/>
              </w:rPr>
              <w:t>Daniel J. Song and Vincent Rizzuto for the respondent.</w:t>
            </w:r>
          </w:p>
          <w:p w:rsidR="001431D5" w:rsidRPr="00003B04" w:rsidRDefault="001431D5" w:rsidP="001337BF">
            <w:pPr>
              <w:widowControl w:val="0"/>
              <w:jc w:val="both"/>
              <w:rPr>
                <w:sz w:val="20"/>
                <w:szCs w:val="20"/>
              </w:rPr>
            </w:pPr>
            <w:r w:rsidRPr="00003B04">
              <w:rPr>
                <w:sz w:val="20"/>
                <w:szCs w:val="20"/>
              </w:rPr>
              <w:t>.</w:t>
            </w:r>
          </w:p>
        </w:tc>
      </w:tr>
    </w:tbl>
    <w:p w:rsidR="001431D5" w:rsidRPr="00003B04" w:rsidRDefault="001431D5" w:rsidP="001431D5">
      <w:pPr>
        <w:widowControl w:val="0"/>
      </w:pPr>
    </w:p>
    <w:p w:rsidR="001431D5" w:rsidRPr="00003B04" w:rsidRDefault="001431D5" w:rsidP="001431D5">
      <w:pPr>
        <w:rPr>
          <w:rFonts w:eastAsia="Calibri" w:cs="Times New Roman"/>
          <w:b/>
          <w:bCs/>
          <w:sz w:val="20"/>
          <w:szCs w:val="20"/>
          <w:lang w:val="fr-CA"/>
        </w:rPr>
      </w:pPr>
      <w:r w:rsidRPr="00003B04">
        <w:rPr>
          <w:rFonts w:eastAsia="Calibri" w:cs="Times New Roman"/>
          <w:b/>
          <w:bCs/>
          <w:sz w:val="20"/>
          <w:szCs w:val="20"/>
          <w:lang w:val="fr-CA"/>
        </w:rPr>
        <w:t xml:space="preserve">2017 </w:t>
      </w:r>
      <w:r w:rsidRPr="00003B04">
        <w:rPr>
          <w:rFonts w:eastAsia="Calibri" w:cs="Times New Roman"/>
          <w:b/>
          <w:bCs/>
          <w:sz w:val="20"/>
          <w:szCs w:val="20"/>
        </w:rPr>
        <w:t>SCC 10</w:t>
      </w:r>
      <w:r w:rsidRPr="00003B04">
        <w:rPr>
          <w:rFonts w:eastAsia="Calibri" w:cs="Times New Roman"/>
          <w:b/>
          <w:bCs/>
          <w:sz w:val="20"/>
          <w:szCs w:val="20"/>
          <w:lang w:val="fr-CA"/>
        </w:rPr>
        <w:t xml:space="preserve"> / 2017 CSC 10</w:t>
      </w:r>
    </w:p>
    <w:p w:rsidR="001431D5" w:rsidRPr="00003B04" w:rsidRDefault="001431D5" w:rsidP="001431D5">
      <w:pPr>
        <w:widowControl w:val="0"/>
        <w:rPr>
          <w:sz w:val="20"/>
          <w:szCs w:val="20"/>
        </w:rPr>
      </w:pPr>
    </w:p>
    <w:p w:rsidR="001431D5" w:rsidRPr="00003B04" w:rsidRDefault="001431D5" w:rsidP="001431D5">
      <w:pPr>
        <w:rPr>
          <w:b/>
          <w:sz w:val="20"/>
          <w:szCs w:val="20"/>
        </w:rPr>
      </w:pPr>
      <w:r w:rsidRPr="00003B04">
        <w:rPr>
          <w:b/>
          <w:sz w:val="20"/>
          <w:szCs w:val="20"/>
        </w:rPr>
        <w:t>DISMISSED / REJETÉ</w:t>
      </w:r>
    </w:p>
    <w:p w:rsidR="001431D5" w:rsidRPr="00003B04" w:rsidRDefault="001431D5" w:rsidP="001431D5">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1431D5" w:rsidRPr="00C3697D" w:rsidTr="001337BF">
        <w:tc>
          <w:tcPr>
            <w:tcW w:w="4380" w:type="dxa"/>
            <w:tcMar>
              <w:left w:w="0" w:type="dxa"/>
              <w:right w:w="0" w:type="dxa"/>
            </w:tcMar>
          </w:tcPr>
          <w:p w:rsidR="001431D5" w:rsidRPr="00003B04" w:rsidRDefault="001431D5" w:rsidP="001337BF">
            <w:pPr>
              <w:widowControl w:val="0"/>
              <w:jc w:val="both"/>
              <w:rPr>
                <w:b/>
                <w:sz w:val="20"/>
                <w:szCs w:val="20"/>
                <w:u w:val="single"/>
              </w:rPr>
            </w:pPr>
            <w:r w:rsidRPr="00003B04">
              <w:rPr>
                <w:b/>
                <w:sz w:val="20"/>
                <w:szCs w:val="20"/>
                <w:u w:val="single"/>
              </w:rPr>
              <w:t>JUDGMENT:</w:t>
            </w:r>
          </w:p>
          <w:p w:rsidR="001431D5" w:rsidRPr="00003B04" w:rsidRDefault="001431D5" w:rsidP="001337BF">
            <w:pPr>
              <w:widowControl w:val="0"/>
              <w:jc w:val="both"/>
              <w:rPr>
                <w:b/>
                <w:sz w:val="20"/>
                <w:szCs w:val="20"/>
              </w:rPr>
            </w:pPr>
          </w:p>
          <w:p w:rsidR="00210C1B" w:rsidRPr="00003B04" w:rsidRDefault="00210C1B" w:rsidP="00210C1B">
            <w:pPr>
              <w:jc w:val="both"/>
              <w:rPr>
                <w:sz w:val="20"/>
                <w:szCs w:val="20"/>
              </w:rPr>
            </w:pPr>
            <w:r w:rsidRPr="00003B04">
              <w:rPr>
                <w:sz w:val="20"/>
                <w:szCs w:val="20"/>
              </w:rPr>
              <w:t xml:space="preserve">The appeal from the judgment of the Court of Appeal of Alberta (Edmonton), Number 1103-0004-A, 2016 ABCA 192, dated June 23, 2016, was heard on February 20, 2017, and the Court on that day delivered the following judgment orally: </w:t>
            </w:r>
          </w:p>
          <w:p w:rsidR="00210C1B" w:rsidRPr="00003B04" w:rsidRDefault="00210C1B" w:rsidP="00210C1B">
            <w:pPr>
              <w:jc w:val="both"/>
              <w:rPr>
                <w:sz w:val="20"/>
                <w:szCs w:val="20"/>
              </w:rPr>
            </w:pPr>
            <w:r w:rsidRPr="00003B04">
              <w:rPr>
                <w:sz w:val="20"/>
                <w:szCs w:val="20"/>
              </w:rPr>
              <w:tab/>
            </w:r>
          </w:p>
          <w:p w:rsidR="00210C1B" w:rsidRPr="00003B04" w:rsidRDefault="00210C1B" w:rsidP="00210C1B">
            <w:pPr>
              <w:jc w:val="both"/>
              <w:rPr>
                <w:sz w:val="20"/>
                <w:szCs w:val="20"/>
              </w:rPr>
            </w:pPr>
          </w:p>
          <w:p w:rsidR="00210C1B" w:rsidRPr="00003B04" w:rsidRDefault="00210C1B" w:rsidP="00210C1B">
            <w:pPr>
              <w:jc w:val="both"/>
              <w:rPr>
                <w:sz w:val="20"/>
                <w:szCs w:val="20"/>
              </w:rPr>
            </w:pPr>
            <w:proofErr w:type="spellStart"/>
            <w:r w:rsidRPr="00003B04">
              <w:rPr>
                <w:smallCaps/>
                <w:sz w:val="20"/>
                <w:szCs w:val="20"/>
              </w:rPr>
              <w:t>Abella</w:t>
            </w:r>
            <w:proofErr w:type="spellEnd"/>
            <w:r w:rsidRPr="00003B04">
              <w:rPr>
                <w:smallCaps/>
                <w:sz w:val="20"/>
                <w:szCs w:val="20"/>
              </w:rPr>
              <w:t xml:space="preserve"> J.</w:t>
            </w:r>
            <w:r w:rsidRPr="00003B04">
              <w:rPr>
                <w:sz w:val="20"/>
                <w:szCs w:val="20"/>
              </w:rPr>
              <w:t xml:space="preserve"> </w:t>
            </w:r>
            <w:r w:rsidRPr="00003B04">
              <w:rPr>
                <w:rFonts w:cs="Times New Roman"/>
                <w:sz w:val="20"/>
                <w:szCs w:val="20"/>
              </w:rPr>
              <w:t>—</w:t>
            </w:r>
            <w:r w:rsidRPr="00003B04">
              <w:rPr>
                <w:sz w:val="20"/>
                <w:szCs w:val="20"/>
              </w:rPr>
              <w:t xml:space="preserve"> </w:t>
            </w:r>
          </w:p>
          <w:p w:rsidR="00210C1B" w:rsidRPr="00003B04" w:rsidRDefault="00210C1B" w:rsidP="00210C1B">
            <w:pPr>
              <w:jc w:val="both"/>
              <w:rPr>
                <w:sz w:val="20"/>
                <w:szCs w:val="20"/>
              </w:rPr>
            </w:pPr>
          </w:p>
          <w:p w:rsidR="00210C1B" w:rsidRPr="00003B04" w:rsidRDefault="00210C1B" w:rsidP="00210C1B">
            <w:pPr>
              <w:jc w:val="both"/>
              <w:rPr>
                <w:sz w:val="20"/>
                <w:szCs w:val="20"/>
              </w:rPr>
            </w:pPr>
            <w:r w:rsidRPr="00003B04">
              <w:rPr>
                <w:sz w:val="20"/>
                <w:szCs w:val="20"/>
              </w:rPr>
              <w:t xml:space="preserve">In all the circumstances of this case, we are satisfied that Mr. </w:t>
            </w:r>
            <w:proofErr w:type="spellStart"/>
            <w:r w:rsidRPr="00003B04">
              <w:rPr>
                <w:sz w:val="20"/>
                <w:szCs w:val="20"/>
              </w:rPr>
              <w:t>Sahal’s</w:t>
            </w:r>
            <w:proofErr w:type="spellEnd"/>
            <w:r w:rsidRPr="00003B04">
              <w:rPr>
                <w:sz w:val="20"/>
                <w:szCs w:val="20"/>
              </w:rPr>
              <w:t xml:space="preserve"> </w:t>
            </w:r>
            <w:r w:rsidRPr="00003B04">
              <w:rPr>
                <w:i/>
                <w:sz w:val="20"/>
                <w:szCs w:val="20"/>
              </w:rPr>
              <w:t>K.G.B.</w:t>
            </w:r>
            <w:r w:rsidRPr="00003B04">
              <w:rPr>
                <w:sz w:val="20"/>
                <w:szCs w:val="20"/>
              </w:rPr>
              <w:t xml:space="preserve"> statement was admissible, was reasonably capable of belief, and could reasonably have affected the outcome.</w:t>
            </w:r>
          </w:p>
          <w:p w:rsidR="00210C1B" w:rsidRPr="00003B04" w:rsidRDefault="00210C1B" w:rsidP="00210C1B">
            <w:pPr>
              <w:jc w:val="both"/>
              <w:rPr>
                <w:sz w:val="20"/>
                <w:szCs w:val="20"/>
              </w:rPr>
            </w:pPr>
          </w:p>
          <w:p w:rsidR="00210C1B" w:rsidRPr="00003B04" w:rsidRDefault="00210C1B" w:rsidP="00210C1B">
            <w:pPr>
              <w:jc w:val="both"/>
              <w:rPr>
                <w:sz w:val="20"/>
                <w:szCs w:val="20"/>
              </w:rPr>
            </w:pPr>
          </w:p>
          <w:p w:rsidR="00210C1B" w:rsidRPr="00003B04" w:rsidRDefault="00210C1B" w:rsidP="00210C1B">
            <w:pPr>
              <w:jc w:val="both"/>
              <w:rPr>
                <w:sz w:val="20"/>
                <w:szCs w:val="20"/>
              </w:rPr>
            </w:pPr>
          </w:p>
          <w:p w:rsidR="001431D5" w:rsidRPr="00003B04" w:rsidRDefault="00210C1B" w:rsidP="00210C1B">
            <w:pPr>
              <w:widowControl w:val="0"/>
              <w:jc w:val="both"/>
              <w:rPr>
                <w:b/>
                <w:sz w:val="20"/>
                <w:szCs w:val="20"/>
              </w:rPr>
            </w:pPr>
            <w:r w:rsidRPr="00003B04">
              <w:rPr>
                <w:sz w:val="20"/>
                <w:szCs w:val="20"/>
              </w:rPr>
              <w:t>The appeal is therefore dismissed.</w:t>
            </w:r>
          </w:p>
        </w:tc>
        <w:tc>
          <w:tcPr>
            <w:tcW w:w="720" w:type="dxa"/>
            <w:tcMar>
              <w:left w:w="0" w:type="dxa"/>
              <w:right w:w="0" w:type="dxa"/>
            </w:tcMar>
          </w:tcPr>
          <w:p w:rsidR="001431D5" w:rsidRPr="00003B04" w:rsidRDefault="001431D5" w:rsidP="001337BF">
            <w:pPr>
              <w:widowControl w:val="0"/>
              <w:jc w:val="center"/>
              <w:rPr>
                <w:sz w:val="20"/>
                <w:szCs w:val="20"/>
              </w:rPr>
            </w:pPr>
          </w:p>
        </w:tc>
        <w:tc>
          <w:tcPr>
            <w:tcW w:w="4380" w:type="dxa"/>
            <w:tcMar>
              <w:left w:w="0" w:type="dxa"/>
              <w:right w:w="0" w:type="dxa"/>
            </w:tcMar>
          </w:tcPr>
          <w:p w:rsidR="001431D5" w:rsidRPr="00003B04" w:rsidRDefault="001431D5" w:rsidP="001337BF">
            <w:pPr>
              <w:widowControl w:val="0"/>
              <w:jc w:val="both"/>
              <w:rPr>
                <w:b/>
                <w:sz w:val="20"/>
                <w:szCs w:val="20"/>
                <w:u w:val="single"/>
                <w:lang w:val="fr-CA"/>
              </w:rPr>
            </w:pPr>
            <w:r w:rsidRPr="00003B04">
              <w:rPr>
                <w:b/>
                <w:sz w:val="20"/>
                <w:szCs w:val="20"/>
                <w:u w:val="single"/>
                <w:lang w:val="fr-CA"/>
              </w:rPr>
              <w:t>JUGEMENT :</w:t>
            </w:r>
          </w:p>
          <w:p w:rsidR="001431D5" w:rsidRPr="00003B04" w:rsidRDefault="001431D5" w:rsidP="001337BF">
            <w:pPr>
              <w:widowControl w:val="0"/>
              <w:jc w:val="both"/>
              <w:rPr>
                <w:sz w:val="20"/>
                <w:szCs w:val="20"/>
                <w:lang w:val="fr-CA"/>
              </w:rPr>
            </w:pPr>
          </w:p>
          <w:p w:rsidR="00210C1B" w:rsidRPr="00003B04" w:rsidRDefault="00210C1B" w:rsidP="00210C1B">
            <w:pPr>
              <w:jc w:val="both"/>
              <w:rPr>
                <w:sz w:val="20"/>
                <w:szCs w:val="20"/>
                <w:lang w:val="fr-CA"/>
              </w:rPr>
            </w:pPr>
            <w:r w:rsidRPr="00003B04">
              <w:rPr>
                <w:sz w:val="20"/>
                <w:szCs w:val="20"/>
                <w:lang w:val="fr-CA"/>
              </w:rPr>
              <w:t>L’appel interjeté contre l’arrêt de la Cour d’appel de l’Alberta (Edmonton), numéro 1103-0004-A, 2016 ABCA 192, d</w:t>
            </w:r>
            <w:r w:rsidRPr="00003B04">
              <w:rPr>
                <w:sz w:val="20"/>
                <w:szCs w:val="20"/>
                <w:lang w:val="fr-FR"/>
              </w:rPr>
              <w:t>a</w:t>
            </w:r>
            <w:r w:rsidRPr="00003B04">
              <w:rPr>
                <w:sz w:val="20"/>
                <w:szCs w:val="20"/>
                <w:lang w:val="fr-CA"/>
              </w:rPr>
              <w:t xml:space="preserve">té du </w:t>
            </w:r>
            <w:r w:rsidRPr="00003B04">
              <w:rPr>
                <w:sz w:val="20"/>
                <w:szCs w:val="20"/>
                <w:lang w:val="fr-FR"/>
              </w:rPr>
              <w:t>23 juin 2016</w:t>
            </w:r>
            <w:r w:rsidRPr="00003B04">
              <w:rPr>
                <w:sz w:val="20"/>
                <w:szCs w:val="20"/>
                <w:lang w:val="fr-CA"/>
              </w:rPr>
              <w:t xml:space="preserve">, a été entendu le </w:t>
            </w:r>
            <w:r w:rsidRPr="00003B04">
              <w:rPr>
                <w:sz w:val="20"/>
                <w:szCs w:val="20"/>
                <w:lang w:val="fr-FR"/>
              </w:rPr>
              <w:t>20 février 2017</w:t>
            </w:r>
            <w:r w:rsidRPr="00003B04">
              <w:rPr>
                <w:sz w:val="20"/>
                <w:szCs w:val="20"/>
                <w:lang w:val="fr-CA"/>
              </w:rPr>
              <w:t xml:space="preserve"> et la Cour a prononcé oralement le même jour le jugement suivant :</w:t>
            </w:r>
          </w:p>
          <w:p w:rsidR="00210C1B" w:rsidRPr="00003B04" w:rsidRDefault="00210C1B" w:rsidP="00210C1B">
            <w:pPr>
              <w:jc w:val="both"/>
              <w:rPr>
                <w:sz w:val="20"/>
                <w:szCs w:val="20"/>
                <w:lang w:val="fr-CA"/>
              </w:rPr>
            </w:pPr>
            <w:r w:rsidRPr="00003B04">
              <w:rPr>
                <w:sz w:val="20"/>
                <w:szCs w:val="20"/>
                <w:lang w:val="fr-CA"/>
              </w:rPr>
              <w:tab/>
            </w:r>
          </w:p>
          <w:p w:rsidR="00210C1B" w:rsidRPr="00003B04" w:rsidRDefault="00210C1B" w:rsidP="00210C1B">
            <w:pPr>
              <w:jc w:val="both"/>
              <w:rPr>
                <w:smallCaps/>
                <w:sz w:val="20"/>
                <w:szCs w:val="20"/>
                <w:lang w:val="fr-CA"/>
              </w:rPr>
            </w:pPr>
            <w:r w:rsidRPr="00003B04">
              <w:rPr>
                <w:smallCaps/>
                <w:sz w:val="20"/>
                <w:szCs w:val="20"/>
                <w:lang w:val="fr-CA"/>
              </w:rPr>
              <w:t>[traduction]</w:t>
            </w:r>
          </w:p>
          <w:p w:rsidR="00210C1B" w:rsidRPr="00003B04" w:rsidRDefault="00210C1B" w:rsidP="00210C1B">
            <w:pPr>
              <w:jc w:val="both"/>
              <w:rPr>
                <w:sz w:val="20"/>
                <w:szCs w:val="20"/>
                <w:lang w:val="fr-CA"/>
              </w:rPr>
            </w:pPr>
            <w:r w:rsidRPr="00003B04">
              <w:rPr>
                <w:smallCaps/>
                <w:sz w:val="20"/>
                <w:szCs w:val="20"/>
                <w:lang w:val="fr-CA"/>
              </w:rPr>
              <w:t xml:space="preserve">La juge Abella </w:t>
            </w:r>
            <w:r w:rsidRPr="00003B04">
              <w:rPr>
                <w:rFonts w:cs="Times New Roman"/>
                <w:sz w:val="20"/>
                <w:szCs w:val="20"/>
                <w:lang w:val="fr-CA"/>
              </w:rPr>
              <w:t>—</w:t>
            </w:r>
            <w:r w:rsidRPr="00003B04">
              <w:rPr>
                <w:sz w:val="20"/>
                <w:szCs w:val="20"/>
                <w:lang w:val="fr-CA"/>
              </w:rPr>
              <w:t xml:space="preserve"> </w:t>
            </w:r>
          </w:p>
          <w:p w:rsidR="00210C1B" w:rsidRPr="00003B04" w:rsidRDefault="00210C1B" w:rsidP="00210C1B">
            <w:pPr>
              <w:jc w:val="both"/>
              <w:rPr>
                <w:sz w:val="20"/>
                <w:szCs w:val="20"/>
                <w:lang w:val="fr-CA"/>
              </w:rPr>
            </w:pPr>
          </w:p>
          <w:p w:rsidR="00210C1B" w:rsidRPr="00003B04" w:rsidRDefault="00210C1B" w:rsidP="00210C1B">
            <w:pPr>
              <w:jc w:val="both"/>
              <w:rPr>
                <w:sz w:val="20"/>
                <w:szCs w:val="20"/>
                <w:lang w:val="fr-CA"/>
              </w:rPr>
            </w:pPr>
            <w:r w:rsidRPr="00003B04">
              <w:rPr>
                <w:sz w:val="20"/>
                <w:szCs w:val="20"/>
                <w:lang w:val="fr-CA"/>
              </w:rPr>
              <w:t xml:space="preserve">Eu égard à l’ensemble des circonstances de l’espèce, nous sommes convaincus que la déclaration de type </w:t>
            </w:r>
            <w:r w:rsidRPr="00003B04">
              <w:rPr>
                <w:i/>
                <w:sz w:val="20"/>
                <w:szCs w:val="20"/>
                <w:lang w:val="fr-CA"/>
              </w:rPr>
              <w:t>K.G.B.</w:t>
            </w:r>
            <w:r w:rsidRPr="00003B04">
              <w:rPr>
                <w:sz w:val="20"/>
                <w:szCs w:val="20"/>
                <w:lang w:val="fr-CA"/>
              </w:rPr>
              <w:t xml:space="preserve"> de monsieur </w:t>
            </w:r>
            <w:proofErr w:type="spellStart"/>
            <w:r w:rsidRPr="00003B04">
              <w:rPr>
                <w:sz w:val="20"/>
                <w:szCs w:val="20"/>
                <w:lang w:val="fr-CA"/>
              </w:rPr>
              <w:t>Sahal</w:t>
            </w:r>
            <w:proofErr w:type="spellEnd"/>
            <w:r w:rsidRPr="00003B04">
              <w:rPr>
                <w:sz w:val="20"/>
                <w:szCs w:val="20"/>
                <w:lang w:val="fr-CA"/>
              </w:rPr>
              <w:t xml:space="preserve"> était admissible, que l’on pouvait raisonnablement y ajouter foi et qu’il est raisonnable de penser qu’elle aurait pu influer sur l’issue de l’affaire.</w:t>
            </w:r>
          </w:p>
          <w:p w:rsidR="00210C1B" w:rsidRPr="00003B04" w:rsidRDefault="00210C1B" w:rsidP="00210C1B">
            <w:pPr>
              <w:jc w:val="both"/>
              <w:rPr>
                <w:sz w:val="20"/>
                <w:szCs w:val="20"/>
                <w:lang w:val="fr-CA"/>
              </w:rPr>
            </w:pPr>
          </w:p>
          <w:p w:rsidR="001431D5" w:rsidRPr="00003B04" w:rsidRDefault="00210C1B" w:rsidP="00210C1B">
            <w:pPr>
              <w:jc w:val="both"/>
              <w:rPr>
                <w:sz w:val="20"/>
                <w:szCs w:val="20"/>
                <w:lang w:val="fr-CA"/>
              </w:rPr>
            </w:pPr>
            <w:r w:rsidRPr="00003B04">
              <w:rPr>
                <w:sz w:val="20"/>
                <w:szCs w:val="20"/>
                <w:lang w:val="fr-CA"/>
              </w:rPr>
              <w:t xml:space="preserve">Le pourvoi est en conséquence rejeté.  </w:t>
            </w:r>
          </w:p>
        </w:tc>
      </w:tr>
    </w:tbl>
    <w:p w:rsidR="001431D5" w:rsidRPr="00003B04" w:rsidRDefault="001431D5" w:rsidP="001431D5">
      <w:pPr>
        <w:rPr>
          <w:sz w:val="20"/>
          <w:szCs w:val="20"/>
          <w:lang w:val="fr-CA"/>
        </w:rPr>
      </w:pPr>
    </w:p>
    <w:p w:rsidR="00210C1B" w:rsidRPr="00003B04" w:rsidRDefault="00210C1B">
      <w:pPr>
        <w:rPr>
          <w:lang w:val="fr-CA"/>
        </w:rPr>
      </w:pPr>
      <w:r w:rsidRPr="00003B04">
        <w:rPr>
          <w:lang w:val="fr-CA"/>
        </w:rPr>
        <w:br w:type="page"/>
      </w: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1431D5" w:rsidRPr="00C3697D" w:rsidTr="001337BF">
        <w:tc>
          <w:tcPr>
            <w:tcW w:w="4380" w:type="dxa"/>
            <w:tcMar>
              <w:left w:w="0" w:type="dxa"/>
              <w:right w:w="0" w:type="dxa"/>
            </w:tcMar>
          </w:tcPr>
          <w:p w:rsidR="001431D5" w:rsidRPr="00003B04" w:rsidRDefault="001431D5" w:rsidP="001337BF">
            <w:pPr>
              <w:widowControl w:val="0"/>
              <w:jc w:val="both"/>
              <w:rPr>
                <w:b/>
                <w:sz w:val="20"/>
                <w:szCs w:val="20"/>
                <w:u w:val="single"/>
              </w:rPr>
            </w:pPr>
            <w:r w:rsidRPr="00003B04">
              <w:rPr>
                <w:b/>
                <w:sz w:val="20"/>
                <w:szCs w:val="20"/>
                <w:u w:val="single"/>
              </w:rPr>
              <w:lastRenderedPageBreak/>
              <w:t>Nature of the case:</w:t>
            </w:r>
          </w:p>
          <w:p w:rsidR="00210C1B" w:rsidRPr="00003B04" w:rsidRDefault="00210C1B" w:rsidP="001337BF">
            <w:pPr>
              <w:widowControl w:val="0"/>
              <w:jc w:val="both"/>
              <w:rPr>
                <w:b/>
                <w:sz w:val="20"/>
                <w:szCs w:val="20"/>
                <w:u w:val="single"/>
              </w:rPr>
            </w:pPr>
          </w:p>
          <w:p w:rsidR="00210C1B" w:rsidRPr="00003B04" w:rsidRDefault="00210C1B" w:rsidP="00210C1B">
            <w:pPr>
              <w:jc w:val="both"/>
              <w:rPr>
                <w:sz w:val="20"/>
                <w:szCs w:val="20"/>
              </w:rPr>
            </w:pPr>
            <w:r w:rsidRPr="00003B04">
              <w:rPr>
                <w:sz w:val="20"/>
                <w:szCs w:val="20"/>
              </w:rPr>
              <w:t xml:space="preserve">Criminal law - Evidence - Application to admit fresh evidence - Whether there was admissible evidence before Court of Appeal capable of supporting application to admit fresh evidence - Whether majority of the Court of Appeal misapplied test for fresh evidence set out in </w:t>
            </w:r>
            <w:r w:rsidRPr="00003B04">
              <w:rPr>
                <w:i/>
                <w:sz w:val="20"/>
                <w:szCs w:val="20"/>
              </w:rPr>
              <w:t>Palmer v. The Queen</w:t>
            </w:r>
            <w:r w:rsidRPr="00003B04">
              <w:rPr>
                <w:sz w:val="20"/>
                <w:szCs w:val="20"/>
              </w:rPr>
              <w:t>, [1980] 1 S.C.R. 759.</w:t>
            </w:r>
          </w:p>
          <w:p w:rsidR="001431D5" w:rsidRPr="00003B04" w:rsidRDefault="001431D5" w:rsidP="001337BF">
            <w:pPr>
              <w:widowControl w:val="0"/>
              <w:jc w:val="both"/>
              <w:rPr>
                <w:b/>
                <w:sz w:val="20"/>
                <w:szCs w:val="20"/>
              </w:rPr>
            </w:pPr>
          </w:p>
          <w:p w:rsidR="001431D5" w:rsidRPr="00003B04" w:rsidRDefault="001431D5" w:rsidP="001337BF">
            <w:pPr>
              <w:widowControl w:val="0"/>
              <w:jc w:val="both"/>
              <w:rPr>
                <w:sz w:val="20"/>
                <w:szCs w:val="20"/>
              </w:rPr>
            </w:pPr>
          </w:p>
        </w:tc>
        <w:tc>
          <w:tcPr>
            <w:tcW w:w="720" w:type="dxa"/>
            <w:tcMar>
              <w:left w:w="0" w:type="dxa"/>
              <w:right w:w="0" w:type="dxa"/>
            </w:tcMar>
          </w:tcPr>
          <w:p w:rsidR="001431D5" w:rsidRPr="00003B04" w:rsidRDefault="001431D5" w:rsidP="001337BF">
            <w:pPr>
              <w:widowControl w:val="0"/>
              <w:jc w:val="center"/>
              <w:rPr>
                <w:sz w:val="20"/>
                <w:szCs w:val="20"/>
              </w:rPr>
            </w:pPr>
          </w:p>
        </w:tc>
        <w:tc>
          <w:tcPr>
            <w:tcW w:w="4380" w:type="dxa"/>
            <w:tcMar>
              <w:left w:w="0" w:type="dxa"/>
              <w:right w:w="0" w:type="dxa"/>
            </w:tcMar>
          </w:tcPr>
          <w:p w:rsidR="001431D5" w:rsidRPr="00003B04" w:rsidRDefault="001431D5" w:rsidP="001337BF">
            <w:pPr>
              <w:widowControl w:val="0"/>
              <w:jc w:val="both"/>
              <w:rPr>
                <w:b/>
                <w:sz w:val="20"/>
                <w:szCs w:val="20"/>
                <w:u w:val="single"/>
                <w:lang w:val="fr-CA"/>
              </w:rPr>
            </w:pPr>
            <w:r w:rsidRPr="00003B04">
              <w:rPr>
                <w:b/>
                <w:sz w:val="20"/>
                <w:szCs w:val="20"/>
                <w:u w:val="single"/>
                <w:lang w:val="fr-CA"/>
              </w:rPr>
              <w:t>Nature de la cause :</w:t>
            </w:r>
          </w:p>
          <w:p w:rsidR="001431D5" w:rsidRPr="00003B04" w:rsidRDefault="001431D5" w:rsidP="001337BF">
            <w:pPr>
              <w:widowControl w:val="0"/>
              <w:jc w:val="both"/>
              <w:rPr>
                <w:sz w:val="20"/>
                <w:szCs w:val="20"/>
                <w:lang w:val="fr-CA"/>
              </w:rPr>
            </w:pPr>
          </w:p>
          <w:p w:rsidR="00210C1B" w:rsidRPr="00003B04" w:rsidRDefault="00210C1B" w:rsidP="00210C1B">
            <w:pPr>
              <w:jc w:val="both"/>
              <w:rPr>
                <w:sz w:val="20"/>
                <w:szCs w:val="20"/>
                <w:lang w:val="fr-CA"/>
              </w:rPr>
            </w:pPr>
            <w:r w:rsidRPr="00003B04">
              <w:rPr>
                <w:sz w:val="20"/>
                <w:szCs w:val="20"/>
                <w:lang w:val="fr-CA"/>
              </w:rPr>
              <w:t xml:space="preserve">Droit criminel - Preuve - Demande d’autorisation de présenter de nouveaux éléments de preuve - Y avait-il des éléments de preuve admissibles devant la Cour d’appel susceptibles d’appuyer la demande d’autorisation de présenter de nouveaux éléments de preuve? - Les juges majoritaires de la Cour d’appel ont-ils mal appliqué les critères relatifs aux nouveaux éléments de preuve énoncés dans l’arrêt </w:t>
            </w:r>
            <w:r w:rsidRPr="00003B04">
              <w:rPr>
                <w:i/>
                <w:sz w:val="20"/>
                <w:szCs w:val="20"/>
                <w:lang w:val="fr-CA"/>
              </w:rPr>
              <w:t>Palmer c. La Reine</w:t>
            </w:r>
            <w:r w:rsidRPr="00003B04">
              <w:rPr>
                <w:sz w:val="20"/>
                <w:szCs w:val="20"/>
                <w:lang w:val="fr-CA"/>
              </w:rPr>
              <w:t>, [1980] 1 R.C.S. 759?</w:t>
            </w:r>
          </w:p>
          <w:p w:rsidR="001431D5" w:rsidRPr="00003B04" w:rsidRDefault="001431D5" w:rsidP="00BA7C8B">
            <w:pPr>
              <w:widowControl w:val="0"/>
              <w:jc w:val="both"/>
              <w:rPr>
                <w:sz w:val="20"/>
                <w:szCs w:val="20"/>
                <w:lang w:val="fr-CA"/>
              </w:rPr>
            </w:pPr>
          </w:p>
        </w:tc>
      </w:tr>
    </w:tbl>
    <w:p w:rsidR="00D004FC" w:rsidRPr="00003B04" w:rsidRDefault="00604445" w:rsidP="00732DB7">
      <w:pPr>
        <w:widowControl w:val="0"/>
        <w:rPr>
          <w:sz w:val="20"/>
          <w:szCs w:val="20"/>
          <w:lang w:val="fr-CA"/>
        </w:rPr>
      </w:pPr>
      <w:r>
        <w:rPr>
          <w:sz w:val="20"/>
          <w:szCs w:val="20"/>
          <w:lang w:val="fr-CA"/>
        </w:rPr>
        <w:pict>
          <v:rect id="_x0000_i1100" style="width:2in;height:1pt" o:hrpct="0" o:hralign="center" o:hrstd="t" o:hrnoshade="t" o:hr="t" fillcolor="black [3213]" stroked="f"/>
        </w:pict>
      </w:r>
    </w:p>
    <w:p w:rsidR="00AA2FD9" w:rsidRPr="00003B04" w:rsidRDefault="00AA2FD9" w:rsidP="00732DB7">
      <w:pPr>
        <w:widowControl w:val="0"/>
        <w:rPr>
          <w:sz w:val="20"/>
          <w:szCs w:val="20"/>
          <w:lang w:val="fr-CA"/>
        </w:rPr>
      </w:pPr>
    </w:p>
    <w:p w:rsidR="000555BA" w:rsidRPr="00003B04" w:rsidRDefault="000555BA" w:rsidP="000555BA">
      <w:pPr>
        <w:widowControl w:val="0"/>
        <w:rPr>
          <w:sz w:val="20"/>
          <w:szCs w:val="20"/>
        </w:rPr>
      </w:pPr>
      <w:r w:rsidRPr="00003B04">
        <w:rPr>
          <w:sz w:val="20"/>
          <w:szCs w:val="20"/>
        </w:rPr>
        <w:t>2</w:t>
      </w:r>
      <w:r w:rsidR="0058140A" w:rsidRPr="00003B04">
        <w:rPr>
          <w:sz w:val="20"/>
          <w:szCs w:val="20"/>
        </w:rPr>
        <w:t>1</w:t>
      </w:r>
      <w:r w:rsidRPr="00003B04">
        <w:rPr>
          <w:sz w:val="20"/>
          <w:szCs w:val="20"/>
        </w:rPr>
        <w:t>.02.2017</w:t>
      </w:r>
    </w:p>
    <w:p w:rsidR="000555BA" w:rsidRPr="00003B04" w:rsidRDefault="000555BA" w:rsidP="000555BA">
      <w:pPr>
        <w:widowControl w:val="0"/>
        <w:rPr>
          <w:sz w:val="20"/>
          <w:szCs w:val="20"/>
        </w:rPr>
      </w:pPr>
    </w:p>
    <w:p w:rsidR="000555BA" w:rsidRPr="00003B04" w:rsidRDefault="000555BA" w:rsidP="000555BA">
      <w:pPr>
        <w:widowControl w:val="0"/>
        <w:ind w:left="720" w:hanging="720"/>
        <w:rPr>
          <w:sz w:val="20"/>
          <w:szCs w:val="20"/>
          <w:u w:val="single"/>
        </w:rPr>
      </w:pPr>
      <w:r w:rsidRPr="00003B04">
        <w:rPr>
          <w:sz w:val="20"/>
          <w:szCs w:val="20"/>
        </w:rPr>
        <w:t xml:space="preserve">Coram: </w:t>
      </w:r>
      <w:r w:rsidRPr="00003B04">
        <w:rPr>
          <w:sz w:val="20"/>
          <w:szCs w:val="20"/>
        </w:rPr>
        <w:tab/>
      </w:r>
      <w:proofErr w:type="spellStart"/>
      <w:r w:rsidRPr="00003B04">
        <w:rPr>
          <w:rFonts w:cs="Times New Roman"/>
          <w:sz w:val="20"/>
          <w:szCs w:val="20"/>
          <w:u w:val="single"/>
        </w:rPr>
        <w:t>Abella</w:t>
      </w:r>
      <w:proofErr w:type="spellEnd"/>
      <w:r w:rsidRPr="00003B04">
        <w:rPr>
          <w:rFonts w:cs="Times New Roman"/>
          <w:sz w:val="20"/>
          <w:szCs w:val="20"/>
          <w:u w:val="single"/>
        </w:rPr>
        <w:t xml:space="preserve">, </w:t>
      </w:r>
      <w:proofErr w:type="spellStart"/>
      <w:r w:rsidRPr="00003B04">
        <w:rPr>
          <w:rFonts w:cs="Times New Roman"/>
          <w:sz w:val="20"/>
          <w:szCs w:val="20"/>
          <w:u w:val="single"/>
        </w:rPr>
        <w:t>Moldaver</w:t>
      </w:r>
      <w:proofErr w:type="spellEnd"/>
      <w:r w:rsidRPr="00003B04">
        <w:rPr>
          <w:rFonts w:cs="Times New Roman"/>
          <w:sz w:val="20"/>
          <w:szCs w:val="20"/>
          <w:u w:val="single"/>
        </w:rPr>
        <w:t xml:space="preserve">, </w:t>
      </w:r>
      <w:proofErr w:type="spellStart"/>
      <w:r w:rsidRPr="00003B04">
        <w:rPr>
          <w:rFonts w:cs="Times New Roman"/>
          <w:sz w:val="20"/>
          <w:szCs w:val="20"/>
          <w:u w:val="single"/>
        </w:rPr>
        <w:t>Karakatsanis</w:t>
      </w:r>
      <w:proofErr w:type="spellEnd"/>
      <w:r w:rsidRPr="00003B04">
        <w:rPr>
          <w:rFonts w:cs="Times New Roman"/>
          <w:sz w:val="20"/>
          <w:szCs w:val="20"/>
          <w:u w:val="single"/>
        </w:rPr>
        <w:t xml:space="preserve">, </w:t>
      </w:r>
      <w:proofErr w:type="spellStart"/>
      <w:r w:rsidRPr="00003B04">
        <w:rPr>
          <w:rFonts w:cs="Times New Roman"/>
          <w:sz w:val="20"/>
          <w:szCs w:val="20"/>
          <w:u w:val="single"/>
        </w:rPr>
        <w:t>Gascon</w:t>
      </w:r>
      <w:proofErr w:type="spellEnd"/>
      <w:r w:rsidRPr="00003B04">
        <w:rPr>
          <w:rFonts w:cs="Times New Roman"/>
          <w:sz w:val="20"/>
          <w:szCs w:val="20"/>
          <w:u w:val="single"/>
        </w:rPr>
        <w:t xml:space="preserve"> and Rowe JJ.</w:t>
      </w:r>
    </w:p>
    <w:p w:rsidR="000555BA" w:rsidRPr="00003B04" w:rsidRDefault="000555BA" w:rsidP="000555BA">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0555BA" w:rsidRPr="00003B04" w:rsidTr="001337BF">
        <w:tc>
          <w:tcPr>
            <w:tcW w:w="4380" w:type="dxa"/>
            <w:tcMar>
              <w:left w:w="0" w:type="dxa"/>
              <w:right w:w="0" w:type="dxa"/>
            </w:tcMar>
          </w:tcPr>
          <w:p w:rsidR="000555BA" w:rsidRPr="00003B04" w:rsidRDefault="000555BA" w:rsidP="001337BF">
            <w:pPr>
              <w:widowControl w:val="0"/>
              <w:jc w:val="both"/>
              <w:rPr>
                <w:b/>
                <w:sz w:val="20"/>
                <w:szCs w:val="20"/>
              </w:rPr>
            </w:pPr>
            <w:proofErr w:type="spellStart"/>
            <w:r w:rsidRPr="00003B04">
              <w:rPr>
                <w:b/>
                <w:sz w:val="20"/>
                <w:szCs w:val="20"/>
              </w:rPr>
              <w:t>Olabode</w:t>
            </w:r>
            <w:proofErr w:type="spellEnd"/>
            <w:r w:rsidRPr="00003B04">
              <w:rPr>
                <w:b/>
                <w:sz w:val="20"/>
                <w:szCs w:val="20"/>
              </w:rPr>
              <w:t xml:space="preserve"> </w:t>
            </w:r>
            <w:proofErr w:type="spellStart"/>
            <w:r w:rsidRPr="00003B04">
              <w:rPr>
                <w:b/>
                <w:sz w:val="20"/>
                <w:szCs w:val="20"/>
              </w:rPr>
              <w:t>Abayolmi</w:t>
            </w:r>
            <w:proofErr w:type="spellEnd"/>
            <w:r w:rsidRPr="00003B04">
              <w:rPr>
                <w:b/>
                <w:sz w:val="20"/>
                <w:szCs w:val="20"/>
              </w:rPr>
              <w:t xml:space="preserve"> </w:t>
            </w:r>
            <w:proofErr w:type="spellStart"/>
            <w:r w:rsidRPr="00003B04">
              <w:rPr>
                <w:b/>
                <w:sz w:val="20"/>
                <w:szCs w:val="20"/>
              </w:rPr>
              <w:t>Olotu</w:t>
            </w:r>
            <w:proofErr w:type="spellEnd"/>
          </w:p>
          <w:p w:rsidR="000555BA" w:rsidRPr="00003B04" w:rsidRDefault="000555BA" w:rsidP="001337BF">
            <w:pPr>
              <w:widowControl w:val="0"/>
              <w:jc w:val="both"/>
              <w:rPr>
                <w:b/>
                <w:sz w:val="20"/>
                <w:szCs w:val="20"/>
              </w:rPr>
            </w:pPr>
          </w:p>
          <w:p w:rsidR="000555BA" w:rsidRPr="00003B04" w:rsidRDefault="000555BA" w:rsidP="001337BF">
            <w:pPr>
              <w:widowControl w:val="0"/>
              <w:tabs>
                <w:tab w:val="left" w:pos="736"/>
              </w:tabs>
              <w:jc w:val="both"/>
              <w:rPr>
                <w:sz w:val="20"/>
                <w:szCs w:val="20"/>
              </w:rPr>
            </w:pPr>
            <w:r w:rsidRPr="00003B04">
              <w:rPr>
                <w:b/>
                <w:sz w:val="20"/>
                <w:szCs w:val="20"/>
              </w:rPr>
              <w:tab/>
              <w:t xml:space="preserve">v. </w:t>
            </w:r>
            <w:r w:rsidRPr="00003B04">
              <w:rPr>
                <w:sz w:val="20"/>
                <w:szCs w:val="20"/>
              </w:rPr>
              <w:t>(</w:t>
            </w:r>
            <w:hyperlink r:id="rId123" w:history="1">
              <w:r w:rsidRPr="00003B04">
                <w:rPr>
                  <w:rStyle w:val="Hyperlink"/>
                  <w:sz w:val="20"/>
                  <w:szCs w:val="20"/>
                </w:rPr>
                <w:t>37167</w:t>
              </w:r>
            </w:hyperlink>
            <w:r w:rsidRPr="00003B04">
              <w:rPr>
                <w:sz w:val="20"/>
                <w:szCs w:val="20"/>
              </w:rPr>
              <w:t>)</w:t>
            </w:r>
          </w:p>
          <w:p w:rsidR="000555BA" w:rsidRPr="00003B04" w:rsidRDefault="000555BA" w:rsidP="001337BF">
            <w:pPr>
              <w:widowControl w:val="0"/>
              <w:tabs>
                <w:tab w:val="left" w:pos="736"/>
              </w:tabs>
              <w:jc w:val="both"/>
              <w:rPr>
                <w:b/>
                <w:sz w:val="20"/>
                <w:szCs w:val="20"/>
              </w:rPr>
            </w:pPr>
          </w:p>
          <w:p w:rsidR="000555BA" w:rsidRPr="00003B04" w:rsidRDefault="000555BA" w:rsidP="000555BA">
            <w:pPr>
              <w:widowControl w:val="0"/>
              <w:jc w:val="both"/>
              <w:rPr>
                <w:sz w:val="20"/>
                <w:szCs w:val="20"/>
              </w:rPr>
            </w:pPr>
            <w:r w:rsidRPr="00003B04">
              <w:rPr>
                <w:b/>
                <w:sz w:val="20"/>
                <w:szCs w:val="20"/>
              </w:rPr>
              <w:t>Her Majesty the Queen (Sask.) (Crim.) (As of Right)</w:t>
            </w:r>
          </w:p>
        </w:tc>
        <w:tc>
          <w:tcPr>
            <w:tcW w:w="720" w:type="dxa"/>
            <w:tcMar>
              <w:left w:w="0" w:type="dxa"/>
              <w:right w:w="0" w:type="dxa"/>
            </w:tcMar>
          </w:tcPr>
          <w:p w:rsidR="000555BA" w:rsidRPr="00003B04" w:rsidRDefault="000555BA" w:rsidP="001337BF">
            <w:pPr>
              <w:widowControl w:val="0"/>
              <w:jc w:val="center"/>
              <w:rPr>
                <w:sz w:val="20"/>
                <w:szCs w:val="20"/>
              </w:rPr>
            </w:pPr>
          </w:p>
        </w:tc>
        <w:tc>
          <w:tcPr>
            <w:tcW w:w="4380" w:type="dxa"/>
            <w:tcMar>
              <w:left w:w="0" w:type="dxa"/>
              <w:right w:w="0" w:type="dxa"/>
            </w:tcMar>
          </w:tcPr>
          <w:p w:rsidR="000555BA" w:rsidRPr="00003B04" w:rsidRDefault="000555BA" w:rsidP="000555BA">
            <w:pPr>
              <w:rPr>
                <w:sz w:val="20"/>
                <w:szCs w:val="20"/>
                <w:lang w:val="en-US"/>
              </w:rPr>
            </w:pPr>
            <w:r w:rsidRPr="00003B04">
              <w:rPr>
                <w:sz w:val="20"/>
                <w:szCs w:val="20"/>
                <w:lang w:val="en-US"/>
              </w:rPr>
              <w:t>Mark Vanstone, Karl Roemer and Mike Ochs for the appellant.</w:t>
            </w:r>
          </w:p>
          <w:p w:rsidR="000555BA" w:rsidRPr="00003B04" w:rsidRDefault="000555BA" w:rsidP="000555BA">
            <w:pPr>
              <w:rPr>
                <w:sz w:val="20"/>
                <w:szCs w:val="20"/>
                <w:lang w:val="en-US"/>
              </w:rPr>
            </w:pPr>
            <w:r w:rsidRPr="00003B04">
              <w:rPr>
                <w:sz w:val="20"/>
                <w:szCs w:val="20"/>
                <w:lang w:val="en-US"/>
              </w:rPr>
              <w:t xml:space="preserve"> </w:t>
            </w:r>
          </w:p>
          <w:p w:rsidR="000555BA" w:rsidRPr="00003B04" w:rsidRDefault="000555BA" w:rsidP="000555BA">
            <w:pPr>
              <w:rPr>
                <w:sz w:val="20"/>
                <w:szCs w:val="20"/>
                <w:lang w:val="en-US"/>
              </w:rPr>
            </w:pPr>
            <w:r w:rsidRPr="00003B04">
              <w:rPr>
                <w:sz w:val="20"/>
                <w:szCs w:val="20"/>
                <w:lang w:val="en-US"/>
              </w:rPr>
              <w:t xml:space="preserve">Beverly L. </w:t>
            </w:r>
            <w:proofErr w:type="spellStart"/>
            <w:r w:rsidRPr="00003B04">
              <w:rPr>
                <w:sz w:val="20"/>
                <w:szCs w:val="20"/>
                <w:lang w:val="en-US"/>
              </w:rPr>
              <w:t>Klatt</w:t>
            </w:r>
            <w:proofErr w:type="spellEnd"/>
            <w:r w:rsidRPr="00003B04">
              <w:rPr>
                <w:sz w:val="20"/>
                <w:szCs w:val="20"/>
                <w:lang w:val="en-US"/>
              </w:rPr>
              <w:t xml:space="preserve"> for the respondent.</w:t>
            </w:r>
          </w:p>
          <w:p w:rsidR="000555BA" w:rsidRPr="00003B04" w:rsidRDefault="000555BA" w:rsidP="001337BF">
            <w:pPr>
              <w:widowControl w:val="0"/>
              <w:jc w:val="both"/>
              <w:rPr>
                <w:sz w:val="20"/>
                <w:szCs w:val="20"/>
                <w:lang w:val="en-US"/>
              </w:rPr>
            </w:pPr>
          </w:p>
        </w:tc>
      </w:tr>
    </w:tbl>
    <w:p w:rsidR="000555BA" w:rsidRPr="00003B04" w:rsidRDefault="000555BA" w:rsidP="000555BA">
      <w:pPr>
        <w:widowControl w:val="0"/>
      </w:pPr>
    </w:p>
    <w:p w:rsidR="000555BA" w:rsidRPr="00003B04" w:rsidRDefault="000555BA" w:rsidP="000555BA">
      <w:pPr>
        <w:rPr>
          <w:rFonts w:eastAsia="Calibri" w:cs="Times New Roman"/>
          <w:b/>
          <w:bCs/>
          <w:sz w:val="20"/>
          <w:szCs w:val="20"/>
          <w:lang w:val="fr-CA"/>
        </w:rPr>
      </w:pPr>
      <w:r w:rsidRPr="00003B04">
        <w:rPr>
          <w:rFonts w:eastAsia="Calibri" w:cs="Times New Roman"/>
          <w:b/>
          <w:bCs/>
          <w:sz w:val="20"/>
          <w:szCs w:val="20"/>
          <w:lang w:val="fr-CA"/>
        </w:rPr>
        <w:t xml:space="preserve">2017 </w:t>
      </w:r>
      <w:r w:rsidRPr="00003B04">
        <w:rPr>
          <w:rFonts w:eastAsia="Calibri" w:cs="Times New Roman"/>
          <w:b/>
          <w:bCs/>
          <w:sz w:val="20"/>
          <w:szCs w:val="20"/>
        </w:rPr>
        <w:t>SCC 11</w:t>
      </w:r>
      <w:r w:rsidRPr="00003B04">
        <w:rPr>
          <w:rFonts w:eastAsia="Calibri" w:cs="Times New Roman"/>
          <w:b/>
          <w:bCs/>
          <w:sz w:val="20"/>
          <w:szCs w:val="20"/>
          <w:lang w:val="fr-CA"/>
        </w:rPr>
        <w:t xml:space="preserve"> / 2017 CSC 11</w:t>
      </w:r>
    </w:p>
    <w:p w:rsidR="000555BA" w:rsidRPr="00003B04" w:rsidRDefault="000555BA" w:rsidP="000555BA">
      <w:pPr>
        <w:widowControl w:val="0"/>
        <w:rPr>
          <w:sz w:val="20"/>
          <w:szCs w:val="20"/>
        </w:rPr>
      </w:pPr>
    </w:p>
    <w:p w:rsidR="000555BA" w:rsidRPr="00003B04" w:rsidRDefault="000555BA" w:rsidP="000555BA">
      <w:pPr>
        <w:rPr>
          <w:b/>
          <w:sz w:val="20"/>
          <w:szCs w:val="20"/>
        </w:rPr>
      </w:pPr>
      <w:r w:rsidRPr="00003B04">
        <w:rPr>
          <w:b/>
          <w:sz w:val="20"/>
          <w:szCs w:val="20"/>
        </w:rPr>
        <w:t>DISMISSED / REJETÉ</w:t>
      </w:r>
    </w:p>
    <w:p w:rsidR="000555BA" w:rsidRPr="00003B04" w:rsidRDefault="000555BA" w:rsidP="000555BA">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0555BA" w:rsidRPr="00003B04" w:rsidTr="001337BF">
        <w:tc>
          <w:tcPr>
            <w:tcW w:w="4380" w:type="dxa"/>
            <w:tcMar>
              <w:left w:w="0" w:type="dxa"/>
              <w:right w:w="0" w:type="dxa"/>
            </w:tcMar>
          </w:tcPr>
          <w:p w:rsidR="000555BA" w:rsidRPr="00003B04" w:rsidRDefault="000555BA" w:rsidP="001337BF">
            <w:pPr>
              <w:widowControl w:val="0"/>
              <w:jc w:val="both"/>
              <w:rPr>
                <w:b/>
                <w:sz w:val="20"/>
                <w:szCs w:val="20"/>
                <w:u w:val="single"/>
              </w:rPr>
            </w:pPr>
            <w:r w:rsidRPr="00003B04">
              <w:rPr>
                <w:b/>
                <w:sz w:val="20"/>
                <w:szCs w:val="20"/>
                <w:u w:val="single"/>
              </w:rPr>
              <w:t>JUDGMENT:</w:t>
            </w:r>
          </w:p>
          <w:p w:rsidR="000555BA" w:rsidRPr="00003B04" w:rsidRDefault="000555BA" w:rsidP="001337BF">
            <w:pPr>
              <w:widowControl w:val="0"/>
              <w:jc w:val="both"/>
              <w:rPr>
                <w:b/>
                <w:sz w:val="20"/>
                <w:szCs w:val="20"/>
              </w:rPr>
            </w:pPr>
          </w:p>
          <w:p w:rsidR="0058140A" w:rsidRPr="00003B04" w:rsidRDefault="0058140A" w:rsidP="0058140A">
            <w:pPr>
              <w:jc w:val="both"/>
              <w:rPr>
                <w:sz w:val="20"/>
                <w:szCs w:val="20"/>
              </w:rPr>
            </w:pPr>
            <w:r w:rsidRPr="00003B04">
              <w:rPr>
                <w:sz w:val="20"/>
                <w:szCs w:val="20"/>
              </w:rPr>
              <w:t xml:space="preserve">The appeal as of right from the judgment of the Court of Appeal for Saskatchewan, Number CACR2631, 2016 SKCA 84, dated July 7, 2016, was heard on February 21, 2017, and the Court on that day delivered the following judgment orally: </w:t>
            </w:r>
          </w:p>
          <w:p w:rsidR="0058140A" w:rsidRPr="00003B04" w:rsidRDefault="0058140A" w:rsidP="0058140A">
            <w:pPr>
              <w:jc w:val="both"/>
              <w:rPr>
                <w:sz w:val="20"/>
                <w:szCs w:val="20"/>
              </w:rPr>
            </w:pPr>
          </w:p>
          <w:p w:rsidR="0058140A" w:rsidRPr="00003B04" w:rsidRDefault="0058140A" w:rsidP="0058140A">
            <w:pPr>
              <w:jc w:val="both"/>
              <w:rPr>
                <w:sz w:val="20"/>
                <w:szCs w:val="20"/>
              </w:rPr>
            </w:pPr>
          </w:p>
          <w:p w:rsidR="000555BA" w:rsidRPr="00003B04" w:rsidRDefault="0058140A" w:rsidP="0058140A">
            <w:pPr>
              <w:widowControl w:val="0"/>
              <w:jc w:val="both"/>
              <w:rPr>
                <w:b/>
                <w:sz w:val="20"/>
                <w:szCs w:val="20"/>
              </w:rPr>
            </w:pPr>
            <w:proofErr w:type="spellStart"/>
            <w:r w:rsidRPr="00003B04">
              <w:rPr>
                <w:smallCaps/>
                <w:sz w:val="20"/>
                <w:szCs w:val="20"/>
              </w:rPr>
              <w:t>Karakatsanis</w:t>
            </w:r>
            <w:proofErr w:type="spellEnd"/>
            <w:r w:rsidRPr="00003B04">
              <w:rPr>
                <w:sz w:val="20"/>
                <w:szCs w:val="20"/>
              </w:rPr>
              <w:t xml:space="preserve"> J. </w:t>
            </w:r>
            <w:r w:rsidRPr="00003B04">
              <w:rPr>
                <w:rFonts w:cs="Times New Roman"/>
                <w:sz w:val="20"/>
                <w:szCs w:val="20"/>
              </w:rPr>
              <w:t xml:space="preserve">— </w:t>
            </w:r>
            <w:r w:rsidRPr="00003B04">
              <w:rPr>
                <w:sz w:val="20"/>
                <w:szCs w:val="20"/>
              </w:rPr>
              <w:t>Applying the appellate standard of review, with respect to the question of whether the trial judge misapprehended the evidence or failed to consider the totality of the evidence resulting in a miscarriage of justice under s. 686(1</w:t>
            </w:r>
            <w:proofErr w:type="gramStart"/>
            <w:r w:rsidRPr="00003B04">
              <w:rPr>
                <w:sz w:val="20"/>
                <w:szCs w:val="20"/>
              </w:rPr>
              <w:t>)(</w:t>
            </w:r>
            <w:proofErr w:type="gramEnd"/>
            <w:r w:rsidRPr="00003B04">
              <w:rPr>
                <w:sz w:val="20"/>
                <w:szCs w:val="20"/>
              </w:rPr>
              <w:t xml:space="preserve">a)(iii) of the </w:t>
            </w:r>
            <w:r w:rsidRPr="00003B04">
              <w:rPr>
                <w:i/>
                <w:sz w:val="20"/>
                <w:szCs w:val="20"/>
              </w:rPr>
              <w:t>Criminal Code</w:t>
            </w:r>
            <w:r w:rsidRPr="00003B04">
              <w:rPr>
                <w:sz w:val="20"/>
                <w:szCs w:val="20"/>
              </w:rPr>
              <w:t xml:space="preserve">, R.S.C. 1985, c. C-46, we substantially agree with the reasons of Justice Jackson in the Saskatchewan Court of Appeal on this issue. With respect to the further ground of appeal, the alleged </w:t>
            </w:r>
            <w:r w:rsidRPr="00003B04">
              <w:rPr>
                <w:i/>
                <w:sz w:val="20"/>
                <w:szCs w:val="20"/>
              </w:rPr>
              <w:t>Beaudry</w:t>
            </w:r>
            <w:r w:rsidRPr="00003B04">
              <w:rPr>
                <w:sz w:val="20"/>
                <w:szCs w:val="20"/>
              </w:rPr>
              <w:t xml:space="preserve"> error (</w:t>
            </w:r>
            <w:r w:rsidRPr="00003B04">
              <w:rPr>
                <w:i/>
                <w:sz w:val="20"/>
                <w:szCs w:val="20"/>
              </w:rPr>
              <w:t>R. v. Beaudry</w:t>
            </w:r>
            <w:r w:rsidRPr="00003B04">
              <w:rPr>
                <w:sz w:val="20"/>
                <w:szCs w:val="20"/>
              </w:rPr>
              <w:t>, 2007 SCC 5, [2007] 1 S.C.R. 190), we are satisfied that the trial judge did not reach his decision by an illogical or irrational reasoning process, and his verdict was not unreasonable within the meaning of s. 686(1)(a)(</w:t>
            </w:r>
            <w:proofErr w:type="spellStart"/>
            <w:r w:rsidRPr="00003B04">
              <w:rPr>
                <w:sz w:val="20"/>
                <w:szCs w:val="20"/>
              </w:rPr>
              <w:t>i</w:t>
            </w:r>
            <w:proofErr w:type="spellEnd"/>
            <w:r w:rsidRPr="00003B04">
              <w:rPr>
                <w:sz w:val="20"/>
                <w:szCs w:val="20"/>
              </w:rPr>
              <w:t xml:space="preserve">) of the </w:t>
            </w:r>
            <w:r w:rsidRPr="00003B04">
              <w:rPr>
                <w:i/>
                <w:sz w:val="20"/>
                <w:szCs w:val="20"/>
              </w:rPr>
              <w:t>Criminal Code</w:t>
            </w:r>
            <w:r w:rsidRPr="00003B04">
              <w:rPr>
                <w:sz w:val="20"/>
                <w:szCs w:val="20"/>
              </w:rPr>
              <w:t>. As a result, the appeal is dismissed.</w:t>
            </w:r>
          </w:p>
        </w:tc>
        <w:tc>
          <w:tcPr>
            <w:tcW w:w="720" w:type="dxa"/>
            <w:tcMar>
              <w:left w:w="0" w:type="dxa"/>
              <w:right w:w="0" w:type="dxa"/>
            </w:tcMar>
          </w:tcPr>
          <w:p w:rsidR="000555BA" w:rsidRPr="00003B04" w:rsidRDefault="000555BA" w:rsidP="001337BF">
            <w:pPr>
              <w:widowControl w:val="0"/>
              <w:jc w:val="center"/>
              <w:rPr>
                <w:sz w:val="20"/>
                <w:szCs w:val="20"/>
              </w:rPr>
            </w:pPr>
          </w:p>
        </w:tc>
        <w:tc>
          <w:tcPr>
            <w:tcW w:w="4380" w:type="dxa"/>
            <w:tcMar>
              <w:left w:w="0" w:type="dxa"/>
              <w:right w:w="0" w:type="dxa"/>
            </w:tcMar>
          </w:tcPr>
          <w:p w:rsidR="000555BA" w:rsidRPr="00003B04" w:rsidRDefault="000555BA" w:rsidP="001337BF">
            <w:pPr>
              <w:widowControl w:val="0"/>
              <w:jc w:val="both"/>
              <w:rPr>
                <w:b/>
                <w:sz w:val="20"/>
                <w:szCs w:val="20"/>
                <w:u w:val="single"/>
                <w:lang w:val="fr-CA"/>
              </w:rPr>
            </w:pPr>
            <w:r w:rsidRPr="00003B04">
              <w:rPr>
                <w:b/>
                <w:sz w:val="20"/>
                <w:szCs w:val="20"/>
                <w:u w:val="single"/>
                <w:lang w:val="fr-CA"/>
              </w:rPr>
              <w:t>JUGEMENT :</w:t>
            </w:r>
          </w:p>
          <w:p w:rsidR="000555BA" w:rsidRPr="00003B04" w:rsidRDefault="000555BA" w:rsidP="001337BF">
            <w:pPr>
              <w:widowControl w:val="0"/>
              <w:jc w:val="both"/>
              <w:rPr>
                <w:sz w:val="20"/>
                <w:szCs w:val="20"/>
                <w:lang w:val="fr-CA"/>
              </w:rPr>
            </w:pPr>
          </w:p>
          <w:p w:rsidR="0058140A" w:rsidRPr="00003B04" w:rsidRDefault="0058140A" w:rsidP="0058140A">
            <w:pPr>
              <w:jc w:val="both"/>
              <w:rPr>
                <w:sz w:val="20"/>
                <w:szCs w:val="20"/>
                <w:lang w:val="fr-CA"/>
              </w:rPr>
            </w:pPr>
            <w:r w:rsidRPr="00003B04">
              <w:rPr>
                <w:sz w:val="20"/>
                <w:szCs w:val="20"/>
                <w:lang w:val="fr-CA"/>
              </w:rPr>
              <w:t>L’appel de plein droit interjeté contre l’arrêt de la Cour d’appel de la Saskatchewan, numéro CACR2631, 2016 SKCA 84, daté du 7 juillet 2016, a été entendu le 21 février 2017 et la Cour a prononcé oralement le même jour le jugement suivant :</w:t>
            </w:r>
          </w:p>
          <w:p w:rsidR="0058140A" w:rsidRPr="00003B04" w:rsidRDefault="0058140A" w:rsidP="0058140A">
            <w:pPr>
              <w:jc w:val="both"/>
              <w:rPr>
                <w:sz w:val="20"/>
                <w:szCs w:val="20"/>
                <w:lang w:val="fr-CA"/>
              </w:rPr>
            </w:pPr>
            <w:r w:rsidRPr="00003B04">
              <w:rPr>
                <w:sz w:val="20"/>
                <w:szCs w:val="20"/>
                <w:lang w:val="fr-CA"/>
              </w:rPr>
              <w:tab/>
            </w:r>
          </w:p>
          <w:p w:rsidR="0058140A" w:rsidRPr="00003B04" w:rsidRDefault="0058140A" w:rsidP="0058140A">
            <w:pPr>
              <w:jc w:val="both"/>
              <w:rPr>
                <w:smallCaps/>
                <w:sz w:val="20"/>
                <w:szCs w:val="20"/>
                <w:lang w:val="fr-CA"/>
              </w:rPr>
            </w:pPr>
            <w:r w:rsidRPr="00003B04">
              <w:rPr>
                <w:smallCaps/>
                <w:sz w:val="20"/>
                <w:szCs w:val="20"/>
                <w:lang w:val="fr-CA"/>
              </w:rPr>
              <w:t>[traduction]</w:t>
            </w:r>
          </w:p>
          <w:p w:rsidR="000555BA" w:rsidRPr="00003B04" w:rsidRDefault="0058140A" w:rsidP="0058140A">
            <w:pPr>
              <w:jc w:val="both"/>
              <w:rPr>
                <w:sz w:val="20"/>
                <w:szCs w:val="20"/>
                <w:lang w:val="fr-CA"/>
              </w:rPr>
            </w:pPr>
            <w:r w:rsidRPr="00003B04">
              <w:rPr>
                <w:smallCaps/>
                <w:sz w:val="20"/>
                <w:szCs w:val="20"/>
                <w:lang w:val="fr-CA"/>
              </w:rPr>
              <w:t xml:space="preserve">La juge </w:t>
            </w:r>
            <w:proofErr w:type="spellStart"/>
            <w:r w:rsidRPr="00003B04">
              <w:rPr>
                <w:smallCaps/>
                <w:sz w:val="20"/>
                <w:szCs w:val="20"/>
                <w:lang w:val="fr-CA"/>
              </w:rPr>
              <w:t>Karakatsanis</w:t>
            </w:r>
            <w:proofErr w:type="spellEnd"/>
            <w:r w:rsidRPr="00003B04">
              <w:rPr>
                <w:smallCaps/>
                <w:sz w:val="20"/>
                <w:szCs w:val="20"/>
                <w:lang w:val="fr-CA"/>
              </w:rPr>
              <w:t xml:space="preserve"> </w:t>
            </w:r>
            <w:r w:rsidRPr="00003B04">
              <w:rPr>
                <w:rFonts w:cs="Times New Roman"/>
                <w:smallCaps/>
                <w:sz w:val="20"/>
                <w:szCs w:val="20"/>
                <w:lang w:val="fr-CA"/>
              </w:rPr>
              <w:t xml:space="preserve">— </w:t>
            </w:r>
            <w:r w:rsidRPr="00003B04">
              <w:rPr>
                <w:sz w:val="20"/>
                <w:szCs w:val="20"/>
                <w:lang w:val="fr-CA"/>
              </w:rPr>
              <w:t>Après avoir examiné, suivant la norme de contrôle applicable en appel, la question de savoir si le juge du procès a mal interprété la preuve ou a omis de considérer la preuve dans son ensemble, causant ainsi une erreur judiciaire visée à l’al. 686(1)a</w:t>
            </w:r>
            <w:proofErr w:type="gramStart"/>
            <w:r w:rsidRPr="00003B04">
              <w:rPr>
                <w:sz w:val="20"/>
                <w:szCs w:val="20"/>
                <w:lang w:val="fr-CA"/>
              </w:rPr>
              <w:t>)(</w:t>
            </w:r>
            <w:proofErr w:type="gramEnd"/>
            <w:r w:rsidRPr="00003B04">
              <w:rPr>
                <w:sz w:val="20"/>
                <w:szCs w:val="20"/>
                <w:lang w:val="fr-CA"/>
              </w:rPr>
              <w:t xml:space="preserve">iii) du </w:t>
            </w:r>
            <w:r w:rsidRPr="00003B04">
              <w:rPr>
                <w:i/>
                <w:iCs/>
                <w:sz w:val="20"/>
                <w:szCs w:val="20"/>
                <w:lang w:val="fr-CA"/>
              </w:rPr>
              <w:t>Code criminel</w:t>
            </w:r>
            <w:r w:rsidRPr="00003B04">
              <w:rPr>
                <w:sz w:val="20"/>
                <w:szCs w:val="20"/>
                <w:lang w:val="fr-CA"/>
              </w:rPr>
              <w:t xml:space="preserve">, L.R.C. 1985, c. C-46, nous souscrivons pour l’essentiel aux motifs de la juge Jackson de la Cour d’appel de la Saskatchewan sur cette question. Pour ce qui est de l’autre moyen d’appel invoqué, l’erreur de type </w:t>
            </w:r>
            <w:r w:rsidRPr="00003B04">
              <w:rPr>
                <w:i/>
                <w:iCs/>
                <w:sz w:val="20"/>
                <w:szCs w:val="20"/>
                <w:lang w:val="fr-CA"/>
              </w:rPr>
              <w:t>Beaudry</w:t>
            </w:r>
            <w:r w:rsidRPr="00003B04">
              <w:rPr>
                <w:iCs/>
                <w:sz w:val="20"/>
                <w:szCs w:val="20"/>
                <w:lang w:val="fr-CA"/>
              </w:rPr>
              <w:t xml:space="preserve"> </w:t>
            </w:r>
            <w:r w:rsidRPr="00003B04">
              <w:rPr>
                <w:sz w:val="20"/>
                <w:szCs w:val="20"/>
                <w:lang w:val="fr-CA"/>
              </w:rPr>
              <w:t>reprochée (</w:t>
            </w:r>
            <w:r w:rsidRPr="00003B04">
              <w:rPr>
                <w:i/>
                <w:sz w:val="20"/>
                <w:szCs w:val="20"/>
                <w:lang w:val="fr-CA"/>
              </w:rPr>
              <w:t>R. c. Beaudry</w:t>
            </w:r>
            <w:r w:rsidRPr="00003B04">
              <w:rPr>
                <w:sz w:val="20"/>
                <w:szCs w:val="20"/>
                <w:lang w:val="fr-CA"/>
              </w:rPr>
              <w:t xml:space="preserve">, 2007 CSC 5, [2007] 1 R.C.S. 190), nous sommes convaincus que la décision du juge du procès ne repose pas sur un raisonnement illogique ou irrationnel, et que son verdict n’était pas déraisonnable au sens de l’al. 686(1)a)(i) du </w:t>
            </w:r>
            <w:r w:rsidRPr="00003B04">
              <w:rPr>
                <w:i/>
                <w:iCs/>
                <w:sz w:val="20"/>
                <w:szCs w:val="20"/>
                <w:lang w:val="fr-CA"/>
              </w:rPr>
              <w:t>Code criminel</w:t>
            </w:r>
            <w:r w:rsidRPr="00003B04">
              <w:rPr>
                <w:sz w:val="20"/>
                <w:szCs w:val="20"/>
                <w:lang w:val="fr-CA"/>
              </w:rPr>
              <w:t>. Par conséquent, le pourvoi est rejeté.</w:t>
            </w:r>
          </w:p>
        </w:tc>
      </w:tr>
    </w:tbl>
    <w:p w:rsidR="000555BA" w:rsidRPr="00003B04" w:rsidRDefault="000555BA" w:rsidP="000555BA">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0555BA" w:rsidRPr="00003B04" w:rsidTr="001337BF">
        <w:tc>
          <w:tcPr>
            <w:tcW w:w="4380" w:type="dxa"/>
            <w:tcMar>
              <w:left w:w="0" w:type="dxa"/>
              <w:right w:w="0" w:type="dxa"/>
            </w:tcMar>
          </w:tcPr>
          <w:p w:rsidR="000555BA" w:rsidRPr="00003B04" w:rsidRDefault="000555BA" w:rsidP="001337BF">
            <w:pPr>
              <w:widowControl w:val="0"/>
              <w:jc w:val="both"/>
              <w:rPr>
                <w:b/>
                <w:sz w:val="20"/>
                <w:szCs w:val="20"/>
                <w:u w:val="single"/>
              </w:rPr>
            </w:pPr>
            <w:r w:rsidRPr="00003B04">
              <w:rPr>
                <w:b/>
                <w:sz w:val="20"/>
                <w:szCs w:val="20"/>
                <w:u w:val="single"/>
              </w:rPr>
              <w:lastRenderedPageBreak/>
              <w:t>Nature of the case:</w:t>
            </w:r>
          </w:p>
          <w:p w:rsidR="000555BA" w:rsidRPr="00003B04" w:rsidRDefault="000555BA" w:rsidP="001337BF">
            <w:pPr>
              <w:widowControl w:val="0"/>
              <w:jc w:val="both"/>
              <w:rPr>
                <w:b/>
                <w:sz w:val="20"/>
                <w:szCs w:val="20"/>
                <w:u w:val="single"/>
              </w:rPr>
            </w:pPr>
          </w:p>
          <w:p w:rsidR="000555BA" w:rsidRPr="00003B04" w:rsidRDefault="000555BA" w:rsidP="000555BA">
            <w:pPr>
              <w:widowControl w:val="0"/>
              <w:jc w:val="both"/>
              <w:rPr>
                <w:smallCaps/>
                <w:sz w:val="20"/>
                <w:szCs w:val="20"/>
              </w:rPr>
            </w:pPr>
            <w:r w:rsidRPr="00003B04">
              <w:rPr>
                <w:smallCaps/>
                <w:sz w:val="20"/>
                <w:szCs w:val="20"/>
              </w:rPr>
              <w:t>(Publication Ban in Case)</w:t>
            </w:r>
          </w:p>
          <w:p w:rsidR="000555BA" w:rsidRPr="00003B04" w:rsidRDefault="000555BA" w:rsidP="000555BA">
            <w:pPr>
              <w:widowControl w:val="0"/>
              <w:jc w:val="both"/>
              <w:rPr>
                <w:sz w:val="20"/>
                <w:szCs w:val="20"/>
              </w:rPr>
            </w:pPr>
          </w:p>
          <w:p w:rsidR="000555BA" w:rsidRPr="00003B04" w:rsidRDefault="000555BA" w:rsidP="001337BF">
            <w:pPr>
              <w:widowControl w:val="0"/>
              <w:jc w:val="both"/>
              <w:rPr>
                <w:sz w:val="20"/>
                <w:szCs w:val="20"/>
              </w:rPr>
            </w:pPr>
            <w:r w:rsidRPr="00003B04">
              <w:rPr>
                <w:sz w:val="20"/>
                <w:szCs w:val="20"/>
              </w:rPr>
              <w:t>Criminal law - Sexual assault causing bodily harm - Whether the trial judge misapprehended evidence by making findings of fact and inferences unsupported by the evidence and whether that misapprehension resulted in a miscarriage of justice pursuant to s. 686(1</w:t>
            </w:r>
            <w:proofErr w:type="gramStart"/>
            <w:r w:rsidRPr="00003B04">
              <w:rPr>
                <w:sz w:val="20"/>
                <w:szCs w:val="20"/>
              </w:rPr>
              <w:t>)(</w:t>
            </w:r>
            <w:proofErr w:type="gramEnd"/>
            <w:r w:rsidRPr="00003B04">
              <w:rPr>
                <w:sz w:val="20"/>
                <w:szCs w:val="20"/>
              </w:rPr>
              <w:t xml:space="preserve">a)(iii) of the </w:t>
            </w:r>
            <w:r w:rsidRPr="00003B04">
              <w:rPr>
                <w:i/>
                <w:sz w:val="20"/>
                <w:szCs w:val="20"/>
              </w:rPr>
              <w:t>Criminal</w:t>
            </w:r>
            <w:r w:rsidRPr="00003B04">
              <w:rPr>
                <w:sz w:val="20"/>
                <w:szCs w:val="20"/>
              </w:rPr>
              <w:t xml:space="preserve"> </w:t>
            </w:r>
            <w:r w:rsidRPr="00003B04">
              <w:rPr>
                <w:i/>
                <w:sz w:val="20"/>
                <w:szCs w:val="20"/>
              </w:rPr>
              <w:t>Code</w:t>
            </w:r>
            <w:r w:rsidRPr="00003B04">
              <w:rPr>
                <w:sz w:val="20"/>
                <w:szCs w:val="20"/>
              </w:rPr>
              <w:t>, R.S.C. 1985, c. C-46 - Whether the trial judge’s ultimate conclusion was illogical or irrational and therefore unreasonable within the meaning of s. 686(1)(a)(</w:t>
            </w:r>
            <w:proofErr w:type="spellStart"/>
            <w:r w:rsidRPr="00003B04">
              <w:rPr>
                <w:sz w:val="20"/>
                <w:szCs w:val="20"/>
              </w:rPr>
              <w:t>i</w:t>
            </w:r>
            <w:proofErr w:type="spellEnd"/>
            <w:r w:rsidRPr="00003B04">
              <w:rPr>
                <w:sz w:val="20"/>
                <w:szCs w:val="20"/>
              </w:rPr>
              <w:t xml:space="preserve">) of the </w:t>
            </w:r>
            <w:r w:rsidRPr="00003B04">
              <w:rPr>
                <w:i/>
                <w:sz w:val="20"/>
                <w:szCs w:val="20"/>
              </w:rPr>
              <w:t>Criminal</w:t>
            </w:r>
            <w:r w:rsidRPr="00003B04">
              <w:rPr>
                <w:sz w:val="20"/>
                <w:szCs w:val="20"/>
              </w:rPr>
              <w:t xml:space="preserve"> </w:t>
            </w:r>
            <w:r w:rsidRPr="00003B04">
              <w:rPr>
                <w:i/>
                <w:sz w:val="20"/>
                <w:szCs w:val="20"/>
              </w:rPr>
              <w:t>Code</w:t>
            </w:r>
            <w:r w:rsidRPr="00003B04">
              <w:rPr>
                <w:sz w:val="20"/>
                <w:szCs w:val="20"/>
              </w:rPr>
              <w:t>.</w:t>
            </w:r>
          </w:p>
        </w:tc>
        <w:tc>
          <w:tcPr>
            <w:tcW w:w="720" w:type="dxa"/>
            <w:tcMar>
              <w:left w:w="0" w:type="dxa"/>
              <w:right w:w="0" w:type="dxa"/>
            </w:tcMar>
          </w:tcPr>
          <w:p w:rsidR="000555BA" w:rsidRPr="00003B04" w:rsidRDefault="000555BA" w:rsidP="001337BF">
            <w:pPr>
              <w:widowControl w:val="0"/>
              <w:jc w:val="center"/>
              <w:rPr>
                <w:sz w:val="20"/>
                <w:szCs w:val="20"/>
              </w:rPr>
            </w:pPr>
          </w:p>
        </w:tc>
        <w:tc>
          <w:tcPr>
            <w:tcW w:w="4380" w:type="dxa"/>
            <w:tcMar>
              <w:left w:w="0" w:type="dxa"/>
              <w:right w:w="0" w:type="dxa"/>
            </w:tcMar>
          </w:tcPr>
          <w:p w:rsidR="000555BA" w:rsidRPr="00003B04" w:rsidRDefault="000555BA" w:rsidP="001337BF">
            <w:pPr>
              <w:widowControl w:val="0"/>
              <w:jc w:val="both"/>
              <w:rPr>
                <w:b/>
                <w:sz w:val="20"/>
                <w:szCs w:val="20"/>
                <w:u w:val="single"/>
                <w:lang w:val="fr-CA"/>
              </w:rPr>
            </w:pPr>
            <w:r w:rsidRPr="00003B04">
              <w:rPr>
                <w:b/>
                <w:sz w:val="20"/>
                <w:szCs w:val="20"/>
                <w:u w:val="single"/>
                <w:lang w:val="fr-CA"/>
              </w:rPr>
              <w:t>Nature de la cause :</w:t>
            </w:r>
          </w:p>
          <w:p w:rsidR="000555BA" w:rsidRPr="00003B04" w:rsidRDefault="000555BA" w:rsidP="001337BF">
            <w:pPr>
              <w:widowControl w:val="0"/>
              <w:jc w:val="both"/>
              <w:rPr>
                <w:sz w:val="20"/>
                <w:szCs w:val="20"/>
                <w:lang w:val="fr-CA"/>
              </w:rPr>
            </w:pPr>
          </w:p>
          <w:p w:rsidR="000555BA" w:rsidRPr="00003B04" w:rsidRDefault="000555BA" w:rsidP="000555BA">
            <w:pPr>
              <w:widowControl w:val="0"/>
              <w:jc w:val="both"/>
              <w:rPr>
                <w:smallCaps/>
                <w:sz w:val="20"/>
                <w:szCs w:val="20"/>
                <w:lang w:val="fr-CA"/>
              </w:rPr>
            </w:pPr>
            <w:r w:rsidRPr="00003B04">
              <w:rPr>
                <w:smallCaps/>
                <w:sz w:val="20"/>
                <w:szCs w:val="20"/>
                <w:lang w:val="fr-CA"/>
              </w:rPr>
              <w:t>(Ordonnance de non-publication dans le dossier)</w:t>
            </w:r>
          </w:p>
          <w:p w:rsidR="000555BA" w:rsidRPr="00003B04" w:rsidRDefault="000555BA" w:rsidP="000555BA">
            <w:pPr>
              <w:widowControl w:val="0"/>
              <w:jc w:val="both"/>
              <w:rPr>
                <w:sz w:val="20"/>
                <w:szCs w:val="20"/>
                <w:lang w:val="fr-CA"/>
              </w:rPr>
            </w:pPr>
          </w:p>
          <w:p w:rsidR="000555BA" w:rsidRPr="00003B04" w:rsidRDefault="000555BA" w:rsidP="000555BA">
            <w:pPr>
              <w:widowControl w:val="0"/>
              <w:jc w:val="both"/>
              <w:rPr>
                <w:sz w:val="20"/>
                <w:szCs w:val="20"/>
                <w:lang w:val="fr-CA"/>
              </w:rPr>
            </w:pPr>
            <w:r w:rsidRPr="00003B04">
              <w:rPr>
                <w:sz w:val="20"/>
                <w:szCs w:val="20"/>
                <w:lang w:val="fr-CA"/>
              </w:rPr>
              <w:t>Droit criminel - Agression sexuelle causant des lésions corporelles - Le juge du procès s’est-il mépris sur la preuve en tirant des conclusions de fait et des inférences non appuyées par la preuve et cette méprise a-t-elle entraîné une erreur judiciaire visée par le sous-al. 686(1)a</w:t>
            </w:r>
            <w:proofErr w:type="gramStart"/>
            <w:r w:rsidRPr="00003B04">
              <w:rPr>
                <w:sz w:val="20"/>
                <w:szCs w:val="20"/>
                <w:lang w:val="fr-CA"/>
              </w:rPr>
              <w:t>)(</w:t>
            </w:r>
            <w:proofErr w:type="gramEnd"/>
            <w:r w:rsidRPr="00003B04">
              <w:rPr>
                <w:sz w:val="20"/>
                <w:szCs w:val="20"/>
                <w:lang w:val="fr-CA"/>
              </w:rPr>
              <w:t xml:space="preserve">iii) du </w:t>
            </w:r>
            <w:r w:rsidRPr="00003B04">
              <w:rPr>
                <w:i/>
                <w:sz w:val="20"/>
                <w:szCs w:val="20"/>
                <w:lang w:val="fr-CA"/>
              </w:rPr>
              <w:t>Code criminel</w:t>
            </w:r>
            <w:r w:rsidRPr="00003B04">
              <w:rPr>
                <w:sz w:val="20"/>
                <w:szCs w:val="20"/>
                <w:lang w:val="fr-CA"/>
              </w:rPr>
              <w:t xml:space="preserve">, L.R.C. 1985, ch. C-46? - La conclusion ultime du juge du procès était-elle illogique ou irrationnelle, et donc déraisonnable au sens du sous-al. 686(1)a)(i) du </w:t>
            </w:r>
            <w:r w:rsidRPr="00003B04">
              <w:rPr>
                <w:i/>
                <w:sz w:val="20"/>
                <w:szCs w:val="20"/>
                <w:lang w:val="fr-CA"/>
              </w:rPr>
              <w:t>Code criminel</w:t>
            </w:r>
            <w:r w:rsidRPr="00003B04">
              <w:rPr>
                <w:sz w:val="20"/>
                <w:szCs w:val="20"/>
                <w:lang w:val="fr-CA"/>
              </w:rPr>
              <w:t>?</w:t>
            </w:r>
          </w:p>
          <w:p w:rsidR="000555BA" w:rsidRPr="00003B04" w:rsidRDefault="000555BA" w:rsidP="001337BF">
            <w:pPr>
              <w:widowControl w:val="0"/>
              <w:jc w:val="both"/>
              <w:rPr>
                <w:sz w:val="20"/>
                <w:szCs w:val="20"/>
                <w:lang w:val="fr-CA"/>
              </w:rPr>
            </w:pPr>
          </w:p>
        </w:tc>
      </w:tr>
    </w:tbl>
    <w:p w:rsidR="00AA2FD9" w:rsidRPr="00003B04" w:rsidRDefault="00604445" w:rsidP="00732DB7">
      <w:pPr>
        <w:widowControl w:val="0"/>
        <w:rPr>
          <w:sz w:val="20"/>
          <w:szCs w:val="20"/>
          <w:lang w:val="fr-CA"/>
        </w:rPr>
      </w:pPr>
      <w:r>
        <w:rPr>
          <w:sz w:val="20"/>
          <w:szCs w:val="20"/>
          <w:lang w:val="fr-CA"/>
        </w:rPr>
        <w:pict>
          <v:rect id="_x0000_i1101" style="width:2in;height:1pt" o:hrpct="0" o:hralign="center" o:hrstd="t" o:hrnoshade="t" o:hr="t" fillcolor="black [3213]" stroked="f"/>
        </w:pict>
      </w:r>
    </w:p>
    <w:p w:rsidR="00AA2FD9" w:rsidRPr="00003B04" w:rsidRDefault="00AA2FD9" w:rsidP="00732DB7">
      <w:pPr>
        <w:widowControl w:val="0"/>
        <w:rPr>
          <w:sz w:val="20"/>
          <w:szCs w:val="20"/>
          <w:lang w:val="fr-CA"/>
        </w:rPr>
      </w:pPr>
    </w:p>
    <w:p w:rsidR="0056248C" w:rsidRPr="00003B04" w:rsidRDefault="0056248C" w:rsidP="00732DB7">
      <w:pPr>
        <w:widowControl w:val="0"/>
        <w:rPr>
          <w:sz w:val="20"/>
          <w:szCs w:val="20"/>
          <w:lang w:val="fr-CA"/>
        </w:rPr>
      </w:pPr>
    </w:p>
    <w:p w:rsidR="001337BF" w:rsidRPr="00003B04" w:rsidRDefault="001337BF" w:rsidP="001337BF">
      <w:pPr>
        <w:widowControl w:val="0"/>
        <w:rPr>
          <w:sz w:val="20"/>
          <w:szCs w:val="20"/>
          <w:lang w:val="fr-CA"/>
        </w:rPr>
      </w:pPr>
      <w:r w:rsidRPr="00003B04">
        <w:rPr>
          <w:sz w:val="20"/>
          <w:szCs w:val="20"/>
          <w:lang w:val="fr-CA"/>
        </w:rPr>
        <w:t>22.02.2017</w:t>
      </w:r>
    </w:p>
    <w:p w:rsidR="001337BF" w:rsidRPr="00003B04" w:rsidRDefault="001337BF" w:rsidP="001337BF">
      <w:pPr>
        <w:widowControl w:val="0"/>
        <w:rPr>
          <w:sz w:val="20"/>
          <w:szCs w:val="20"/>
          <w:lang w:val="fr-CA"/>
        </w:rPr>
      </w:pPr>
    </w:p>
    <w:p w:rsidR="001337BF" w:rsidRPr="00003B04" w:rsidRDefault="001337BF" w:rsidP="001337BF">
      <w:pPr>
        <w:widowControl w:val="0"/>
        <w:ind w:left="720" w:hanging="720"/>
        <w:rPr>
          <w:sz w:val="20"/>
          <w:szCs w:val="20"/>
          <w:u w:val="single"/>
          <w:lang w:val="fr-CA"/>
        </w:rPr>
      </w:pPr>
      <w:r w:rsidRPr="00003B04">
        <w:rPr>
          <w:sz w:val="20"/>
          <w:szCs w:val="20"/>
          <w:lang w:val="fr-CA"/>
        </w:rPr>
        <w:t xml:space="preserve">Coram: </w:t>
      </w:r>
      <w:r w:rsidRPr="00003B04">
        <w:rPr>
          <w:sz w:val="20"/>
          <w:szCs w:val="20"/>
          <w:lang w:val="fr-CA"/>
        </w:rPr>
        <w:tab/>
      </w:r>
      <w:r w:rsidR="000340AB" w:rsidRPr="00003B04">
        <w:rPr>
          <w:rFonts w:cs="Times New Roman"/>
          <w:sz w:val="20"/>
          <w:szCs w:val="20"/>
          <w:u w:val="single"/>
          <w:lang w:val="fr-CA"/>
        </w:rPr>
        <w:t xml:space="preserve">La juge en chef </w:t>
      </w:r>
      <w:proofErr w:type="spellStart"/>
      <w:r w:rsidR="000340AB" w:rsidRPr="00003B04">
        <w:rPr>
          <w:rFonts w:cs="Times New Roman"/>
          <w:sz w:val="20"/>
          <w:szCs w:val="20"/>
          <w:u w:val="single"/>
          <w:lang w:val="fr-CA"/>
        </w:rPr>
        <w:t>McLachlin</w:t>
      </w:r>
      <w:proofErr w:type="spellEnd"/>
      <w:r w:rsidR="000340AB" w:rsidRPr="00003B04">
        <w:rPr>
          <w:rFonts w:cs="Times New Roman"/>
          <w:sz w:val="20"/>
          <w:szCs w:val="20"/>
          <w:u w:val="single"/>
          <w:lang w:val="fr-CA"/>
        </w:rPr>
        <w:t xml:space="preserve"> et les juges </w:t>
      </w:r>
      <w:proofErr w:type="spellStart"/>
      <w:r w:rsidR="000340AB" w:rsidRPr="00003B04">
        <w:rPr>
          <w:rFonts w:cs="Times New Roman"/>
          <w:sz w:val="20"/>
          <w:szCs w:val="20"/>
          <w:u w:val="single"/>
          <w:lang w:val="fr-CA"/>
        </w:rPr>
        <w:t>Karakatsanis</w:t>
      </w:r>
      <w:proofErr w:type="spellEnd"/>
      <w:r w:rsidR="000340AB" w:rsidRPr="00003B04">
        <w:rPr>
          <w:rFonts w:cs="Times New Roman"/>
          <w:sz w:val="20"/>
          <w:szCs w:val="20"/>
          <w:u w:val="single"/>
          <w:lang w:val="fr-CA"/>
        </w:rPr>
        <w:t>, Wagner, Gascon, Côté, Brown et Rowe</w:t>
      </w:r>
    </w:p>
    <w:p w:rsidR="001337BF" w:rsidRPr="00003B04" w:rsidRDefault="001337BF" w:rsidP="001337BF">
      <w:pPr>
        <w:widowControl w:val="0"/>
        <w:rPr>
          <w:b/>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1337BF" w:rsidRPr="00C3697D" w:rsidTr="001337BF">
        <w:tc>
          <w:tcPr>
            <w:tcW w:w="4380" w:type="dxa"/>
            <w:tcMar>
              <w:left w:w="0" w:type="dxa"/>
              <w:right w:w="0" w:type="dxa"/>
            </w:tcMar>
          </w:tcPr>
          <w:p w:rsidR="001337BF" w:rsidRPr="00003B04" w:rsidRDefault="001337BF" w:rsidP="001337BF">
            <w:pPr>
              <w:widowControl w:val="0"/>
              <w:jc w:val="both"/>
              <w:rPr>
                <w:b/>
                <w:sz w:val="20"/>
                <w:szCs w:val="20"/>
                <w:lang w:val="fr-CA"/>
              </w:rPr>
            </w:pPr>
            <w:r w:rsidRPr="00003B04">
              <w:rPr>
                <w:b/>
                <w:sz w:val="20"/>
                <w:szCs w:val="20"/>
                <w:lang w:val="fr-CA"/>
              </w:rPr>
              <w:t xml:space="preserve">Pellerin </w:t>
            </w:r>
            <w:proofErr w:type="spellStart"/>
            <w:r w:rsidRPr="00003B04">
              <w:rPr>
                <w:b/>
                <w:sz w:val="20"/>
                <w:szCs w:val="20"/>
                <w:lang w:val="fr-CA"/>
              </w:rPr>
              <w:t>Savitz</w:t>
            </w:r>
            <w:proofErr w:type="spellEnd"/>
            <w:r w:rsidRPr="00003B04">
              <w:rPr>
                <w:b/>
                <w:sz w:val="20"/>
                <w:szCs w:val="20"/>
                <w:lang w:val="fr-CA"/>
              </w:rPr>
              <w:t xml:space="preserve"> </w:t>
            </w:r>
            <w:proofErr w:type="spellStart"/>
            <w:r w:rsidRPr="00003B04">
              <w:rPr>
                <w:b/>
                <w:sz w:val="20"/>
                <w:szCs w:val="20"/>
                <w:lang w:val="fr-CA"/>
              </w:rPr>
              <w:t>s.e.n.c.r.l</w:t>
            </w:r>
            <w:proofErr w:type="spellEnd"/>
            <w:r w:rsidRPr="00003B04">
              <w:rPr>
                <w:b/>
                <w:sz w:val="20"/>
                <w:szCs w:val="20"/>
                <w:lang w:val="fr-CA"/>
              </w:rPr>
              <w:t>.</w:t>
            </w:r>
          </w:p>
          <w:p w:rsidR="001337BF" w:rsidRPr="00003B04" w:rsidRDefault="001337BF" w:rsidP="001337BF">
            <w:pPr>
              <w:widowControl w:val="0"/>
              <w:jc w:val="both"/>
              <w:rPr>
                <w:b/>
                <w:sz w:val="20"/>
                <w:szCs w:val="20"/>
                <w:lang w:val="fr-CA"/>
              </w:rPr>
            </w:pPr>
          </w:p>
          <w:p w:rsidR="001337BF" w:rsidRPr="00003B04" w:rsidRDefault="001337BF" w:rsidP="001337BF">
            <w:pPr>
              <w:widowControl w:val="0"/>
              <w:tabs>
                <w:tab w:val="left" w:pos="736"/>
              </w:tabs>
              <w:jc w:val="both"/>
              <w:rPr>
                <w:b/>
                <w:sz w:val="20"/>
                <w:szCs w:val="20"/>
                <w:lang w:val="fr-CA"/>
              </w:rPr>
            </w:pPr>
            <w:r w:rsidRPr="00003B04">
              <w:rPr>
                <w:b/>
                <w:sz w:val="20"/>
                <w:szCs w:val="20"/>
                <w:lang w:val="fr-CA"/>
              </w:rPr>
              <w:tab/>
              <w:t xml:space="preserve">c. </w:t>
            </w:r>
            <w:r w:rsidRPr="00003B04">
              <w:rPr>
                <w:sz w:val="20"/>
                <w:szCs w:val="20"/>
                <w:lang w:val="fr-CA"/>
              </w:rPr>
              <w:t>(</w:t>
            </w:r>
            <w:hyperlink r:id="rId124" w:history="1">
              <w:r w:rsidRPr="00003B04">
                <w:rPr>
                  <w:rStyle w:val="Hyperlink"/>
                  <w:sz w:val="20"/>
                  <w:szCs w:val="20"/>
                  <w:lang w:val="fr-CA"/>
                </w:rPr>
                <w:t>36915</w:t>
              </w:r>
            </w:hyperlink>
            <w:r w:rsidRPr="00003B04">
              <w:rPr>
                <w:sz w:val="20"/>
                <w:szCs w:val="20"/>
                <w:lang w:val="fr-CA"/>
              </w:rPr>
              <w:t>)</w:t>
            </w:r>
          </w:p>
          <w:p w:rsidR="001337BF" w:rsidRPr="00003B04" w:rsidRDefault="001337BF" w:rsidP="001337BF">
            <w:pPr>
              <w:widowControl w:val="0"/>
              <w:jc w:val="both"/>
              <w:rPr>
                <w:b/>
                <w:sz w:val="20"/>
                <w:szCs w:val="20"/>
                <w:lang w:val="fr-CA"/>
              </w:rPr>
            </w:pPr>
          </w:p>
          <w:p w:rsidR="001337BF" w:rsidRPr="00003B04" w:rsidRDefault="001337BF" w:rsidP="001337BF">
            <w:pPr>
              <w:widowControl w:val="0"/>
              <w:jc w:val="both"/>
              <w:rPr>
                <w:sz w:val="20"/>
                <w:szCs w:val="20"/>
                <w:lang w:val="fr-CA"/>
              </w:rPr>
            </w:pPr>
            <w:r w:rsidRPr="00003B04">
              <w:rPr>
                <w:b/>
                <w:sz w:val="20"/>
                <w:szCs w:val="20"/>
                <w:lang w:val="fr-CA"/>
              </w:rPr>
              <w:t xml:space="preserve">Serge </w:t>
            </w:r>
            <w:proofErr w:type="spellStart"/>
            <w:r w:rsidRPr="00003B04">
              <w:rPr>
                <w:b/>
                <w:sz w:val="20"/>
                <w:szCs w:val="20"/>
                <w:lang w:val="fr-CA"/>
              </w:rPr>
              <w:t>Guindon</w:t>
            </w:r>
            <w:proofErr w:type="spellEnd"/>
            <w:r w:rsidRPr="00003B04">
              <w:rPr>
                <w:b/>
                <w:sz w:val="20"/>
                <w:szCs w:val="20"/>
                <w:lang w:val="fr-CA"/>
              </w:rPr>
              <w:t xml:space="preserve"> (</w:t>
            </w:r>
            <w:proofErr w:type="spellStart"/>
            <w:r w:rsidRPr="00003B04">
              <w:rPr>
                <w:b/>
                <w:sz w:val="20"/>
                <w:szCs w:val="20"/>
                <w:lang w:val="fr-CA"/>
              </w:rPr>
              <w:t>Qc</w:t>
            </w:r>
            <w:proofErr w:type="spellEnd"/>
            <w:r w:rsidRPr="00003B04">
              <w:rPr>
                <w:b/>
                <w:sz w:val="20"/>
                <w:szCs w:val="20"/>
                <w:lang w:val="fr-CA"/>
              </w:rPr>
              <w:t>) (Civile) (Autorisation)</w:t>
            </w:r>
          </w:p>
        </w:tc>
        <w:tc>
          <w:tcPr>
            <w:tcW w:w="720" w:type="dxa"/>
            <w:tcMar>
              <w:left w:w="0" w:type="dxa"/>
              <w:right w:w="0" w:type="dxa"/>
            </w:tcMar>
          </w:tcPr>
          <w:p w:rsidR="001337BF" w:rsidRPr="00003B04" w:rsidRDefault="001337BF" w:rsidP="001337BF">
            <w:pPr>
              <w:widowControl w:val="0"/>
              <w:jc w:val="center"/>
              <w:rPr>
                <w:sz w:val="20"/>
                <w:szCs w:val="20"/>
                <w:lang w:val="fr-CA"/>
              </w:rPr>
            </w:pPr>
          </w:p>
        </w:tc>
        <w:tc>
          <w:tcPr>
            <w:tcW w:w="4380" w:type="dxa"/>
            <w:tcMar>
              <w:left w:w="0" w:type="dxa"/>
              <w:right w:w="0" w:type="dxa"/>
            </w:tcMar>
          </w:tcPr>
          <w:p w:rsidR="001337BF" w:rsidRPr="00003B04" w:rsidRDefault="001337BF" w:rsidP="001337BF">
            <w:pPr>
              <w:rPr>
                <w:sz w:val="20"/>
                <w:szCs w:val="20"/>
                <w:lang w:val="fr-CA"/>
              </w:rPr>
            </w:pPr>
            <w:r w:rsidRPr="00003B04">
              <w:rPr>
                <w:sz w:val="20"/>
                <w:szCs w:val="20"/>
                <w:lang w:val="fr-CA"/>
              </w:rPr>
              <w:t xml:space="preserve">Damien Pellerin pour l’appelant. </w:t>
            </w:r>
          </w:p>
          <w:p w:rsidR="001337BF" w:rsidRPr="00003B04" w:rsidRDefault="001337BF" w:rsidP="001337BF">
            <w:pPr>
              <w:rPr>
                <w:sz w:val="20"/>
                <w:szCs w:val="20"/>
                <w:lang w:val="fr-CA"/>
              </w:rPr>
            </w:pPr>
          </w:p>
          <w:p w:rsidR="001337BF" w:rsidRPr="00003B04" w:rsidRDefault="001337BF" w:rsidP="001337BF">
            <w:pPr>
              <w:rPr>
                <w:sz w:val="20"/>
                <w:szCs w:val="20"/>
                <w:lang w:val="fr-CA"/>
              </w:rPr>
            </w:pPr>
            <w:r w:rsidRPr="00003B04">
              <w:rPr>
                <w:sz w:val="20"/>
                <w:szCs w:val="20"/>
                <w:lang w:val="fr-CA"/>
              </w:rPr>
              <w:t xml:space="preserve">Jean-Yves Côté pour l’intimé. </w:t>
            </w:r>
          </w:p>
          <w:p w:rsidR="001337BF" w:rsidRPr="00003B04" w:rsidRDefault="001337BF" w:rsidP="001337BF">
            <w:pPr>
              <w:rPr>
                <w:sz w:val="20"/>
                <w:szCs w:val="20"/>
                <w:lang w:val="fr-CA"/>
              </w:rPr>
            </w:pPr>
          </w:p>
        </w:tc>
      </w:tr>
    </w:tbl>
    <w:p w:rsidR="001337BF" w:rsidRPr="00003B04" w:rsidRDefault="001337BF" w:rsidP="001337BF">
      <w:pPr>
        <w:widowControl w:val="0"/>
        <w:rPr>
          <w:sz w:val="20"/>
          <w:szCs w:val="20"/>
          <w:lang w:val="fr-CA"/>
        </w:rPr>
      </w:pPr>
    </w:p>
    <w:p w:rsidR="001337BF" w:rsidRPr="00003B04" w:rsidRDefault="001337BF" w:rsidP="001337BF">
      <w:pPr>
        <w:rPr>
          <w:b/>
          <w:sz w:val="20"/>
          <w:szCs w:val="20"/>
        </w:rPr>
      </w:pPr>
      <w:r w:rsidRPr="00003B04">
        <w:rPr>
          <w:b/>
          <w:sz w:val="20"/>
          <w:szCs w:val="20"/>
        </w:rPr>
        <w:t>RESERVED / EN DÉLIBÉRÉ</w:t>
      </w:r>
    </w:p>
    <w:p w:rsidR="001337BF" w:rsidRPr="00003B04" w:rsidRDefault="001337BF" w:rsidP="001337BF">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1337BF" w:rsidRPr="00C3697D" w:rsidTr="001337BF">
        <w:tc>
          <w:tcPr>
            <w:tcW w:w="4380" w:type="dxa"/>
            <w:tcMar>
              <w:left w:w="0" w:type="dxa"/>
              <w:right w:w="0" w:type="dxa"/>
            </w:tcMar>
          </w:tcPr>
          <w:p w:rsidR="001337BF" w:rsidRPr="00003B04" w:rsidRDefault="001337BF" w:rsidP="001337BF">
            <w:pPr>
              <w:widowControl w:val="0"/>
              <w:jc w:val="both"/>
              <w:rPr>
                <w:b/>
                <w:sz w:val="20"/>
                <w:szCs w:val="20"/>
                <w:u w:val="single"/>
              </w:rPr>
            </w:pPr>
            <w:r w:rsidRPr="00003B04">
              <w:rPr>
                <w:lang w:val="en-US"/>
              </w:rPr>
              <w:br w:type="page"/>
            </w:r>
            <w:r w:rsidRPr="00003B04">
              <w:rPr>
                <w:b/>
                <w:sz w:val="20"/>
                <w:szCs w:val="20"/>
                <w:u w:val="single"/>
              </w:rPr>
              <w:t>Nature of the case:</w:t>
            </w:r>
          </w:p>
          <w:p w:rsidR="001337BF" w:rsidRPr="00003B04" w:rsidRDefault="001337BF" w:rsidP="001337BF">
            <w:pPr>
              <w:widowControl w:val="0"/>
              <w:jc w:val="both"/>
              <w:rPr>
                <w:b/>
                <w:sz w:val="20"/>
                <w:szCs w:val="20"/>
              </w:rPr>
            </w:pPr>
          </w:p>
          <w:p w:rsidR="001337BF" w:rsidRPr="00003B04" w:rsidRDefault="001337BF" w:rsidP="001337BF">
            <w:pPr>
              <w:widowControl w:val="0"/>
              <w:jc w:val="both"/>
              <w:rPr>
                <w:sz w:val="20"/>
                <w:szCs w:val="20"/>
              </w:rPr>
            </w:pPr>
            <w:r w:rsidRPr="00003B04">
              <w:rPr>
                <w:sz w:val="20"/>
                <w:szCs w:val="20"/>
              </w:rPr>
              <w:t xml:space="preserve">Prescription - Action on personal right - Date when right of action arises - Claim for lawyer’s unpaid professional fees - Whether Court of Appeal erred in law in concluding that appellant’s right of action arose on thirty-first (31st) day following date on which each invoice was calculated, prepared and brought to respondent’s attention, having regard to grace period of thirty (30) days set out in fee agreement, after which interest was to be computed and billed to respondent, rather than date of end of mandate, work or services - Whether Court of Appeal erred in law in terminating proceedings prematurely rather than referring matter back to trial and leaving it to judge hearing case on merits to decide - </w:t>
            </w:r>
            <w:r w:rsidRPr="00003B04">
              <w:rPr>
                <w:i/>
                <w:sz w:val="20"/>
                <w:szCs w:val="20"/>
              </w:rPr>
              <w:t>Civil Code of Québec</w:t>
            </w:r>
            <w:r w:rsidRPr="00003B04">
              <w:rPr>
                <w:sz w:val="20"/>
                <w:szCs w:val="20"/>
              </w:rPr>
              <w:t>, CQLR c. C-1991, arts. 2931, 2925, 2904, 2880 and 2116.</w:t>
            </w:r>
          </w:p>
        </w:tc>
        <w:tc>
          <w:tcPr>
            <w:tcW w:w="720" w:type="dxa"/>
            <w:tcMar>
              <w:left w:w="0" w:type="dxa"/>
              <w:right w:w="0" w:type="dxa"/>
            </w:tcMar>
          </w:tcPr>
          <w:p w:rsidR="001337BF" w:rsidRPr="00003B04" w:rsidRDefault="001337BF" w:rsidP="001337BF">
            <w:pPr>
              <w:widowControl w:val="0"/>
              <w:jc w:val="center"/>
              <w:rPr>
                <w:sz w:val="20"/>
                <w:szCs w:val="20"/>
              </w:rPr>
            </w:pPr>
          </w:p>
        </w:tc>
        <w:tc>
          <w:tcPr>
            <w:tcW w:w="4380" w:type="dxa"/>
            <w:tcMar>
              <w:left w:w="0" w:type="dxa"/>
              <w:right w:w="0" w:type="dxa"/>
            </w:tcMar>
          </w:tcPr>
          <w:p w:rsidR="001337BF" w:rsidRPr="00003B04" w:rsidRDefault="001337BF" w:rsidP="001337BF">
            <w:pPr>
              <w:widowControl w:val="0"/>
              <w:jc w:val="both"/>
              <w:rPr>
                <w:b/>
                <w:sz w:val="20"/>
                <w:szCs w:val="20"/>
                <w:u w:val="single"/>
                <w:lang w:val="fr-CA"/>
              </w:rPr>
            </w:pPr>
            <w:r w:rsidRPr="00003B04">
              <w:rPr>
                <w:b/>
                <w:sz w:val="20"/>
                <w:szCs w:val="20"/>
                <w:u w:val="single"/>
                <w:lang w:val="fr-CA"/>
              </w:rPr>
              <w:t>Nature de la cause :</w:t>
            </w:r>
          </w:p>
          <w:p w:rsidR="001337BF" w:rsidRPr="00003B04" w:rsidRDefault="001337BF" w:rsidP="001337BF">
            <w:pPr>
              <w:widowControl w:val="0"/>
              <w:jc w:val="both"/>
              <w:rPr>
                <w:sz w:val="20"/>
                <w:szCs w:val="20"/>
                <w:lang w:val="fr-CA"/>
              </w:rPr>
            </w:pPr>
          </w:p>
          <w:p w:rsidR="001337BF" w:rsidRPr="00003B04" w:rsidRDefault="001337BF" w:rsidP="001337BF">
            <w:pPr>
              <w:widowControl w:val="0"/>
              <w:jc w:val="both"/>
              <w:rPr>
                <w:sz w:val="20"/>
                <w:szCs w:val="20"/>
                <w:lang w:val="fr-CA"/>
              </w:rPr>
            </w:pPr>
            <w:r w:rsidRPr="00003B04">
              <w:rPr>
                <w:sz w:val="20"/>
                <w:szCs w:val="20"/>
                <w:lang w:val="fr-CA"/>
              </w:rPr>
              <w:t>Prescription - Action sur droit personnel - Naissance du droit d’action - Réclamation pour honoraires professionnels de l’avocat impayés - La Cour d’appel a-t-elle erré en droit en concluant que le droit d’action de l’appelante a pris naissance à partir du trente-et-unième jour (31</w:t>
            </w:r>
            <w:r w:rsidRPr="00003B04">
              <w:rPr>
                <w:sz w:val="20"/>
                <w:szCs w:val="20"/>
                <w:vertAlign w:val="superscript"/>
                <w:lang w:val="fr-CA"/>
              </w:rPr>
              <w:t>e</w:t>
            </w:r>
            <w:r w:rsidRPr="00003B04">
              <w:rPr>
                <w:sz w:val="20"/>
                <w:szCs w:val="20"/>
                <w:lang w:val="fr-CA"/>
              </w:rPr>
              <w:t xml:space="preserve">) jour suivant la date à laquelle chaque facture a été calculée, confectionnée et portée à l’attention de l’intimé, considérant le délai de grâce de trente (30) jours prévu à la convention d’honoraires et qu’après quoi, des intérêts lui seraient calculés et facturés, plutôt qu’à la date de fin du mandat, des travaux ou des services? - La Cour d’appel a-t-elle erré en droit en mettant fin prématurément à l’instance, plutôt que renvoyer le dossier en première instance et laisser au juge saisi du litige au mérite le soin d’en décider? - </w:t>
            </w:r>
            <w:r w:rsidRPr="00003B04">
              <w:rPr>
                <w:i/>
                <w:sz w:val="20"/>
                <w:szCs w:val="20"/>
                <w:lang w:val="fr-CA"/>
              </w:rPr>
              <w:t>Code civil du Québec</w:t>
            </w:r>
            <w:r w:rsidRPr="00003B04">
              <w:rPr>
                <w:sz w:val="20"/>
                <w:szCs w:val="20"/>
                <w:lang w:val="fr-CA"/>
              </w:rPr>
              <w:t xml:space="preserve">, </w:t>
            </w:r>
            <w:r w:rsidRPr="00003B04">
              <w:rPr>
                <w:rStyle w:val="nowrap"/>
                <w:sz w:val="20"/>
                <w:szCs w:val="20"/>
                <w:lang w:val="fr-CA"/>
              </w:rPr>
              <w:t>RLRQ c. C-1991</w:t>
            </w:r>
            <w:r w:rsidRPr="00003B04">
              <w:rPr>
                <w:sz w:val="20"/>
                <w:szCs w:val="20"/>
                <w:lang w:val="fr-CA"/>
              </w:rPr>
              <w:t>, art. 2931, 2925, 2904, 2880 et 2116.</w:t>
            </w:r>
          </w:p>
        </w:tc>
      </w:tr>
    </w:tbl>
    <w:p w:rsidR="001337BF" w:rsidRPr="00003B04" w:rsidRDefault="00604445" w:rsidP="00732DB7">
      <w:pPr>
        <w:widowControl w:val="0"/>
        <w:rPr>
          <w:sz w:val="20"/>
          <w:szCs w:val="20"/>
          <w:lang w:val="fr-CA"/>
        </w:rPr>
      </w:pPr>
      <w:r>
        <w:rPr>
          <w:sz w:val="20"/>
          <w:szCs w:val="20"/>
          <w:lang w:val="fr-CA"/>
        </w:rPr>
        <w:pict>
          <v:rect id="_x0000_i1102" style="width:2in;height:1pt" o:hrpct="0" o:hralign="center" o:hrstd="t" o:hrnoshade="t" o:hr="t" fillcolor="black [3213]" stroked="f"/>
        </w:pict>
      </w:r>
    </w:p>
    <w:p w:rsidR="001337BF" w:rsidRPr="00003B04" w:rsidRDefault="001337BF" w:rsidP="00732DB7">
      <w:pPr>
        <w:widowControl w:val="0"/>
        <w:rPr>
          <w:sz w:val="20"/>
          <w:szCs w:val="20"/>
          <w:lang w:val="fr-CA"/>
        </w:rPr>
      </w:pPr>
    </w:p>
    <w:p w:rsidR="001337BF" w:rsidRPr="00003B04" w:rsidRDefault="001337BF" w:rsidP="001337BF">
      <w:pPr>
        <w:widowControl w:val="0"/>
        <w:rPr>
          <w:sz w:val="20"/>
          <w:szCs w:val="20"/>
          <w:lang w:val="fr-CA"/>
        </w:rPr>
      </w:pPr>
    </w:p>
    <w:p w:rsidR="001337BF" w:rsidRPr="00003B04" w:rsidRDefault="001337BF">
      <w:pPr>
        <w:rPr>
          <w:sz w:val="20"/>
          <w:szCs w:val="20"/>
        </w:rPr>
      </w:pPr>
      <w:r w:rsidRPr="00003B04">
        <w:rPr>
          <w:sz w:val="20"/>
          <w:szCs w:val="20"/>
        </w:rPr>
        <w:br w:type="page"/>
      </w:r>
    </w:p>
    <w:p w:rsidR="001337BF" w:rsidRPr="00003B04" w:rsidRDefault="001337BF" w:rsidP="001337BF">
      <w:pPr>
        <w:widowControl w:val="0"/>
        <w:rPr>
          <w:sz w:val="20"/>
          <w:szCs w:val="20"/>
          <w:lang w:val="fr-CA"/>
        </w:rPr>
      </w:pPr>
      <w:r w:rsidRPr="00003B04">
        <w:rPr>
          <w:sz w:val="20"/>
          <w:szCs w:val="20"/>
          <w:lang w:val="fr-CA"/>
        </w:rPr>
        <w:lastRenderedPageBreak/>
        <w:t>23.02.2017</w:t>
      </w:r>
    </w:p>
    <w:p w:rsidR="001337BF" w:rsidRPr="00003B04" w:rsidRDefault="001337BF" w:rsidP="001337BF">
      <w:pPr>
        <w:widowControl w:val="0"/>
        <w:rPr>
          <w:sz w:val="20"/>
          <w:szCs w:val="20"/>
          <w:lang w:val="fr-CA"/>
        </w:rPr>
      </w:pPr>
    </w:p>
    <w:p w:rsidR="001337BF" w:rsidRPr="00003B04" w:rsidRDefault="001337BF" w:rsidP="001337BF">
      <w:pPr>
        <w:widowControl w:val="0"/>
        <w:ind w:left="720" w:hanging="720"/>
        <w:rPr>
          <w:sz w:val="20"/>
          <w:szCs w:val="20"/>
          <w:u w:val="single"/>
          <w:lang w:val="fr-CA"/>
        </w:rPr>
      </w:pPr>
      <w:r w:rsidRPr="00003B04">
        <w:rPr>
          <w:sz w:val="20"/>
          <w:szCs w:val="20"/>
          <w:lang w:val="fr-CA"/>
        </w:rPr>
        <w:t xml:space="preserve">Coram: </w:t>
      </w:r>
      <w:r w:rsidRPr="00003B04">
        <w:rPr>
          <w:sz w:val="20"/>
          <w:szCs w:val="20"/>
          <w:lang w:val="fr-CA"/>
        </w:rPr>
        <w:tab/>
      </w:r>
      <w:r w:rsidR="001D5CB7" w:rsidRPr="00003B04">
        <w:rPr>
          <w:rFonts w:cs="Times New Roman"/>
          <w:sz w:val="20"/>
          <w:szCs w:val="20"/>
          <w:u w:val="single"/>
          <w:lang w:val="fr-CA"/>
        </w:rPr>
        <w:t xml:space="preserve">La juge en chef </w:t>
      </w:r>
      <w:proofErr w:type="spellStart"/>
      <w:r w:rsidR="001D5CB7" w:rsidRPr="00003B04">
        <w:rPr>
          <w:rFonts w:cs="Times New Roman"/>
          <w:sz w:val="20"/>
          <w:szCs w:val="20"/>
          <w:u w:val="single"/>
          <w:lang w:val="fr-CA"/>
        </w:rPr>
        <w:t>McLachlin</w:t>
      </w:r>
      <w:proofErr w:type="spellEnd"/>
      <w:r w:rsidR="001D5CB7" w:rsidRPr="00003B04">
        <w:rPr>
          <w:rFonts w:cs="Times New Roman"/>
          <w:sz w:val="20"/>
          <w:szCs w:val="20"/>
          <w:u w:val="single"/>
          <w:lang w:val="fr-CA"/>
        </w:rPr>
        <w:t xml:space="preserve"> et les juges Abella, </w:t>
      </w:r>
      <w:proofErr w:type="spellStart"/>
      <w:r w:rsidR="001D5CB7" w:rsidRPr="00003B04">
        <w:rPr>
          <w:rFonts w:cs="Times New Roman"/>
          <w:sz w:val="20"/>
          <w:szCs w:val="20"/>
          <w:u w:val="single"/>
          <w:lang w:val="fr-CA"/>
        </w:rPr>
        <w:t>Moldaver</w:t>
      </w:r>
      <w:proofErr w:type="spellEnd"/>
      <w:r w:rsidR="001D5CB7" w:rsidRPr="00003B04">
        <w:rPr>
          <w:rFonts w:cs="Times New Roman"/>
          <w:sz w:val="20"/>
          <w:szCs w:val="20"/>
          <w:u w:val="single"/>
          <w:lang w:val="fr-CA"/>
        </w:rPr>
        <w:t>, Wagner, Gascon, Côté et Brown</w:t>
      </w:r>
    </w:p>
    <w:p w:rsidR="001337BF" w:rsidRPr="00003B04" w:rsidRDefault="001337BF" w:rsidP="001337BF">
      <w:pPr>
        <w:widowControl w:val="0"/>
        <w:rPr>
          <w:b/>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1337BF" w:rsidRPr="00C3697D" w:rsidTr="001337BF">
        <w:tc>
          <w:tcPr>
            <w:tcW w:w="4380" w:type="dxa"/>
            <w:tcMar>
              <w:left w:w="0" w:type="dxa"/>
              <w:right w:w="0" w:type="dxa"/>
            </w:tcMar>
          </w:tcPr>
          <w:p w:rsidR="001337BF" w:rsidRPr="00003B04" w:rsidRDefault="001D5CB7" w:rsidP="001337BF">
            <w:pPr>
              <w:widowControl w:val="0"/>
              <w:jc w:val="both"/>
              <w:rPr>
                <w:b/>
                <w:sz w:val="20"/>
                <w:szCs w:val="20"/>
                <w:lang w:val="fr-CA"/>
              </w:rPr>
            </w:pPr>
            <w:r w:rsidRPr="00003B04">
              <w:rPr>
                <w:b/>
                <w:sz w:val="20"/>
                <w:szCs w:val="20"/>
                <w:lang w:val="fr-CA"/>
              </w:rPr>
              <w:t>Ville de Montréal</w:t>
            </w:r>
          </w:p>
          <w:p w:rsidR="001337BF" w:rsidRPr="00003B04" w:rsidRDefault="001337BF" w:rsidP="001337BF">
            <w:pPr>
              <w:widowControl w:val="0"/>
              <w:jc w:val="both"/>
              <w:rPr>
                <w:b/>
                <w:sz w:val="20"/>
                <w:szCs w:val="20"/>
                <w:lang w:val="fr-CA"/>
              </w:rPr>
            </w:pPr>
          </w:p>
          <w:p w:rsidR="001337BF" w:rsidRPr="00003B04" w:rsidRDefault="001337BF" w:rsidP="001337BF">
            <w:pPr>
              <w:widowControl w:val="0"/>
              <w:tabs>
                <w:tab w:val="left" w:pos="736"/>
              </w:tabs>
              <w:jc w:val="both"/>
              <w:rPr>
                <w:b/>
                <w:sz w:val="20"/>
                <w:szCs w:val="20"/>
                <w:lang w:val="fr-CA"/>
              </w:rPr>
            </w:pPr>
            <w:r w:rsidRPr="00003B04">
              <w:rPr>
                <w:b/>
                <w:sz w:val="20"/>
                <w:szCs w:val="20"/>
                <w:lang w:val="fr-CA"/>
              </w:rPr>
              <w:tab/>
              <w:t xml:space="preserve">v. </w:t>
            </w:r>
            <w:r w:rsidRPr="00003B04">
              <w:rPr>
                <w:sz w:val="20"/>
                <w:szCs w:val="20"/>
                <w:lang w:val="fr-CA"/>
              </w:rPr>
              <w:t>(</w:t>
            </w:r>
            <w:hyperlink r:id="rId125" w:history="1">
              <w:r w:rsidRPr="00003B04">
                <w:rPr>
                  <w:rStyle w:val="Hyperlink"/>
                  <w:sz w:val="20"/>
                  <w:szCs w:val="20"/>
                  <w:lang w:val="fr-CA"/>
                </w:rPr>
                <w:t>3</w:t>
              </w:r>
              <w:r w:rsidR="0064134F" w:rsidRPr="00003B04">
                <w:rPr>
                  <w:rStyle w:val="Hyperlink"/>
                  <w:sz w:val="20"/>
                  <w:szCs w:val="20"/>
                  <w:lang w:val="fr-CA"/>
                </w:rPr>
                <w:t>6752</w:t>
              </w:r>
            </w:hyperlink>
            <w:r w:rsidRPr="00003B04">
              <w:rPr>
                <w:sz w:val="20"/>
                <w:szCs w:val="20"/>
                <w:lang w:val="fr-CA"/>
              </w:rPr>
              <w:t>)</w:t>
            </w:r>
          </w:p>
          <w:p w:rsidR="001337BF" w:rsidRPr="00003B04" w:rsidRDefault="001337BF" w:rsidP="001337BF">
            <w:pPr>
              <w:widowControl w:val="0"/>
              <w:jc w:val="both"/>
              <w:rPr>
                <w:b/>
                <w:sz w:val="20"/>
                <w:szCs w:val="20"/>
                <w:lang w:val="fr-CA"/>
              </w:rPr>
            </w:pPr>
          </w:p>
          <w:p w:rsidR="001337BF" w:rsidRPr="00003B04" w:rsidRDefault="001D5CB7" w:rsidP="001337BF">
            <w:pPr>
              <w:widowControl w:val="0"/>
              <w:jc w:val="both"/>
              <w:rPr>
                <w:b/>
                <w:sz w:val="20"/>
                <w:szCs w:val="20"/>
                <w:lang w:val="fr-CA"/>
              </w:rPr>
            </w:pPr>
            <w:proofErr w:type="spellStart"/>
            <w:r w:rsidRPr="00003B04">
              <w:rPr>
                <w:b/>
                <w:sz w:val="20"/>
                <w:szCs w:val="20"/>
                <w:lang w:val="fr-CA"/>
              </w:rPr>
              <w:t>Nousla</w:t>
            </w:r>
            <w:proofErr w:type="spellEnd"/>
            <w:r w:rsidRPr="00003B04">
              <w:rPr>
                <w:b/>
                <w:sz w:val="20"/>
                <w:szCs w:val="20"/>
                <w:lang w:val="fr-CA"/>
              </w:rPr>
              <w:t xml:space="preserve"> Dorval et autres (</w:t>
            </w:r>
            <w:proofErr w:type="spellStart"/>
            <w:r w:rsidRPr="00003B04">
              <w:rPr>
                <w:b/>
                <w:sz w:val="20"/>
                <w:szCs w:val="20"/>
                <w:lang w:val="fr-CA"/>
              </w:rPr>
              <w:t>Qc</w:t>
            </w:r>
            <w:proofErr w:type="spellEnd"/>
            <w:r w:rsidRPr="00003B04">
              <w:rPr>
                <w:b/>
                <w:sz w:val="20"/>
                <w:szCs w:val="20"/>
                <w:lang w:val="fr-CA"/>
              </w:rPr>
              <w:t>) (Civile) (Autorisation)</w:t>
            </w:r>
          </w:p>
        </w:tc>
        <w:tc>
          <w:tcPr>
            <w:tcW w:w="720" w:type="dxa"/>
            <w:tcMar>
              <w:left w:w="0" w:type="dxa"/>
              <w:right w:w="0" w:type="dxa"/>
            </w:tcMar>
          </w:tcPr>
          <w:p w:rsidR="001337BF" w:rsidRPr="00003B04" w:rsidRDefault="001337BF" w:rsidP="001337BF">
            <w:pPr>
              <w:widowControl w:val="0"/>
              <w:jc w:val="center"/>
              <w:rPr>
                <w:sz w:val="20"/>
                <w:szCs w:val="20"/>
                <w:lang w:val="fr-CA"/>
              </w:rPr>
            </w:pPr>
          </w:p>
        </w:tc>
        <w:tc>
          <w:tcPr>
            <w:tcW w:w="4380" w:type="dxa"/>
            <w:tcMar>
              <w:left w:w="0" w:type="dxa"/>
              <w:right w:w="0" w:type="dxa"/>
            </w:tcMar>
          </w:tcPr>
          <w:p w:rsidR="001D5CB7" w:rsidRPr="00003B04" w:rsidRDefault="001D5CB7" w:rsidP="001D5CB7">
            <w:pPr>
              <w:rPr>
                <w:sz w:val="20"/>
                <w:szCs w:val="20"/>
                <w:lang w:val="fr-CA"/>
              </w:rPr>
            </w:pPr>
            <w:r w:rsidRPr="00003B04">
              <w:rPr>
                <w:sz w:val="20"/>
                <w:szCs w:val="20"/>
                <w:lang w:val="fr-CA"/>
              </w:rPr>
              <w:t>Pierre Yves Boisvert pour l’appelante.</w:t>
            </w:r>
          </w:p>
          <w:p w:rsidR="001D5CB7" w:rsidRPr="00003B04" w:rsidRDefault="001D5CB7" w:rsidP="001D5CB7">
            <w:pPr>
              <w:rPr>
                <w:sz w:val="20"/>
                <w:szCs w:val="20"/>
                <w:lang w:val="fr-CA"/>
              </w:rPr>
            </w:pPr>
          </w:p>
          <w:p w:rsidR="001337BF" w:rsidRPr="00003B04" w:rsidRDefault="001D5CB7" w:rsidP="001D5CB7">
            <w:pPr>
              <w:rPr>
                <w:sz w:val="20"/>
                <w:szCs w:val="20"/>
                <w:lang w:val="fr-CA"/>
              </w:rPr>
            </w:pPr>
            <w:r w:rsidRPr="00003B04">
              <w:rPr>
                <w:sz w:val="20"/>
                <w:szCs w:val="20"/>
                <w:lang w:val="fr-CA"/>
              </w:rPr>
              <w:t xml:space="preserve">Ronald </w:t>
            </w:r>
            <w:proofErr w:type="spellStart"/>
            <w:r w:rsidRPr="00003B04">
              <w:rPr>
                <w:sz w:val="20"/>
                <w:szCs w:val="20"/>
                <w:lang w:val="fr-CA"/>
              </w:rPr>
              <w:t>Silverson</w:t>
            </w:r>
            <w:proofErr w:type="spellEnd"/>
            <w:r w:rsidRPr="00003B04">
              <w:rPr>
                <w:sz w:val="20"/>
                <w:szCs w:val="20"/>
                <w:lang w:val="fr-CA"/>
              </w:rPr>
              <w:t>, François Joubert et Andrée-Ann Robert pour les intimés.</w:t>
            </w:r>
          </w:p>
        </w:tc>
      </w:tr>
    </w:tbl>
    <w:p w:rsidR="001337BF" w:rsidRPr="00003B04" w:rsidRDefault="001337BF" w:rsidP="001337BF">
      <w:pPr>
        <w:widowControl w:val="0"/>
        <w:rPr>
          <w:sz w:val="20"/>
          <w:szCs w:val="20"/>
          <w:lang w:val="fr-CA"/>
        </w:rPr>
      </w:pPr>
    </w:p>
    <w:p w:rsidR="001337BF" w:rsidRPr="00003B04" w:rsidRDefault="001337BF" w:rsidP="001337BF">
      <w:pPr>
        <w:rPr>
          <w:b/>
          <w:sz w:val="20"/>
          <w:szCs w:val="20"/>
        </w:rPr>
      </w:pPr>
      <w:r w:rsidRPr="00003B04">
        <w:rPr>
          <w:b/>
          <w:sz w:val="20"/>
          <w:szCs w:val="20"/>
        </w:rPr>
        <w:t>RESERVED / EN DÉLIBÉRÉ</w:t>
      </w:r>
    </w:p>
    <w:p w:rsidR="001337BF" w:rsidRPr="00003B04" w:rsidRDefault="001337BF" w:rsidP="001337BF">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1337BF" w:rsidRPr="00C3697D" w:rsidTr="001337BF">
        <w:tc>
          <w:tcPr>
            <w:tcW w:w="4380" w:type="dxa"/>
            <w:tcMar>
              <w:left w:w="0" w:type="dxa"/>
              <w:right w:w="0" w:type="dxa"/>
            </w:tcMar>
          </w:tcPr>
          <w:p w:rsidR="001337BF" w:rsidRPr="00003B04" w:rsidRDefault="001337BF" w:rsidP="001337BF">
            <w:pPr>
              <w:widowControl w:val="0"/>
              <w:jc w:val="both"/>
              <w:rPr>
                <w:b/>
                <w:sz w:val="20"/>
                <w:szCs w:val="20"/>
                <w:u w:val="single"/>
              </w:rPr>
            </w:pPr>
            <w:r w:rsidRPr="00003B04">
              <w:rPr>
                <w:lang w:val="en-US"/>
              </w:rPr>
              <w:br w:type="page"/>
            </w:r>
            <w:r w:rsidRPr="00003B04">
              <w:rPr>
                <w:b/>
                <w:sz w:val="20"/>
                <w:szCs w:val="20"/>
                <w:u w:val="single"/>
              </w:rPr>
              <w:t>Nature of the case:</w:t>
            </w:r>
          </w:p>
          <w:p w:rsidR="001337BF" w:rsidRPr="00003B04" w:rsidRDefault="001337BF" w:rsidP="001337BF">
            <w:pPr>
              <w:widowControl w:val="0"/>
              <w:jc w:val="both"/>
              <w:rPr>
                <w:b/>
                <w:sz w:val="20"/>
                <w:szCs w:val="20"/>
              </w:rPr>
            </w:pPr>
          </w:p>
          <w:p w:rsidR="001D5CB7" w:rsidRPr="00003B04" w:rsidRDefault="001D5CB7" w:rsidP="001D5CB7">
            <w:pPr>
              <w:widowControl w:val="0"/>
              <w:jc w:val="both"/>
              <w:rPr>
                <w:sz w:val="20"/>
                <w:szCs w:val="20"/>
              </w:rPr>
            </w:pPr>
            <w:r w:rsidRPr="00003B04">
              <w:rPr>
                <w:sz w:val="20"/>
                <w:szCs w:val="20"/>
              </w:rPr>
              <w:t xml:space="preserve">Criminal law - Defences - Alibi - Evidence - Similar fact evidence - Whether the trial judge erred in using the appellant’s disbelieved alibi as post-offence conduct supportive of guilt - Whether the trial judge erred by treating an incident of attempted wilful damage as similar fact evidence probative of the issue of identity. </w:t>
            </w:r>
          </w:p>
          <w:p w:rsidR="001337BF" w:rsidRPr="00003B04" w:rsidRDefault="001337BF" w:rsidP="001337BF">
            <w:pPr>
              <w:widowControl w:val="0"/>
              <w:jc w:val="both"/>
              <w:rPr>
                <w:sz w:val="20"/>
                <w:szCs w:val="20"/>
              </w:rPr>
            </w:pPr>
          </w:p>
        </w:tc>
        <w:tc>
          <w:tcPr>
            <w:tcW w:w="720" w:type="dxa"/>
            <w:tcMar>
              <w:left w:w="0" w:type="dxa"/>
              <w:right w:w="0" w:type="dxa"/>
            </w:tcMar>
          </w:tcPr>
          <w:p w:rsidR="001337BF" w:rsidRPr="00003B04" w:rsidRDefault="001337BF" w:rsidP="001337BF">
            <w:pPr>
              <w:widowControl w:val="0"/>
              <w:jc w:val="center"/>
              <w:rPr>
                <w:sz w:val="20"/>
                <w:szCs w:val="20"/>
              </w:rPr>
            </w:pPr>
          </w:p>
        </w:tc>
        <w:tc>
          <w:tcPr>
            <w:tcW w:w="4380" w:type="dxa"/>
            <w:tcMar>
              <w:left w:w="0" w:type="dxa"/>
              <w:right w:w="0" w:type="dxa"/>
            </w:tcMar>
          </w:tcPr>
          <w:p w:rsidR="001337BF" w:rsidRPr="00003B04" w:rsidRDefault="001337BF" w:rsidP="001337BF">
            <w:pPr>
              <w:widowControl w:val="0"/>
              <w:jc w:val="both"/>
              <w:rPr>
                <w:b/>
                <w:sz w:val="20"/>
                <w:szCs w:val="20"/>
                <w:u w:val="single"/>
                <w:lang w:val="fr-CA"/>
              </w:rPr>
            </w:pPr>
            <w:r w:rsidRPr="00003B04">
              <w:rPr>
                <w:b/>
                <w:sz w:val="20"/>
                <w:szCs w:val="20"/>
                <w:u w:val="single"/>
                <w:lang w:val="fr-CA"/>
              </w:rPr>
              <w:t>Nature de la cause :</w:t>
            </w:r>
          </w:p>
          <w:p w:rsidR="001337BF" w:rsidRPr="00003B04" w:rsidRDefault="001337BF" w:rsidP="001337BF">
            <w:pPr>
              <w:widowControl w:val="0"/>
              <w:jc w:val="both"/>
              <w:rPr>
                <w:sz w:val="20"/>
                <w:szCs w:val="20"/>
                <w:lang w:val="fr-CA"/>
              </w:rPr>
            </w:pPr>
          </w:p>
          <w:p w:rsidR="001D5CB7" w:rsidRPr="00003B04" w:rsidRDefault="001D5CB7" w:rsidP="001D5CB7">
            <w:pPr>
              <w:widowControl w:val="0"/>
              <w:jc w:val="both"/>
              <w:rPr>
                <w:sz w:val="20"/>
                <w:szCs w:val="20"/>
                <w:lang w:val="fr-CA"/>
              </w:rPr>
            </w:pPr>
            <w:r w:rsidRPr="00003B04">
              <w:rPr>
                <w:sz w:val="20"/>
                <w:szCs w:val="20"/>
                <w:lang w:val="fr-CA"/>
              </w:rPr>
              <w:t xml:space="preserve">Droit criminel - Moyens de défense - Alibi - Preuve - Preuve de faits similaires - Le juge du procès </w:t>
            </w:r>
            <w:proofErr w:type="spellStart"/>
            <w:r w:rsidRPr="00003B04">
              <w:rPr>
                <w:sz w:val="20"/>
                <w:szCs w:val="20"/>
                <w:lang w:val="fr-CA"/>
              </w:rPr>
              <w:t>a-t-il</w:t>
            </w:r>
            <w:proofErr w:type="spellEnd"/>
            <w:r w:rsidRPr="00003B04">
              <w:rPr>
                <w:sz w:val="20"/>
                <w:szCs w:val="20"/>
                <w:lang w:val="fr-CA"/>
              </w:rPr>
              <w:t xml:space="preserve"> commis une erreur en considérant l’alibi de l’appelant n’ayant pas été jugé digne de foi comme une preuve relative au comportement postérieur à l’infraction permettant d’appuyer une conclusion de culpabilité? - Le juge du procès </w:t>
            </w:r>
            <w:proofErr w:type="spellStart"/>
            <w:r w:rsidRPr="00003B04">
              <w:rPr>
                <w:sz w:val="20"/>
                <w:szCs w:val="20"/>
                <w:lang w:val="fr-CA"/>
              </w:rPr>
              <w:t>a-t-il</w:t>
            </w:r>
            <w:proofErr w:type="spellEnd"/>
            <w:r w:rsidRPr="00003B04">
              <w:rPr>
                <w:sz w:val="20"/>
                <w:szCs w:val="20"/>
                <w:lang w:val="fr-CA"/>
              </w:rPr>
              <w:t xml:space="preserve"> commis une erreur en assimilant la tentative de méfait à une preuve de fait similaire probante quant à question de l’identité?</w:t>
            </w:r>
          </w:p>
          <w:p w:rsidR="001337BF" w:rsidRPr="00003B04" w:rsidRDefault="001337BF" w:rsidP="001337BF">
            <w:pPr>
              <w:widowControl w:val="0"/>
              <w:jc w:val="both"/>
              <w:rPr>
                <w:sz w:val="20"/>
                <w:szCs w:val="20"/>
                <w:lang w:val="fr-CA"/>
              </w:rPr>
            </w:pPr>
          </w:p>
        </w:tc>
      </w:tr>
    </w:tbl>
    <w:p w:rsidR="001337BF" w:rsidRPr="00003B04" w:rsidRDefault="00604445" w:rsidP="001337BF">
      <w:pPr>
        <w:widowControl w:val="0"/>
        <w:rPr>
          <w:sz w:val="20"/>
          <w:szCs w:val="20"/>
          <w:lang w:val="fr-CA"/>
        </w:rPr>
      </w:pPr>
      <w:r>
        <w:rPr>
          <w:sz w:val="20"/>
          <w:szCs w:val="20"/>
          <w:lang w:val="fr-CA"/>
        </w:rPr>
        <w:pict>
          <v:rect id="_x0000_i1103" style="width:2in;height:1pt" o:hrpct="0" o:hralign="center" o:hrstd="t" o:hrnoshade="t" o:hr="t" fillcolor="black [3213]" stroked="f"/>
        </w:pict>
      </w:r>
    </w:p>
    <w:p w:rsidR="001337BF" w:rsidRPr="00003B04" w:rsidRDefault="001337BF" w:rsidP="00732DB7">
      <w:pPr>
        <w:widowControl w:val="0"/>
        <w:rPr>
          <w:sz w:val="20"/>
          <w:szCs w:val="20"/>
          <w:lang w:val="fr-CA"/>
        </w:rPr>
      </w:pPr>
    </w:p>
    <w:p w:rsidR="001337BF" w:rsidRPr="00003B04" w:rsidRDefault="001337BF" w:rsidP="00732DB7">
      <w:pPr>
        <w:widowControl w:val="0"/>
        <w:rPr>
          <w:sz w:val="20"/>
          <w:szCs w:val="20"/>
          <w:lang w:val="fr-CA"/>
        </w:rPr>
      </w:pPr>
    </w:p>
    <w:p w:rsidR="001337BF" w:rsidRPr="00003B04" w:rsidRDefault="001337BF" w:rsidP="00732DB7">
      <w:pPr>
        <w:widowControl w:val="0"/>
        <w:rPr>
          <w:sz w:val="20"/>
          <w:szCs w:val="20"/>
          <w:lang w:val="fr-CA"/>
        </w:rPr>
      </w:pPr>
    </w:p>
    <w:p w:rsidR="00732DB7" w:rsidRPr="00003B04" w:rsidRDefault="00732DB7" w:rsidP="00732DB7">
      <w:pPr>
        <w:widowControl w:val="0"/>
        <w:rPr>
          <w:sz w:val="20"/>
          <w:szCs w:val="20"/>
          <w:lang w:val="fr-CA"/>
        </w:rPr>
      </w:pPr>
    </w:p>
    <w:p w:rsidR="00732DB7" w:rsidRPr="00003B04" w:rsidRDefault="00732DB7" w:rsidP="00732DB7">
      <w:pPr>
        <w:widowControl w:val="0"/>
        <w:rPr>
          <w:sz w:val="20"/>
          <w:szCs w:val="20"/>
          <w:lang w:val="fr-CA"/>
        </w:rPr>
        <w:sectPr w:rsidR="00732DB7" w:rsidRPr="00003B04" w:rsidSect="00732DB7">
          <w:headerReference w:type="even" r:id="rId126"/>
          <w:headerReference w:type="default" r:id="rId127"/>
          <w:footerReference w:type="even" r:id="rId128"/>
          <w:footerReference w:type="default" r:id="rId129"/>
          <w:headerReference w:type="first" r:id="rId130"/>
          <w:footerReference w:type="first" r:id="rId131"/>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C3697D" w:rsidTr="0085476B">
        <w:tc>
          <w:tcPr>
            <w:tcW w:w="4200" w:type="dxa"/>
            <w:tcMar>
              <w:left w:w="0" w:type="dxa"/>
              <w:right w:w="0" w:type="dxa"/>
            </w:tcMar>
          </w:tcPr>
          <w:p w:rsidR="00FF6EEC" w:rsidRPr="00003B04" w:rsidRDefault="00FF6EEC" w:rsidP="0085476B">
            <w:pPr>
              <w:keepNext/>
              <w:keepLines/>
              <w:tabs>
                <w:tab w:val="left" w:pos="-1440"/>
                <w:tab w:val="left" w:pos="-720"/>
              </w:tabs>
              <w:rPr>
                <w:b/>
                <w:szCs w:val="24"/>
              </w:rPr>
            </w:pPr>
            <w:r w:rsidRPr="00003B04">
              <w:rPr>
                <w:b/>
                <w:szCs w:val="24"/>
              </w:rPr>
              <w:lastRenderedPageBreak/>
              <w:t>PRONOUNCEMENTS OF APPEALS</w:t>
            </w:r>
            <w:r w:rsidR="0085476B" w:rsidRPr="00003B04">
              <w:rPr>
                <w:b/>
                <w:szCs w:val="24"/>
              </w:rPr>
              <w:t xml:space="preserve"> </w:t>
            </w:r>
            <w:r w:rsidRPr="00003B04">
              <w:rPr>
                <w:b/>
                <w:szCs w:val="24"/>
              </w:rPr>
              <w:t>RESERVED</w:t>
            </w:r>
          </w:p>
          <w:p w:rsidR="00FF6EEC" w:rsidRPr="00003B04"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003B04"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003B04">
              <w:rPr>
                <w:b/>
                <w:szCs w:val="24"/>
              </w:rPr>
              <w:t>Reasons for judgment are available</w:t>
            </w:r>
          </w:p>
        </w:tc>
        <w:tc>
          <w:tcPr>
            <w:tcW w:w="1200" w:type="dxa"/>
            <w:tcMar>
              <w:left w:w="0" w:type="dxa"/>
              <w:right w:w="0" w:type="dxa"/>
            </w:tcMar>
          </w:tcPr>
          <w:p w:rsidR="00FF6EEC" w:rsidRPr="00003B04" w:rsidRDefault="00FF6EEC" w:rsidP="00FF6EEC">
            <w:pPr>
              <w:keepNext/>
              <w:keepLines/>
              <w:tabs>
                <w:tab w:val="left" w:pos="-1440"/>
                <w:tab w:val="left" w:pos="-720"/>
              </w:tabs>
              <w:jc w:val="center"/>
              <w:rPr>
                <w:b/>
                <w:szCs w:val="24"/>
              </w:rPr>
            </w:pPr>
          </w:p>
          <w:p w:rsidR="00FF6EEC" w:rsidRPr="00003B04" w:rsidRDefault="00FF6EEC" w:rsidP="00FF6EEC">
            <w:pPr>
              <w:keepNext/>
              <w:keepLines/>
              <w:tabs>
                <w:tab w:val="left" w:pos="-1440"/>
                <w:tab w:val="left" w:pos="-720"/>
              </w:tabs>
              <w:jc w:val="center"/>
              <w:rPr>
                <w:b/>
                <w:szCs w:val="24"/>
              </w:rPr>
            </w:pPr>
          </w:p>
          <w:p w:rsidR="00FF6EEC" w:rsidRPr="00003B04" w:rsidRDefault="00FF6EEC" w:rsidP="00FF6EEC">
            <w:pPr>
              <w:keepNext/>
              <w:keepLines/>
              <w:tabs>
                <w:tab w:val="left" w:pos="-1440"/>
                <w:tab w:val="left" w:pos="-720"/>
              </w:tabs>
              <w:jc w:val="center"/>
              <w:rPr>
                <w:b/>
                <w:szCs w:val="24"/>
              </w:rPr>
            </w:pPr>
          </w:p>
          <w:p w:rsidR="00FF6EEC" w:rsidRPr="00003B04" w:rsidRDefault="00FF6EEC" w:rsidP="00FF6EEC">
            <w:pPr>
              <w:keepNext/>
              <w:keepLines/>
              <w:tabs>
                <w:tab w:val="left" w:pos="-1440"/>
                <w:tab w:val="left" w:pos="-720"/>
              </w:tabs>
              <w:jc w:val="center"/>
              <w:rPr>
                <w:b/>
                <w:szCs w:val="24"/>
              </w:rPr>
            </w:pPr>
          </w:p>
          <w:p w:rsidR="00FF6EEC" w:rsidRPr="00003B04"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003B04" w:rsidRDefault="00FF6EEC" w:rsidP="00FF6EEC">
            <w:pPr>
              <w:keepNext/>
              <w:keepLines/>
              <w:tabs>
                <w:tab w:val="left" w:pos="-1440"/>
                <w:tab w:val="left" w:pos="-720"/>
              </w:tabs>
              <w:rPr>
                <w:b/>
                <w:szCs w:val="24"/>
                <w:lang w:val="fr-CA"/>
              </w:rPr>
            </w:pPr>
            <w:r w:rsidRPr="00003B04">
              <w:rPr>
                <w:b/>
                <w:szCs w:val="24"/>
                <w:lang w:val="fr-CA"/>
              </w:rPr>
              <w:t>JUGEMENTS RENDUS SUR LES APPELS EN DÉLIBÉRÉ</w:t>
            </w:r>
          </w:p>
          <w:p w:rsidR="00FF6EEC" w:rsidRPr="00003B04"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003B04"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003B04">
              <w:rPr>
                <w:b/>
                <w:szCs w:val="24"/>
                <w:lang w:val="fr-CA"/>
              </w:rPr>
              <w:t>Les motifs de jugement sont disponibles</w:t>
            </w:r>
          </w:p>
        </w:tc>
      </w:tr>
    </w:tbl>
    <w:p w:rsidR="00FF6EEC" w:rsidRPr="00003B04" w:rsidRDefault="00FF6EEC" w:rsidP="00FF6EEC">
      <w:pPr>
        <w:rPr>
          <w:b/>
          <w:sz w:val="20"/>
          <w:szCs w:val="20"/>
          <w:lang w:val="fr-CA"/>
        </w:rPr>
      </w:pPr>
    </w:p>
    <w:p w:rsidR="0052229C" w:rsidRPr="00003B04" w:rsidRDefault="000555BA" w:rsidP="0052229C">
      <w:pPr>
        <w:rPr>
          <w:b/>
          <w:sz w:val="20"/>
          <w:szCs w:val="20"/>
          <w:lang w:val="en-US"/>
        </w:rPr>
      </w:pPr>
      <w:r w:rsidRPr="00003B04">
        <w:rPr>
          <w:b/>
          <w:sz w:val="20"/>
          <w:szCs w:val="20"/>
          <w:lang w:val="en-US"/>
        </w:rPr>
        <w:t>FEBRUARY 23</w:t>
      </w:r>
      <w:r w:rsidR="0052229C" w:rsidRPr="00003B04">
        <w:rPr>
          <w:b/>
          <w:sz w:val="20"/>
          <w:szCs w:val="20"/>
          <w:lang w:val="en-US"/>
        </w:rPr>
        <w:t>, 201</w:t>
      </w:r>
      <w:r w:rsidR="0056248C" w:rsidRPr="00003B04">
        <w:rPr>
          <w:b/>
          <w:sz w:val="20"/>
          <w:szCs w:val="20"/>
          <w:lang w:val="en-US"/>
        </w:rPr>
        <w:t>7</w:t>
      </w:r>
      <w:r w:rsidR="0052229C" w:rsidRPr="00003B04">
        <w:rPr>
          <w:b/>
          <w:sz w:val="20"/>
          <w:szCs w:val="20"/>
          <w:lang w:val="en-US"/>
        </w:rPr>
        <w:t xml:space="preserve"> / LE </w:t>
      </w:r>
      <w:r w:rsidRPr="00003B04">
        <w:rPr>
          <w:b/>
          <w:sz w:val="20"/>
          <w:szCs w:val="20"/>
          <w:lang w:val="en-US"/>
        </w:rPr>
        <w:t>23 FÉVRIER</w:t>
      </w:r>
      <w:r w:rsidR="0052229C" w:rsidRPr="00003B04">
        <w:rPr>
          <w:b/>
          <w:sz w:val="20"/>
          <w:szCs w:val="20"/>
          <w:lang w:val="en-US"/>
        </w:rPr>
        <w:t xml:space="preserve"> 201</w:t>
      </w:r>
      <w:r w:rsidR="0056248C" w:rsidRPr="00003B04">
        <w:rPr>
          <w:b/>
          <w:sz w:val="20"/>
          <w:szCs w:val="20"/>
          <w:lang w:val="en-US"/>
        </w:rPr>
        <w:t>7</w:t>
      </w:r>
    </w:p>
    <w:p w:rsidR="0052229C" w:rsidRPr="00003B04" w:rsidRDefault="0052229C" w:rsidP="0052229C">
      <w:pPr>
        <w:rPr>
          <w:sz w:val="20"/>
          <w:szCs w:val="20"/>
          <w:lang w:val="en-US"/>
        </w:rPr>
      </w:pPr>
    </w:p>
    <w:p w:rsidR="0052229C" w:rsidRPr="00003B04" w:rsidRDefault="000E27A5" w:rsidP="0028414A">
      <w:pPr>
        <w:ind w:left="1440" w:hanging="1440"/>
        <w:jc w:val="both"/>
        <w:rPr>
          <w:sz w:val="20"/>
          <w:lang w:val="en-US"/>
        </w:rPr>
      </w:pPr>
      <w:r w:rsidRPr="00003B04">
        <w:rPr>
          <w:b/>
          <w:sz w:val="20"/>
        </w:rPr>
        <w:fldChar w:fldCharType="begin"/>
      </w:r>
      <w:r w:rsidR="0052229C" w:rsidRPr="00003B04">
        <w:rPr>
          <w:b/>
          <w:sz w:val="20"/>
          <w:lang w:val="en-US"/>
        </w:rPr>
        <w:instrText xml:space="preserve"> SEQ CHAPTER \h \r 1</w:instrText>
      </w:r>
      <w:r w:rsidRPr="00003B04">
        <w:rPr>
          <w:b/>
          <w:sz w:val="20"/>
        </w:rPr>
        <w:fldChar w:fldCharType="end"/>
      </w:r>
      <w:r w:rsidR="0028414A" w:rsidRPr="00003B04">
        <w:rPr>
          <w:b/>
          <w:sz w:val="20"/>
        </w:rPr>
        <w:t>36610</w:t>
      </w:r>
      <w:r w:rsidR="0052229C" w:rsidRPr="00003B04">
        <w:rPr>
          <w:sz w:val="20"/>
          <w:lang w:val="en-US"/>
        </w:rPr>
        <w:tab/>
      </w:r>
      <w:r w:rsidR="0028414A" w:rsidRPr="00003B04">
        <w:rPr>
          <w:b/>
          <w:sz w:val="20"/>
          <w:u w:val="single"/>
          <w:lang w:val="en-US"/>
        </w:rPr>
        <w:t xml:space="preserve">Carson Bingley v. Her Majesty </w:t>
      </w:r>
      <w:r w:rsidR="002002DB" w:rsidRPr="00003B04">
        <w:rPr>
          <w:b/>
          <w:sz w:val="20"/>
          <w:u w:val="single"/>
          <w:lang w:val="en-US"/>
        </w:rPr>
        <w:t>t</w:t>
      </w:r>
      <w:r w:rsidR="0028414A" w:rsidRPr="00003B04">
        <w:rPr>
          <w:b/>
          <w:sz w:val="20"/>
          <w:u w:val="single"/>
          <w:lang w:val="en-US"/>
        </w:rPr>
        <w:t>he Queen - and - Criminal Lawyers’ Association (Ontario) and Canadian Civil Liberties Association</w:t>
      </w:r>
      <w:r w:rsidR="0028414A" w:rsidRPr="00003B04">
        <w:rPr>
          <w:b/>
          <w:iCs/>
          <w:sz w:val="20"/>
          <w:u w:val="single"/>
          <w:lang w:val="en-US"/>
        </w:rPr>
        <w:t xml:space="preserve"> </w:t>
      </w:r>
      <w:r w:rsidR="0052229C" w:rsidRPr="00003B04">
        <w:rPr>
          <w:iCs/>
          <w:sz w:val="20"/>
          <w:lang w:val="en-US"/>
        </w:rPr>
        <w:t>(</w:t>
      </w:r>
      <w:r w:rsidR="0028414A" w:rsidRPr="00003B04">
        <w:rPr>
          <w:iCs/>
          <w:sz w:val="20"/>
          <w:lang w:val="en-US"/>
        </w:rPr>
        <w:t>Ont.</w:t>
      </w:r>
      <w:r w:rsidR="0052229C" w:rsidRPr="00003B04">
        <w:rPr>
          <w:iCs/>
          <w:sz w:val="20"/>
          <w:lang w:val="en-US"/>
        </w:rPr>
        <w:t>)</w:t>
      </w:r>
    </w:p>
    <w:p w:rsidR="0052229C" w:rsidRPr="00003B04"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en-US"/>
        </w:rPr>
      </w:pPr>
      <w:r w:rsidRPr="00003B04">
        <w:rPr>
          <w:b/>
          <w:sz w:val="20"/>
          <w:lang w:val="en-US"/>
        </w:rPr>
        <w:t>201</w:t>
      </w:r>
      <w:r w:rsidR="0056248C" w:rsidRPr="00003B04">
        <w:rPr>
          <w:b/>
          <w:sz w:val="20"/>
          <w:lang w:val="en-US"/>
        </w:rPr>
        <w:t>7</w:t>
      </w:r>
      <w:r w:rsidRPr="00003B04">
        <w:rPr>
          <w:b/>
          <w:sz w:val="20"/>
          <w:lang w:val="en-US"/>
        </w:rPr>
        <w:t xml:space="preserve"> SCC 1</w:t>
      </w:r>
      <w:r w:rsidR="0028414A" w:rsidRPr="00003B04">
        <w:rPr>
          <w:b/>
          <w:sz w:val="20"/>
          <w:lang w:val="en-US"/>
        </w:rPr>
        <w:t>2</w:t>
      </w:r>
      <w:r w:rsidRPr="00003B04">
        <w:rPr>
          <w:b/>
          <w:sz w:val="20"/>
          <w:lang w:val="en-US"/>
        </w:rPr>
        <w:t xml:space="preserve"> / 201</w:t>
      </w:r>
      <w:r w:rsidR="0056248C" w:rsidRPr="00003B04">
        <w:rPr>
          <w:b/>
          <w:sz w:val="20"/>
          <w:lang w:val="en-US"/>
        </w:rPr>
        <w:t>7</w:t>
      </w:r>
      <w:r w:rsidRPr="00003B04">
        <w:rPr>
          <w:b/>
          <w:sz w:val="20"/>
          <w:lang w:val="en-US"/>
        </w:rPr>
        <w:t xml:space="preserve"> CSC 1</w:t>
      </w:r>
      <w:r w:rsidR="0028414A" w:rsidRPr="00003B04">
        <w:rPr>
          <w:b/>
          <w:sz w:val="20"/>
          <w:lang w:val="en-US"/>
        </w:rPr>
        <w:t>2</w:t>
      </w:r>
    </w:p>
    <w:p w:rsidR="0052229C" w:rsidRPr="00003B04"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en-US"/>
        </w:rPr>
      </w:pPr>
    </w:p>
    <w:p w:rsidR="0056248C" w:rsidRPr="00003B04" w:rsidRDefault="0052229C" w:rsidP="0056248C">
      <w:pPr>
        <w:widowControl w:val="0"/>
        <w:ind w:left="720" w:hanging="720"/>
        <w:rPr>
          <w:sz w:val="20"/>
          <w:szCs w:val="20"/>
          <w:u w:val="single"/>
          <w:lang w:val="en-US"/>
        </w:rPr>
      </w:pPr>
      <w:r w:rsidRPr="00003B04">
        <w:rPr>
          <w:sz w:val="20"/>
          <w:lang w:val="en-US"/>
        </w:rPr>
        <w:t>Coram:</w:t>
      </w:r>
      <w:r w:rsidRPr="00003B04">
        <w:rPr>
          <w:sz w:val="20"/>
          <w:lang w:val="en-US"/>
        </w:rPr>
        <w:tab/>
      </w:r>
      <w:r w:rsidR="0028414A" w:rsidRPr="00003B04">
        <w:rPr>
          <w:sz w:val="20"/>
          <w:lang w:val="en-US"/>
        </w:rPr>
        <w:tab/>
      </w:r>
      <w:proofErr w:type="spellStart"/>
      <w:r w:rsidR="0028414A" w:rsidRPr="00003B04">
        <w:rPr>
          <w:sz w:val="20"/>
          <w:szCs w:val="20"/>
          <w:u w:val="single"/>
          <w:lang w:val="en-US"/>
        </w:rPr>
        <w:t>McLachlin</w:t>
      </w:r>
      <w:proofErr w:type="spellEnd"/>
      <w:r w:rsidR="0028414A" w:rsidRPr="00003B04">
        <w:rPr>
          <w:sz w:val="20"/>
          <w:szCs w:val="20"/>
          <w:u w:val="single"/>
          <w:lang w:val="en-US"/>
        </w:rPr>
        <w:t xml:space="preserve"> C.J. and </w:t>
      </w:r>
      <w:proofErr w:type="spellStart"/>
      <w:r w:rsidR="0028414A" w:rsidRPr="00003B04">
        <w:rPr>
          <w:sz w:val="20"/>
          <w:szCs w:val="20"/>
          <w:u w:val="single"/>
          <w:lang w:val="en-US"/>
        </w:rPr>
        <w:t>Abella</w:t>
      </w:r>
      <w:proofErr w:type="spellEnd"/>
      <w:r w:rsidR="0028414A" w:rsidRPr="00003B04">
        <w:rPr>
          <w:sz w:val="20"/>
          <w:szCs w:val="20"/>
          <w:u w:val="single"/>
          <w:lang w:val="en-US"/>
        </w:rPr>
        <w:t xml:space="preserve">, </w:t>
      </w:r>
      <w:proofErr w:type="spellStart"/>
      <w:r w:rsidR="0028414A" w:rsidRPr="00003B04">
        <w:rPr>
          <w:sz w:val="20"/>
          <w:szCs w:val="20"/>
          <w:u w:val="single"/>
          <w:lang w:val="en-US"/>
        </w:rPr>
        <w:t>Moldaver</w:t>
      </w:r>
      <w:proofErr w:type="spellEnd"/>
      <w:r w:rsidR="0028414A" w:rsidRPr="00003B04">
        <w:rPr>
          <w:sz w:val="20"/>
          <w:szCs w:val="20"/>
          <w:u w:val="single"/>
          <w:lang w:val="en-US"/>
        </w:rPr>
        <w:t xml:space="preserve">, </w:t>
      </w:r>
      <w:proofErr w:type="spellStart"/>
      <w:r w:rsidR="0028414A" w:rsidRPr="00003B04">
        <w:rPr>
          <w:sz w:val="20"/>
          <w:szCs w:val="20"/>
          <w:u w:val="single"/>
          <w:lang w:val="en-US"/>
        </w:rPr>
        <w:t>Karakatsanis</w:t>
      </w:r>
      <w:proofErr w:type="spellEnd"/>
      <w:r w:rsidR="0028414A" w:rsidRPr="00003B04">
        <w:rPr>
          <w:sz w:val="20"/>
          <w:szCs w:val="20"/>
          <w:u w:val="single"/>
          <w:lang w:val="en-US"/>
        </w:rPr>
        <w:t xml:space="preserve">, </w:t>
      </w:r>
      <w:proofErr w:type="spellStart"/>
      <w:r w:rsidR="0028414A" w:rsidRPr="00003B04">
        <w:rPr>
          <w:sz w:val="20"/>
          <w:szCs w:val="20"/>
          <w:u w:val="single"/>
          <w:lang w:val="en-US"/>
        </w:rPr>
        <w:t>Gascon</w:t>
      </w:r>
      <w:proofErr w:type="spellEnd"/>
      <w:r w:rsidR="0028414A" w:rsidRPr="00003B04">
        <w:rPr>
          <w:sz w:val="20"/>
          <w:szCs w:val="20"/>
          <w:u w:val="single"/>
          <w:lang w:val="en-US"/>
        </w:rPr>
        <w:t xml:space="preserve">, </w:t>
      </w:r>
      <w:proofErr w:type="spellStart"/>
      <w:r w:rsidR="0028414A" w:rsidRPr="00003B04">
        <w:rPr>
          <w:sz w:val="20"/>
          <w:szCs w:val="20"/>
          <w:u w:val="single"/>
          <w:lang w:val="en-US"/>
        </w:rPr>
        <w:t>Côté</w:t>
      </w:r>
      <w:proofErr w:type="spellEnd"/>
      <w:r w:rsidR="0028414A" w:rsidRPr="00003B04">
        <w:rPr>
          <w:sz w:val="20"/>
          <w:szCs w:val="20"/>
          <w:u w:val="single"/>
          <w:lang w:val="en-US"/>
        </w:rPr>
        <w:t xml:space="preserve"> and Brown JJ.</w:t>
      </w:r>
    </w:p>
    <w:p w:rsidR="0052229C" w:rsidRPr="00003B04" w:rsidRDefault="0052229C" w:rsidP="0052229C">
      <w:pPr>
        <w:ind w:left="1440" w:hanging="1440"/>
        <w:rPr>
          <w:sz w:val="16"/>
          <w:u w:val="single"/>
          <w:lang w:val="en-US"/>
        </w:rPr>
      </w:pPr>
    </w:p>
    <w:p w:rsidR="0028414A" w:rsidRPr="00003B04" w:rsidRDefault="0028414A" w:rsidP="0028414A">
      <w:pPr>
        <w:jc w:val="both"/>
        <w:rPr>
          <w:sz w:val="20"/>
          <w:szCs w:val="20"/>
          <w:lang w:val="fr-CA"/>
        </w:rPr>
      </w:pPr>
      <w:r w:rsidRPr="00003B04">
        <w:rPr>
          <w:sz w:val="20"/>
          <w:szCs w:val="20"/>
        </w:rPr>
        <w:t xml:space="preserve">The appeal from the judgment of the Court of Appeal for Ontario, Number C58943, 2015 ONCA 439, dated June 17, 2015, heard on October 13, 2016, is dismissed  and the order of the Ontario Court of Appeal for a new trial is confirmed. </w:t>
      </w:r>
      <w:proofErr w:type="spellStart"/>
      <w:r w:rsidRPr="00003B04">
        <w:rPr>
          <w:sz w:val="20"/>
          <w:szCs w:val="20"/>
          <w:lang w:val="fr-CA"/>
        </w:rPr>
        <w:t>Karakatsanis</w:t>
      </w:r>
      <w:proofErr w:type="spellEnd"/>
      <w:r w:rsidRPr="00003B04">
        <w:rPr>
          <w:sz w:val="20"/>
          <w:szCs w:val="20"/>
          <w:lang w:val="fr-CA"/>
        </w:rPr>
        <w:t xml:space="preserve"> and Gascon JJ. </w:t>
      </w:r>
      <w:proofErr w:type="gramStart"/>
      <w:r w:rsidRPr="00003B04">
        <w:rPr>
          <w:sz w:val="20"/>
          <w:szCs w:val="20"/>
          <w:lang w:val="fr-CA"/>
        </w:rPr>
        <w:t>dissent</w:t>
      </w:r>
      <w:proofErr w:type="gramEnd"/>
      <w:r w:rsidRPr="00003B04">
        <w:rPr>
          <w:sz w:val="20"/>
          <w:szCs w:val="20"/>
          <w:lang w:val="fr-CA"/>
        </w:rPr>
        <w:t xml:space="preserve">. </w:t>
      </w:r>
    </w:p>
    <w:p w:rsidR="0052229C" w:rsidRPr="00003B04" w:rsidRDefault="0052229C" w:rsidP="0052229C">
      <w:pPr>
        <w:jc w:val="both"/>
        <w:rPr>
          <w:rFonts w:eastAsia="Calibri"/>
          <w:sz w:val="20"/>
          <w:lang w:val="fr-CA"/>
        </w:rPr>
      </w:pPr>
    </w:p>
    <w:p w:rsidR="0028414A" w:rsidRPr="00003B04" w:rsidRDefault="0028414A" w:rsidP="0028414A">
      <w:pPr>
        <w:jc w:val="both"/>
        <w:rPr>
          <w:sz w:val="20"/>
          <w:szCs w:val="20"/>
          <w:lang w:val="fr-CA"/>
        </w:rPr>
      </w:pPr>
      <w:r w:rsidRPr="00003B04">
        <w:rPr>
          <w:sz w:val="20"/>
          <w:szCs w:val="20"/>
          <w:lang w:val="fr-CA"/>
        </w:rPr>
        <w:t xml:space="preserve">L’appel interjeté contre l’arrêt de la Cour d’appel de l’Ontario, numéro C58943, 2015 ONCA 439, daté du 17 juin 2015, entendu le 13 octobre 2016, est rejeté et l’ordonnance de la Cour d’appel de l’Ontario intimant la tenue d’un nouveau procès est confirmée. Les juges </w:t>
      </w:r>
      <w:proofErr w:type="spellStart"/>
      <w:r w:rsidRPr="00003B04">
        <w:rPr>
          <w:sz w:val="20"/>
          <w:szCs w:val="20"/>
          <w:lang w:val="fr-CA"/>
        </w:rPr>
        <w:t>Karakatsanis</w:t>
      </w:r>
      <w:proofErr w:type="spellEnd"/>
      <w:r w:rsidRPr="00003B04">
        <w:rPr>
          <w:sz w:val="20"/>
          <w:szCs w:val="20"/>
          <w:lang w:val="fr-CA"/>
        </w:rPr>
        <w:t xml:space="preserve"> et Gascon sont dissidents.</w:t>
      </w:r>
    </w:p>
    <w:p w:rsidR="0052229C" w:rsidRPr="00003B04" w:rsidRDefault="0052229C" w:rsidP="0052229C">
      <w:pPr>
        <w:rPr>
          <w:sz w:val="20"/>
          <w:szCs w:val="20"/>
        </w:rPr>
      </w:pPr>
    </w:p>
    <w:p w:rsidR="0052229C" w:rsidRPr="00003B04" w:rsidRDefault="00604445" w:rsidP="0052229C">
      <w:pPr>
        <w:spacing w:line="0" w:lineRule="atLeast"/>
        <w:rPr>
          <w:sz w:val="20"/>
          <w:szCs w:val="20"/>
        </w:rPr>
      </w:pPr>
      <w:r>
        <w:rPr>
          <w:b/>
          <w:sz w:val="20"/>
          <w:szCs w:val="20"/>
        </w:rPr>
        <w:pict>
          <v:rect id="_x0000_i1106" style="width:144.3pt;height:1pt" o:hrpct="300" o:hralign="center" o:hrstd="t" o:hrnoshade="t" o:hr="t" fillcolor="black [3213]" stroked="f"/>
        </w:pict>
      </w:r>
    </w:p>
    <w:p w:rsidR="0052229C" w:rsidRPr="00003B04" w:rsidRDefault="0052229C" w:rsidP="0052229C">
      <w:pPr>
        <w:spacing w:line="0" w:lineRule="atLeast"/>
        <w:rPr>
          <w:sz w:val="20"/>
          <w:szCs w:val="20"/>
        </w:rPr>
      </w:pPr>
    </w:p>
    <w:p w:rsidR="00D004FC" w:rsidRPr="00003B04" w:rsidRDefault="001D4700" w:rsidP="00D004FC">
      <w:pPr>
        <w:jc w:val="both"/>
        <w:rPr>
          <w:rFonts w:cs="Times New Roman"/>
          <w:b/>
          <w:sz w:val="20"/>
          <w:szCs w:val="20"/>
        </w:rPr>
      </w:pPr>
      <w:r w:rsidRPr="00003B04">
        <w:rPr>
          <w:rFonts w:cs="Times New Roman"/>
          <w:b/>
          <w:sz w:val="20"/>
          <w:szCs w:val="20"/>
        </w:rPr>
        <w:t>FEBRUARY 24, 2017 / LE 24 FÉVRIER 2017</w:t>
      </w:r>
    </w:p>
    <w:p w:rsidR="001D4700" w:rsidRPr="00003B04" w:rsidRDefault="001D4700" w:rsidP="00D004FC">
      <w:pPr>
        <w:jc w:val="both"/>
        <w:rPr>
          <w:rFonts w:cs="Times New Roman"/>
          <w:b/>
          <w:sz w:val="20"/>
          <w:szCs w:val="20"/>
        </w:rPr>
      </w:pPr>
    </w:p>
    <w:p w:rsidR="001C33CB" w:rsidRPr="00003B04" w:rsidRDefault="001C33CB" w:rsidP="00226D8B">
      <w:pPr>
        <w:ind w:left="1440" w:hanging="1440"/>
        <w:jc w:val="both"/>
        <w:rPr>
          <w:sz w:val="20"/>
        </w:rPr>
      </w:pPr>
      <w:r w:rsidRPr="00003B04">
        <w:rPr>
          <w:b/>
          <w:sz w:val="20"/>
        </w:rPr>
        <w:fldChar w:fldCharType="begin"/>
      </w:r>
      <w:r w:rsidRPr="00003B04">
        <w:rPr>
          <w:b/>
          <w:sz w:val="20"/>
        </w:rPr>
        <w:instrText xml:space="preserve"> SEQ CHAPTER \h \r 1</w:instrText>
      </w:r>
      <w:r w:rsidRPr="00003B04">
        <w:rPr>
          <w:b/>
          <w:sz w:val="20"/>
        </w:rPr>
        <w:fldChar w:fldCharType="end"/>
      </w:r>
      <w:r w:rsidRPr="00003B04">
        <w:rPr>
          <w:b/>
          <w:sz w:val="20"/>
        </w:rPr>
        <w:t>36865</w:t>
      </w:r>
      <w:r w:rsidRPr="00003B04">
        <w:rPr>
          <w:color w:val="FF0000"/>
          <w:sz w:val="20"/>
        </w:rPr>
        <w:tab/>
      </w:r>
      <w:r w:rsidRPr="00003B04">
        <w:rPr>
          <w:b/>
          <w:iCs/>
          <w:sz w:val="20"/>
          <w:u w:val="single"/>
        </w:rPr>
        <w:t>Jeremy James Peers v. Her Majesty the Queen (Alberta Securities Commission) - and - Attorney General of Canada, Attorney General of Ontario, Attorney General of Quebec, Attorney General of Alberta, Canadian Constitution Foundation, Ontario Securities Commission, British Columbia Civil Liberties Association</w:t>
      </w:r>
      <w:r w:rsidR="00226D8B" w:rsidRPr="00003B04">
        <w:rPr>
          <w:b/>
          <w:iCs/>
          <w:sz w:val="20"/>
          <w:u w:val="single"/>
        </w:rPr>
        <w:t xml:space="preserve"> </w:t>
      </w:r>
      <w:r w:rsidRPr="00003B04">
        <w:rPr>
          <w:b/>
          <w:iCs/>
          <w:sz w:val="20"/>
          <w:u w:val="single"/>
        </w:rPr>
        <w:t xml:space="preserve">and Canadian Civil Liberties Association </w:t>
      </w:r>
      <w:r w:rsidRPr="00003B04">
        <w:rPr>
          <w:iCs/>
          <w:sz w:val="20"/>
        </w:rPr>
        <w:t>(Alta.)</w:t>
      </w:r>
    </w:p>
    <w:p w:rsidR="001C33CB" w:rsidRPr="00003B04" w:rsidRDefault="001C33CB" w:rsidP="001C33CB">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003B04">
        <w:rPr>
          <w:b/>
          <w:sz w:val="20"/>
        </w:rPr>
        <w:t>2017 SCC 13 / 2017 CSC 13</w:t>
      </w:r>
    </w:p>
    <w:p w:rsidR="001C33CB" w:rsidRPr="00003B04" w:rsidRDefault="001C33CB" w:rsidP="001C33CB">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1C33CB" w:rsidRPr="00003B04" w:rsidRDefault="001C33CB" w:rsidP="001C33CB">
      <w:pPr>
        <w:ind w:left="1440" w:hanging="1440"/>
        <w:rPr>
          <w:sz w:val="20"/>
        </w:rPr>
      </w:pPr>
      <w:r w:rsidRPr="00003B04">
        <w:rPr>
          <w:sz w:val="20"/>
        </w:rPr>
        <w:t>Coram:</w:t>
      </w:r>
      <w:r w:rsidRPr="00003B04">
        <w:rPr>
          <w:sz w:val="20"/>
        </w:rPr>
        <w:tab/>
      </w:r>
      <w:proofErr w:type="spellStart"/>
      <w:r w:rsidRPr="00003B04">
        <w:rPr>
          <w:sz w:val="20"/>
          <w:u w:val="single"/>
        </w:rPr>
        <w:t>McLachlin</w:t>
      </w:r>
      <w:proofErr w:type="spellEnd"/>
      <w:r w:rsidRPr="00003B04">
        <w:rPr>
          <w:sz w:val="20"/>
          <w:u w:val="single"/>
        </w:rPr>
        <w:t xml:space="preserve"> C.J. and </w:t>
      </w:r>
      <w:proofErr w:type="spellStart"/>
      <w:r w:rsidRPr="00003B04">
        <w:rPr>
          <w:sz w:val="20"/>
          <w:u w:val="single"/>
        </w:rPr>
        <w:t>Abella</w:t>
      </w:r>
      <w:proofErr w:type="spellEnd"/>
      <w:r w:rsidRPr="00003B04">
        <w:rPr>
          <w:sz w:val="20"/>
          <w:u w:val="single"/>
        </w:rPr>
        <w:t xml:space="preserve">, </w:t>
      </w:r>
      <w:proofErr w:type="spellStart"/>
      <w:r w:rsidRPr="00003B04">
        <w:rPr>
          <w:sz w:val="20"/>
          <w:u w:val="single"/>
        </w:rPr>
        <w:t>Moldaver</w:t>
      </w:r>
      <w:proofErr w:type="spellEnd"/>
      <w:r w:rsidRPr="00003B04">
        <w:rPr>
          <w:sz w:val="20"/>
          <w:u w:val="single"/>
        </w:rPr>
        <w:t xml:space="preserve">, </w:t>
      </w:r>
      <w:proofErr w:type="spellStart"/>
      <w:r w:rsidRPr="00003B04">
        <w:rPr>
          <w:sz w:val="20"/>
          <w:u w:val="single"/>
        </w:rPr>
        <w:t>Karakatsanis</w:t>
      </w:r>
      <w:proofErr w:type="spellEnd"/>
      <w:r w:rsidRPr="00003B04">
        <w:rPr>
          <w:sz w:val="20"/>
          <w:u w:val="single"/>
        </w:rPr>
        <w:t xml:space="preserve">, Wagner, </w:t>
      </w:r>
      <w:proofErr w:type="spellStart"/>
      <w:r w:rsidRPr="00003B04">
        <w:rPr>
          <w:sz w:val="20"/>
          <w:u w:val="single"/>
        </w:rPr>
        <w:t>Gascon</w:t>
      </w:r>
      <w:proofErr w:type="spellEnd"/>
      <w:r w:rsidRPr="00003B04">
        <w:rPr>
          <w:sz w:val="20"/>
          <w:u w:val="single"/>
        </w:rPr>
        <w:t xml:space="preserve">, </w:t>
      </w:r>
      <w:proofErr w:type="spellStart"/>
      <w:r w:rsidRPr="00003B04">
        <w:rPr>
          <w:sz w:val="20"/>
          <w:u w:val="single"/>
        </w:rPr>
        <w:t>Côté</w:t>
      </w:r>
      <w:proofErr w:type="spellEnd"/>
      <w:r w:rsidRPr="00003B04">
        <w:rPr>
          <w:sz w:val="20"/>
          <w:u w:val="single"/>
        </w:rPr>
        <w:t>, Brown and Rowe JJ.</w:t>
      </w:r>
    </w:p>
    <w:p w:rsidR="001C33CB" w:rsidRPr="00003B04" w:rsidRDefault="001C33CB" w:rsidP="001C33CB">
      <w:pPr>
        <w:ind w:left="1440" w:hanging="1440"/>
        <w:rPr>
          <w:sz w:val="20"/>
        </w:rPr>
      </w:pPr>
    </w:p>
    <w:p w:rsidR="001C33CB" w:rsidRPr="00003B04" w:rsidRDefault="001C33CB" w:rsidP="001C33CB">
      <w:pPr>
        <w:jc w:val="both"/>
        <w:rPr>
          <w:sz w:val="20"/>
        </w:rPr>
      </w:pPr>
      <w:r w:rsidRPr="00003B04">
        <w:rPr>
          <w:sz w:val="20"/>
        </w:rPr>
        <w:t>The appeal from the judgment of the Court of Appeal of Alberta (Edmonton), Number 1503-0076A, 2015 ABCA 407, dated December 21, 2015, was heard on February 14, 2017, and the Court on February 24, 2017, delivered the following judgment:</w:t>
      </w:r>
    </w:p>
    <w:p w:rsidR="001C33CB" w:rsidRPr="00003B04" w:rsidRDefault="001C33CB" w:rsidP="001C33CB">
      <w:pPr>
        <w:jc w:val="both"/>
        <w:rPr>
          <w:sz w:val="20"/>
        </w:rPr>
      </w:pPr>
    </w:p>
    <w:p w:rsidR="001C33CB" w:rsidRPr="00003B04" w:rsidRDefault="001C33CB" w:rsidP="001C33CB">
      <w:pPr>
        <w:jc w:val="both"/>
        <w:rPr>
          <w:sz w:val="20"/>
          <w:lang w:eastAsia="en-CA"/>
        </w:rPr>
      </w:pPr>
      <w:r w:rsidRPr="00003B04">
        <w:rPr>
          <w:smallCaps/>
          <w:sz w:val="20"/>
        </w:rPr>
        <w:t xml:space="preserve">The Court </w:t>
      </w:r>
      <w:r w:rsidRPr="00003B04">
        <w:rPr>
          <w:sz w:val="20"/>
        </w:rPr>
        <w:t xml:space="preserve">— </w:t>
      </w:r>
      <w:proofErr w:type="gramStart"/>
      <w:r w:rsidRPr="00003B04">
        <w:rPr>
          <w:sz w:val="20"/>
        </w:rPr>
        <w:t>The</w:t>
      </w:r>
      <w:proofErr w:type="gramEnd"/>
      <w:r w:rsidRPr="00003B04">
        <w:rPr>
          <w:sz w:val="20"/>
        </w:rPr>
        <w:t xml:space="preserve"> appeal is dismissed. We conclude that the appellant was not entitled to a trial by jury, substantially for the reasons of the majority of the Court of Appeal, 2015 ABCA 407, 609 A.R. 352.</w:t>
      </w:r>
    </w:p>
    <w:p w:rsidR="001C33CB" w:rsidRPr="00003B04" w:rsidRDefault="001C33CB" w:rsidP="001C33CB">
      <w:pPr>
        <w:ind w:left="1440" w:hanging="1440"/>
        <w:rPr>
          <w:sz w:val="20"/>
        </w:rPr>
      </w:pPr>
    </w:p>
    <w:p w:rsidR="001C33CB" w:rsidRPr="00003B04" w:rsidRDefault="001C33CB" w:rsidP="001C33CB">
      <w:pPr>
        <w:ind w:left="1440" w:hanging="1440"/>
        <w:rPr>
          <w:sz w:val="20"/>
        </w:rPr>
      </w:pPr>
    </w:p>
    <w:p w:rsidR="001C33CB" w:rsidRPr="00003B04" w:rsidRDefault="001C33CB" w:rsidP="001C33CB">
      <w:pPr>
        <w:jc w:val="both"/>
        <w:rPr>
          <w:sz w:val="20"/>
          <w:lang w:val="fr-CA"/>
        </w:rPr>
      </w:pPr>
      <w:r w:rsidRPr="00003B04">
        <w:rPr>
          <w:sz w:val="20"/>
          <w:lang w:val="fr-CA"/>
        </w:rPr>
        <w:t>L’appel interjeté contre l’arrêt de la Cour d’appel de l’Alberta (Edmonton), numéro 1503-0076A, 2015 ABCA 407, daté du 21 décembre 2015, a été entendu le 14 février 2017, et la Cour a rendu le jugement suivant le 24 février 2017 :</w:t>
      </w:r>
    </w:p>
    <w:p w:rsidR="001C33CB" w:rsidRPr="00003B04" w:rsidRDefault="001C33CB" w:rsidP="001C33CB">
      <w:pPr>
        <w:jc w:val="both"/>
        <w:rPr>
          <w:sz w:val="20"/>
          <w:lang w:val="fr-CA"/>
        </w:rPr>
      </w:pPr>
    </w:p>
    <w:p w:rsidR="001C33CB" w:rsidRPr="00003B04" w:rsidRDefault="001C33CB" w:rsidP="001C33CB">
      <w:pPr>
        <w:rPr>
          <w:sz w:val="20"/>
          <w:lang w:val="fr-CA"/>
        </w:rPr>
      </w:pPr>
      <w:r w:rsidRPr="00003B04">
        <w:rPr>
          <w:smallCaps/>
          <w:sz w:val="20"/>
          <w:lang w:val="fr-CA"/>
        </w:rPr>
        <w:t>La Cour</w:t>
      </w:r>
      <w:r w:rsidRPr="00003B04">
        <w:rPr>
          <w:sz w:val="20"/>
          <w:lang w:val="fr-CA"/>
        </w:rPr>
        <w:t xml:space="preserve"> — L’appel est rejeté. Nous concluons que l’appelant n’avait pas droit à un procès devant jury, essentiellement pour les motifs exposés par les juges de la majorité en Cour d’appel, 2015 ABCA 407, 609 A.R. 352.</w:t>
      </w:r>
    </w:p>
    <w:p w:rsidR="001C33CB" w:rsidRPr="00003B04" w:rsidRDefault="001C33CB" w:rsidP="001C33CB">
      <w:pPr>
        <w:rPr>
          <w:sz w:val="20"/>
          <w:lang w:val="fr-CA"/>
        </w:rPr>
      </w:pPr>
    </w:p>
    <w:p w:rsidR="001C33CB" w:rsidRPr="00003B04" w:rsidRDefault="00604445" w:rsidP="001C33CB">
      <w:pPr>
        <w:rPr>
          <w:sz w:val="20"/>
          <w:lang w:val="fr-CA"/>
        </w:rPr>
      </w:pPr>
      <w:r>
        <w:rPr>
          <w:b/>
          <w:sz w:val="20"/>
          <w:szCs w:val="20"/>
        </w:rPr>
        <w:pict>
          <v:rect id="_x0000_i1107" style="width:144.3pt;height:1pt" o:hrpct="300" o:hralign="center" o:hrstd="t" o:hrnoshade="t" o:hr="t" fillcolor="black [3213]" stroked="f"/>
        </w:pict>
      </w:r>
    </w:p>
    <w:p w:rsidR="001C33CB" w:rsidRPr="00003B04" w:rsidRDefault="001C33CB" w:rsidP="001C33CB">
      <w:pPr>
        <w:ind w:left="1440" w:hanging="1440"/>
        <w:rPr>
          <w:sz w:val="20"/>
          <w:lang w:val="fr-CA"/>
        </w:rPr>
      </w:pPr>
    </w:p>
    <w:p w:rsidR="001C33CB" w:rsidRPr="00003B04" w:rsidRDefault="001C33CB">
      <w:pPr>
        <w:rPr>
          <w:b/>
          <w:sz w:val="20"/>
        </w:rPr>
      </w:pPr>
      <w:r w:rsidRPr="00003B04">
        <w:rPr>
          <w:b/>
          <w:sz w:val="20"/>
        </w:rPr>
        <w:br w:type="page"/>
      </w:r>
    </w:p>
    <w:p w:rsidR="001C33CB" w:rsidRPr="00003B04" w:rsidRDefault="001C33CB" w:rsidP="001C33CB">
      <w:pPr>
        <w:ind w:left="1440" w:hanging="1440"/>
        <w:jc w:val="both"/>
        <w:rPr>
          <w:sz w:val="20"/>
        </w:rPr>
      </w:pPr>
      <w:r w:rsidRPr="00003B04">
        <w:rPr>
          <w:b/>
          <w:sz w:val="20"/>
        </w:rPr>
        <w:lastRenderedPageBreak/>
        <w:fldChar w:fldCharType="begin"/>
      </w:r>
      <w:r w:rsidRPr="00003B04">
        <w:rPr>
          <w:b/>
          <w:sz w:val="20"/>
        </w:rPr>
        <w:instrText xml:space="preserve"> SEQ CHAPTER \h \r 1</w:instrText>
      </w:r>
      <w:r w:rsidRPr="00003B04">
        <w:rPr>
          <w:b/>
          <w:sz w:val="20"/>
        </w:rPr>
        <w:fldChar w:fldCharType="end"/>
      </w:r>
      <w:r w:rsidRPr="00003B04">
        <w:rPr>
          <w:b/>
          <w:sz w:val="20"/>
        </w:rPr>
        <w:t>36866</w:t>
      </w:r>
      <w:r w:rsidRPr="00003B04">
        <w:rPr>
          <w:color w:val="FF0000"/>
          <w:sz w:val="20"/>
        </w:rPr>
        <w:tab/>
      </w:r>
      <w:r w:rsidRPr="00003B04">
        <w:rPr>
          <w:b/>
          <w:iCs/>
          <w:sz w:val="20"/>
          <w:u w:val="single"/>
        </w:rPr>
        <w:t xml:space="preserve">Ronald James Aitkens v. Her Majesty the Queen (Alberta Securities Commission) - and - Attorney General of Canada, Attorney General of Ontario, Attorney General of Quebec, Attorney General of Alberta, Canadian Constitution Foundation and Ontario Securities Commission </w:t>
      </w:r>
      <w:r w:rsidRPr="00003B04">
        <w:rPr>
          <w:iCs/>
          <w:sz w:val="20"/>
        </w:rPr>
        <w:t>(Alta.)</w:t>
      </w:r>
    </w:p>
    <w:p w:rsidR="001C33CB" w:rsidRPr="00003B04" w:rsidRDefault="001C33CB" w:rsidP="001C33CB">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003B04">
        <w:rPr>
          <w:b/>
          <w:sz w:val="20"/>
        </w:rPr>
        <w:t>2017 SCC 14 / 2017 CSC 14</w:t>
      </w:r>
    </w:p>
    <w:p w:rsidR="001C33CB" w:rsidRPr="00003B04" w:rsidRDefault="001C33CB" w:rsidP="001C33CB">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1C33CB" w:rsidRPr="00003B04" w:rsidRDefault="001C33CB" w:rsidP="001C33CB">
      <w:pPr>
        <w:ind w:left="1440" w:hanging="1440"/>
        <w:rPr>
          <w:sz w:val="20"/>
        </w:rPr>
      </w:pPr>
      <w:r w:rsidRPr="00003B04">
        <w:rPr>
          <w:sz w:val="20"/>
        </w:rPr>
        <w:t>Coram:</w:t>
      </w:r>
      <w:r w:rsidRPr="00003B04">
        <w:rPr>
          <w:sz w:val="20"/>
        </w:rPr>
        <w:tab/>
      </w:r>
      <w:proofErr w:type="spellStart"/>
      <w:r w:rsidRPr="00003B04">
        <w:rPr>
          <w:sz w:val="20"/>
          <w:u w:val="single"/>
        </w:rPr>
        <w:t>McLachlin</w:t>
      </w:r>
      <w:proofErr w:type="spellEnd"/>
      <w:r w:rsidRPr="00003B04">
        <w:rPr>
          <w:sz w:val="20"/>
          <w:u w:val="single"/>
        </w:rPr>
        <w:t xml:space="preserve"> C.J. and </w:t>
      </w:r>
      <w:proofErr w:type="spellStart"/>
      <w:r w:rsidRPr="00003B04">
        <w:rPr>
          <w:sz w:val="20"/>
          <w:u w:val="single"/>
        </w:rPr>
        <w:t>Abella</w:t>
      </w:r>
      <w:proofErr w:type="spellEnd"/>
      <w:r w:rsidRPr="00003B04">
        <w:rPr>
          <w:sz w:val="20"/>
          <w:u w:val="single"/>
        </w:rPr>
        <w:t xml:space="preserve">, </w:t>
      </w:r>
      <w:proofErr w:type="spellStart"/>
      <w:r w:rsidRPr="00003B04">
        <w:rPr>
          <w:sz w:val="20"/>
          <w:u w:val="single"/>
        </w:rPr>
        <w:t>Moldaver</w:t>
      </w:r>
      <w:proofErr w:type="spellEnd"/>
      <w:r w:rsidRPr="00003B04">
        <w:rPr>
          <w:sz w:val="20"/>
          <w:u w:val="single"/>
        </w:rPr>
        <w:t xml:space="preserve">, </w:t>
      </w:r>
      <w:proofErr w:type="spellStart"/>
      <w:r w:rsidRPr="00003B04">
        <w:rPr>
          <w:sz w:val="20"/>
          <w:u w:val="single"/>
        </w:rPr>
        <w:t>Karakatsanis</w:t>
      </w:r>
      <w:proofErr w:type="spellEnd"/>
      <w:r w:rsidRPr="00003B04">
        <w:rPr>
          <w:sz w:val="20"/>
          <w:u w:val="single"/>
        </w:rPr>
        <w:t xml:space="preserve">, Wagner, </w:t>
      </w:r>
      <w:proofErr w:type="spellStart"/>
      <w:r w:rsidRPr="00003B04">
        <w:rPr>
          <w:sz w:val="20"/>
          <w:u w:val="single"/>
        </w:rPr>
        <w:t>Gascon</w:t>
      </w:r>
      <w:proofErr w:type="spellEnd"/>
      <w:r w:rsidRPr="00003B04">
        <w:rPr>
          <w:sz w:val="20"/>
          <w:u w:val="single"/>
        </w:rPr>
        <w:t xml:space="preserve">, </w:t>
      </w:r>
      <w:proofErr w:type="spellStart"/>
      <w:r w:rsidRPr="00003B04">
        <w:rPr>
          <w:sz w:val="20"/>
          <w:u w:val="single"/>
        </w:rPr>
        <w:t>Côté</w:t>
      </w:r>
      <w:proofErr w:type="spellEnd"/>
      <w:r w:rsidRPr="00003B04">
        <w:rPr>
          <w:sz w:val="20"/>
          <w:u w:val="single"/>
        </w:rPr>
        <w:t>, Brown and Rowe JJ.</w:t>
      </w:r>
    </w:p>
    <w:p w:rsidR="001C33CB" w:rsidRPr="00003B04" w:rsidRDefault="001C33CB" w:rsidP="001C33CB">
      <w:pPr>
        <w:ind w:left="1440" w:hanging="1440"/>
        <w:rPr>
          <w:sz w:val="20"/>
        </w:rPr>
      </w:pPr>
    </w:p>
    <w:p w:rsidR="001C33CB" w:rsidRPr="00003B04" w:rsidRDefault="001C33CB" w:rsidP="001C33CB">
      <w:pPr>
        <w:jc w:val="both"/>
        <w:rPr>
          <w:sz w:val="20"/>
        </w:rPr>
      </w:pPr>
      <w:r w:rsidRPr="00003B04">
        <w:rPr>
          <w:sz w:val="20"/>
        </w:rPr>
        <w:t>The appeal from the judgment of the Court of Appeal of Alberta (Edmonton), Number 1503-0197A, 2015 ABCA 407, dated December 21, 2015, was heard on February 14, 2017, and the Court on February 24, 2017, delivered the following judgment:</w:t>
      </w:r>
    </w:p>
    <w:p w:rsidR="001C33CB" w:rsidRPr="00003B04" w:rsidRDefault="001C33CB" w:rsidP="001C33CB">
      <w:pPr>
        <w:jc w:val="both"/>
        <w:rPr>
          <w:sz w:val="20"/>
        </w:rPr>
      </w:pPr>
    </w:p>
    <w:p w:rsidR="001C33CB" w:rsidRPr="00003B04" w:rsidRDefault="001C33CB" w:rsidP="001C33CB">
      <w:pPr>
        <w:jc w:val="both"/>
        <w:rPr>
          <w:sz w:val="20"/>
          <w:lang w:eastAsia="en-CA"/>
        </w:rPr>
      </w:pPr>
      <w:r w:rsidRPr="00003B04">
        <w:rPr>
          <w:smallCaps/>
          <w:sz w:val="20"/>
        </w:rPr>
        <w:t xml:space="preserve">The Court </w:t>
      </w:r>
      <w:r w:rsidRPr="00003B04">
        <w:rPr>
          <w:sz w:val="20"/>
        </w:rPr>
        <w:t xml:space="preserve">— </w:t>
      </w:r>
      <w:proofErr w:type="gramStart"/>
      <w:r w:rsidRPr="00003B04">
        <w:rPr>
          <w:sz w:val="20"/>
        </w:rPr>
        <w:t>The</w:t>
      </w:r>
      <w:proofErr w:type="gramEnd"/>
      <w:r w:rsidRPr="00003B04">
        <w:rPr>
          <w:sz w:val="20"/>
        </w:rPr>
        <w:t xml:space="preserve"> appeal is dismissed. We conclude that the appellant was not entitled to a trial by jury, substantially for the reasons of the majority of the Court of Appeal, 2015 ABCA 407, 609 A.R. 352.</w:t>
      </w:r>
    </w:p>
    <w:p w:rsidR="001C33CB" w:rsidRPr="00003B04" w:rsidRDefault="001C33CB" w:rsidP="001C33CB">
      <w:pPr>
        <w:widowControl w:val="0"/>
        <w:jc w:val="both"/>
        <w:outlineLvl w:val="0"/>
        <w:rPr>
          <w:sz w:val="20"/>
        </w:rPr>
      </w:pPr>
    </w:p>
    <w:p w:rsidR="001C33CB" w:rsidRPr="00003B04" w:rsidRDefault="001C33CB" w:rsidP="001C33CB">
      <w:pPr>
        <w:widowControl w:val="0"/>
        <w:jc w:val="both"/>
        <w:outlineLvl w:val="0"/>
        <w:rPr>
          <w:sz w:val="20"/>
        </w:rPr>
      </w:pPr>
    </w:p>
    <w:p w:rsidR="001C33CB" w:rsidRPr="00003B04" w:rsidRDefault="001C33CB" w:rsidP="001C33CB">
      <w:pPr>
        <w:jc w:val="both"/>
        <w:rPr>
          <w:sz w:val="20"/>
          <w:lang w:val="fr-CA"/>
        </w:rPr>
      </w:pPr>
      <w:r w:rsidRPr="00003B04">
        <w:rPr>
          <w:sz w:val="20"/>
          <w:lang w:val="fr-CA"/>
        </w:rPr>
        <w:t>L’appel interjeté contre l’arrêt de la Cour d’appel de l’Alberta (Edmonton), numéro 1503-0197A, 2015 ABCA 407, daté du 21 décembre 2015, a été entendu le 14 février 2017, et la Cour a rendu le jugement suivant le 24 février 2017 :</w:t>
      </w:r>
    </w:p>
    <w:p w:rsidR="001C33CB" w:rsidRPr="00003B04" w:rsidRDefault="001C33CB" w:rsidP="001C33CB">
      <w:pPr>
        <w:jc w:val="both"/>
        <w:rPr>
          <w:sz w:val="20"/>
          <w:lang w:val="fr-CA"/>
        </w:rPr>
      </w:pPr>
    </w:p>
    <w:p w:rsidR="001C33CB" w:rsidRPr="00003B04" w:rsidRDefault="001C33CB" w:rsidP="001C33CB">
      <w:pPr>
        <w:widowControl w:val="0"/>
        <w:jc w:val="both"/>
        <w:outlineLvl w:val="0"/>
        <w:rPr>
          <w:sz w:val="20"/>
          <w:lang w:val="fr-CA"/>
        </w:rPr>
      </w:pPr>
      <w:r w:rsidRPr="00003B04">
        <w:rPr>
          <w:smallCaps/>
          <w:sz w:val="20"/>
          <w:lang w:val="fr-CA"/>
        </w:rPr>
        <w:t>La Cour</w:t>
      </w:r>
      <w:r w:rsidRPr="00003B04">
        <w:rPr>
          <w:sz w:val="20"/>
          <w:lang w:val="fr-CA"/>
        </w:rPr>
        <w:t xml:space="preserve"> — L’appel est rejeté. Nous concluons que l’appelant n’avait pas droit à un procès devant jury, essentiellement pour les motifs exposés par les juges de la majorité en Cour d’appel, 2015 ABCA 407, 609 A.R. 352.</w:t>
      </w:r>
    </w:p>
    <w:p w:rsidR="00D004FC" w:rsidRPr="00003B04" w:rsidRDefault="00D004FC" w:rsidP="00D004FC">
      <w:pPr>
        <w:jc w:val="both"/>
        <w:rPr>
          <w:rFonts w:cs="Times New Roman"/>
          <w:sz w:val="20"/>
          <w:szCs w:val="20"/>
          <w:lang w:val="fr-CA"/>
        </w:rPr>
      </w:pPr>
    </w:p>
    <w:p w:rsidR="00D004FC" w:rsidRPr="00003B04"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003B04" w:rsidRDefault="00732DB7" w:rsidP="00732DB7">
      <w:pPr>
        <w:widowControl w:val="0"/>
        <w:rPr>
          <w:sz w:val="20"/>
          <w:szCs w:val="20"/>
          <w:lang w:val="fr-CA"/>
        </w:rPr>
      </w:pPr>
    </w:p>
    <w:p w:rsidR="00697C62" w:rsidRPr="00003B04" w:rsidRDefault="00697C62" w:rsidP="00732DB7">
      <w:pPr>
        <w:widowControl w:val="0"/>
        <w:rPr>
          <w:sz w:val="20"/>
          <w:szCs w:val="20"/>
          <w:lang w:val="fr-CA"/>
        </w:rPr>
        <w:sectPr w:rsidR="00697C62" w:rsidRPr="00003B04" w:rsidSect="00782AE4">
          <w:headerReference w:type="even" r:id="rId132"/>
          <w:headerReference w:type="default" r:id="rId133"/>
          <w:footerReference w:type="even" r:id="rId134"/>
          <w:footerReference w:type="default" r:id="rId135"/>
          <w:headerReference w:type="first" r:id="rId136"/>
          <w:footerReference w:type="first" r:id="rId137"/>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003B04" w:rsidTr="0085476B">
        <w:tc>
          <w:tcPr>
            <w:tcW w:w="4200" w:type="dxa"/>
            <w:tcMar>
              <w:left w:w="0" w:type="dxa"/>
              <w:right w:w="0" w:type="dxa"/>
            </w:tcMar>
          </w:tcPr>
          <w:p w:rsidR="00782AE4" w:rsidRPr="00003B04" w:rsidRDefault="00782AE4" w:rsidP="00782AE4">
            <w:pPr>
              <w:keepNext/>
              <w:keepLines/>
              <w:jc w:val="both"/>
              <w:rPr>
                <w:b/>
                <w:szCs w:val="24"/>
              </w:rPr>
            </w:pPr>
            <w:r w:rsidRPr="00003B04">
              <w:rPr>
                <w:b/>
                <w:szCs w:val="24"/>
              </w:rPr>
              <w:lastRenderedPageBreak/>
              <w:t>HEADNOTES OF RECENT</w:t>
            </w:r>
          </w:p>
          <w:p w:rsidR="00782AE4" w:rsidRPr="00003B04" w:rsidRDefault="00782AE4" w:rsidP="00782AE4">
            <w:pPr>
              <w:keepNext/>
              <w:keepLines/>
              <w:jc w:val="both"/>
              <w:rPr>
                <w:b/>
                <w:szCs w:val="24"/>
              </w:rPr>
            </w:pPr>
            <w:r w:rsidRPr="00003B04">
              <w:rPr>
                <w:b/>
                <w:szCs w:val="24"/>
              </w:rPr>
              <w:t>JUDGMENTS</w:t>
            </w:r>
          </w:p>
        </w:tc>
        <w:tc>
          <w:tcPr>
            <w:tcW w:w="1200" w:type="dxa"/>
            <w:tcMar>
              <w:left w:w="0" w:type="dxa"/>
              <w:right w:w="0" w:type="dxa"/>
            </w:tcMar>
          </w:tcPr>
          <w:p w:rsidR="00782AE4" w:rsidRPr="00003B04" w:rsidRDefault="00782AE4" w:rsidP="00102926">
            <w:pPr>
              <w:keepNext/>
              <w:keepLines/>
              <w:jc w:val="center"/>
              <w:rPr>
                <w:b/>
                <w:szCs w:val="24"/>
              </w:rPr>
            </w:pPr>
          </w:p>
          <w:p w:rsidR="00782AE4" w:rsidRPr="00003B04" w:rsidRDefault="00782AE4" w:rsidP="00102926">
            <w:pPr>
              <w:keepNext/>
              <w:keepLines/>
              <w:jc w:val="center"/>
              <w:rPr>
                <w:b/>
                <w:szCs w:val="24"/>
              </w:rPr>
            </w:pPr>
          </w:p>
          <w:p w:rsidR="00782AE4" w:rsidRPr="00003B04" w:rsidRDefault="00782AE4" w:rsidP="00102926">
            <w:pPr>
              <w:keepNext/>
              <w:keepLines/>
              <w:jc w:val="center"/>
              <w:rPr>
                <w:b/>
                <w:szCs w:val="24"/>
              </w:rPr>
            </w:pPr>
          </w:p>
        </w:tc>
        <w:tc>
          <w:tcPr>
            <w:tcW w:w="4080" w:type="dxa"/>
            <w:tcMar>
              <w:left w:w="0" w:type="dxa"/>
              <w:right w:w="0" w:type="dxa"/>
            </w:tcMar>
          </w:tcPr>
          <w:p w:rsidR="00782AE4" w:rsidRPr="00003B04" w:rsidRDefault="00782AE4" w:rsidP="00782AE4">
            <w:pPr>
              <w:keepNext/>
              <w:keepLines/>
              <w:rPr>
                <w:b/>
                <w:szCs w:val="24"/>
              </w:rPr>
            </w:pPr>
            <w:r w:rsidRPr="00003B04">
              <w:rPr>
                <w:b/>
                <w:szCs w:val="24"/>
              </w:rPr>
              <w:t>SOMMAIRES DE JUGEMENTS RÉCENTS</w:t>
            </w:r>
          </w:p>
        </w:tc>
      </w:tr>
    </w:tbl>
    <w:p w:rsidR="003B3977" w:rsidRPr="00003B04" w:rsidRDefault="003B3977" w:rsidP="005C6840">
      <w:pPr>
        <w:rPr>
          <w:rFonts w:cs="Times New Roman"/>
          <w:i/>
          <w:sz w:val="20"/>
          <w:szCs w:val="20"/>
        </w:rPr>
      </w:pPr>
    </w:p>
    <w:p w:rsidR="0052229C" w:rsidRPr="00003B04" w:rsidRDefault="00413AAC" w:rsidP="0052229C">
      <w:pPr>
        <w:ind w:left="1440" w:hanging="1440"/>
        <w:jc w:val="both"/>
        <w:rPr>
          <w:sz w:val="20"/>
          <w:szCs w:val="20"/>
          <w:lang w:val="en-US"/>
        </w:rPr>
      </w:pPr>
      <w:r w:rsidRPr="00003B04">
        <w:rPr>
          <w:rFonts w:eastAsia="Calibri"/>
          <w:i/>
          <w:sz w:val="20"/>
          <w:szCs w:val="20"/>
          <w:lang w:val="en-US"/>
        </w:rPr>
        <w:t>Carson Bingley</w:t>
      </w:r>
      <w:r w:rsidR="0052229C" w:rsidRPr="00003B04">
        <w:rPr>
          <w:rFonts w:eastAsia="Calibri"/>
          <w:i/>
          <w:sz w:val="20"/>
          <w:szCs w:val="20"/>
          <w:lang w:val="en-US"/>
        </w:rPr>
        <w:t xml:space="preserve"> </w:t>
      </w:r>
      <w:r w:rsidRPr="00003B04">
        <w:rPr>
          <w:rFonts w:eastAsia="Calibri"/>
          <w:i/>
          <w:sz w:val="20"/>
          <w:szCs w:val="20"/>
          <w:lang w:val="en-US"/>
        </w:rPr>
        <w:t>v</w:t>
      </w:r>
      <w:r w:rsidR="0052229C" w:rsidRPr="00003B04">
        <w:rPr>
          <w:rFonts w:eastAsia="Calibri"/>
          <w:i/>
          <w:sz w:val="20"/>
          <w:szCs w:val="20"/>
          <w:lang w:val="en-US"/>
        </w:rPr>
        <w:t xml:space="preserve">. </w:t>
      </w:r>
      <w:r w:rsidRPr="00003B04">
        <w:rPr>
          <w:rFonts w:eastAsia="Calibri"/>
          <w:i/>
          <w:sz w:val="20"/>
          <w:szCs w:val="20"/>
          <w:lang w:val="en-US"/>
        </w:rPr>
        <w:t>Her Majesty the Queen</w:t>
      </w:r>
      <w:r w:rsidR="0052229C" w:rsidRPr="00003B04">
        <w:rPr>
          <w:sz w:val="20"/>
          <w:szCs w:val="20"/>
          <w:lang w:val="en-US"/>
        </w:rPr>
        <w:t xml:space="preserve"> (</w:t>
      </w:r>
      <w:proofErr w:type="gramStart"/>
      <w:r w:rsidR="0052229C" w:rsidRPr="00003B04">
        <w:rPr>
          <w:sz w:val="20"/>
          <w:szCs w:val="20"/>
          <w:lang w:val="en-US"/>
        </w:rPr>
        <w:t>Qc</w:t>
      </w:r>
      <w:proofErr w:type="gramEnd"/>
      <w:r w:rsidR="0052229C" w:rsidRPr="00003B04">
        <w:rPr>
          <w:sz w:val="20"/>
          <w:szCs w:val="20"/>
          <w:lang w:val="en-US"/>
        </w:rPr>
        <w:t>) (</w:t>
      </w:r>
      <w:hyperlink r:id="rId138" w:history="1">
        <w:r w:rsidR="0052229C" w:rsidRPr="00003B04">
          <w:rPr>
            <w:rStyle w:val="Hyperlink"/>
            <w:sz w:val="20"/>
            <w:szCs w:val="20"/>
            <w:lang w:val="en-US"/>
          </w:rPr>
          <w:t>3</w:t>
        </w:r>
        <w:r w:rsidRPr="00003B04">
          <w:rPr>
            <w:rStyle w:val="Hyperlink"/>
            <w:sz w:val="20"/>
            <w:szCs w:val="20"/>
            <w:lang w:val="en-US"/>
          </w:rPr>
          <w:t>6610</w:t>
        </w:r>
      </w:hyperlink>
      <w:r w:rsidR="0052229C" w:rsidRPr="00003B04">
        <w:rPr>
          <w:sz w:val="20"/>
          <w:szCs w:val="20"/>
          <w:lang w:val="en-US"/>
        </w:rPr>
        <w:t>)</w:t>
      </w:r>
    </w:p>
    <w:p w:rsidR="0052229C" w:rsidRPr="00003B04" w:rsidRDefault="0052229C" w:rsidP="0052229C">
      <w:pPr>
        <w:jc w:val="both"/>
        <w:rPr>
          <w:b/>
          <w:sz w:val="20"/>
          <w:szCs w:val="20"/>
          <w:lang w:val="en-US"/>
        </w:rPr>
      </w:pPr>
      <w:r w:rsidRPr="00003B04">
        <w:rPr>
          <w:b/>
          <w:sz w:val="20"/>
          <w:szCs w:val="20"/>
        </w:rPr>
        <w:t xml:space="preserve">Indexed as:  </w:t>
      </w:r>
      <w:r w:rsidR="00413AAC" w:rsidRPr="00003B04">
        <w:rPr>
          <w:b/>
          <w:sz w:val="20"/>
          <w:szCs w:val="20"/>
        </w:rPr>
        <w:t xml:space="preserve">R. </w:t>
      </w:r>
      <w:r w:rsidR="00413AAC" w:rsidRPr="00003B04">
        <w:rPr>
          <w:b/>
          <w:i/>
          <w:sz w:val="20"/>
          <w:szCs w:val="20"/>
        </w:rPr>
        <w:t>v.</w:t>
      </w:r>
      <w:r w:rsidR="00413AAC" w:rsidRPr="00003B04">
        <w:rPr>
          <w:b/>
          <w:sz w:val="20"/>
          <w:szCs w:val="20"/>
        </w:rPr>
        <w:t xml:space="preserve"> </w:t>
      </w:r>
      <w:r w:rsidR="00413AAC" w:rsidRPr="00003B04">
        <w:rPr>
          <w:rStyle w:val="SCCAppellantForIndexChar"/>
          <w:rFonts w:eastAsiaTheme="minorHAnsi"/>
          <w:sz w:val="20"/>
          <w:lang w:val="en-US"/>
        </w:rPr>
        <w:t>Bingley</w:t>
      </w:r>
      <w:r w:rsidR="00413AAC" w:rsidRPr="00003B04">
        <w:rPr>
          <w:rStyle w:val="SCCLsocPartyChar"/>
          <w:rFonts w:eastAsiaTheme="minorHAnsi"/>
          <w:sz w:val="20"/>
          <w:lang w:val="en-US"/>
        </w:rPr>
        <w:t xml:space="preserve"> </w:t>
      </w:r>
      <w:r w:rsidRPr="00003B04">
        <w:rPr>
          <w:rStyle w:val="SCCRespondentForIndexChar"/>
          <w:rFonts w:eastAsiaTheme="minorHAnsi"/>
          <w:sz w:val="20"/>
        </w:rPr>
        <w:t xml:space="preserve">/ </w:t>
      </w:r>
      <w:proofErr w:type="spellStart"/>
      <w:proofErr w:type="gramStart"/>
      <w:r w:rsidRPr="00003B04">
        <w:rPr>
          <w:b/>
          <w:sz w:val="20"/>
          <w:szCs w:val="20"/>
        </w:rPr>
        <w:t>Répertorié</w:t>
      </w:r>
      <w:proofErr w:type="spellEnd"/>
      <w:r w:rsidRPr="00003B04">
        <w:rPr>
          <w:b/>
          <w:sz w:val="20"/>
          <w:szCs w:val="20"/>
        </w:rPr>
        <w:t> :</w:t>
      </w:r>
      <w:proofErr w:type="gramEnd"/>
      <w:r w:rsidRPr="00003B04">
        <w:rPr>
          <w:b/>
          <w:sz w:val="20"/>
          <w:szCs w:val="20"/>
        </w:rPr>
        <w:t> </w:t>
      </w:r>
      <w:r w:rsidR="00413AAC" w:rsidRPr="00003B04">
        <w:rPr>
          <w:b/>
          <w:sz w:val="20"/>
          <w:szCs w:val="20"/>
        </w:rPr>
        <w:t xml:space="preserve">R. </w:t>
      </w:r>
      <w:r w:rsidR="00413AAC" w:rsidRPr="00003B04">
        <w:rPr>
          <w:b/>
          <w:i/>
          <w:sz w:val="20"/>
          <w:szCs w:val="20"/>
        </w:rPr>
        <w:t>c.</w:t>
      </w:r>
      <w:r w:rsidR="00413AAC" w:rsidRPr="00003B04">
        <w:rPr>
          <w:b/>
          <w:sz w:val="20"/>
          <w:szCs w:val="20"/>
        </w:rPr>
        <w:t xml:space="preserve"> </w:t>
      </w:r>
      <w:r w:rsidR="00413AAC" w:rsidRPr="00003B04">
        <w:rPr>
          <w:rStyle w:val="SCCAppellantForIndexChar"/>
          <w:rFonts w:eastAsiaTheme="minorHAnsi"/>
          <w:sz w:val="20"/>
          <w:lang w:val="en-US"/>
        </w:rPr>
        <w:t>Bingley</w:t>
      </w:r>
    </w:p>
    <w:p w:rsidR="0052229C" w:rsidRPr="00003B04" w:rsidRDefault="0052229C" w:rsidP="0052229C">
      <w:pPr>
        <w:pStyle w:val="SCCSystemYear"/>
        <w:jc w:val="both"/>
        <w:rPr>
          <w:sz w:val="20"/>
        </w:rPr>
      </w:pPr>
      <w:proofErr w:type="spellStart"/>
      <w:r w:rsidRPr="00003B04">
        <w:rPr>
          <w:sz w:val="20"/>
        </w:rPr>
        <w:t>Neutral</w:t>
      </w:r>
      <w:proofErr w:type="spellEnd"/>
      <w:r w:rsidRPr="00003B04">
        <w:rPr>
          <w:sz w:val="20"/>
        </w:rPr>
        <w:t xml:space="preserve"> citation</w:t>
      </w:r>
      <w:proofErr w:type="gramStart"/>
      <w:r w:rsidRPr="00003B04">
        <w:rPr>
          <w:sz w:val="20"/>
        </w:rPr>
        <w:t xml:space="preserve">:  </w:t>
      </w:r>
      <w:r w:rsidR="0030050B" w:rsidRPr="00003B04">
        <w:rPr>
          <w:sz w:val="20"/>
        </w:rPr>
        <w:t>201</w:t>
      </w:r>
      <w:r w:rsidR="0056248C" w:rsidRPr="00003B04">
        <w:rPr>
          <w:sz w:val="20"/>
        </w:rPr>
        <w:t>7</w:t>
      </w:r>
      <w:proofErr w:type="gramEnd"/>
      <w:r w:rsidRPr="00003B04">
        <w:rPr>
          <w:sz w:val="20"/>
        </w:rPr>
        <w:t xml:space="preserve"> SCC 1</w:t>
      </w:r>
      <w:r w:rsidR="00413AAC" w:rsidRPr="00003B04">
        <w:rPr>
          <w:sz w:val="20"/>
        </w:rPr>
        <w:t>2</w:t>
      </w:r>
      <w:r w:rsidRPr="00003B04">
        <w:rPr>
          <w:sz w:val="20"/>
        </w:rPr>
        <w:t xml:space="preserve"> / Référence neutre : </w:t>
      </w:r>
      <w:r w:rsidR="0030050B" w:rsidRPr="00003B04">
        <w:rPr>
          <w:sz w:val="20"/>
        </w:rPr>
        <w:t>201</w:t>
      </w:r>
      <w:r w:rsidR="0056248C" w:rsidRPr="00003B04">
        <w:rPr>
          <w:sz w:val="20"/>
        </w:rPr>
        <w:t>7</w:t>
      </w:r>
      <w:r w:rsidRPr="00003B04">
        <w:rPr>
          <w:sz w:val="20"/>
        </w:rPr>
        <w:t xml:space="preserve"> CSC 1</w:t>
      </w:r>
      <w:r w:rsidR="00413AAC" w:rsidRPr="00003B04">
        <w:rPr>
          <w:sz w:val="20"/>
        </w:rPr>
        <w:t>2</w:t>
      </w:r>
    </w:p>
    <w:p w:rsidR="0052229C" w:rsidRPr="00003B04" w:rsidRDefault="0052229C" w:rsidP="0052229C">
      <w:pPr>
        <w:rPr>
          <w:rFonts w:cs="Times New Roman"/>
          <w:sz w:val="20"/>
          <w:szCs w:val="20"/>
          <w:lang w:val="fr-CA"/>
        </w:rPr>
      </w:pPr>
      <w:proofErr w:type="spellStart"/>
      <w:r w:rsidRPr="00003B04">
        <w:rPr>
          <w:rFonts w:cs="Times New Roman"/>
          <w:sz w:val="20"/>
          <w:szCs w:val="20"/>
          <w:lang w:val="fr-CA"/>
        </w:rPr>
        <w:t>Hearing</w:t>
      </w:r>
      <w:proofErr w:type="spellEnd"/>
      <w:proofErr w:type="gramStart"/>
      <w:r w:rsidRPr="00003B04">
        <w:rPr>
          <w:rFonts w:cs="Times New Roman"/>
          <w:sz w:val="20"/>
          <w:szCs w:val="20"/>
          <w:lang w:val="fr-CA"/>
        </w:rPr>
        <w:t xml:space="preserve">:  </w:t>
      </w:r>
      <w:proofErr w:type="spellStart"/>
      <w:r w:rsidR="0056248C" w:rsidRPr="00003B04">
        <w:rPr>
          <w:rFonts w:cs="Times New Roman"/>
          <w:sz w:val="20"/>
          <w:szCs w:val="20"/>
          <w:lang w:val="fr-CA"/>
        </w:rPr>
        <w:t>October</w:t>
      </w:r>
      <w:proofErr w:type="spellEnd"/>
      <w:proofErr w:type="gramEnd"/>
      <w:r w:rsidRPr="00003B04">
        <w:rPr>
          <w:rFonts w:cs="Times New Roman"/>
          <w:sz w:val="20"/>
          <w:szCs w:val="20"/>
          <w:lang w:val="fr-CA"/>
        </w:rPr>
        <w:t xml:space="preserve"> </w:t>
      </w:r>
      <w:r w:rsidR="0056248C" w:rsidRPr="00003B04">
        <w:rPr>
          <w:rFonts w:cs="Times New Roman"/>
          <w:sz w:val="20"/>
          <w:szCs w:val="20"/>
          <w:lang w:val="fr-CA"/>
        </w:rPr>
        <w:t>1</w:t>
      </w:r>
      <w:r w:rsidR="00413AAC" w:rsidRPr="00003B04">
        <w:rPr>
          <w:rFonts w:cs="Times New Roman"/>
          <w:sz w:val="20"/>
          <w:szCs w:val="20"/>
          <w:lang w:val="fr-CA"/>
        </w:rPr>
        <w:t>3</w:t>
      </w:r>
      <w:r w:rsidRPr="00003B04">
        <w:rPr>
          <w:rFonts w:cs="Times New Roman"/>
          <w:sz w:val="20"/>
          <w:szCs w:val="20"/>
          <w:lang w:val="fr-CA"/>
        </w:rPr>
        <w:t>, 201</w:t>
      </w:r>
      <w:r w:rsidR="0056248C" w:rsidRPr="00003B04">
        <w:rPr>
          <w:rFonts w:cs="Times New Roman"/>
          <w:sz w:val="20"/>
          <w:szCs w:val="20"/>
          <w:lang w:val="fr-CA"/>
        </w:rPr>
        <w:t>6</w:t>
      </w:r>
      <w:r w:rsidRPr="00003B04">
        <w:rPr>
          <w:rFonts w:cs="Times New Roman"/>
          <w:sz w:val="20"/>
          <w:szCs w:val="20"/>
          <w:lang w:val="fr-CA"/>
        </w:rPr>
        <w:t xml:space="preserve"> / </w:t>
      </w:r>
      <w:proofErr w:type="spellStart"/>
      <w:r w:rsidRPr="00003B04">
        <w:rPr>
          <w:rFonts w:cs="Times New Roman"/>
          <w:sz w:val="20"/>
          <w:szCs w:val="20"/>
          <w:lang w:val="fr-CA"/>
        </w:rPr>
        <w:t>Judgment</w:t>
      </w:r>
      <w:proofErr w:type="spellEnd"/>
      <w:r w:rsidRPr="00003B04">
        <w:rPr>
          <w:rFonts w:cs="Times New Roman"/>
          <w:sz w:val="20"/>
          <w:szCs w:val="20"/>
          <w:lang w:val="fr-CA"/>
        </w:rPr>
        <w:t xml:space="preserve">:  </w:t>
      </w:r>
      <w:proofErr w:type="spellStart"/>
      <w:r w:rsidR="00413AAC" w:rsidRPr="00003B04">
        <w:rPr>
          <w:rFonts w:cs="Times New Roman"/>
          <w:sz w:val="20"/>
          <w:szCs w:val="20"/>
          <w:lang w:val="fr-CA"/>
        </w:rPr>
        <w:t>February</w:t>
      </w:r>
      <w:proofErr w:type="spellEnd"/>
      <w:r w:rsidR="00413AAC" w:rsidRPr="00003B04">
        <w:rPr>
          <w:rFonts w:cs="Times New Roman"/>
          <w:sz w:val="20"/>
          <w:szCs w:val="20"/>
          <w:lang w:val="fr-CA"/>
        </w:rPr>
        <w:t xml:space="preserve"> 23</w:t>
      </w:r>
      <w:r w:rsidRPr="00003B04">
        <w:rPr>
          <w:rFonts w:cs="Times New Roman"/>
          <w:sz w:val="20"/>
          <w:szCs w:val="20"/>
          <w:lang w:val="fr-CA"/>
        </w:rPr>
        <w:t xml:space="preserve">, </w:t>
      </w:r>
      <w:r w:rsidR="0056248C" w:rsidRPr="00003B04">
        <w:rPr>
          <w:rFonts w:cs="Times New Roman"/>
          <w:sz w:val="20"/>
          <w:szCs w:val="20"/>
          <w:lang w:val="fr-CA"/>
        </w:rPr>
        <w:t>2017</w:t>
      </w:r>
    </w:p>
    <w:p w:rsidR="0052229C" w:rsidRPr="00003B04" w:rsidRDefault="0052229C" w:rsidP="0052229C">
      <w:pPr>
        <w:rPr>
          <w:rFonts w:cs="Times New Roman"/>
          <w:sz w:val="20"/>
          <w:szCs w:val="20"/>
          <w:lang w:val="fr-CA"/>
        </w:rPr>
      </w:pPr>
      <w:r w:rsidRPr="00003B04">
        <w:rPr>
          <w:rFonts w:cs="Times New Roman"/>
          <w:sz w:val="20"/>
          <w:szCs w:val="20"/>
          <w:lang w:val="fr-CA"/>
        </w:rPr>
        <w:t xml:space="preserve">Audition : Le </w:t>
      </w:r>
      <w:r w:rsidR="0056248C" w:rsidRPr="00003B04">
        <w:rPr>
          <w:rFonts w:cs="Times New Roman"/>
          <w:sz w:val="20"/>
          <w:szCs w:val="20"/>
          <w:lang w:val="fr-CA"/>
        </w:rPr>
        <w:t>1</w:t>
      </w:r>
      <w:r w:rsidR="00413AAC" w:rsidRPr="00003B04">
        <w:rPr>
          <w:rFonts w:cs="Times New Roman"/>
          <w:sz w:val="20"/>
          <w:szCs w:val="20"/>
          <w:lang w:val="fr-CA"/>
        </w:rPr>
        <w:t>3</w:t>
      </w:r>
      <w:r w:rsidRPr="00003B04">
        <w:rPr>
          <w:rFonts w:cs="Times New Roman"/>
          <w:sz w:val="20"/>
          <w:szCs w:val="20"/>
          <w:lang w:val="fr-CA"/>
        </w:rPr>
        <w:t xml:space="preserve"> </w:t>
      </w:r>
      <w:r w:rsidR="0056248C" w:rsidRPr="00003B04">
        <w:rPr>
          <w:rFonts w:cs="Times New Roman"/>
          <w:sz w:val="20"/>
          <w:szCs w:val="20"/>
          <w:lang w:val="fr-CA"/>
        </w:rPr>
        <w:t>octobre</w:t>
      </w:r>
      <w:r w:rsidRPr="00003B04">
        <w:rPr>
          <w:rFonts w:cs="Times New Roman"/>
          <w:sz w:val="20"/>
          <w:szCs w:val="20"/>
          <w:lang w:val="fr-CA"/>
        </w:rPr>
        <w:t xml:space="preserve"> 201</w:t>
      </w:r>
      <w:r w:rsidR="0056248C" w:rsidRPr="00003B04">
        <w:rPr>
          <w:rFonts w:cs="Times New Roman"/>
          <w:sz w:val="20"/>
          <w:szCs w:val="20"/>
          <w:lang w:val="fr-CA"/>
        </w:rPr>
        <w:t>6</w:t>
      </w:r>
      <w:r w:rsidRPr="00003B04">
        <w:rPr>
          <w:rFonts w:cs="Times New Roman"/>
          <w:sz w:val="20"/>
          <w:szCs w:val="20"/>
          <w:lang w:val="fr-CA"/>
        </w:rPr>
        <w:t xml:space="preserve"> / Jugement : Le </w:t>
      </w:r>
      <w:r w:rsidR="00413AAC" w:rsidRPr="00003B04">
        <w:rPr>
          <w:rFonts w:cs="Times New Roman"/>
          <w:sz w:val="20"/>
          <w:szCs w:val="20"/>
          <w:lang w:val="fr-CA"/>
        </w:rPr>
        <w:t>2</w:t>
      </w:r>
      <w:r w:rsidR="0056248C" w:rsidRPr="00003B04">
        <w:rPr>
          <w:rFonts w:cs="Times New Roman"/>
          <w:sz w:val="20"/>
          <w:szCs w:val="20"/>
          <w:lang w:val="fr-CA"/>
        </w:rPr>
        <w:t>3</w:t>
      </w:r>
      <w:r w:rsidRPr="00003B04">
        <w:rPr>
          <w:rFonts w:cs="Times New Roman"/>
          <w:sz w:val="20"/>
          <w:szCs w:val="20"/>
          <w:lang w:val="fr-CA"/>
        </w:rPr>
        <w:t xml:space="preserve"> </w:t>
      </w:r>
      <w:r w:rsidR="00413AAC" w:rsidRPr="00003B04">
        <w:rPr>
          <w:rFonts w:cs="Times New Roman"/>
          <w:sz w:val="20"/>
          <w:szCs w:val="20"/>
          <w:lang w:val="fr-CA"/>
        </w:rPr>
        <w:t>février</w:t>
      </w:r>
      <w:r w:rsidRPr="00003B04">
        <w:rPr>
          <w:rFonts w:cs="Times New Roman"/>
          <w:sz w:val="20"/>
          <w:szCs w:val="20"/>
          <w:lang w:val="fr-CA"/>
        </w:rPr>
        <w:t xml:space="preserve"> </w:t>
      </w:r>
      <w:r w:rsidR="0030050B" w:rsidRPr="00003B04">
        <w:rPr>
          <w:rFonts w:cs="Times New Roman"/>
          <w:sz w:val="20"/>
          <w:szCs w:val="20"/>
          <w:lang w:val="fr-CA"/>
        </w:rPr>
        <w:t>201</w:t>
      </w:r>
      <w:r w:rsidR="0056248C" w:rsidRPr="00003B04">
        <w:rPr>
          <w:rFonts w:cs="Times New Roman"/>
          <w:sz w:val="20"/>
          <w:szCs w:val="20"/>
          <w:lang w:val="fr-CA"/>
        </w:rPr>
        <w:t>7</w:t>
      </w:r>
    </w:p>
    <w:p w:rsidR="005C6840" w:rsidRPr="00003B04" w:rsidRDefault="00604445" w:rsidP="005C6840">
      <w:pPr>
        <w:rPr>
          <w:rFonts w:cs="Times New Roman"/>
          <w:sz w:val="20"/>
          <w:szCs w:val="20"/>
          <w:lang w:val="fr-CA"/>
        </w:rPr>
      </w:pPr>
      <w:r>
        <w:rPr>
          <w:rFonts w:cs="Times New Roman"/>
          <w:i/>
          <w:sz w:val="20"/>
          <w:szCs w:val="20"/>
        </w:rPr>
        <w:pict>
          <v:rect id="_x0000_i1110" style="width:480.95pt;height:1pt" o:hralign="center" o:hrstd="t" o:hrnoshade="t" o:hr="t" fillcolor="black [3213]" stroked="f"/>
        </w:pict>
      </w:r>
    </w:p>
    <w:p w:rsidR="005C6840" w:rsidRPr="00003B04" w:rsidRDefault="005C6840" w:rsidP="005C6840">
      <w:pPr>
        <w:rPr>
          <w:rFonts w:cs="Times New Roman"/>
          <w:sz w:val="20"/>
          <w:szCs w:val="20"/>
          <w:lang w:val="fr-CA"/>
        </w:rPr>
      </w:pPr>
    </w:p>
    <w:p w:rsidR="00413AAC" w:rsidRPr="00003B04" w:rsidRDefault="00413AAC" w:rsidP="00413AAC">
      <w:pPr>
        <w:jc w:val="both"/>
        <w:rPr>
          <w:sz w:val="20"/>
          <w:szCs w:val="20"/>
        </w:rPr>
      </w:pPr>
      <w:r w:rsidRPr="00003B04">
        <w:rPr>
          <w:sz w:val="20"/>
          <w:szCs w:val="20"/>
        </w:rPr>
        <w:t xml:space="preserve">Present: </w:t>
      </w:r>
      <w:proofErr w:type="spellStart"/>
      <w:r w:rsidRPr="00003B04">
        <w:rPr>
          <w:sz w:val="20"/>
          <w:szCs w:val="20"/>
        </w:rPr>
        <w:t>McLachlin</w:t>
      </w:r>
      <w:proofErr w:type="spellEnd"/>
      <w:r w:rsidRPr="00003B04">
        <w:rPr>
          <w:sz w:val="20"/>
          <w:szCs w:val="20"/>
        </w:rPr>
        <w:t xml:space="preserve"> C.J. and </w:t>
      </w:r>
      <w:proofErr w:type="spellStart"/>
      <w:r w:rsidRPr="00003B04">
        <w:rPr>
          <w:sz w:val="20"/>
          <w:szCs w:val="20"/>
        </w:rPr>
        <w:t>Abella</w:t>
      </w:r>
      <w:proofErr w:type="spellEnd"/>
      <w:r w:rsidRPr="00003B04">
        <w:rPr>
          <w:sz w:val="20"/>
          <w:szCs w:val="20"/>
        </w:rPr>
        <w:t xml:space="preserve">, </w:t>
      </w:r>
      <w:proofErr w:type="spellStart"/>
      <w:r w:rsidRPr="00003B04">
        <w:rPr>
          <w:sz w:val="20"/>
          <w:szCs w:val="20"/>
        </w:rPr>
        <w:t>Moldaver</w:t>
      </w:r>
      <w:proofErr w:type="spellEnd"/>
      <w:r w:rsidRPr="00003B04">
        <w:rPr>
          <w:sz w:val="20"/>
          <w:szCs w:val="20"/>
        </w:rPr>
        <w:t xml:space="preserve">, </w:t>
      </w:r>
      <w:proofErr w:type="spellStart"/>
      <w:r w:rsidRPr="00003B04">
        <w:rPr>
          <w:sz w:val="20"/>
          <w:szCs w:val="20"/>
        </w:rPr>
        <w:t>Karakatsanis</w:t>
      </w:r>
      <w:proofErr w:type="spellEnd"/>
      <w:r w:rsidRPr="00003B04">
        <w:rPr>
          <w:sz w:val="20"/>
          <w:szCs w:val="20"/>
        </w:rPr>
        <w:t xml:space="preserve">, </w:t>
      </w:r>
      <w:proofErr w:type="spellStart"/>
      <w:r w:rsidRPr="00003B04">
        <w:rPr>
          <w:sz w:val="20"/>
          <w:szCs w:val="20"/>
        </w:rPr>
        <w:t>Gascon</w:t>
      </w:r>
      <w:proofErr w:type="spellEnd"/>
      <w:r w:rsidRPr="00003B04">
        <w:rPr>
          <w:sz w:val="20"/>
          <w:szCs w:val="20"/>
        </w:rPr>
        <w:t xml:space="preserve">, </w:t>
      </w:r>
      <w:proofErr w:type="spellStart"/>
      <w:r w:rsidRPr="00003B04">
        <w:rPr>
          <w:sz w:val="20"/>
          <w:szCs w:val="20"/>
        </w:rPr>
        <w:t>Côté</w:t>
      </w:r>
      <w:proofErr w:type="spellEnd"/>
      <w:r w:rsidRPr="00003B04">
        <w:rPr>
          <w:sz w:val="20"/>
          <w:szCs w:val="20"/>
        </w:rPr>
        <w:t xml:space="preserve"> and Brown JJ.</w:t>
      </w:r>
    </w:p>
    <w:p w:rsidR="00413AAC" w:rsidRPr="00003B04" w:rsidRDefault="00413AAC" w:rsidP="00413AAC">
      <w:pPr>
        <w:pStyle w:val="SCCNormalDoubleSpacing"/>
        <w:spacing w:line="240" w:lineRule="auto"/>
        <w:rPr>
          <w:i/>
          <w:sz w:val="20"/>
          <w:lang w:val="en-US"/>
        </w:rPr>
      </w:pPr>
    </w:p>
    <w:p w:rsidR="00413AAC" w:rsidRPr="00003B04" w:rsidRDefault="00413AAC" w:rsidP="00413AAC">
      <w:pPr>
        <w:pStyle w:val="SCCNormalDoubleSpacing"/>
        <w:spacing w:line="240" w:lineRule="auto"/>
        <w:rPr>
          <w:sz w:val="20"/>
        </w:rPr>
      </w:pPr>
      <w:r w:rsidRPr="00003B04">
        <w:rPr>
          <w:i/>
          <w:sz w:val="20"/>
          <w:lang w:val="en-US"/>
        </w:rPr>
        <w:tab/>
        <w:t>Criminal law — Evidence — Expert evidence — Admissibility — Drug recognition evaluation — Drug recognition expert (“DRE”) certified under statutory scheme determining accused driving while drug impaired — Whether s. 254(3.1) of Criminal Code provides for automatic admissibility at trial of DRE opinion evidence — If not, whether DRE’s testimony admissible as expert opinion pursuant to common law rules of evidence — Criminal Code, R.S.C. 1985, c. C</w:t>
      </w:r>
      <w:r w:rsidRPr="00003B04">
        <w:rPr>
          <w:i/>
          <w:sz w:val="20"/>
          <w:lang w:val="en-US"/>
        </w:rPr>
        <w:noBreakHyphen/>
        <w:t>46, s. 254(3.1) —</w:t>
      </w:r>
      <w:r w:rsidRPr="00003B04">
        <w:rPr>
          <w:i/>
          <w:sz w:val="20"/>
        </w:rPr>
        <w:t xml:space="preserve"> Evaluation of Impaired Operation (Drugs and Alcohol) Regulations</w:t>
      </w:r>
      <w:r w:rsidRPr="00003B04">
        <w:rPr>
          <w:sz w:val="20"/>
        </w:rPr>
        <w:t>, SOR/2008</w:t>
      </w:r>
      <w:r w:rsidRPr="00003B04">
        <w:rPr>
          <w:sz w:val="20"/>
        </w:rPr>
        <w:noBreakHyphen/>
        <w:t>196.</w:t>
      </w:r>
    </w:p>
    <w:p w:rsidR="00413AAC" w:rsidRPr="00003B04" w:rsidRDefault="00413AAC" w:rsidP="00413AAC">
      <w:pPr>
        <w:pStyle w:val="SCCNormalDoubleSpacing"/>
        <w:spacing w:line="240" w:lineRule="auto"/>
        <w:rPr>
          <w:i/>
          <w:sz w:val="20"/>
          <w:lang w:val="en-US"/>
        </w:rPr>
      </w:pPr>
    </w:p>
    <w:p w:rsidR="00413AAC" w:rsidRPr="00003B04" w:rsidRDefault="00413AAC" w:rsidP="00413AAC">
      <w:pPr>
        <w:pStyle w:val="SCCNormalDoubleSpacing"/>
        <w:spacing w:line="240" w:lineRule="auto"/>
        <w:rPr>
          <w:sz w:val="20"/>
          <w:lang w:val="en-US"/>
        </w:rPr>
      </w:pPr>
      <w:r w:rsidRPr="00003B04">
        <w:rPr>
          <w:sz w:val="20"/>
          <w:lang w:val="en-US"/>
        </w:rPr>
        <w:tab/>
        <w:t>B was observed driving erratically, pulling into a parking lot and striking a car. The police arrived and noted signs of impairment. Therefore, the officer conducted a roadside screening device test for alcohol, which B passed. The officer then requested a roadside sobriety test conducted by a drug recognition expert (“DRE”)</w:t>
      </w:r>
      <w:r w:rsidRPr="00003B04">
        <w:rPr>
          <w:i/>
          <w:sz w:val="20"/>
          <w:lang w:val="en-US"/>
        </w:rPr>
        <w:t xml:space="preserve"> </w:t>
      </w:r>
      <w:r w:rsidRPr="00003B04">
        <w:rPr>
          <w:sz w:val="20"/>
          <w:lang w:val="en-US"/>
        </w:rPr>
        <w:t xml:space="preserve">certified under the </w:t>
      </w:r>
      <w:r w:rsidRPr="00003B04">
        <w:rPr>
          <w:i/>
          <w:sz w:val="20"/>
          <w:lang w:val="en-US"/>
        </w:rPr>
        <w:t xml:space="preserve">Criminal Code </w:t>
      </w:r>
      <w:r w:rsidRPr="00003B04">
        <w:rPr>
          <w:sz w:val="20"/>
          <w:lang w:val="en-US"/>
        </w:rPr>
        <w:t xml:space="preserve">and the </w:t>
      </w:r>
      <w:r w:rsidRPr="00003B04">
        <w:rPr>
          <w:i/>
          <w:sz w:val="20"/>
          <w:lang w:val="en-US"/>
        </w:rPr>
        <w:t>Evaluation of Impaired Operation (Drugs and Alcohol) Regulations</w:t>
      </w:r>
      <w:r w:rsidRPr="00003B04">
        <w:rPr>
          <w:sz w:val="20"/>
          <w:lang w:val="en-US"/>
        </w:rPr>
        <w:t xml:space="preserve"> (“Regulations”). B failed the sobriety test, and was arrested for driving while drug impaired. He was taken to a police station where the DRE conducted a 12</w:t>
      </w:r>
      <w:r w:rsidRPr="00003B04">
        <w:rPr>
          <w:sz w:val="20"/>
          <w:lang w:val="en-US"/>
        </w:rPr>
        <w:noBreakHyphen/>
        <w:t xml:space="preserve">step drug recognition evaluation. During the evaluation, B admitted that he had smoked cannabis and taken two alprazolam in the previous 12 hours. </w:t>
      </w:r>
      <w:proofErr w:type="gramStart"/>
      <w:r w:rsidRPr="00003B04">
        <w:rPr>
          <w:sz w:val="20"/>
          <w:lang w:val="en-US"/>
        </w:rPr>
        <w:t>An</w:t>
      </w:r>
      <w:proofErr w:type="gramEnd"/>
      <w:r w:rsidRPr="00003B04">
        <w:rPr>
          <w:sz w:val="20"/>
          <w:lang w:val="en-US"/>
        </w:rPr>
        <w:t xml:space="preserve"> urinalysis revealed the presence of cannabis, cocaine and alprazolam. </w:t>
      </w:r>
      <w:r w:rsidRPr="00003B04">
        <w:rPr>
          <w:sz w:val="20"/>
        </w:rPr>
        <w:t xml:space="preserve">B was acquitted </w:t>
      </w:r>
      <w:r w:rsidRPr="00003B04">
        <w:rPr>
          <w:sz w:val="20"/>
          <w:lang w:val="en-US"/>
        </w:rPr>
        <w:t xml:space="preserve">at his first trial, but the acquittal was overturned and a new trial ordered. At the second trial, contrary to the first, the judge held that s. 254(3.1) of the </w:t>
      </w:r>
      <w:r w:rsidRPr="00003B04">
        <w:rPr>
          <w:i/>
          <w:sz w:val="20"/>
          <w:lang w:val="en-US"/>
        </w:rPr>
        <w:t>Criminal Code</w:t>
      </w:r>
      <w:r w:rsidRPr="00003B04">
        <w:rPr>
          <w:sz w:val="20"/>
          <w:lang w:val="en-US"/>
        </w:rPr>
        <w:t xml:space="preserve"> does not allow for the automatic admissibility of the DRE’s evidence and that a </w:t>
      </w:r>
      <w:proofErr w:type="spellStart"/>
      <w:r w:rsidRPr="00003B04">
        <w:rPr>
          <w:i/>
          <w:sz w:val="20"/>
          <w:lang w:val="en-US"/>
        </w:rPr>
        <w:t>voir</w:t>
      </w:r>
      <w:proofErr w:type="spellEnd"/>
      <w:r w:rsidRPr="00003B04">
        <w:rPr>
          <w:i/>
          <w:sz w:val="20"/>
          <w:lang w:val="en-US"/>
        </w:rPr>
        <w:t xml:space="preserve"> dire</w:t>
      </w:r>
      <w:r w:rsidRPr="00003B04">
        <w:rPr>
          <w:sz w:val="20"/>
          <w:lang w:val="en-US"/>
        </w:rPr>
        <w:t xml:space="preserve"> is required at common law under </w:t>
      </w:r>
      <w:r w:rsidRPr="00003B04">
        <w:rPr>
          <w:i/>
          <w:sz w:val="20"/>
          <w:lang w:val="en-US"/>
        </w:rPr>
        <w:t>R. v. Mohan</w:t>
      </w:r>
      <w:r w:rsidRPr="00003B04">
        <w:rPr>
          <w:sz w:val="20"/>
          <w:lang w:val="en-US"/>
        </w:rPr>
        <w:t xml:space="preserve">, [1994] 2 S.C.R. 9. On that </w:t>
      </w:r>
      <w:proofErr w:type="spellStart"/>
      <w:r w:rsidRPr="00003B04">
        <w:rPr>
          <w:i/>
          <w:sz w:val="20"/>
          <w:lang w:val="en-US"/>
        </w:rPr>
        <w:t>voir</w:t>
      </w:r>
      <w:proofErr w:type="spellEnd"/>
      <w:r w:rsidRPr="00003B04">
        <w:rPr>
          <w:i/>
          <w:sz w:val="20"/>
          <w:lang w:val="en-US"/>
        </w:rPr>
        <w:t xml:space="preserve"> dire</w:t>
      </w:r>
      <w:r w:rsidRPr="00003B04">
        <w:rPr>
          <w:sz w:val="20"/>
          <w:lang w:val="en-US"/>
        </w:rPr>
        <w:t xml:space="preserve">, however, the judge determined that the DRE’s evidence was inadmissible as expert or lay opinion evidence and therefore, acquitted B. The summary conviction appeal judge held that s. 254(3.1) renders a DRE’s evidence automatically admissible and that in any event, it would be admissible lay opinion. Finally, the Court of Appeal held that DRE evidence is automatically admissible without a </w:t>
      </w:r>
      <w:proofErr w:type="spellStart"/>
      <w:r w:rsidRPr="00003B04">
        <w:rPr>
          <w:i/>
          <w:sz w:val="20"/>
          <w:lang w:val="en-US"/>
        </w:rPr>
        <w:t>voir</w:t>
      </w:r>
      <w:proofErr w:type="spellEnd"/>
      <w:r w:rsidRPr="00003B04">
        <w:rPr>
          <w:i/>
          <w:sz w:val="20"/>
          <w:lang w:val="en-US"/>
        </w:rPr>
        <w:t xml:space="preserve"> dire </w:t>
      </w:r>
      <w:r w:rsidRPr="00003B04">
        <w:rPr>
          <w:sz w:val="20"/>
          <w:lang w:val="en-US"/>
        </w:rPr>
        <w:t>and ordered a new trial. </w:t>
      </w:r>
    </w:p>
    <w:p w:rsidR="00413AAC" w:rsidRPr="00003B04" w:rsidRDefault="00413AAC" w:rsidP="00413AAC">
      <w:pPr>
        <w:pStyle w:val="SCCNormalDoubleSpacing"/>
        <w:spacing w:line="240" w:lineRule="auto"/>
        <w:rPr>
          <w:sz w:val="20"/>
          <w:lang w:val="en-US"/>
        </w:rPr>
      </w:pPr>
    </w:p>
    <w:p w:rsidR="00413AAC" w:rsidRPr="00003B04" w:rsidRDefault="00413AAC" w:rsidP="00413AAC">
      <w:pPr>
        <w:pStyle w:val="SCCNormalDoubleSpacing"/>
        <w:spacing w:line="240" w:lineRule="auto"/>
        <w:rPr>
          <w:sz w:val="20"/>
          <w:lang w:val="en"/>
        </w:rPr>
      </w:pPr>
      <w:r w:rsidRPr="00003B04">
        <w:rPr>
          <w:i/>
          <w:iCs/>
          <w:sz w:val="20"/>
          <w:lang w:val="en"/>
        </w:rPr>
        <w:tab/>
        <w:t xml:space="preserve">Held </w:t>
      </w:r>
      <w:r w:rsidRPr="00003B04">
        <w:rPr>
          <w:sz w:val="20"/>
          <w:lang w:val="en"/>
        </w:rPr>
        <w:t>(</w:t>
      </w:r>
      <w:proofErr w:type="spellStart"/>
      <w:r w:rsidRPr="00003B04">
        <w:rPr>
          <w:sz w:val="20"/>
          <w:lang w:val="en"/>
        </w:rPr>
        <w:t>Karakatsanis</w:t>
      </w:r>
      <w:proofErr w:type="spellEnd"/>
      <w:r w:rsidRPr="00003B04">
        <w:rPr>
          <w:sz w:val="20"/>
          <w:lang w:val="en"/>
        </w:rPr>
        <w:t xml:space="preserve"> and </w:t>
      </w:r>
      <w:proofErr w:type="spellStart"/>
      <w:r w:rsidRPr="00003B04">
        <w:rPr>
          <w:sz w:val="20"/>
          <w:lang w:val="en"/>
        </w:rPr>
        <w:t>Gascon</w:t>
      </w:r>
      <w:proofErr w:type="spellEnd"/>
      <w:r w:rsidRPr="00003B04">
        <w:rPr>
          <w:sz w:val="20"/>
          <w:lang w:val="en"/>
        </w:rPr>
        <w:t> JJ. dissenting): The appeal should be dismissed and the order for a new trial confirmed.</w:t>
      </w:r>
    </w:p>
    <w:p w:rsidR="00413AAC" w:rsidRPr="00003B04" w:rsidRDefault="00413AAC" w:rsidP="00413AAC">
      <w:pPr>
        <w:pStyle w:val="SCCNormalDoubleSpacing"/>
        <w:spacing w:line="240" w:lineRule="auto"/>
        <w:rPr>
          <w:sz w:val="20"/>
          <w:lang w:val="en"/>
        </w:rPr>
      </w:pPr>
    </w:p>
    <w:p w:rsidR="00413AAC" w:rsidRPr="00003B04" w:rsidRDefault="00413AAC" w:rsidP="00413AAC">
      <w:pPr>
        <w:pStyle w:val="SCCNormalDoubleSpacing"/>
        <w:spacing w:line="240" w:lineRule="auto"/>
        <w:rPr>
          <w:sz w:val="20"/>
          <w:lang w:val="en-US"/>
        </w:rPr>
      </w:pPr>
      <w:r w:rsidRPr="00003B04">
        <w:rPr>
          <w:rStyle w:val="SCCCoramChar"/>
          <w:i/>
          <w:sz w:val="20"/>
          <w:szCs w:val="20"/>
          <w:lang w:val="en-US"/>
        </w:rPr>
        <w:tab/>
        <w:t xml:space="preserve">Per </w:t>
      </w:r>
      <w:proofErr w:type="spellStart"/>
      <w:r w:rsidRPr="00003B04">
        <w:rPr>
          <w:rStyle w:val="SCCCoramChar"/>
          <w:b/>
          <w:sz w:val="20"/>
          <w:szCs w:val="20"/>
          <w:lang w:val="en-US"/>
        </w:rPr>
        <w:t>McLachlin</w:t>
      </w:r>
      <w:proofErr w:type="spellEnd"/>
      <w:r w:rsidRPr="00003B04">
        <w:rPr>
          <w:rStyle w:val="SCCCoramChar"/>
          <w:sz w:val="20"/>
          <w:szCs w:val="20"/>
          <w:lang w:val="en-US"/>
        </w:rPr>
        <w:t> C.J. and</w:t>
      </w:r>
      <w:r w:rsidRPr="00003B04">
        <w:rPr>
          <w:rStyle w:val="SCCCoramChar"/>
          <w:i/>
          <w:sz w:val="20"/>
          <w:szCs w:val="20"/>
          <w:lang w:val="en-US"/>
        </w:rPr>
        <w:t xml:space="preserve"> </w:t>
      </w:r>
      <w:proofErr w:type="spellStart"/>
      <w:r w:rsidRPr="00003B04">
        <w:rPr>
          <w:rStyle w:val="SCCCoramChar"/>
          <w:sz w:val="20"/>
          <w:szCs w:val="20"/>
          <w:lang w:val="en-US"/>
        </w:rPr>
        <w:t>Abella</w:t>
      </w:r>
      <w:proofErr w:type="spellEnd"/>
      <w:r w:rsidRPr="00003B04">
        <w:rPr>
          <w:rStyle w:val="SCCCoramChar"/>
          <w:sz w:val="20"/>
          <w:szCs w:val="20"/>
          <w:lang w:val="en-US"/>
        </w:rPr>
        <w:t xml:space="preserve">, </w:t>
      </w:r>
      <w:proofErr w:type="spellStart"/>
      <w:r w:rsidRPr="00003B04">
        <w:rPr>
          <w:rStyle w:val="SCCCoramChar"/>
          <w:sz w:val="20"/>
          <w:szCs w:val="20"/>
          <w:lang w:val="en-US"/>
        </w:rPr>
        <w:t>Moldaver</w:t>
      </w:r>
      <w:proofErr w:type="spellEnd"/>
      <w:r w:rsidRPr="00003B04">
        <w:rPr>
          <w:rStyle w:val="SCCCoramChar"/>
          <w:sz w:val="20"/>
          <w:szCs w:val="20"/>
          <w:lang w:val="en-US"/>
        </w:rPr>
        <w:t xml:space="preserve">, </w:t>
      </w:r>
      <w:proofErr w:type="spellStart"/>
      <w:r w:rsidRPr="00003B04">
        <w:rPr>
          <w:rStyle w:val="SCCCoramChar"/>
          <w:sz w:val="20"/>
          <w:szCs w:val="20"/>
          <w:lang w:val="en-US"/>
        </w:rPr>
        <w:t>Côté</w:t>
      </w:r>
      <w:proofErr w:type="spellEnd"/>
      <w:r w:rsidRPr="00003B04">
        <w:rPr>
          <w:rStyle w:val="SCCCoramChar"/>
          <w:sz w:val="20"/>
          <w:szCs w:val="20"/>
          <w:lang w:val="en-US"/>
        </w:rPr>
        <w:t xml:space="preserve"> and Brown JJ.: </w:t>
      </w:r>
      <w:r w:rsidRPr="00003B04">
        <w:rPr>
          <w:sz w:val="20"/>
        </w:rPr>
        <w:t xml:space="preserve">Section 254(3.1) of the </w:t>
      </w:r>
      <w:r w:rsidRPr="00003B04">
        <w:rPr>
          <w:i/>
          <w:sz w:val="20"/>
        </w:rPr>
        <w:t>Criminal Code</w:t>
      </w:r>
      <w:r w:rsidRPr="00003B04">
        <w:rPr>
          <w:sz w:val="20"/>
        </w:rPr>
        <w:t xml:space="preserve"> does not provide for the automatic admissibility at trial of DRE opinion evidence. </w:t>
      </w:r>
      <w:r w:rsidRPr="00003B04">
        <w:rPr>
          <w:sz w:val="20"/>
          <w:lang w:val="en-US"/>
        </w:rPr>
        <w:t>Section 254(3.1) gives the police investigative tools to enforce laws against drug</w:t>
      </w:r>
      <w:r w:rsidRPr="00003B04">
        <w:rPr>
          <w:sz w:val="20"/>
          <w:lang w:val="en-US"/>
        </w:rPr>
        <w:noBreakHyphen/>
        <w:t xml:space="preserve">impaired driving; however, it does not dictate whether evidence obtained through the use of those investigative tools will be admissible. When Parliament intends to make evidence automatically admissible, it says so expressly. Because s. 254(3.1) does not speak to admissibility, the common law rules of evidence apply. </w:t>
      </w:r>
    </w:p>
    <w:p w:rsidR="00413AAC" w:rsidRPr="00003B04" w:rsidRDefault="00413AAC" w:rsidP="00413AAC">
      <w:pPr>
        <w:pStyle w:val="SCCNormalDoubleSpacing"/>
        <w:spacing w:line="240" w:lineRule="auto"/>
        <w:rPr>
          <w:sz w:val="20"/>
          <w:lang w:val="en-US"/>
        </w:rPr>
      </w:pPr>
    </w:p>
    <w:p w:rsidR="00413AAC" w:rsidRPr="00003B04" w:rsidRDefault="00413AAC" w:rsidP="00413AAC">
      <w:pPr>
        <w:pStyle w:val="SCCNormalDoubleSpacing"/>
        <w:spacing w:line="240" w:lineRule="auto"/>
        <w:rPr>
          <w:sz w:val="20"/>
        </w:rPr>
      </w:pPr>
      <w:r w:rsidRPr="00003B04">
        <w:rPr>
          <w:sz w:val="20"/>
          <w:lang w:val="en-US"/>
        </w:rPr>
        <w:tab/>
        <w:t>Under</w:t>
      </w:r>
      <w:r w:rsidRPr="00003B04">
        <w:rPr>
          <w:sz w:val="20"/>
        </w:rPr>
        <w:t xml:space="preserve"> the common law rules for admissibility, the expert evidence analysis is divided into two stages. At the first stage, the evidence must meet the four </w:t>
      </w:r>
      <w:r w:rsidRPr="00003B04">
        <w:rPr>
          <w:i/>
          <w:sz w:val="20"/>
        </w:rPr>
        <w:t xml:space="preserve">Mohan </w:t>
      </w:r>
      <w:r w:rsidRPr="00003B04">
        <w:rPr>
          <w:sz w:val="20"/>
        </w:rPr>
        <w:t>factors:</w:t>
      </w:r>
      <w:r w:rsidRPr="00003B04">
        <w:rPr>
          <w:sz w:val="20"/>
          <w:lang w:val="en-US"/>
        </w:rPr>
        <w:t xml:space="preserve"> relevance; necessity; absence of an exclusionary rule; and special expertise</w:t>
      </w:r>
      <w:r w:rsidRPr="00003B04">
        <w:rPr>
          <w:sz w:val="20"/>
        </w:rPr>
        <w:t xml:space="preserve">. At the second stage, the trial judge </w:t>
      </w:r>
      <w:r w:rsidRPr="00003B04">
        <w:rPr>
          <w:sz w:val="20"/>
          <w:lang w:val="en-US"/>
        </w:rPr>
        <w:t>must weigh potential risks against the benefits of admitting the evidence</w:t>
      </w:r>
      <w:r w:rsidRPr="00003B04">
        <w:rPr>
          <w:sz w:val="20"/>
        </w:rPr>
        <w:t xml:space="preserve">. Because of concessions made by B, the only issue in this case is whether a DRE has special expertise. </w:t>
      </w:r>
    </w:p>
    <w:p w:rsidR="00413AAC" w:rsidRPr="00003B04" w:rsidRDefault="00413AAC" w:rsidP="00413AAC">
      <w:pPr>
        <w:pStyle w:val="SCCNormalDoubleSpacing"/>
        <w:spacing w:line="240" w:lineRule="auto"/>
        <w:rPr>
          <w:sz w:val="20"/>
        </w:rPr>
      </w:pPr>
    </w:p>
    <w:p w:rsidR="00413AAC" w:rsidRPr="00003B04" w:rsidRDefault="00413AAC" w:rsidP="00413AAC">
      <w:pPr>
        <w:pStyle w:val="SCCNormalDoubleSpacing"/>
        <w:spacing w:line="240" w:lineRule="auto"/>
        <w:rPr>
          <w:sz w:val="20"/>
        </w:rPr>
      </w:pPr>
      <w:r w:rsidRPr="00003B04">
        <w:rPr>
          <w:sz w:val="20"/>
          <w:lang w:val="en-US"/>
        </w:rPr>
        <w:tab/>
        <w:t xml:space="preserve">While the trial judge would normally determine whether an expert has special expertise at a </w:t>
      </w:r>
      <w:proofErr w:type="spellStart"/>
      <w:r w:rsidRPr="00003B04">
        <w:rPr>
          <w:i/>
          <w:sz w:val="20"/>
          <w:lang w:val="en-US"/>
        </w:rPr>
        <w:t>voir</w:t>
      </w:r>
      <w:proofErr w:type="spellEnd"/>
      <w:r w:rsidRPr="00003B04">
        <w:rPr>
          <w:i/>
          <w:sz w:val="20"/>
          <w:lang w:val="en-US"/>
        </w:rPr>
        <w:t xml:space="preserve"> dire</w:t>
      </w:r>
      <w:r w:rsidRPr="00003B04">
        <w:rPr>
          <w:sz w:val="20"/>
          <w:lang w:val="en-US"/>
        </w:rPr>
        <w:t xml:space="preserve">, s. 254(3.1) of the </w:t>
      </w:r>
      <w:r w:rsidRPr="00003B04">
        <w:rPr>
          <w:i/>
          <w:sz w:val="20"/>
          <w:lang w:val="en-US"/>
        </w:rPr>
        <w:t>Criminal Code</w:t>
      </w:r>
      <w:r w:rsidRPr="00003B04">
        <w:rPr>
          <w:sz w:val="20"/>
          <w:lang w:val="en-US"/>
        </w:rPr>
        <w:t xml:space="preserve"> and the legislative and regulatory scheme that accompanies it conclusively answer the question. A DRE is a “drug recognition expert”, certified as such for the purposes of the 12</w:t>
      </w:r>
      <w:r w:rsidRPr="00003B04">
        <w:rPr>
          <w:sz w:val="20"/>
          <w:lang w:val="en-US"/>
        </w:rPr>
        <w:noBreakHyphen/>
        <w:t>step evaluation. By reason of his training and experience, a DRE undoubtedly possesses expertise on determining drug impairment that is outside the experience and knowledge of the trier of fact. He is thus an expert for the purpose of applying the 12</w:t>
      </w:r>
      <w:r w:rsidRPr="00003B04">
        <w:rPr>
          <w:sz w:val="20"/>
          <w:lang w:val="en-US"/>
        </w:rPr>
        <w:noBreakHyphen/>
        <w:t xml:space="preserve">step evaluation and determining whether that evaluation indicates drug impairment. His expertise has been conclusively and </w:t>
      </w:r>
      <w:proofErr w:type="spellStart"/>
      <w:r w:rsidRPr="00003B04">
        <w:rPr>
          <w:sz w:val="20"/>
          <w:lang w:val="en-US"/>
        </w:rPr>
        <w:t>irrebuttably</w:t>
      </w:r>
      <w:proofErr w:type="spellEnd"/>
      <w:r w:rsidRPr="00003B04">
        <w:rPr>
          <w:sz w:val="20"/>
          <w:lang w:val="en-US"/>
        </w:rPr>
        <w:t xml:space="preserve"> established by Parliament.</w:t>
      </w:r>
      <w:r w:rsidRPr="00003B04">
        <w:rPr>
          <w:sz w:val="20"/>
        </w:rPr>
        <w:t xml:space="preserve"> </w:t>
      </w:r>
      <w:r w:rsidRPr="00003B04">
        <w:rPr>
          <w:sz w:val="20"/>
          <w:lang w:val="en-US"/>
        </w:rPr>
        <w:t xml:space="preserve">Knowledge of the underlying science is not a precondition to the admissibility of a DRE’s opinion. Such knowledge is required only where the science is novel. </w:t>
      </w:r>
      <w:r w:rsidRPr="00003B04">
        <w:rPr>
          <w:sz w:val="20"/>
        </w:rPr>
        <w:t xml:space="preserve">The purpose of the special rule for novel science is to ensure that </w:t>
      </w:r>
      <w:r w:rsidRPr="00003B04">
        <w:rPr>
          <w:sz w:val="20"/>
        </w:rPr>
        <w:lastRenderedPageBreak/>
        <w:t>the reliability of the evidence is established by precedent, evidence or statute. In this case, the reliability of the 12</w:t>
      </w:r>
      <w:r w:rsidRPr="00003B04">
        <w:rPr>
          <w:sz w:val="20"/>
        </w:rPr>
        <w:noBreakHyphen/>
        <w:t xml:space="preserve">step evaluation comes from the statutory framework itself. </w:t>
      </w:r>
    </w:p>
    <w:p w:rsidR="00413AAC" w:rsidRPr="00003B04" w:rsidRDefault="00413AAC" w:rsidP="00413AAC">
      <w:pPr>
        <w:pStyle w:val="SCCNormalDoubleSpacing"/>
        <w:spacing w:line="240" w:lineRule="auto"/>
        <w:rPr>
          <w:sz w:val="20"/>
          <w:lang w:val="en-US"/>
        </w:rPr>
      </w:pPr>
    </w:p>
    <w:p w:rsidR="00413AAC" w:rsidRPr="00003B04" w:rsidRDefault="00413AAC" w:rsidP="00413AAC">
      <w:pPr>
        <w:pStyle w:val="SCCNormalDoubleSpacing"/>
        <w:spacing w:line="240" w:lineRule="auto"/>
        <w:rPr>
          <w:sz w:val="20"/>
        </w:rPr>
      </w:pPr>
      <w:r w:rsidRPr="00003B04">
        <w:rPr>
          <w:sz w:val="20"/>
        </w:rPr>
        <w:tab/>
        <w:t xml:space="preserve">Where, as here, the four </w:t>
      </w:r>
      <w:r w:rsidRPr="00003B04">
        <w:rPr>
          <w:i/>
          <w:sz w:val="20"/>
        </w:rPr>
        <w:t>Mohan</w:t>
      </w:r>
      <w:r w:rsidRPr="00003B04">
        <w:rPr>
          <w:sz w:val="20"/>
        </w:rPr>
        <w:t xml:space="preserve"> threshold requirements for admissibility are met and there is no question that the probative value of the evidence outweighs its prejudicial effect, the trial judge is not obliged to hold a </w:t>
      </w:r>
      <w:proofErr w:type="spellStart"/>
      <w:r w:rsidRPr="00003B04">
        <w:rPr>
          <w:i/>
          <w:sz w:val="20"/>
        </w:rPr>
        <w:t>voir</w:t>
      </w:r>
      <w:proofErr w:type="spellEnd"/>
      <w:r w:rsidRPr="00003B04">
        <w:rPr>
          <w:i/>
          <w:sz w:val="20"/>
        </w:rPr>
        <w:t xml:space="preserve"> dire</w:t>
      </w:r>
      <w:r w:rsidRPr="00003B04">
        <w:rPr>
          <w:sz w:val="20"/>
        </w:rPr>
        <w:t xml:space="preserve"> to determine the admissibility of the evidence. Because the DRE’s evidence is admissible as expert evidence, it is unnecessary to consider whether it could also be admissible as lay opinion. </w:t>
      </w:r>
    </w:p>
    <w:p w:rsidR="00413AAC" w:rsidRPr="00003B04" w:rsidRDefault="00413AAC" w:rsidP="00413AAC">
      <w:pPr>
        <w:pStyle w:val="SCCNormalDoubleSpacing"/>
        <w:spacing w:line="240" w:lineRule="auto"/>
        <w:rPr>
          <w:sz w:val="20"/>
        </w:rPr>
      </w:pPr>
    </w:p>
    <w:p w:rsidR="00413AAC" w:rsidRPr="00003B04" w:rsidRDefault="00413AAC" w:rsidP="00413AAC">
      <w:pPr>
        <w:pStyle w:val="SCCNormalDoubleSpacing"/>
        <w:spacing w:line="240" w:lineRule="auto"/>
        <w:rPr>
          <w:sz w:val="20"/>
        </w:rPr>
      </w:pPr>
      <w:r w:rsidRPr="00003B04">
        <w:rPr>
          <w:rStyle w:val="SCCCoramChar"/>
          <w:i/>
          <w:sz w:val="20"/>
          <w:szCs w:val="20"/>
          <w:lang w:val="en-US"/>
        </w:rPr>
        <w:tab/>
        <w:t xml:space="preserve">Per </w:t>
      </w:r>
      <w:proofErr w:type="spellStart"/>
      <w:r w:rsidRPr="00003B04">
        <w:rPr>
          <w:rStyle w:val="SCCCoramChar"/>
          <w:b/>
          <w:sz w:val="20"/>
          <w:szCs w:val="20"/>
          <w:lang w:val="en-US"/>
        </w:rPr>
        <w:t>Karakatsanis</w:t>
      </w:r>
      <w:proofErr w:type="spellEnd"/>
      <w:r w:rsidRPr="00003B04">
        <w:rPr>
          <w:rStyle w:val="SCCCoramChar"/>
          <w:sz w:val="20"/>
          <w:szCs w:val="20"/>
          <w:lang w:val="en-US"/>
        </w:rPr>
        <w:t xml:space="preserve"> and </w:t>
      </w:r>
      <w:proofErr w:type="spellStart"/>
      <w:r w:rsidRPr="00003B04">
        <w:rPr>
          <w:rStyle w:val="SCCCoramChar"/>
          <w:sz w:val="20"/>
          <w:szCs w:val="20"/>
          <w:lang w:val="en-US"/>
        </w:rPr>
        <w:t>Gascon</w:t>
      </w:r>
      <w:proofErr w:type="spellEnd"/>
      <w:r w:rsidRPr="00003B04">
        <w:rPr>
          <w:rStyle w:val="SCCCoramChar"/>
          <w:sz w:val="20"/>
          <w:szCs w:val="20"/>
          <w:lang w:val="en-US"/>
        </w:rPr>
        <w:t xml:space="preserve"> JJ. </w:t>
      </w:r>
      <w:r w:rsidRPr="00003B04">
        <w:rPr>
          <w:sz w:val="20"/>
          <w:lang w:val="en"/>
        </w:rPr>
        <w:t>(</w:t>
      </w:r>
      <w:proofErr w:type="gramStart"/>
      <w:r w:rsidRPr="00003B04">
        <w:rPr>
          <w:sz w:val="20"/>
          <w:lang w:val="en"/>
        </w:rPr>
        <w:t>dissenting</w:t>
      </w:r>
      <w:proofErr w:type="gramEnd"/>
      <w:r w:rsidRPr="00003B04">
        <w:rPr>
          <w:sz w:val="20"/>
          <w:lang w:val="en"/>
        </w:rPr>
        <w:t>)</w:t>
      </w:r>
      <w:r w:rsidRPr="00003B04">
        <w:rPr>
          <w:rStyle w:val="SCCCoramChar"/>
          <w:sz w:val="20"/>
          <w:szCs w:val="20"/>
          <w:lang w:val="en-US"/>
        </w:rPr>
        <w:t xml:space="preserve">: </w:t>
      </w:r>
      <w:r w:rsidRPr="00003B04">
        <w:rPr>
          <w:sz w:val="20"/>
        </w:rPr>
        <w:t>Parliament has not determined that the 12</w:t>
      </w:r>
      <w:r w:rsidRPr="00003B04">
        <w:rPr>
          <w:sz w:val="20"/>
        </w:rPr>
        <w:noBreakHyphen/>
        <w:t>step DRE evaluation is sufficiently reliable to be admitted as evidence of drug impairment at trial. Parliament has simply endorsed the reliability of the 12</w:t>
      </w:r>
      <w:r w:rsidRPr="00003B04">
        <w:rPr>
          <w:sz w:val="20"/>
        </w:rPr>
        <w:noBreakHyphen/>
        <w:t xml:space="preserve">step evaluation as an investigative tool, but not as an evidentiary shortcut at trial. Without the ability to test the reliability of the scientific foundation of a DRE evaluation, the trial judge — acting as gatekeeper — will be unable to assess the probative value of such evidence, and the trier of fact will be unable to assess the weight of such evidence. Courts retain discretion to require — through precedent or evidence on a </w:t>
      </w:r>
      <w:proofErr w:type="spellStart"/>
      <w:r w:rsidRPr="00003B04">
        <w:rPr>
          <w:i/>
          <w:sz w:val="20"/>
        </w:rPr>
        <w:t>voir</w:t>
      </w:r>
      <w:proofErr w:type="spellEnd"/>
      <w:r w:rsidRPr="00003B04">
        <w:rPr>
          <w:i/>
          <w:sz w:val="20"/>
        </w:rPr>
        <w:t xml:space="preserve"> dire</w:t>
      </w:r>
      <w:r w:rsidRPr="00003B04">
        <w:rPr>
          <w:sz w:val="20"/>
        </w:rPr>
        <w:t xml:space="preserve"> — confirmation that the science behind DRE evaluations meets a basic threshold of reliability before admitting the evidence at trial. </w:t>
      </w:r>
    </w:p>
    <w:p w:rsidR="00413AAC" w:rsidRPr="00003B04" w:rsidRDefault="00413AAC" w:rsidP="00413AAC">
      <w:pPr>
        <w:pStyle w:val="SCCNormalDoubleSpacing"/>
        <w:spacing w:line="240" w:lineRule="auto"/>
        <w:rPr>
          <w:sz w:val="20"/>
        </w:rPr>
      </w:pPr>
    </w:p>
    <w:p w:rsidR="00413AAC" w:rsidRPr="00003B04" w:rsidRDefault="00413AAC" w:rsidP="00413AAC">
      <w:pPr>
        <w:pStyle w:val="SCCNormalDoubleSpacing"/>
        <w:spacing w:line="240" w:lineRule="auto"/>
        <w:rPr>
          <w:sz w:val="20"/>
        </w:rPr>
      </w:pPr>
      <w:r w:rsidRPr="00003B04">
        <w:rPr>
          <w:sz w:val="20"/>
        </w:rPr>
        <w:tab/>
      </w:r>
      <w:r w:rsidRPr="00003B04" w:rsidDel="00477308">
        <w:rPr>
          <w:sz w:val="20"/>
        </w:rPr>
        <w:t xml:space="preserve">Given the unsettled nature of the case law and the relatively recent reception of DRE evidence into Canadian courts, it was open to the trial judge </w:t>
      </w:r>
      <w:r w:rsidRPr="00003B04">
        <w:rPr>
          <w:sz w:val="20"/>
        </w:rPr>
        <w:t xml:space="preserve">in this case </w:t>
      </w:r>
      <w:r w:rsidRPr="00003B04" w:rsidDel="00477308">
        <w:rPr>
          <w:sz w:val="20"/>
        </w:rPr>
        <w:t xml:space="preserve">to treat the proposed testimony as an </w:t>
      </w:r>
      <w:r w:rsidRPr="00003B04">
        <w:rPr>
          <w:sz w:val="20"/>
        </w:rPr>
        <w:t>opinion based on novel science.</w:t>
      </w:r>
      <w:r w:rsidRPr="00003B04" w:rsidDel="00477308">
        <w:rPr>
          <w:sz w:val="20"/>
        </w:rPr>
        <w:t xml:space="preserve"> </w:t>
      </w:r>
      <w:r w:rsidRPr="00003B04">
        <w:rPr>
          <w:sz w:val="20"/>
        </w:rPr>
        <w:t>Although he recognized the DRE’s special expertise in administering the 12</w:t>
      </w:r>
      <w:r w:rsidRPr="00003B04">
        <w:rPr>
          <w:sz w:val="20"/>
        </w:rPr>
        <w:noBreakHyphen/>
        <w:t>step evaluation for the purpose of requesting a bodily sample and thereby advancing the police investigation, the trial judge found that the DRE was not trained on the reliability of the 12</w:t>
      </w:r>
      <w:r w:rsidRPr="00003B04">
        <w:rPr>
          <w:sz w:val="20"/>
        </w:rPr>
        <w:noBreakHyphen/>
        <w:t xml:space="preserve">step evaluation. Because the Crown did not call a different expert for this purpose, there was a lack of evidence about the reliability of the regime. The trial judge was therefore entitled to </w:t>
      </w:r>
      <w:bookmarkStart w:id="2" w:name="_GoBack"/>
      <w:bookmarkEnd w:id="2"/>
      <w:r w:rsidRPr="00003B04">
        <w:rPr>
          <w:sz w:val="20"/>
        </w:rPr>
        <w:t xml:space="preserve">exclude the DRE’s evidence. </w:t>
      </w:r>
    </w:p>
    <w:p w:rsidR="00413AAC" w:rsidRPr="00003B04" w:rsidRDefault="00413AAC" w:rsidP="00413AAC">
      <w:pPr>
        <w:pStyle w:val="SCCNormalDoubleSpacing"/>
        <w:spacing w:line="240" w:lineRule="auto"/>
        <w:rPr>
          <w:sz w:val="20"/>
        </w:rPr>
      </w:pPr>
    </w:p>
    <w:p w:rsidR="00413AAC" w:rsidRPr="00003B04" w:rsidRDefault="00413AAC" w:rsidP="00413AAC">
      <w:pPr>
        <w:pStyle w:val="SCCNormalDoubleSpacing"/>
        <w:spacing w:line="240" w:lineRule="auto"/>
        <w:rPr>
          <w:sz w:val="20"/>
          <w:lang w:val="en-ZW"/>
        </w:rPr>
      </w:pPr>
      <w:r w:rsidRPr="00003B04">
        <w:rPr>
          <w:sz w:val="20"/>
        </w:rPr>
        <w:tab/>
        <w:t xml:space="preserve">APPEAL from a judgment of the Ontario Court of Appeal (Cronk, </w:t>
      </w:r>
      <w:proofErr w:type="spellStart"/>
      <w:r w:rsidRPr="00003B04">
        <w:rPr>
          <w:sz w:val="20"/>
        </w:rPr>
        <w:t>Gillese</w:t>
      </w:r>
      <w:proofErr w:type="spellEnd"/>
      <w:r w:rsidRPr="00003B04">
        <w:rPr>
          <w:sz w:val="20"/>
        </w:rPr>
        <w:t xml:space="preserve"> and </w:t>
      </w:r>
      <w:proofErr w:type="spellStart"/>
      <w:r w:rsidRPr="00003B04">
        <w:rPr>
          <w:sz w:val="20"/>
        </w:rPr>
        <w:t>Huscroft</w:t>
      </w:r>
      <w:proofErr w:type="spellEnd"/>
      <w:r w:rsidRPr="00003B04">
        <w:rPr>
          <w:sz w:val="20"/>
        </w:rPr>
        <w:t xml:space="preserve"> JJ.A.), 2015 ONCA 439, 126 O.R. (3d) 525, 20 C.R. (7th) 351, 325 C.C.C. (3d) 525, 335 O.A.C. 328, 80 M.V.R. (6th) 1, [2015] O.J. No. 3171 (QL), 2015 </w:t>
      </w:r>
      <w:proofErr w:type="spellStart"/>
      <w:r w:rsidRPr="00003B04">
        <w:rPr>
          <w:sz w:val="20"/>
        </w:rPr>
        <w:t>CarswellOnt</w:t>
      </w:r>
      <w:proofErr w:type="spellEnd"/>
      <w:r w:rsidRPr="00003B04">
        <w:rPr>
          <w:sz w:val="20"/>
        </w:rPr>
        <w:t xml:space="preserve"> 8987 (WL Can.), affirming a decision of McLean J., 2014 ONSC 2432, [2014] O.J. No. 2468 (QL), 2014 </w:t>
      </w:r>
      <w:proofErr w:type="spellStart"/>
      <w:r w:rsidRPr="00003B04">
        <w:rPr>
          <w:sz w:val="20"/>
        </w:rPr>
        <w:t>CarswellOnt</w:t>
      </w:r>
      <w:proofErr w:type="spellEnd"/>
      <w:r w:rsidRPr="00003B04">
        <w:rPr>
          <w:sz w:val="20"/>
        </w:rPr>
        <w:t xml:space="preserve"> 6888 (WL Can.), </w:t>
      </w:r>
      <w:r w:rsidRPr="00003B04">
        <w:rPr>
          <w:sz w:val="20"/>
          <w:lang w:val="en-ZW"/>
        </w:rPr>
        <w:t xml:space="preserve">setting aside the acquittal entered by Frazer J., [2013] O.J. No. 6277 (QL), 2013 </w:t>
      </w:r>
      <w:proofErr w:type="spellStart"/>
      <w:r w:rsidRPr="00003B04">
        <w:rPr>
          <w:sz w:val="20"/>
          <w:lang w:val="en-ZW"/>
        </w:rPr>
        <w:t>CarswellOnt</w:t>
      </w:r>
      <w:proofErr w:type="spellEnd"/>
      <w:r w:rsidRPr="00003B04">
        <w:rPr>
          <w:sz w:val="20"/>
          <w:lang w:val="en-ZW"/>
        </w:rPr>
        <w:t xml:space="preserve"> 18815 (WL Can.), and ordering a new trial. Appeal dismissed, </w:t>
      </w:r>
      <w:proofErr w:type="spellStart"/>
      <w:r w:rsidRPr="00003B04">
        <w:rPr>
          <w:sz w:val="20"/>
          <w:lang w:val="en-ZW"/>
        </w:rPr>
        <w:t>Karakatsanis</w:t>
      </w:r>
      <w:proofErr w:type="spellEnd"/>
      <w:r w:rsidRPr="00003B04">
        <w:rPr>
          <w:sz w:val="20"/>
          <w:lang w:val="en-ZW"/>
        </w:rPr>
        <w:t xml:space="preserve"> and </w:t>
      </w:r>
      <w:proofErr w:type="spellStart"/>
      <w:r w:rsidRPr="00003B04">
        <w:rPr>
          <w:sz w:val="20"/>
          <w:lang w:val="en-ZW"/>
        </w:rPr>
        <w:t>Gascon</w:t>
      </w:r>
      <w:proofErr w:type="spellEnd"/>
      <w:r w:rsidRPr="00003B04">
        <w:rPr>
          <w:sz w:val="20"/>
          <w:lang w:val="en-ZW"/>
        </w:rPr>
        <w:t xml:space="preserve"> JJ. </w:t>
      </w:r>
      <w:proofErr w:type="gramStart"/>
      <w:r w:rsidRPr="00003B04">
        <w:rPr>
          <w:sz w:val="20"/>
          <w:lang w:val="en-ZW"/>
        </w:rPr>
        <w:t>dissenting</w:t>
      </w:r>
      <w:proofErr w:type="gramEnd"/>
      <w:r w:rsidRPr="00003B04">
        <w:rPr>
          <w:sz w:val="20"/>
          <w:lang w:val="en-ZW"/>
        </w:rPr>
        <w:t>.</w:t>
      </w:r>
    </w:p>
    <w:p w:rsidR="00413AAC" w:rsidRPr="00003B04" w:rsidRDefault="00413AAC" w:rsidP="00413AAC">
      <w:pPr>
        <w:pStyle w:val="SCCNormalDoubleSpacing"/>
        <w:spacing w:line="240" w:lineRule="auto"/>
        <w:rPr>
          <w:sz w:val="20"/>
          <w:lang w:val="en-ZW"/>
        </w:rPr>
      </w:pPr>
    </w:p>
    <w:p w:rsidR="00413AAC" w:rsidRPr="00003B04" w:rsidRDefault="00413AAC" w:rsidP="00413AAC">
      <w:pPr>
        <w:pStyle w:val="SCCNormalDoubleSpacing"/>
        <w:spacing w:line="240" w:lineRule="auto"/>
        <w:rPr>
          <w:rStyle w:val="SCCCounselPartyRoleChar"/>
          <w:sz w:val="20"/>
        </w:rPr>
      </w:pPr>
      <w:r w:rsidRPr="00003B04">
        <w:rPr>
          <w:rStyle w:val="SCCCounselNameChar"/>
          <w:sz w:val="20"/>
        </w:rPr>
        <w:tab/>
        <w:t>Trevor Brown</w:t>
      </w:r>
      <w:r w:rsidRPr="00003B04">
        <w:rPr>
          <w:rStyle w:val="SCCCounselSeparatorChar"/>
          <w:rFonts w:eastAsia="Calibri"/>
          <w:sz w:val="20"/>
          <w:lang w:val="en-US"/>
        </w:rPr>
        <w:t xml:space="preserve"> and </w:t>
      </w:r>
      <w:r w:rsidRPr="00003B04">
        <w:rPr>
          <w:rStyle w:val="SCCCounselNameChar"/>
          <w:sz w:val="20"/>
        </w:rPr>
        <w:t>Eric Granger</w:t>
      </w:r>
      <w:r w:rsidRPr="00003B04">
        <w:rPr>
          <w:rStyle w:val="SCCCounselPartyRoleChar"/>
          <w:sz w:val="20"/>
        </w:rPr>
        <w:t>, for the appellant.</w:t>
      </w:r>
    </w:p>
    <w:p w:rsidR="00413AAC" w:rsidRPr="00003B04" w:rsidRDefault="00413AAC" w:rsidP="00413AAC">
      <w:pPr>
        <w:pStyle w:val="SCCNormalDoubleSpacing"/>
        <w:spacing w:line="240" w:lineRule="auto"/>
        <w:rPr>
          <w:sz w:val="20"/>
        </w:rPr>
      </w:pPr>
    </w:p>
    <w:p w:rsidR="00413AAC" w:rsidRPr="00003B04" w:rsidRDefault="00413AAC" w:rsidP="00413AAC">
      <w:pPr>
        <w:pStyle w:val="SCCNormalDoubleSpacing"/>
        <w:spacing w:line="240" w:lineRule="auto"/>
        <w:rPr>
          <w:rStyle w:val="SCCCounselPartyRoleChar"/>
          <w:sz w:val="20"/>
        </w:rPr>
      </w:pPr>
      <w:r w:rsidRPr="00003B04">
        <w:rPr>
          <w:rStyle w:val="SCCCounselNameChar"/>
          <w:sz w:val="20"/>
        </w:rPr>
        <w:tab/>
        <w:t>Joan Barrett</w:t>
      </w:r>
      <w:r w:rsidRPr="00003B04">
        <w:rPr>
          <w:rStyle w:val="SCCCounselPartyRoleChar"/>
          <w:sz w:val="20"/>
        </w:rPr>
        <w:t>, for the respondent.</w:t>
      </w:r>
    </w:p>
    <w:p w:rsidR="00413AAC" w:rsidRPr="00003B04" w:rsidRDefault="00413AAC" w:rsidP="00413AAC">
      <w:pPr>
        <w:pStyle w:val="SCCNormalDoubleSpacing"/>
        <w:spacing w:line="240" w:lineRule="auto"/>
        <w:rPr>
          <w:sz w:val="20"/>
        </w:rPr>
      </w:pPr>
    </w:p>
    <w:p w:rsidR="00413AAC" w:rsidRPr="00003B04" w:rsidRDefault="00413AAC" w:rsidP="00413AAC">
      <w:pPr>
        <w:pStyle w:val="SCCNormalDoubleSpacing"/>
        <w:spacing w:line="240" w:lineRule="auto"/>
        <w:rPr>
          <w:rStyle w:val="SCCCounselPartyRoleChar"/>
          <w:sz w:val="20"/>
        </w:rPr>
      </w:pPr>
      <w:r w:rsidRPr="00003B04">
        <w:rPr>
          <w:rStyle w:val="SCCCounselNameChar"/>
          <w:sz w:val="20"/>
        </w:rPr>
        <w:tab/>
        <w:t xml:space="preserve">Mark C. </w:t>
      </w:r>
      <w:proofErr w:type="spellStart"/>
      <w:r w:rsidRPr="00003B04">
        <w:rPr>
          <w:rStyle w:val="SCCCounselNameChar"/>
          <w:sz w:val="20"/>
        </w:rPr>
        <w:t>Halfyard</w:t>
      </w:r>
      <w:proofErr w:type="spellEnd"/>
      <w:r w:rsidRPr="00003B04">
        <w:rPr>
          <w:rStyle w:val="SCCCounselSeparatorChar"/>
          <w:rFonts w:eastAsia="Calibri"/>
          <w:sz w:val="20"/>
          <w:lang w:val="en-US"/>
        </w:rPr>
        <w:t xml:space="preserve"> and </w:t>
      </w:r>
      <w:r w:rsidRPr="00003B04">
        <w:rPr>
          <w:rStyle w:val="SCCCounselNameChar"/>
          <w:sz w:val="20"/>
        </w:rPr>
        <w:t xml:space="preserve">Breana </w:t>
      </w:r>
      <w:proofErr w:type="spellStart"/>
      <w:r w:rsidRPr="00003B04">
        <w:rPr>
          <w:rStyle w:val="SCCCounselNameChar"/>
          <w:sz w:val="20"/>
        </w:rPr>
        <w:t>Vandebeek</w:t>
      </w:r>
      <w:proofErr w:type="spellEnd"/>
      <w:r w:rsidRPr="00003B04">
        <w:rPr>
          <w:rStyle w:val="SCCCounselPartyRoleChar"/>
          <w:sz w:val="20"/>
        </w:rPr>
        <w:t>, for the intervener the Criminal Lawyers’ Association (Ontario).</w:t>
      </w:r>
    </w:p>
    <w:p w:rsidR="00413AAC" w:rsidRPr="00003B04" w:rsidRDefault="00413AAC" w:rsidP="00413AAC">
      <w:pPr>
        <w:pStyle w:val="SCCNormalDoubleSpacing"/>
        <w:spacing w:line="240" w:lineRule="auto"/>
        <w:rPr>
          <w:sz w:val="20"/>
        </w:rPr>
      </w:pPr>
    </w:p>
    <w:p w:rsidR="00413AAC" w:rsidRPr="00003B04" w:rsidRDefault="00413AAC" w:rsidP="00413AAC">
      <w:pPr>
        <w:pStyle w:val="SCCNormalDoubleSpacing"/>
        <w:spacing w:line="240" w:lineRule="auto"/>
        <w:rPr>
          <w:rStyle w:val="SCCCounselPartyRoleChar"/>
          <w:sz w:val="20"/>
        </w:rPr>
      </w:pPr>
      <w:r w:rsidRPr="00003B04">
        <w:rPr>
          <w:rStyle w:val="SCCCounselNameChar"/>
          <w:sz w:val="20"/>
        </w:rPr>
        <w:tab/>
        <w:t xml:space="preserve">Jasmine T. </w:t>
      </w:r>
      <w:proofErr w:type="spellStart"/>
      <w:r w:rsidRPr="00003B04">
        <w:rPr>
          <w:rStyle w:val="SCCCounselNameChar"/>
          <w:sz w:val="20"/>
        </w:rPr>
        <w:t>Akbarali</w:t>
      </w:r>
      <w:proofErr w:type="spellEnd"/>
      <w:r w:rsidRPr="00003B04">
        <w:rPr>
          <w:rStyle w:val="SCCCounselSeparatorChar"/>
          <w:rFonts w:eastAsia="Calibri"/>
          <w:sz w:val="20"/>
          <w:lang w:val="en-US"/>
        </w:rPr>
        <w:t xml:space="preserve"> and </w:t>
      </w:r>
      <w:r w:rsidRPr="00003B04">
        <w:rPr>
          <w:rStyle w:val="SCCCounselNameChar"/>
          <w:sz w:val="20"/>
        </w:rPr>
        <w:t>Stuart A. Zacharias</w:t>
      </w:r>
      <w:r w:rsidRPr="00003B04">
        <w:rPr>
          <w:rStyle w:val="SCCCounselPartyRoleChar"/>
          <w:sz w:val="20"/>
        </w:rPr>
        <w:t>, for the intervener the Canadian Civil Liberties Association.</w:t>
      </w:r>
    </w:p>
    <w:p w:rsidR="00413AAC" w:rsidRPr="00003B04" w:rsidRDefault="00413AAC" w:rsidP="00413AAC">
      <w:pPr>
        <w:pStyle w:val="SCCNormalDoubleSpacing"/>
        <w:spacing w:line="240" w:lineRule="auto"/>
        <w:rPr>
          <w:sz w:val="20"/>
        </w:rPr>
      </w:pPr>
    </w:p>
    <w:p w:rsidR="00413AAC" w:rsidRPr="00003B04" w:rsidRDefault="00413AAC" w:rsidP="00413AAC">
      <w:pPr>
        <w:pStyle w:val="SCCLawFirm"/>
        <w:spacing w:line="240" w:lineRule="auto"/>
        <w:rPr>
          <w:sz w:val="20"/>
        </w:rPr>
      </w:pPr>
      <w:r w:rsidRPr="00003B04">
        <w:rPr>
          <w:sz w:val="20"/>
        </w:rPr>
        <w:tab/>
        <w:t>Solicitors for the appellant: </w:t>
      </w:r>
      <w:proofErr w:type="spellStart"/>
      <w:r w:rsidRPr="00003B04">
        <w:rPr>
          <w:sz w:val="20"/>
        </w:rPr>
        <w:t>Greenspon</w:t>
      </w:r>
      <w:proofErr w:type="spellEnd"/>
      <w:r w:rsidRPr="00003B04">
        <w:rPr>
          <w:sz w:val="20"/>
        </w:rPr>
        <w:t>, Brown &amp; Associates, Ottawa.</w:t>
      </w:r>
    </w:p>
    <w:p w:rsidR="00413AAC" w:rsidRPr="00003B04" w:rsidRDefault="00413AAC" w:rsidP="00413AAC">
      <w:pPr>
        <w:pStyle w:val="SCCNormalDoubleSpacing"/>
        <w:spacing w:line="240" w:lineRule="auto"/>
      </w:pPr>
    </w:p>
    <w:p w:rsidR="00413AAC" w:rsidRPr="00003B04" w:rsidRDefault="00413AAC" w:rsidP="00413AAC">
      <w:pPr>
        <w:pStyle w:val="SCCLawFirm"/>
        <w:spacing w:line="240" w:lineRule="auto"/>
        <w:rPr>
          <w:sz w:val="20"/>
        </w:rPr>
      </w:pPr>
      <w:r w:rsidRPr="00003B04">
        <w:rPr>
          <w:sz w:val="20"/>
        </w:rPr>
        <w:tab/>
        <w:t>Solicitor for the respondent: Attorney General of Ontario, Toronto.</w:t>
      </w:r>
    </w:p>
    <w:p w:rsidR="00413AAC" w:rsidRPr="00003B04" w:rsidRDefault="00413AAC" w:rsidP="00413AAC">
      <w:pPr>
        <w:pStyle w:val="SCCNormalDoubleSpacing"/>
        <w:spacing w:line="240" w:lineRule="auto"/>
      </w:pPr>
    </w:p>
    <w:p w:rsidR="00413AAC" w:rsidRPr="00003B04" w:rsidRDefault="00413AAC" w:rsidP="00413AAC">
      <w:pPr>
        <w:pStyle w:val="SCCLawFirm"/>
        <w:spacing w:line="240" w:lineRule="auto"/>
        <w:rPr>
          <w:sz w:val="20"/>
        </w:rPr>
      </w:pPr>
      <w:r w:rsidRPr="00003B04">
        <w:rPr>
          <w:sz w:val="20"/>
        </w:rPr>
        <w:tab/>
        <w:t>Solicitors for the intervener the Criminal Lawyers’ Association (Ontario): </w:t>
      </w:r>
      <w:proofErr w:type="spellStart"/>
      <w:r w:rsidRPr="00003B04">
        <w:rPr>
          <w:sz w:val="20"/>
        </w:rPr>
        <w:t>Rusonik</w:t>
      </w:r>
      <w:proofErr w:type="spellEnd"/>
      <w:r w:rsidRPr="00003B04">
        <w:rPr>
          <w:sz w:val="20"/>
        </w:rPr>
        <w:t xml:space="preserve">, O’Connor, Robbins, Ross, Gorham &amp; </w:t>
      </w:r>
      <w:proofErr w:type="spellStart"/>
      <w:r w:rsidRPr="00003B04">
        <w:rPr>
          <w:sz w:val="20"/>
        </w:rPr>
        <w:t>Angelini</w:t>
      </w:r>
      <w:proofErr w:type="spellEnd"/>
      <w:r w:rsidRPr="00003B04">
        <w:rPr>
          <w:sz w:val="20"/>
        </w:rPr>
        <w:t>, Toronto.</w:t>
      </w:r>
    </w:p>
    <w:p w:rsidR="00413AAC" w:rsidRPr="00003B04" w:rsidRDefault="00413AAC" w:rsidP="00413AAC">
      <w:pPr>
        <w:pStyle w:val="SCCNormalDoubleSpacing"/>
        <w:spacing w:line="240" w:lineRule="auto"/>
      </w:pPr>
    </w:p>
    <w:p w:rsidR="00413AAC" w:rsidRPr="00003B04" w:rsidRDefault="00413AAC" w:rsidP="00413AAC">
      <w:pPr>
        <w:pStyle w:val="SCCLawFirm"/>
        <w:spacing w:line="240" w:lineRule="auto"/>
        <w:rPr>
          <w:sz w:val="20"/>
        </w:rPr>
      </w:pPr>
      <w:r w:rsidRPr="00003B04">
        <w:rPr>
          <w:sz w:val="20"/>
        </w:rPr>
        <w:tab/>
        <w:t>Solicitors for the intervener the Canadian Civil Liberties Association: </w:t>
      </w:r>
      <w:proofErr w:type="spellStart"/>
      <w:r w:rsidRPr="00003B04">
        <w:rPr>
          <w:sz w:val="20"/>
        </w:rPr>
        <w:t>Lerners</w:t>
      </w:r>
      <w:proofErr w:type="spellEnd"/>
      <w:r w:rsidRPr="00003B04">
        <w:rPr>
          <w:sz w:val="20"/>
        </w:rPr>
        <w:t>, Toronto.</w:t>
      </w:r>
    </w:p>
    <w:p w:rsidR="00D50871" w:rsidRPr="00003B04" w:rsidRDefault="00D50871" w:rsidP="0052229C">
      <w:pPr>
        <w:rPr>
          <w:rFonts w:cs="Times New Roman"/>
          <w:sz w:val="20"/>
          <w:szCs w:val="20"/>
        </w:rPr>
      </w:pPr>
    </w:p>
    <w:p w:rsidR="0052229C" w:rsidRPr="00003B04" w:rsidRDefault="0052229C" w:rsidP="0052229C">
      <w:pPr>
        <w:rPr>
          <w:rFonts w:cs="Times New Roman"/>
          <w:sz w:val="20"/>
          <w:szCs w:val="20"/>
          <w:lang w:val="fr-CA"/>
        </w:rPr>
      </w:pPr>
      <w:r w:rsidRPr="00003B04">
        <w:rPr>
          <w:rFonts w:cs="Times New Roman"/>
          <w:sz w:val="20"/>
          <w:szCs w:val="20"/>
          <w:lang w:val="fr-CA"/>
        </w:rPr>
        <w:t>________________________</w:t>
      </w:r>
    </w:p>
    <w:p w:rsidR="0052229C" w:rsidRPr="00003B04" w:rsidRDefault="0052229C" w:rsidP="0052229C">
      <w:pPr>
        <w:rPr>
          <w:rFonts w:cs="Times New Roman"/>
          <w:sz w:val="20"/>
          <w:szCs w:val="20"/>
          <w:lang w:val="fr-CA"/>
        </w:rPr>
      </w:pPr>
    </w:p>
    <w:p w:rsidR="00413AAC" w:rsidRPr="00003B04" w:rsidRDefault="00413AAC" w:rsidP="00413AAC">
      <w:pPr>
        <w:jc w:val="both"/>
        <w:rPr>
          <w:sz w:val="20"/>
          <w:lang w:val="fr-CA"/>
        </w:rPr>
      </w:pPr>
      <w:r w:rsidRPr="00003B04">
        <w:rPr>
          <w:sz w:val="20"/>
          <w:szCs w:val="20"/>
          <w:lang w:val="fr-CA"/>
        </w:rPr>
        <w:t xml:space="preserve">Présents : La juge en chef </w:t>
      </w:r>
      <w:proofErr w:type="spellStart"/>
      <w:r w:rsidRPr="00003B04">
        <w:rPr>
          <w:sz w:val="20"/>
          <w:szCs w:val="20"/>
          <w:lang w:val="fr-CA"/>
        </w:rPr>
        <w:t>McLachlin</w:t>
      </w:r>
      <w:proofErr w:type="spellEnd"/>
      <w:r w:rsidRPr="00003B04">
        <w:rPr>
          <w:sz w:val="20"/>
          <w:szCs w:val="20"/>
          <w:lang w:val="fr-CA"/>
        </w:rPr>
        <w:t xml:space="preserve"> et les juges Abella, </w:t>
      </w:r>
      <w:proofErr w:type="spellStart"/>
      <w:r w:rsidRPr="00003B04">
        <w:rPr>
          <w:sz w:val="20"/>
          <w:szCs w:val="20"/>
          <w:lang w:val="fr-CA"/>
        </w:rPr>
        <w:t>Moldaver</w:t>
      </w:r>
      <w:proofErr w:type="spellEnd"/>
      <w:r w:rsidRPr="00003B04">
        <w:rPr>
          <w:sz w:val="20"/>
          <w:szCs w:val="20"/>
          <w:lang w:val="fr-CA"/>
        </w:rPr>
        <w:t xml:space="preserve">, </w:t>
      </w:r>
      <w:proofErr w:type="spellStart"/>
      <w:r w:rsidRPr="00003B04">
        <w:rPr>
          <w:sz w:val="20"/>
          <w:szCs w:val="20"/>
          <w:lang w:val="fr-CA"/>
        </w:rPr>
        <w:t>Karakatsanis</w:t>
      </w:r>
      <w:proofErr w:type="spellEnd"/>
      <w:r w:rsidRPr="00003B04">
        <w:rPr>
          <w:sz w:val="20"/>
          <w:szCs w:val="20"/>
          <w:lang w:val="fr-CA"/>
        </w:rPr>
        <w:t>, Gascon, Côté et Brown</w:t>
      </w:r>
    </w:p>
    <w:p w:rsidR="00413AAC" w:rsidRPr="00003B04" w:rsidRDefault="00413AAC" w:rsidP="00413AAC">
      <w:pPr>
        <w:jc w:val="both"/>
        <w:rPr>
          <w:sz w:val="20"/>
          <w:szCs w:val="20"/>
          <w:lang w:val="fr-CA"/>
        </w:rPr>
      </w:pPr>
    </w:p>
    <w:p w:rsidR="00413AAC" w:rsidRPr="00003B04" w:rsidRDefault="00413AAC" w:rsidP="00413AAC">
      <w:pPr>
        <w:pStyle w:val="SCCNormalDoubleSpacing"/>
        <w:spacing w:line="240" w:lineRule="auto"/>
        <w:rPr>
          <w:sz w:val="20"/>
          <w:lang w:val="fr-CA"/>
        </w:rPr>
      </w:pPr>
      <w:r w:rsidRPr="00003B04">
        <w:rPr>
          <w:i/>
          <w:sz w:val="20"/>
          <w:lang w:val="fr-CA"/>
        </w:rPr>
        <w:tab/>
        <w:t xml:space="preserve">Droit criminel — Preuve — Preuve d’expert — Admissibilité — Évaluation en reconnaissance de drogues — Conclusion de l’expert en reconnaissance de drogues (« ERD »), certifié conformément au régime législatif, selon laquelle l’accusé a conduit avec les facultés affaiblies par la drogue — L’article 254(3.1) du Code criminel </w:t>
      </w:r>
      <w:proofErr w:type="spellStart"/>
      <w:r w:rsidRPr="00003B04">
        <w:rPr>
          <w:i/>
          <w:sz w:val="20"/>
          <w:lang w:val="fr-CA"/>
        </w:rPr>
        <w:t>prévoit</w:t>
      </w:r>
      <w:r w:rsidRPr="00003B04">
        <w:rPr>
          <w:i/>
          <w:sz w:val="20"/>
          <w:lang w:val="fr-CA"/>
        </w:rPr>
        <w:noBreakHyphen/>
        <w:t>il</w:t>
      </w:r>
      <w:proofErr w:type="spellEnd"/>
      <w:r w:rsidRPr="00003B04">
        <w:rPr>
          <w:i/>
          <w:sz w:val="20"/>
          <w:lang w:val="fr-CA"/>
        </w:rPr>
        <w:t xml:space="preserve"> l’admissibilité automatique au procès du témoignage d’opinion de l’ERD? — Si ce n’est pas le cas, le témoignage de </w:t>
      </w:r>
      <w:r w:rsidRPr="00003B04">
        <w:rPr>
          <w:i/>
          <w:sz w:val="20"/>
          <w:lang w:val="fr-CA"/>
        </w:rPr>
        <w:lastRenderedPageBreak/>
        <w:t>l’ERD est</w:t>
      </w:r>
      <w:r w:rsidRPr="00003B04">
        <w:rPr>
          <w:i/>
          <w:sz w:val="20"/>
          <w:lang w:val="fr-CA"/>
        </w:rPr>
        <w:noBreakHyphen/>
        <w:t xml:space="preserve">il admissible en tant que témoignage d’opinion d’un expert suivant les règles de preuve en </w:t>
      </w:r>
      <w:proofErr w:type="spellStart"/>
      <w:r w:rsidRPr="00003B04">
        <w:rPr>
          <w:i/>
          <w:sz w:val="20"/>
          <w:lang w:val="fr-CA"/>
        </w:rPr>
        <w:t>common</w:t>
      </w:r>
      <w:proofErr w:type="spellEnd"/>
      <w:r w:rsidRPr="00003B04">
        <w:rPr>
          <w:i/>
          <w:sz w:val="20"/>
          <w:lang w:val="fr-CA"/>
        </w:rPr>
        <w:t xml:space="preserve"> </w:t>
      </w:r>
      <w:proofErr w:type="spellStart"/>
      <w:r w:rsidRPr="00003B04">
        <w:rPr>
          <w:i/>
          <w:sz w:val="20"/>
          <w:lang w:val="fr-CA"/>
        </w:rPr>
        <w:t>law</w:t>
      </w:r>
      <w:proofErr w:type="spellEnd"/>
      <w:r w:rsidRPr="00003B04">
        <w:rPr>
          <w:i/>
          <w:sz w:val="20"/>
          <w:lang w:val="fr-CA"/>
        </w:rPr>
        <w:t>? — Code criminel, L.R.C. 1985, c. C</w:t>
      </w:r>
      <w:r w:rsidRPr="00003B04">
        <w:rPr>
          <w:i/>
          <w:sz w:val="20"/>
          <w:lang w:val="fr-CA"/>
        </w:rPr>
        <w:noBreakHyphen/>
        <w:t>46, art. 254(3.1) — Règlement sur l’évaluation des facultés de conduite (drogues et alcool)</w:t>
      </w:r>
      <w:r w:rsidRPr="00003B04">
        <w:rPr>
          <w:sz w:val="20"/>
          <w:lang w:val="fr-CA"/>
        </w:rPr>
        <w:t>, DORS/2008</w:t>
      </w:r>
      <w:r w:rsidRPr="00003B04">
        <w:rPr>
          <w:sz w:val="20"/>
          <w:lang w:val="fr-CA"/>
        </w:rPr>
        <w:noBreakHyphen/>
        <w:t>196.</w:t>
      </w:r>
    </w:p>
    <w:p w:rsidR="00413AAC" w:rsidRPr="00003B04" w:rsidRDefault="00413AAC" w:rsidP="00413AAC">
      <w:pPr>
        <w:pStyle w:val="SCCNormalDoubleSpacing"/>
        <w:spacing w:line="240" w:lineRule="auto"/>
        <w:rPr>
          <w:i/>
          <w:sz w:val="20"/>
          <w:lang w:val="fr-CA"/>
        </w:rPr>
      </w:pPr>
    </w:p>
    <w:p w:rsidR="00413AAC" w:rsidRPr="00003B04" w:rsidRDefault="00413AAC" w:rsidP="00413AAC">
      <w:pPr>
        <w:pStyle w:val="SCCNormalDoubleSpacing"/>
        <w:spacing w:line="240" w:lineRule="auto"/>
        <w:rPr>
          <w:sz w:val="20"/>
          <w:lang w:val="fr-CA"/>
        </w:rPr>
      </w:pPr>
      <w:r w:rsidRPr="00003B04">
        <w:rPr>
          <w:sz w:val="20"/>
          <w:lang w:val="fr-CA"/>
        </w:rPr>
        <w:tab/>
        <w:t xml:space="preserve">On a vu B conduire de façon irrégulière, entrer dans un stationnement et heurter un véhicule. La police est arrivée et a constaté que B présentait des signes d’affaiblissement des facultés. Par conséquent, une policière lui a fait subir un alcootest, lequel a donné des résultats non incriminants. L’agente a alors demandé à B de se soumettre sur place à un test de sobriété, effectué par un expert en reconnaissance de drogues (« ERD ») certifié sous le régime du </w:t>
      </w:r>
      <w:r w:rsidRPr="00003B04">
        <w:rPr>
          <w:i/>
          <w:sz w:val="20"/>
          <w:lang w:val="fr-CA"/>
        </w:rPr>
        <w:t>Code criminel</w:t>
      </w:r>
      <w:r w:rsidRPr="00003B04">
        <w:rPr>
          <w:sz w:val="20"/>
          <w:lang w:val="fr-CA"/>
        </w:rPr>
        <w:t xml:space="preserve"> et du</w:t>
      </w:r>
      <w:r w:rsidRPr="00003B04">
        <w:rPr>
          <w:i/>
          <w:sz w:val="20"/>
          <w:lang w:val="fr-CA"/>
        </w:rPr>
        <w:t xml:space="preserve"> Règlement sur l’évaluation des facultés de conduite (drogues et alcool)</w:t>
      </w:r>
      <w:r w:rsidRPr="00003B04">
        <w:rPr>
          <w:sz w:val="20"/>
          <w:lang w:val="fr-CA"/>
        </w:rPr>
        <w:t xml:space="preserve"> (le « Règlement »). B a échoué au test, et a été arrêté pour conduite avec les facultés affaiblies par la drogue. Il a été conduit à un poste de police, où l’ERD a effectué une évaluation en 12 étapes en reconnaissance de drogues. Durant l’évaluation, B a admis avoir fumé du cannabis et avoir pris deux comprimés d’</w:t>
      </w:r>
      <w:proofErr w:type="spellStart"/>
      <w:r w:rsidRPr="00003B04">
        <w:rPr>
          <w:sz w:val="20"/>
          <w:lang w:val="fr-CA"/>
        </w:rPr>
        <w:t>alprazolam</w:t>
      </w:r>
      <w:proofErr w:type="spellEnd"/>
      <w:r w:rsidRPr="00003B04">
        <w:rPr>
          <w:sz w:val="20"/>
          <w:lang w:val="fr-CA"/>
        </w:rPr>
        <w:t xml:space="preserve"> dans les 12 heures précédentes. Une analyse d’urine a révélé la présence de cannabis, de cocaïne et d’</w:t>
      </w:r>
      <w:proofErr w:type="spellStart"/>
      <w:r w:rsidRPr="00003B04">
        <w:rPr>
          <w:sz w:val="20"/>
          <w:lang w:val="fr-CA"/>
        </w:rPr>
        <w:t>alprazolam</w:t>
      </w:r>
      <w:proofErr w:type="spellEnd"/>
      <w:r w:rsidRPr="00003B04">
        <w:rPr>
          <w:sz w:val="20"/>
          <w:lang w:val="fr-CA"/>
        </w:rPr>
        <w:t xml:space="preserve">. B a été acquitté lors de son premier procès, mais l’acquittement a été annulé et un nouveau procès a été ordonné. Au second procès, contrairement au premier, le juge a conclu que le par. 254(3.1) du </w:t>
      </w:r>
      <w:r w:rsidRPr="00003B04">
        <w:rPr>
          <w:i/>
          <w:sz w:val="20"/>
          <w:lang w:val="fr-CA"/>
        </w:rPr>
        <w:t>Code criminel</w:t>
      </w:r>
      <w:r w:rsidRPr="00003B04">
        <w:rPr>
          <w:sz w:val="20"/>
          <w:lang w:val="fr-CA"/>
        </w:rPr>
        <w:t xml:space="preserve"> ne prévoit pas l’admissibilité automatique du témoignage de l’ERD et qu’un voir</w:t>
      </w:r>
      <w:r w:rsidRPr="00003B04">
        <w:rPr>
          <w:sz w:val="20"/>
          <w:lang w:val="fr-CA"/>
        </w:rPr>
        <w:noBreakHyphen/>
        <w:t xml:space="preserve">dire est requis en </w:t>
      </w:r>
      <w:proofErr w:type="spellStart"/>
      <w:r w:rsidRPr="00003B04">
        <w:rPr>
          <w:sz w:val="20"/>
          <w:lang w:val="fr-CA"/>
        </w:rPr>
        <w:t>common</w:t>
      </w:r>
      <w:proofErr w:type="spellEnd"/>
      <w:r w:rsidRPr="00003B04">
        <w:rPr>
          <w:sz w:val="20"/>
          <w:lang w:val="fr-CA"/>
        </w:rPr>
        <w:t xml:space="preserve"> </w:t>
      </w:r>
      <w:proofErr w:type="spellStart"/>
      <w:r w:rsidRPr="00003B04">
        <w:rPr>
          <w:sz w:val="20"/>
          <w:lang w:val="fr-CA"/>
        </w:rPr>
        <w:t>law</w:t>
      </w:r>
      <w:proofErr w:type="spellEnd"/>
      <w:r w:rsidRPr="00003B04">
        <w:rPr>
          <w:sz w:val="20"/>
          <w:lang w:val="fr-CA"/>
        </w:rPr>
        <w:t xml:space="preserve"> suivant l’arrêt </w:t>
      </w:r>
      <w:r w:rsidRPr="00003B04">
        <w:rPr>
          <w:i/>
          <w:sz w:val="20"/>
          <w:lang w:val="fr-CA"/>
        </w:rPr>
        <w:t>R. c. Mohan</w:t>
      </w:r>
      <w:r w:rsidRPr="00003B04">
        <w:rPr>
          <w:sz w:val="20"/>
          <w:lang w:val="fr-CA"/>
        </w:rPr>
        <w:t>, [1994] 2 R.C.S. 9. Cependant, lors de ce voir</w:t>
      </w:r>
      <w:r w:rsidRPr="00003B04">
        <w:rPr>
          <w:sz w:val="20"/>
          <w:lang w:val="fr-CA"/>
        </w:rPr>
        <w:noBreakHyphen/>
        <w:t>dire, le juge a conclu que le témoignage de l’ERD était inadmissible en tant que témoignage d’opinion d’un expert ou d’un profane, et en conséquence, il a acquitté B. Le juge d’appel des poursuites sommaires a statué que le par. 254(3.1) rend le témoignage de l’ERD automatiquement admissible et que, de toute façon, il s’agirait d’une opinion de profane admissible. Enfin, la Cour d’appel a conclu que le témoignage de l’ERD est automatiquement admissible sans voir</w:t>
      </w:r>
      <w:r w:rsidRPr="00003B04">
        <w:rPr>
          <w:sz w:val="20"/>
          <w:lang w:val="fr-CA"/>
        </w:rPr>
        <w:noBreakHyphen/>
        <w:t xml:space="preserve">dire et a ordonné la tenue d’un nouveau procès. </w:t>
      </w:r>
    </w:p>
    <w:p w:rsidR="00413AAC" w:rsidRPr="00003B04" w:rsidRDefault="00413AAC" w:rsidP="00413AAC">
      <w:pPr>
        <w:pStyle w:val="SCCNormalDoubleSpacing"/>
        <w:spacing w:line="240" w:lineRule="auto"/>
        <w:rPr>
          <w:sz w:val="20"/>
          <w:lang w:val="fr-CA"/>
        </w:rPr>
      </w:pPr>
    </w:p>
    <w:p w:rsidR="00C3697D" w:rsidRDefault="00413AAC" w:rsidP="00413AAC">
      <w:pPr>
        <w:pStyle w:val="SCCNormalDoubleSpacing"/>
        <w:spacing w:line="240" w:lineRule="auto"/>
        <w:rPr>
          <w:sz w:val="20"/>
          <w:lang w:val="fr-CA"/>
        </w:rPr>
      </w:pPr>
      <w:r w:rsidRPr="00003B04">
        <w:rPr>
          <w:i/>
          <w:iCs/>
          <w:sz w:val="20"/>
          <w:lang w:val="fr-CA"/>
        </w:rPr>
        <w:tab/>
        <w:t xml:space="preserve">Arrêt </w:t>
      </w:r>
      <w:r w:rsidRPr="00003B04">
        <w:rPr>
          <w:sz w:val="20"/>
          <w:lang w:val="fr-CA"/>
        </w:rPr>
        <w:t xml:space="preserve">(les juges </w:t>
      </w:r>
      <w:proofErr w:type="spellStart"/>
      <w:r w:rsidRPr="00003B04">
        <w:rPr>
          <w:sz w:val="20"/>
          <w:lang w:val="fr-CA"/>
        </w:rPr>
        <w:t>Karakatsanis</w:t>
      </w:r>
      <w:proofErr w:type="spellEnd"/>
      <w:r w:rsidRPr="00003B04">
        <w:rPr>
          <w:sz w:val="20"/>
          <w:lang w:val="fr-CA"/>
        </w:rPr>
        <w:t xml:space="preserve"> et Gascon sont dissidents) : Le pourvoi est rejeté et l’ordonnance intimant la tenue d’un nouveau procès est confirmée.</w:t>
      </w:r>
    </w:p>
    <w:p w:rsidR="00C3697D" w:rsidRDefault="00C3697D" w:rsidP="00413AAC">
      <w:pPr>
        <w:pStyle w:val="SCCNormalDoubleSpacing"/>
        <w:spacing w:line="240" w:lineRule="auto"/>
        <w:rPr>
          <w:sz w:val="20"/>
          <w:lang w:val="fr-CA"/>
        </w:rPr>
      </w:pPr>
    </w:p>
    <w:p w:rsidR="00413AAC" w:rsidRPr="00003B04" w:rsidRDefault="00413AAC" w:rsidP="00413AAC">
      <w:pPr>
        <w:pStyle w:val="SCCNormalDoubleSpacing"/>
        <w:spacing w:line="240" w:lineRule="auto"/>
        <w:rPr>
          <w:sz w:val="20"/>
          <w:lang w:val="fr-CA"/>
        </w:rPr>
      </w:pPr>
      <w:r w:rsidRPr="00C3697D">
        <w:rPr>
          <w:rStyle w:val="SCCCoramChar"/>
          <w:i/>
          <w:sz w:val="20"/>
          <w:szCs w:val="20"/>
        </w:rPr>
        <w:tab/>
        <w:t xml:space="preserve">La </w:t>
      </w:r>
      <w:r w:rsidRPr="00C3697D">
        <w:rPr>
          <w:rStyle w:val="SCCCoramChar"/>
          <w:sz w:val="20"/>
          <w:szCs w:val="20"/>
        </w:rPr>
        <w:t>juge en chef</w:t>
      </w:r>
      <w:r w:rsidRPr="00C3697D">
        <w:rPr>
          <w:rStyle w:val="SCCCoramChar"/>
          <w:i/>
          <w:sz w:val="20"/>
          <w:szCs w:val="20"/>
        </w:rPr>
        <w:t xml:space="preserve"> </w:t>
      </w:r>
      <w:proofErr w:type="spellStart"/>
      <w:r w:rsidRPr="00C3697D">
        <w:rPr>
          <w:rStyle w:val="SCCCoramChar"/>
          <w:b/>
          <w:sz w:val="20"/>
          <w:szCs w:val="20"/>
        </w:rPr>
        <w:t>McLachlin</w:t>
      </w:r>
      <w:proofErr w:type="spellEnd"/>
      <w:r w:rsidRPr="00C3697D">
        <w:rPr>
          <w:rStyle w:val="SCCCoramChar"/>
          <w:sz w:val="20"/>
          <w:szCs w:val="20"/>
        </w:rPr>
        <w:t xml:space="preserve"> et les juges</w:t>
      </w:r>
      <w:r w:rsidRPr="00C3697D">
        <w:rPr>
          <w:rStyle w:val="SCCCoramChar"/>
          <w:i/>
          <w:sz w:val="20"/>
          <w:szCs w:val="20"/>
        </w:rPr>
        <w:t xml:space="preserve"> </w:t>
      </w:r>
      <w:r w:rsidRPr="00C3697D">
        <w:rPr>
          <w:rStyle w:val="SCCCoramChar"/>
          <w:sz w:val="20"/>
          <w:szCs w:val="20"/>
        </w:rPr>
        <w:t xml:space="preserve">Abella, </w:t>
      </w:r>
      <w:proofErr w:type="spellStart"/>
      <w:r w:rsidRPr="00C3697D">
        <w:rPr>
          <w:rStyle w:val="SCCCoramChar"/>
          <w:sz w:val="20"/>
          <w:szCs w:val="20"/>
        </w:rPr>
        <w:t>Moldaver</w:t>
      </w:r>
      <w:proofErr w:type="spellEnd"/>
      <w:r w:rsidRPr="00C3697D">
        <w:rPr>
          <w:rStyle w:val="SCCCoramChar"/>
          <w:sz w:val="20"/>
          <w:szCs w:val="20"/>
        </w:rPr>
        <w:t>, Côté et Brown :</w:t>
      </w:r>
      <w:r w:rsidRPr="00003B04">
        <w:rPr>
          <w:rStyle w:val="SCCCoramChar"/>
          <w:sz w:val="20"/>
          <w:szCs w:val="20"/>
        </w:rPr>
        <w:t xml:space="preserve"> </w:t>
      </w:r>
      <w:r w:rsidRPr="00003B04">
        <w:rPr>
          <w:sz w:val="20"/>
          <w:lang w:val="fr-CA"/>
        </w:rPr>
        <w:t xml:space="preserve">Le paragraphe 254(3.1) du </w:t>
      </w:r>
      <w:r w:rsidRPr="00003B04">
        <w:rPr>
          <w:i/>
          <w:sz w:val="20"/>
          <w:lang w:val="fr-CA"/>
        </w:rPr>
        <w:t>Code criminel</w:t>
      </w:r>
      <w:r w:rsidRPr="00003B04">
        <w:rPr>
          <w:sz w:val="20"/>
          <w:lang w:val="fr-CA"/>
        </w:rPr>
        <w:t xml:space="preserve"> n’énonce pas l’admissibilité automatique au procès du témoignage d’opinion d’un ERD. Il fournit aux policiers des outils d’enquête leur permettant de faire respecter les dispositions interdisant la conduite avec les facultés affaiblies par la drogue; cependant, il ne précise pas si les éléments de preuve obtenus grâce à ces outils seront admissibles. Lorsque le Parlement entend rendre une preuve automatiquement admissible, il le dit expressément. Comme le par. 254(3.1) ne traite pas de l’admissibilité des éléments de preuve recueillis, les règles de preuve en </w:t>
      </w:r>
      <w:proofErr w:type="spellStart"/>
      <w:r w:rsidRPr="00003B04">
        <w:rPr>
          <w:sz w:val="20"/>
          <w:lang w:val="fr-CA"/>
        </w:rPr>
        <w:t>common</w:t>
      </w:r>
      <w:proofErr w:type="spellEnd"/>
      <w:r w:rsidRPr="00003B04">
        <w:rPr>
          <w:sz w:val="20"/>
          <w:lang w:val="fr-CA"/>
        </w:rPr>
        <w:t xml:space="preserve"> </w:t>
      </w:r>
      <w:proofErr w:type="spellStart"/>
      <w:r w:rsidRPr="00003B04">
        <w:rPr>
          <w:sz w:val="20"/>
          <w:lang w:val="fr-CA"/>
        </w:rPr>
        <w:t>law</w:t>
      </w:r>
      <w:proofErr w:type="spellEnd"/>
      <w:r w:rsidRPr="00003B04">
        <w:rPr>
          <w:sz w:val="20"/>
          <w:lang w:val="fr-CA"/>
        </w:rPr>
        <w:t xml:space="preserve"> s’appliquent.  </w:t>
      </w:r>
    </w:p>
    <w:p w:rsidR="00413AAC" w:rsidRPr="00003B04" w:rsidRDefault="00413AAC" w:rsidP="00413AAC">
      <w:pPr>
        <w:pStyle w:val="SCCNormalDoubleSpacing"/>
        <w:spacing w:line="240" w:lineRule="auto"/>
        <w:rPr>
          <w:sz w:val="20"/>
          <w:lang w:val="fr-CA"/>
        </w:rPr>
      </w:pPr>
    </w:p>
    <w:p w:rsidR="00413AAC" w:rsidRPr="00003B04" w:rsidRDefault="00413AAC" w:rsidP="00413AAC">
      <w:pPr>
        <w:pStyle w:val="SCCNormalDoubleSpacing"/>
        <w:spacing w:line="240" w:lineRule="auto"/>
        <w:rPr>
          <w:sz w:val="20"/>
          <w:lang w:val="fr-CA"/>
        </w:rPr>
      </w:pPr>
      <w:r w:rsidRPr="00003B04">
        <w:rPr>
          <w:sz w:val="20"/>
          <w:lang w:val="fr-CA"/>
        </w:rPr>
        <w:tab/>
        <w:t xml:space="preserve">Selon les règles de </w:t>
      </w:r>
      <w:proofErr w:type="spellStart"/>
      <w:r w:rsidRPr="00003B04">
        <w:rPr>
          <w:sz w:val="20"/>
          <w:lang w:val="fr-CA"/>
        </w:rPr>
        <w:t>common</w:t>
      </w:r>
      <w:proofErr w:type="spellEnd"/>
      <w:r w:rsidRPr="00003B04">
        <w:rPr>
          <w:sz w:val="20"/>
          <w:lang w:val="fr-CA"/>
        </w:rPr>
        <w:t xml:space="preserve"> </w:t>
      </w:r>
      <w:proofErr w:type="spellStart"/>
      <w:r w:rsidRPr="00003B04">
        <w:rPr>
          <w:sz w:val="20"/>
          <w:lang w:val="fr-CA"/>
        </w:rPr>
        <w:t>law</w:t>
      </w:r>
      <w:proofErr w:type="spellEnd"/>
      <w:r w:rsidRPr="00003B04">
        <w:rPr>
          <w:sz w:val="20"/>
          <w:lang w:val="fr-CA"/>
        </w:rPr>
        <w:t xml:space="preserve"> sur l’admissibilité, l’analyse du témoignage d’expert se divise en deux étapes. Premièrement, celui</w:t>
      </w:r>
      <w:r w:rsidRPr="00003B04">
        <w:rPr>
          <w:sz w:val="20"/>
          <w:lang w:val="fr-CA"/>
        </w:rPr>
        <w:noBreakHyphen/>
        <w:t xml:space="preserve">ci doit satisfaire aux quatre critères énoncés dans l’arrêt </w:t>
      </w:r>
      <w:r w:rsidRPr="00003B04">
        <w:rPr>
          <w:i/>
          <w:sz w:val="20"/>
          <w:lang w:val="fr-CA"/>
        </w:rPr>
        <w:t>Mohan</w:t>
      </w:r>
      <w:r w:rsidRPr="00003B04">
        <w:rPr>
          <w:sz w:val="20"/>
          <w:lang w:val="fr-CA"/>
        </w:rPr>
        <w:t xml:space="preserve"> : pertinence, nécessité, absence de toute règle d’exclusion et expertise particulière. Deuxièmement, le juge du procès doit soupeser les risques éventuels et les avantages que présente l’admission du témoignage. En raison des concessions faites par B, la seule question à résoudre en l’espèce consiste à déterminer si l’ERD possède une expertise particulière. </w:t>
      </w:r>
    </w:p>
    <w:p w:rsidR="00413AAC" w:rsidRPr="00003B04" w:rsidRDefault="00413AAC" w:rsidP="00413AAC">
      <w:pPr>
        <w:pStyle w:val="SCCNormalDoubleSpacing"/>
        <w:spacing w:line="240" w:lineRule="auto"/>
        <w:rPr>
          <w:sz w:val="20"/>
          <w:lang w:val="fr-CA"/>
        </w:rPr>
      </w:pPr>
    </w:p>
    <w:p w:rsidR="00413AAC" w:rsidRPr="00003B04" w:rsidRDefault="00413AAC" w:rsidP="00413AAC">
      <w:pPr>
        <w:pStyle w:val="SCCNormalDoubleSpacing"/>
        <w:spacing w:line="240" w:lineRule="auto"/>
        <w:rPr>
          <w:sz w:val="20"/>
          <w:lang w:val="fr-CA"/>
        </w:rPr>
      </w:pPr>
      <w:r w:rsidRPr="00003B04">
        <w:rPr>
          <w:sz w:val="20"/>
          <w:lang w:val="fr-CA"/>
        </w:rPr>
        <w:tab/>
        <w:t>Bien que le juge du procès détermine normalement si l’expert possède une expertise particulière lors d’un voir</w:t>
      </w:r>
      <w:r w:rsidRPr="00003B04">
        <w:rPr>
          <w:sz w:val="20"/>
          <w:lang w:val="fr-CA"/>
        </w:rPr>
        <w:noBreakHyphen/>
        <w:t xml:space="preserve">dire, le par. 254(3.1) du </w:t>
      </w:r>
      <w:r w:rsidRPr="00003B04">
        <w:rPr>
          <w:i/>
          <w:sz w:val="20"/>
          <w:lang w:val="fr-CA"/>
        </w:rPr>
        <w:t>Code criminel</w:t>
      </w:r>
      <w:r w:rsidRPr="00003B04">
        <w:rPr>
          <w:sz w:val="20"/>
          <w:lang w:val="fr-CA"/>
        </w:rPr>
        <w:t xml:space="preserve"> et le régime législatif et réglementaire qui l’accompagne satisfont de façon concluante à l’exigence relative à l’expertise. L’ERD est un « expert en reconnaissance de drogues », certifié comme tel pour l’application du régime d’évaluation en 12 étapes. Du fait de sa formation et de son expérience, l’ERD possède indubitablement une expertise qui dépasse l’expérience et les connaissances du juge des faits lorsqu’il s’agit de vérifier si la capacité d’une personne est affaiblie par une drogue. L’ERD est donc un expert pour ce qui est d’effectuer l’évaluation en 12 étapes et de déterminer si celle</w:t>
      </w:r>
      <w:r w:rsidRPr="00003B04">
        <w:rPr>
          <w:sz w:val="20"/>
          <w:lang w:val="fr-CA"/>
        </w:rPr>
        <w:noBreakHyphen/>
        <w:t>ci indique un affaiblissement des facultés par l’effet d’une drogue. Son expertise a été établie de façon concluante et irréfragable par le législateur fédéral. La connaissance des principes scientifiques sous</w:t>
      </w:r>
      <w:r w:rsidRPr="00003B04">
        <w:rPr>
          <w:sz w:val="20"/>
          <w:lang w:val="fr-CA"/>
        </w:rPr>
        <w:noBreakHyphen/>
        <w:t>jacents ne constitue pas une condition préalable à l’admissibilité de l’opinion d’un ERD. La connaissance de ces principes n’est nécessaire que s’il est question d’un domaine scientifique nouveau. L’objet de la règle spéciale applicable dans un tel cas est de faire en sorte que la fiabilité du témoignage soit établie par la jurisprudence, la preuve ou la loi. En l’espèce, la fiabilité de l’évaluation en 12 étapes découle du régime législatif lui</w:t>
      </w:r>
      <w:r w:rsidRPr="00003B04">
        <w:rPr>
          <w:sz w:val="20"/>
          <w:lang w:val="fr-CA"/>
        </w:rPr>
        <w:noBreakHyphen/>
        <w:t>même.</w:t>
      </w:r>
    </w:p>
    <w:p w:rsidR="00413AAC" w:rsidRPr="00003B04" w:rsidRDefault="00413AAC" w:rsidP="00413AAC">
      <w:pPr>
        <w:pStyle w:val="SCCNormalDoubleSpacing"/>
        <w:spacing w:line="240" w:lineRule="auto"/>
        <w:rPr>
          <w:sz w:val="20"/>
          <w:lang w:val="fr-CA"/>
        </w:rPr>
      </w:pPr>
    </w:p>
    <w:p w:rsidR="00413AAC" w:rsidRPr="00003B04" w:rsidRDefault="00413AAC" w:rsidP="00413AAC">
      <w:pPr>
        <w:pStyle w:val="SCCNormalDoubleSpacing"/>
        <w:spacing w:line="240" w:lineRule="auto"/>
        <w:rPr>
          <w:sz w:val="20"/>
          <w:lang w:val="fr-CA"/>
        </w:rPr>
      </w:pPr>
      <w:r w:rsidRPr="00003B04">
        <w:rPr>
          <w:sz w:val="20"/>
          <w:lang w:val="fr-CA"/>
        </w:rPr>
        <w:tab/>
        <w:t xml:space="preserve">Si, comme en l’espèce, les quatre critères d’admissibilité de l’arrêt </w:t>
      </w:r>
      <w:r w:rsidRPr="00003B04">
        <w:rPr>
          <w:i/>
          <w:sz w:val="20"/>
          <w:lang w:val="fr-CA"/>
        </w:rPr>
        <w:t>Mohan</w:t>
      </w:r>
      <w:r w:rsidRPr="00003B04">
        <w:rPr>
          <w:sz w:val="20"/>
          <w:lang w:val="fr-CA"/>
        </w:rPr>
        <w:t xml:space="preserve"> sont respectés et il ne fait aucun doute que la valeur probante du témoignage l’emporte sur son effet préjudiciable, le juge du procès n’est pas obligé de tenir un voir</w:t>
      </w:r>
      <w:r w:rsidRPr="00003B04">
        <w:rPr>
          <w:sz w:val="20"/>
          <w:lang w:val="fr-CA"/>
        </w:rPr>
        <w:noBreakHyphen/>
        <w:t xml:space="preserve">dire pour statuer sur l’admissibilité de la preuve. Comme le témoignage de l’ERD est admissible en tant que témoignage d’expert, il n’est pas nécessaire de se demander si cette preuve pourrait également être admissible à titre d’opinion de profane. </w:t>
      </w:r>
    </w:p>
    <w:p w:rsidR="00413AAC" w:rsidRPr="00003B04" w:rsidRDefault="00413AAC" w:rsidP="00413AAC">
      <w:pPr>
        <w:pStyle w:val="SCCNormalDoubleSpacing"/>
        <w:spacing w:line="240" w:lineRule="auto"/>
        <w:rPr>
          <w:sz w:val="20"/>
          <w:lang w:val="fr-CA"/>
        </w:rPr>
      </w:pPr>
    </w:p>
    <w:p w:rsidR="00413AAC" w:rsidRPr="00003B04" w:rsidRDefault="00413AAC" w:rsidP="00413AAC">
      <w:pPr>
        <w:pStyle w:val="SCCNormalDoubleSpacing"/>
        <w:spacing w:line="240" w:lineRule="auto"/>
        <w:rPr>
          <w:sz w:val="20"/>
          <w:lang w:val="fr-CA"/>
        </w:rPr>
      </w:pPr>
      <w:r w:rsidRPr="00C3697D">
        <w:rPr>
          <w:rStyle w:val="SCCCoramChar"/>
          <w:i/>
          <w:sz w:val="20"/>
          <w:szCs w:val="20"/>
        </w:rPr>
        <w:tab/>
        <w:t xml:space="preserve">Les </w:t>
      </w:r>
      <w:r w:rsidRPr="00C3697D">
        <w:rPr>
          <w:rStyle w:val="SCCCoramChar"/>
          <w:sz w:val="20"/>
          <w:szCs w:val="20"/>
        </w:rPr>
        <w:t>juges</w:t>
      </w:r>
      <w:r w:rsidRPr="00C3697D">
        <w:rPr>
          <w:rStyle w:val="SCCCoramChar"/>
          <w:i/>
          <w:sz w:val="20"/>
          <w:szCs w:val="20"/>
        </w:rPr>
        <w:t xml:space="preserve"> </w:t>
      </w:r>
      <w:proofErr w:type="spellStart"/>
      <w:r w:rsidRPr="00C3697D">
        <w:rPr>
          <w:rStyle w:val="SCCCoramChar"/>
          <w:b/>
          <w:sz w:val="20"/>
          <w:szCs w:val="20"/>
        </w:rPr>
        <w:t>Karakatsanis</w:t>
      </w:r>
      <w:proofErr w:type="spellEnd"/>
      <w:r w:rsidRPr="00C3697D">
        <w:rPr>
          <w:rStyle w:val="SCCCoramChar"/>
          <w:sz w:val="20"/>
          <w:szCs w:val="20"/>
        </w:rPr>
        <w:t xml:space="preserve"> et Gascon </w:t>
      </w:r>
      <w:r w:rsidRPr="00003B04">
        <w:rPr>
          <w:sz w:val="20"/>
          <w:lang w:val="fr-CA"/>
        </w:rPr>
        <w:t>(dissidents) :</w:t>
      </w:r>
      <w:r w:rsidRPr="00C3697D">
        <w:rPr>
          <w:rStyle w:val="SCCCoramChar"/>
          <w:sz w:val="20"/>
          <w:szCs w:val="20"/>
        </w:rPr>
        <w:t xml:space="preserve"> Le </w:t>
      </w:r>
      <w:r w:rsidRPr="00003B04">
        <w:rPr>
          <w:sz w:val="20"/>
          <w:lang w:val="fr-CA"/>
        </w:rPr>
        <w:t>législateur fédéral n’a pas prévu que l’évaluation en 12 étapes de l’ERD est suffisamment fiable pour être admise au procès comme preuve de l’affaiblissement des facultés par l’effet d’une drogue. Il a simplement reconnu la fiabilité de cette évaluation en vue de fournir un outil d’enquête, et non un raccourci en matière de preuve au procès. S’il est incapable de vérifier la fiabilité du fondement scientifique de l’évaluation de l’ERD, le juge du procès — dans son rôle de gardien du processus judiciaire — ne sera pas en mesure d’apprécier la valeur probante d’une telle preuve, et le juge des faits sera incapable de déterminer le poids à y accorder. Les tribunaux conservent le pouvoir discrétionnaire d’exiger une confirmation — soit par voie jurisprudentielle, soit au moyen d’éléments de preuve dans le cadre d’un voir</w:t>
      </w:r>
      <w:r w:rsidRPr="00003B04">
        <w:rPr>
          <w:sz w:val="20"/>
          <w:lang w:val="fr-CA"/>
        </w:rPr>
        <w:noBreakHyphen/>
        <w:t xml:space="preserve">dire — que les assises scientifiques des évaluations des ERD satisfont à un degré minimal de fiabilité avant de pouvoir admettre une telle évaluation en preuve au procès. </w:t>
      </w:r>
    </w:p>
    <w:p w:rsidR="00413AAC" w:rsidRPr="00003B04" w:rsidRDefault="00413AAC" w:rsidP="00413AAC">
      <w:pPr>
        <w:pStyle w:val="SCCNormalDoubleSpacing"/>
        <w:spacing w:line="240" w:lineRule="auto"/>
        <w:rPr>
          <w:sz w:val="20"/>
          <w:lang w:val="fr-CA"/>
        </w:rPr>
      </w:pPr>
    </w:p>
    <w:p w:rsidR="00413AAC" w:rsidRPr="00003B04" w:rsidRDefault="00413AAC" w:rsidP="00413AAC">
      <w:pPr>
        <w:pStyle w:val="SCCNormalDoubleSpacing"/>
        <w:spacing w:line="240" w:lineRule="auto"/>
        <w:rPr>
          <w:sz w:val="20"/>
          <w:lang w:val="fr-CA"/>
        </w:rPr>
      </w:pPr>
      <w:r w:rsidRPr="00003B04">
        <w:rPr>
          <w:sz w:val="20"/>
          <w:lang w:val="fr-CA"/>
        </w:rPr>
        <w:tab/>
        <w:t>Comme la jurisprudence n’est pas encore bien établie et vu le caractère relativement récent de l’admission de témoignages d’ERD devant les tribunaux canadiens</w:t>
      </w:r>
      <w:r w:rsidRPr="00003B04" w:rsidDel="00477308">
        <w:rPr>
          <w:sz w:val="20"/>
          <w:lang w:val="fr-CA"/>
        </w:rPr>
        <w:t>, i</w:t>
      </w:r>
      <w:r w:rsidRPr="00003B04">
        <w:rPr>
          <w:sz w:val="20"/>
          <w:lang w:val="fr-CA"/>
        </w:rPr>
        <w:t>l était loisible au juge de première instance en l’espèce de considérer le témoignage proposé comme une opinion fondée sur des principes scientifiques nouveaux. Bien que le juge ait reconnu l’expertise spéciale de l’ERD lorsqu’il s’agit d’effectuer l’évaluation en 12 étapes en vue de demander des échantillons de substances corporelles, et de faire avancer ainsi l’enquête policière, il a conclu que celui</w:t>
      </w:r>
      <w:r w:rsidRPr="00003B04">
        <w:rPr>
          <w:sz w:val="20"/>
          <w:lang w:val="fr-CA"/>
        </w:rPr>
        <w:noBreakHyphen/>
        <w:t xml:space="preserve">ci n’avait pas reçu de formation sur la fiabilité de l’évaluation en 12 étapes. Comme le ministère public n’a pas fait entendre un expert différent sur cette question, la preuve relative à la fiabilité du régime était insuffisante. Le juge du procès pouvait donc exclure le témoignage de l’ERD. </w:t>
      </w:r>
    </w:p>
    <w:p w:rsidR="00413AAC" w:rsidRPr="00003B04" w:rsidRDefault="00413AAC" w:rsidP="00413AAC">
      <w:pPr>
        <w:pStyle w:val="SCCNormalDoubleSpacing"/>
        <w:spacing w:line="240" w:lineRule="auto"/>
        <w:rPr>
          <w:sz w:val="20"/>
          <w:lang w:val="fr-CA"/>
        </w:rPr>
      </w:pPr>
    </w:p>
    <w:p w:rsidR="00413AAC" w:rsidRPr="00003B04" w:rsidRDefault="00413AAC" w:rsidP="00413AAC">
      <w:pPr>
        <w:pStyle w:val="SCCNormalDoubleSpacing"/>
        <w:spacing w:line="240" w:lineRule="auto"/>
        <w:rPr>
          <w:sz w:val="20"/>
          <w:lang w:val="fr-CA"/>
        </w:rPr>
      </w:pPr>
      <w:r w:rsidRPr="00003B04">
        <w:rPr>
          <w:sz w:val="20"/>
          <w:lang w:val="fr-CA"/>
        </w:rPr>
        <w:tab/>
        <w:t xml:space="preserve">POURVOI contre un arrêt de la Cour d’appel de l’Ontario (les juges </w:t>
      </w:r>
      <w:proofErr w:type="spellStart"/>
      <w:r w:rsidRPr="00003B04">
        <w:rPr>
          <w:sz w:val="20"/>
          <w:lang w:val="fr-CA"/>
        </w:rPr>
        <w:t>Cronk</w:t>
      </w:r>
      <w:proofErr w:type="spellEnd"/>
      <w:r w:rsidRPr="00003B04">
        <w:rPr>
          <w:sz w:val="20"/>
          <w:lang w:val="fr-CA"/>
        </w:rPr>
        <w:t xml:space="preserve">, </w:t>
      </w:r>
      <w:proofErr w:type="spellStart"/>
      <w:r w:rsidRPr="00003B04">
        <w:rPr>
          <w:sz w:val="20"/>
          <w:lang w:val="fr-CA"/>
        </w:rPr>
        <w:t>Gillese</w:t>
      </w:r>
      <w:proofErr w:type="spellEnd"/>
      <w:r w:rsidRPr="00003B04">
        <w:rPr>
          <w:sz w:val="20"/>
          <w:lang w:val="fr-CA"/>
        </w:rPr>
        <w:t xml:space="preserve"> et </w:t>
      </w:r>
      <w:proofErr w:type="spellStart"/>
      <w:r w:rsidRPr="00003B04">
        <w:rPr>
          <w:sz w:val="20"/>
          <w:lang w:val="fr-CA"/>
        </w:rPr>
        <w:t>Huscroft</w:t>
      </w:r>
      <w:proofErr w:type="spellEnd"/>
      <w:r w:rsidRPr="00003B04">
        <w:rPr>
          <w:sz w:val="20"/>
          <w:lang w:val="fr-CA"/>
        </w:rPr>
        <w:t xml:space="preserve">), 2015 ONCA 439, 126 O.R. (3d) 525, 20 C.R. (7th) 351, 325 C.C.C. (3d) 525, 335 O.A.C. 328, 80 M.V.R. (6th) 1, [2015] O.J. No. 3171 (QL), 2015 </w:t>
      </w:r>
      <w:proofErr w:type="spellStart"/>
      <w:r w:rsidRPr="00003B04">
        <w:rPr>
          <w:sz w:val="20"/>
          <w:lang w:val="fr-CA"/>
        </w:rPr>
        <w:t>CarswellOnt</w:t>
      </w:r>
      <w:proofErr w:type="spellEnd"/>
      <w:r w:rsidRPr="00003B04">
        <w:rPr>
          <w:sz w:val="20"/>
          <w:lang w:val="fr-CA"/>
        </w:rPr>
        <w:t xml:space="preserve"> 8987 (WL Can.), qui a confirmé une décision du juge </w:t>
      </w:r>
      <w:proofErr w:type="spellStart"/>
      <w:r w:rsidRPr="00003B04">
        <w:rPr>
          <w:sz w:val="20"/>
          <w:lang w:val="fr-CA"/>
        </w:rPr>
        <w:t>McLean</w:t>
      </w:r>
      <w:proofErr w:type="spellEnd"/>
      <w:r w:rsidRPr="00003B04">
        <w:rPr>
          <w:sz w:val="20"/>
          <w:lang w:val="fr-CA"/>
        </w:rPr>
        <w:t xml:space="preserve">, 2014 ONSC 2432, [2014] O.J. No. 2468 (QL), 2014 </w:t>
      </w:r>
      <w:proofErr w:type="spellStart"/>
      <w:r w:rsidRPr="00003B04">
        <w:rPr>
          <w:sz w:val="20"/>
          <w:lang w:val="fr-CA"/>
        </w:rPr>
        <w:t>CarswellOnt</w:t>
      </w:r>
      <w:proofErr w:type="spellEnd"/>
      <w:r w:rsidRPr="00003B04">
        <w:rPr>
          <w:sz w:val="20"/>
          <w:lang w:val="fr-CA"/>
        </w:rPr>
        <w:t xml:space="preserve"> 6888 (WL Can.), qui avait annulé l’acquittement prononcé par le juge Frazer, [2013] O.J. No. 6277 (QL), 2013 </w:t>
      </w:r>
      <w:proofErr w:type="spellStart"/>
      <w:r w:rsidRPr="00003B04">
        <w:rPr>
          <w:sz w:val="20"/>
          <w:lang w:val="fr-CA"/>
        </w:rPr>
        <w:t>CarswellOnt</w:t>
      </w:r>
      <w:proofErr w:type="spellEnd"/>
      <w:r w:rsidRPr="00003B04">
        <w:rPr>
          <w:sz w:val="20"/>
          <w:lang w:val="fr-CA"/>
        </w:rPr>
        <w:t xml:space="preserve"> 18815 (WL Can.), et ordonné la tenue d’un nouveau procès. Pourvoi rejeté, les juges </w:t>
      </w:r>
      <w:proofErr w:type="spellStart"/>
      <w:r w:rsidRPr="00003B04">
        <w:rPr>
          <w:sz w:val="20"/>
          <w:lang w:val="fr-CA"/>
        </w:rPr>
        <w:t>Karakatsanis</w:t>
      </w:r>
      <w:proofErr w:type="spellEnd"/>
      <w:r w:rsidRPr="00003B04">
        <w:rPr>
          <w:sz w:val="20"/>
          <w:lang w:val="fr-CA"/>
        </w:rPr>
        <w:t xml:space="preserve"> et Gascon sont dissidents.</w:t>
      </w:r>
    </w:p>
    <w:p w:rsidR="00413AAC" w:rsidRPr="00003B04" w:rsidRDefault="00413AAC" w:rsidP="00413AAC">
      <w:pPr>
        <w:pStyle w:val="SCCNormalDoubleSpacing"/>
        <w:spacing w:line="240" w:lineRule="auto"/>
        <w:rPr>
          <w:sz w:val="20"/>
          <w:lang w:val="fr-CA"/>
        </w:rPr>
      </w:pPr>
    </w:p>
    <w:p w:rsidR="00413AAC" w:rsidRPr="00003B04" w:rsidRDefault="00413AAC" w:rsidP="00413AAC">
      <w:pPr>
        <w:pStyle w:val="SCCNormalDoubleSpacing"/>
        <w:spacing w:line="240" w:lineRule="auto"/>
        <w:rPr>
          <w:rStyle w:val="SCCCounselPartyRoleChar"/>
          <w:sz w:val="20"/>
          <w:lang w:val="fr-CA"/>
        </w:rPr>
      </w:pPr>
      <w:r w:rsidRPr="00003B04">
        <w:rPr>
          <w:rStyle w:val="SCCCounselNameChar"/>
          <w:sz w:val="20"/>
          <w:lang w:val="fr-CA"/>
        </w:rPr>
        <w:tab/>
        <w:t>Trevor Brown</w:t>
      </w:r>
      <w:r w:rsidRPr="00003B04">
        <w:rPr>
          <w:rStyle w:val="SCCCounselSeparatorChar"/>
          <w:rFonts w:eastAsia="Calibri"/>
          <w:sz w:val="20"/>
        </w:rPr>
        <w:t xml:space="preserve"> et </w:t>
      </w:r>
      <w:proofErr w:type="spellStart"/>
      <w:r w:rsidRPr="00003B04">
        <w:rPr>
          <w:rStyle w:val="SCCCounselNameChar"/>
          <w:sz w:val="20"/>
          <w:lang w:val="fr-CA"/>
        </w:rPr>
        <w:t>Eric</w:t>
      </w:r>
      <w:proofErr w:type="spellEnd"/>
      <w:r w:rsidRPr="00003B04">
        <w:rPr>
          <w:rStyle w:val="SCCCounselNameChar"/>
          <w:sz w:val="20"/>
          <w:lang w:val="fr-CA"/>
        </w:rPr>
        <w:t xml:space="preserve"> Granger</w:t>
      </w:r>
      <w:r w:rsidRPr="00003B04">
        <w:rPr>
          <w:rStyle w:val="SCCCounselPartyRoleChar"/>
          <w:sz w:val="20"/>
          <w:lang w:val="fr-CA"/>
        </w:rPr>
        <w:t>, pour l’appelant.</w:t>
      </w:r>
    </w:p>
    <w:p w:rsidR="00413AAC" w:rsidRPr="00003B04" w:rsidRDefault="00413AAC" w:rsidP="00413AAC">
      <w:pPr>
        <w:pStyle w:val="SCCNormalDoubleSpacing"/>
        <w:spacing w:line="240" w:lineRule="auto"/>
        <w:rPr>
          <w:sz w:val="20"/>
          <w:lang w:val="fr-CA"/>
        </w:rPr>
      </w:pPr>
    </w:p>
    <w:p w:rsidR="00413AAC" w:rsidRPr="00003B04" w:rsidRDefault="00413AAC" w:rsidP="00413AAC">
      <w:pPr>
        <w:pStyle w:val="SCCNormalDoubleSpacing"/>
        <w:spacing w:line="240" w:lineRule="auto"/>
        <w:rPr>
          <w:rStyle w:val="SCCCounselPartyRoleChar"/>
          <w:sz w:val="20"/>
          <w:lang w:val="fr-CA"/>
        </w:rPr>
      </w:pPr>
      <w:r w:rsidRPr="00003B04">
        <w:rPr>
          <w:rStyle w:val="SCCCounselNameChar"/>
          <w:sz w:val="20"/>
          <w:lang w:val="fr-CA"/>
        </w:rPr>
        <w:tab/>
        <w:t xml:space="preserve">Joan </w:t>
      </w:r>
      <w:proofErr w:type="spellStart"/>
      <w:r w:rsidRPr="00003B04">
        <w:rPr>
          <w:rStyle w:val="SCCCounselNameChar"/>
          <w:sz w:val="20"/>
          <w:lang w:val="fr-CA"/>
        </w:rPr>
        <w:t>Barrett</w:t>
      </w:r>
      <w:proofErr w:type="spellEnd"/>
      <w:r w:rsidRPr="00003B04">
        <w:rPr>
          <w:rStyle w:val="SCCCounselPartyRoleChar"/>
          <w:sz w:val="20"/>
          <w:lang w:val="fr-CA"/>
        </w:rPr>
        <w:t>, pour l’intimée.</w:t>
      </w:r>
    </w:p>
    <w:p w:rsidR="00413AAC" w:rsidRPr="00003B04" w:rsidRDefault="00413AAC" w:rsidP="00413AAC">
      <w:pPr>
        <w:pStyle w:val="SCCNormalDoubleSpacing"/>
        <w:spacing w:line="240" w:lineRule="auto"/>
        <w:rPr>
          <w:sz w:val="20"/>
          <w:lang w:val="fr-CA"/>
        </w:rPr>
      </w:pPr>
    </w:p>
    <w:p w:rsidR="00413AAC" w:rsidRPr="00003B04" w:rsidRDefault="00413AAC" w:rsidP="00413AAC">
      <w:pPr>
        <w:pStyle w:val="SCCNormalDoubleSpacing"/>
        <w:spacing w:line="240" w:lineRule="auto"/>
        <w:rPr>
          <w:rStyle w:val="SCCCounselPartyRoleChar"/>
          <w:sz w:val="20"/>
          <w:lang w:val="fr-CA"/>
        </w:rPr>
      </w:pPr>
      <w:r w:rsidRPr="00003B04">
        <w:rPr>
          <w:rStyle w:val="SCCCounselNameChar"/>
          <w:sz w:val="20"/>
          <w:lang w:val="fr-CA"/>
        </w:rPr>
        <w:tab/>
        <w:t xml:space="preserve">Mark C. </w:t>
      </w:r>
      <w:proofErr w:type="spellStart"/>
      <w:r w:rsidRPr="00003B04">
        <w:rPr>
          <w:rStyle w:val="SCCCounselNameChar"/>
          <w:sz w:val="20"/>
          <w:lang w:val="fr-CA"/>
        </w:rPr>
        <w:t>Halfyard</w:t>
      </w:r>
      <w:proofErr w:type="spellEnd"/>
      <w:r w:rsidRPr="00003B04">
        <w:rPr>
          <w:rStyle w:val="SCCCounselSeparatorChar"/>
          <w:rFonts w:eastAsia="Calibri"/>
          <w:sz w:val="20"/>
        </w:rPr>
        <w:t xml:space="preserve"> et </w:t>
      </w:r>
      <w:proofErr w:type="spellStart"/>
      <w:r w:rsidRPr="00003B04">
        <w:rPr>
          <w:rStyle w:val="SCCCounselNameChar"/>
          <w:sz w:val="20"/>
          <w:lang w:val="fr-CA"/>
        </w:rPr>
        <w:t>Breana</w:t>
      </w:r>
      <w:proofErr w:type="spellEnd"/>
      <w:r w:rsidRPr="00003B04">
        <w:rPr>
          <w:rStyle w:val="SCCCounselNameChar"/>
          <w:sz w:val="20"/>
          <w:lang w:val="fr-CA"/>
        </w:rPr>
        <w:t xml:space="preserve"> </w:t>
      </w:r>
      <w:proofErr w:type="spellStart"/>
      <w:r w:rsidRPr="00003B04">
        <w:rPr>
          <w:rStyle w:val="SCCCounselNameChar"/>
          <w:sz w:val="20"/>
          <w:lang w:val="fr-CA"/>
        </w:rPr>
        <w:t>Vandebeek</w:t>
      </w:r>
      <w:proofErr w:type="spellEnd"/>
      <w:r w:rsidRPr="00003B04">
        <w:rPr>
          <w:rStyle w:val="SCCCounselPartyRoleChar"/>
          <w:sz w:val="20"/>
          <w:lang w:val="fr-CA"/>
        </w:rPr>
        <w:t xml:space="preserve">, pour l’intervenante </w:t>
      </w:r>
      <w:proofErr w:type="spellStart"/>
      <w:r w:rsidRPr="00003B04">
        <w:rPr>
          <w:rStyle w:val="SCCCounselPartyRoleChar"/>
          <w:sz w:val="20"/>
          <w:lang w:val="fr-CA"/>
        </w:rPr>
        <w:t>Criminal</w:t>
      </w:r>
      <w:proofErr w:type="spellEnd"/>
      <w:r w:rsidRPr="00003B04">
        <w:rPr>
          <w:rStyle w:val="SCCCounselPartyRoleChar"/>
          <w:sz w:val="20"/>
          <w:lang w:val="fr-CA"/>
        </w:rPr>
        <w:t xml:space="preserve"> </w:t>
      </w:r>
      <w:proofErr w:type="spellStart"/>
      <w:r w:rsidRPr="00003B04">
        <w:rPr>
          <w:rStyle w:val="SCCCounselPartyRoleChar"/>
          <w:sz w:val="20"/>
          <w:lang w:val="fr-CA"/>
        </w:rPr>
        <w:t>Lawyers</w:t>
      </w:r>
      <w:proofErr w:type="spellEnd"/>
      <w:r w:rsidRPr="00003B04">
        <w:rPr>
          <w:rStyle w:val="SCCCounselPartyRoleChar"/>
          <w:sz w:val="20"/>
          <w:lang w:val="fr-CA"/>
        </w:rPr>
        <w:t>’ Association (Ontario).</w:t>
      </w:r>
    </w:p>
    <w:p w:rsidR="00413AAC" w:rsidRPr="00003B04" w:rsidRDefault="00413AAC" w:rsidP="00413AAC">
      <w:pPr>
        <w:pStyle w:val="SCCNormalDoubleSpacing"/>
        <w:spacing w:line="240" w:lineRule="auto"/>
        <w:rPr>
          <w:sz w:val="20"/>
          <w:lang w:val="fr-CA"/>
        </w:rPr>
      </w:pPr>
    </w:p>
    <w:p w:rsidR="00413AAC" w:rsidRPr="00003B04" w:rsidRDefault="00413AAC" w:rsidP="00413AAC">
      <w:pPr>
        <w:pStyle w:val="SCCNormalDoubleSpacing"/>
        <w:spacing w:line="240" w:lineRule="auto"/>
        <w:rPr>
          <w:rStyle w:val="SCCCounselPartyRoleChar"/>
          <w:sz w:val="20"/>
          <w:lang w:val="fr-CA"/>
        </w:rPr>
      </w:pPr>
      <w:r w:rsidRPr="00003B04">
        <w:rPr>
          <w:rStyle w:val="SCCCounselNameChar"/>
          <w:sz w:val="20"/>
          <w:lang w:val="fr-CA"/>
        </w:rPr>
        <w:tab/>
        <w:t xml:space="preserve">Jasmine T. </w:t>
      </w:r>
      <w:proofErr w:type="spellStart"/>
      <w:r w:rsidRPr="00003B04">
        <w:rPr>
          <w:rStyle w:val="SCCCounselNameChar"/>
          <w:sz w:val="20"/>
          <w:lang w:val="fr-CA"/>
        </w:rPr>
        <w:t>Akbarali</w:t>
      </w:r>
      <w:proofErr w:type="spellEnd"/>
      <w:r w:rsidRPr="00003B04">
        <w:rPr>
          <w:rStyle w:val="SCCCounselSeparatorChar"/>
          <w:rFonts w:eastAsia="Calibri"/>
          <w:sz w:val="20"/>
        </w:rPr>
        <w:t xml:space="preserve"> et </w:t>
      </w:r>
      <w:r w:rsidRPr="00003B04">
        <w:rPr>
          <w:rStyle w:val="SCCCounselNameChar"/>
          <w:sz w:val="20"/>
          <w:lang w:val="fr-CA"/>
        </w:rPr>
        <w:t xml:space="preserve">Stuart A. </w:t>
      </w:r>
      <w:proofErr w:type="spellStart"/>
      <w:r w:rsidRPr="00003B04">
        <w:rPr>
          <w:rStyle w:val="SCCCounselNameChar"/>
          <w:sz w:val="20"/>
          <w:lang w:val="fr-CA"/>
        </w:rPr>
        <w:t>Zacharias</w:t>
      </w:r>
      <w:proofErr w:type="spellEnd"/>
      <w:r w:rsidRPr="00003B04">
        <w:rPr>
          <w:rStyle w:val="SCCCounselPartyRoleChar"/>
          <w:sz w:val="20"/>
          <w:lang w:val="fr-CA"/>
        </w:rPr>
        <w:t>, pour l’intervenante l’Association canadienne des libertés civiles.</w:t>
      </w:r>
    </w:p>
    <w:p w:rsidR="00413AAC" w:rsidRPr="00003B04" w:rsidRDefault="00413AAC" w:rsidP="00413AAC">
      <w:pPr>
        <w:pStyle w:val="SCCNormalDoubleSpacing"/>
        <w:spacing w:line="240" w:lineRule="auto"/>
        <w:rPr>
          <w:sz w:val="20"/>
          <w:lang w:val="fr-CA"/>
        </w:rPr>
      </w:pPr>
    </w:p>
    <w:p w:rsidR="00413AAC" w:rsidRPr="00003B04" w:rsidRDefault="00413AAC" w:rsidP="00413AAC">
      <w:pPr>
        <w:pStyle w:val="SCCLawFirm"/>
        <w:spacing w:line="240" w:lineRule="auto"/>
        <w:rPr>
          <w:sz w:val="20"/>
          <w:lang w:val="fr-CA"/>
        </w:rPr>
      </w:pPr>
      <w:r w:rsidRPr="00003B04">
        <w:rPr>
          <w:sz w:val="20"/>
          <w:lang w:val="fr-CA"/>
        </w:rPr>
        <w:tab/>
        <w:t>Procureurs de l’appelant : </w:t>
      </w:r>
      <w:proofErr w:type="spellStart"/>
      <w:r w:rsidRPr="00003B04">
        <w:rPr>
          <w:sz w:val="20"/>
          <w:lang w:val="fr-CA"/>
        </w:rPr>
        <w:t>Greenspon</w:t>
      </w:r>
      <w:proofErr w:type="spellEnd"/>
      <w:r w:rsidRPr="00003B04">
        <w:rPr>
          <w:sz w:val="20"/>
          <w:lang w:val="fr-CA"/>
        </w:rPr>
        <w:t>, Brown &amp; Associates, Ottawa.</w:t>
      </w:r>
    </w:p>
    <w:p w:rsidR="00413AAC" w:rsidRPr="00003B04" w:rsidRDefault="00413AAC" w:rsidP="00413AAC">
      <w:pPr>
        <w:pStyle w:val="SCCNormalDoubleSpacing"/>
        <w:spacing w:line="240" w:lineRule="auto"/>
        <w:rPr>
          <w:lang w:val="fr-CA"/>
        </w:rPr>
      </w:pPr>
    </w:p>
    <w:p w:rsidR="00413AAC" w:rsidRPr="00003B04" w:rsidRDefault="00413AAC" w:rsidP="00413AAC">
      <w:pPr>
        <w:pStyle w:val="SCCLawFirm"/>
        <w:spacing w:line="240" w:lineRule="auto"/>
        <w:rPr>
          <w:sz w:val="20"/>
          <w:lang w:val="fr-CA"/>
        </w:rPr>
      </w:pPr>
      <w:r w:rsidRPr="00003B04">
        <w:rPr>
          <w:sz w:val="20"/>
          <w:lang w:val="fr-CA"/>
        </w:rPr>
        <w:tab/>
        <w:t>Procureur de l’intimée : Procureur général de l’Ontario, Toronto.</w:t>
      </w:r>
    </w:p>
    <w:p w:rsidR="00413AAC" w:rsidRPr="00003B04" w:rsidRDefault="00413AAC" w:rsidP="00413AAC">
      <w:pPr>
        <w:pStyle w:val="SCCNormalDoubleSpacing"/>
        <w:spacing w:line="240" w:lineRule="auto"/>
        <w:rPr>
          <w:lang w:val="fr-CA"/>
        </w:rPr>
      </w:pPr>
    </w:p>
    <w:p w:rsidR="00413AAC" w:rsidRPr="00003B04" w:rsidRDefault="00413AAC" w:rsidP="00413AAC">
      <w:pPr>
        <w:pStyle w:val="SCCLawFirm"/>
        <w:spacing w:line="240" w:lineRule="auto"/>
        <w:rPr>
          <w:sz w:val="20"/>
          <w:lang w:val="fr-CA"/>
        </w:rPr>
      </w:pPr>
      <w:r w:rsidRPr="00003B04">
        <w:rPr>
          <w:sz w:val="20"/>
          <w:lang w:val="fr-CA"/>
        </w:rPr>
        <w:tab/>
        <w:t xml:space="preserve">Procureurs de l’intervenante </w:t>
      </w:r>
      <w:proofErr w:type="spellStart"/>
      <w:r w:rsidRPr="00003B04">
        <w:rPr>
          <w:sz w:val="20"/>
          <w:lang w:val="fr-CA"/>
        </w:rPr>
        <w:t>Criminal</w:t>
      </w:r>
      <w:proofErr w:type="spellEnd"/>
      <w:r w:rsidRPr="00003B04">
        <w:rPr>
          <w:sz w:val="20"/>
          <w:lang w:val="fr-CA"/>
        </w:rPr>
        <w:t xml:space="preserve"> </w:t>
      </w:r>
      <w:proofErr w:type="spellStart"/>
      <w:r w:rsidRPr="00003B04">
        <w:rPr>
          <w:sz w:val="20"/>
          <w:lang w:val="fr-CA"/>
        </w:rPr>
        <w:t>Lawyers</w:t>
      </w:r>
      <w:proofErr w:type="spellEnd"/>
      <w:r w:rsidRPr="00003B04">
        <w:rPr>
          <w:sz w:val="20"/>
          <w:lang w:val="fr-CA"/>
        </w:rPr>
        <w:t>’ Association (Ontario) : </w:t>
      </w:r>
      <w:proofErr w:type="spellStart"/>
      <w:r w:rsidRPr="00003B04">
        <w:rPr>
          <w:sz w:val="20"/>
          <w:lang w:val="fr-CA"/>
        </w:rPr>
        <w:t>Rusonik</w:t>
      </w:r>
      <w:proofErr w:type="spellEnd"/>
      <w:r w:rsidRPr="00003B04">
        <w:rPr>
          <w:sz w:val="20"/>
          <w:lang w:val="fr-CA"/>
        </w:rPr>
        <w:t xml:space="preserve">, </w:t>
      </w:r>
      <w:proofErr w:type="spellStart"/>
      <w:r w:rsidRPr="00003B04">
        <w:rPr>
          <w:sz w:val="20"/>
          <w:lang w:val="fr-CA"/>
        </w:rPr>
        <w:t>O’Connor</w:t>
      </w:r>
      <w:proofErr w:type="spellEnd"/>
      <w:r w:rsidRPr="00003B04">
        <w:rPr>
          <w:sz w:val="20"/>
          <w:lang w:val="fr-CA"/>
        </w:rPr>
        <w:t xml:space="preserve">, Robbins, Ross, </w:t>
      </w:r>
      <w:proofErr w:type="spellStart"/>
      <w:r w:rsidRPr="00003B04">
        <w:rPr>
          <w:sz w:val="20"/>
          <w:lang w:val="fr-CA"/>
        </w:rPr>
        <w:t>Gorham</w:t>
      </w:r>
      <w:proofErr w:type="spellEnd"/>
      <w:r w:rsidRPr="00003B04">
        <w:rPr>
          <w:sz w:val="20"/>
          <w:lang w:val="fr-CA"/>
        </w:rPr>
        <w:t xml:space="preserve"> &amp; </w:t>
      </w:r>
      <w:proofErr w:type="spellStart"/>
      <w:r w:rsidRPr="00003B04">
        <w:rPr>
          <w:sz w:val="20"/>
          <w:lang w:val="fr-CA"/>
        </w:rPr>
        <w:t>Angelini</w:t>
      </w:r>
      <w:proofErr w:type="spellEnd"/>
      <w:r w:rsidRPr="00003B04">
        <w:rPr>
          <w:sz w:val="20"/>
          <w:lang w:val="fr-CA"/>
        </w:rPr>
        <w:t>, Toronto.</w:t>
      </w:r>
    </w:p>
    <w:p w:rsidR="00413AAC" w:rsidRPr="00003B04" w:rsidRDefault="00413AAC" w:rsidP="00413AAC">
      <w:pPr>
        <w:pStyle w:val="SCCNormalDoubleSpacing"/>
        <w:spacing w:line="240" w:lineRule="auto"/>
        <w:rPr>
          <w:lang w:val="fr-CA"/>
        </w:rPr>
      </w:pPr>
    </w:p>
    <w:p w:rsidR="00413AAC" w:rsidRPr="00003B04" w:rsidRDefault="00413AAC" w:rsidP="00413AAC">
      <w:pPr>
        <w:pStyle w:val="SCCLawFirm"/>
        <w:spacing w:line="240" w:lineRule="auto"/>
        <w:rPr>
          <w:sz w:val="20"/>
          <w:lang w:val="fr-CA"/>
        </w:rPr>
      </w:pPr>
      <w:r w:rsidRPr="00003B04">
        <w:rPr>
          <w:sz w:val="20"/>
          <w:lang w:val="fr-CA"/>
        </w:rPr>
        <w:tab/>
        <w:t>Procureurs de l’intervenante l’Association canadienne des libertés civiles : </w:t>
      </w:r>
      <w:proofErr w:type="spellStart"/>
      <w:r w:rsidRPr="00003B04">
        <w:rPr>
          <w:sz w:val="20"/>
          <w:lang w:val="fr-CA"/>
        </w:rPr>
        <w:t>Lerners</w:t>
      </w:r>
      <w:proofErr w:type="spellEnd"/>
      <w:r w:rsidRPr="00003B04">
        <w:rPr>
          <w:sz w:val="20"/>
          <w:lang w:val="fr-CA"/>
        </w:rPr>
        <w:t>, Toronto.</w:t>
      </w:r>
    </w:p>
    <w:p w:rsidR="00D50871" w:rsidRPr="00003B04" w:rsidRDefault="00D50871" w:rsidP="0052229C">
      <w:pPr>
        <w:pStyle w:val="SCCLawFirm"/>
        <w:spacing w:line="240" w:lineRule="auto"/>
        <w:rPr>
          <w:sz w:val="20"/>
          <w:lang w:val="fr-CA"/>
        </w:rPr>
      </w:pPr>
    </w:p>
    <w:p w:rsidR="005C6840" w:rsidRPr="00003B04" w:rsidRDefault="00604445" w:rsidP="005C6840">
      <w:pPr>
        <w:rPr>
          <w:lang w:val="fr-CA"/>
        </w:rPr>
      </w:pPr>
      <w:r>
        <w:rPr>
          <w:rFonts w:cs="Times New Roman"/>
          <w:sz w:val="20"/>
          <w:szCs w:val="20"/>
          <w:lang w:val="fr-CA"/>
        </w:rPr>
        <w:pict>
          <v:rect id="_x0000_i1111" style="width:144.3pt;height:1pt" o:hrpct="300" o:hralign="center" o:hrstd="t" o:hrnoshade="t" o:hr="t" fillcolor="black [3213]" stroked="f"/>
        </w:pict>
      </w:r>
    </w:p>
    <w:p w:rsidR="00902E51" w:rsidRPr="00003B04" w:rsidRDefault="00902E51" w:rsidP="00902E51">
      <w:pPr>
        <w:rPr>
          <w:rFonts w:cs="Times New Roman"/>
          <w:sz w:val="20"/>
          <w:szCs w:val="20"/>
          <w:lang w:val="fr-CA"/>
        </w:rPr>
      </w:pPr>
    </w:p>
    <w:p w:rsidR="005C6840" w:rsidRPr="00003B04" w:rsidRDefault="005C6840" w:rsidP="005C6840">
      <w:pPr>
        <w:jc w:val="both"/>
        <w:rPr>
          <w:sz w:val="20"/>
          <w:szCs w:val="20"/>
        </w:rPr>
      </w:pPr>
    </w:p>
    <w:p w:rsidR="0056248C" w:rsidRPr="00003B04" w:rsidRDefault="0056248C" w:rsidP="005C6840">
      <w:pPr>
        <w:jc w:val="both"/>
        <w:rPr>
          <w:sz w:val="20"/>
          <w:szCs w:val="20"/>
        </w:rPr>
      </w:pPr>
    </w:p>
    <w:p w:rsidR="0056248C" w:rsidRPr="00003B04" w:rsidRDefault="0056248C" w:rsidP="005C6840">
      <w:pPr>
        <w:jc w:val="both"/>
        <w:rPr>
          <w:sz w:val="20"/>
          <w:szCs w:val="20"/>
        </w:rPr>
      </w:pPr>
    </w:p>
    <w:p w:rsidR="00102926" w:rsidRPr="00003B04" w:rsidRDefault="00102926" w:rsidP="00782AE4">
      <w:pPr>
        <w:jc w:val="both"/>
        <w:rPr>
          <w:sz w:val="20"/>
          <w:szCs w:val="20"/>
        </w:rPr>
        <w:sectPr w:rsidR="00102926" w:rsidRPr="00003B04" w:rsidSect="00782AE4">
          <w:headerReference w:type="even" r:id="rId139"/>
          <w:headerReference w:type="default" r:id="rId140"/>
          <w:footerReference w:type="even" r:id="rId141"/>
          <w:footerReference w:type="default" r:id="rId142"/>
          <w:headerReference w:type="first" r:id="rId143"/>
          <w:footerReference w:type="first" r:id="rId144"/>
          <w:pgSz w:w="12240" w:h="15840"/>
          <w:pgMar w:top="720" w:right="965" w:bottom="1080" w:left="1656" w:header="576" w:footer="960" w:gutter="0"/>
          <w:cols w:space="720"/>
          <w:titlePg/>
          <w:docGrid w:linePitch="272"/>
        </w:sectPr>
      </w:pPr>
    </w:p>
    <w:bookmarkStart w:id="3" w:name="QuickMark"/>
    <w:bookmarkEnd w:id="3"/>
    <w:p w:rsidR="008902B1" w:rsidRPr="00003B04" w:rsidRDefault="008902B1" w:rsidP="008902B1">
      <w:pPr>
        <w:widowControl w:val="0"/>
        <w:spacing w:line="180" w:lineRule="auto"/>
        <w:jc w:val="center"/>
        <w:rPr>
          <w:rFonts w:asciiTheme="minorHAnsi" w:hAnsiTheme="minorHAnsi" w:cstheme="minorHAnsi"/>
          <w:b/>
          <w:szCs w:val="24"/>
        </w:rPr>
      </w:pPr>
      <w:r w:rsidRPr="00003B04">
        <w:rPr>
          <w:rFonts w:asciiTheme="minorHAnsi" w:hAnsiTheme="minorHAnsi" w:cstheme="minorHAnsi"/>
          <w:b/>
          <w:szCs w:val="24"/>
        </w:rPr>
        <w:lastRenderedPageBreak/>
        <w:fldChar w:fldCharType="begin"/>
      </w:r>
      <w:r w:rsidRPr="00003B04">
        <w:rPr>
          <w:rFonts w:asciiTheme="minorHAnsi" w:hAnsiTheme="minorHAnsi" w:cstheme="minorHAnsi"/>
          <w:b/>
          <w:szCs w:val="24"/>
        </w:rPr>
        <w:instrText xml:space="preserve"> SEQ CHAPTER \h \r 1</w:instrText>
      </w:r>
      <w:r w:rsidRPr="00003B04">
        <w:rPr>
          <w:rFonts w:asciiTheme="minorHAnsi" w:hAnsiTheme="minorHAnsi" w:cstheme="minorHAnsi"/>
          <w:b/>
          <w:szCs w:val="24"/>
        </w:rPr>
        <w:fldChar w:fldCharType="end"/>
      </w:r>
      <w:r w:rsidRPr="00003B04">
        <w:rPr>
          <w:rFonts w:asciiTheme="minorHAnsi" w:hAnsiTheme="minorHAnsi" w:cstheme="minorHAnsi"/>
          <w:b/>
          <w:szCs w:val="24"/>
        </w:rPr>
        <w:t>SUPREME COURT OF CANADA SCHEDULE / CALENDRIER DE LA COUR SUPREME</w:t>
      </w:r>
    </w:p>
    <w:p w:rsidR="0013595D" w:rsidRPr="00003B04" w:rsidRDefault="0013595D" w:rsidP="0013595D">
      <w:pPr>
        <w:widowControl w:val="0"/>
        <w:spacing w:line="180" w:lineRule="auto"/>
        <w:rPr>
          <w:rFonts w:asciiTheme="minorHAnsi" w:hAnsiTheme="minorHAnsi" w:cstheme="minorHAnsi"/>
          <w:szCs w:val="24"/>
        </w:rPr>
      </w:pPr>
    </w:p>
    <w:p w:rsidR="0013595D" w:rsidRPr="00003B04" w:rsidRDefault="0013595D" w:rsidP="00C01FCB">
      <w:pPr>
        <w:widowControl w:val="0"/>
        <w:tabs>
          <w:tab w:val="center" w:pos="5400"/>
          <w:tab w:val="right" w:pos="10440"/>
        </w:tabs>
        <w:jc w:val="center"/>
        <w:rPr>
          <w:rFonts w:ascii="Arial" w:hAnsi="Arial"/>
          <w:sz w:val="36"/>
          <w:szCs w:val="36"/>
        </w:rPr>
      </w:pPr>
      <w:r w:rsidRPr="00003B04">
        <w:rPr>
          <w:rFonts w:ascii="Arial" w:hAnsi="Arial"/>
          <w:i/>
          <w:sz w:val="36"/>
          <w:szCs w:val="36"/>
        </w:rPr>
        <w:t xml:space="preserve">- </w:t>
      </w:r>
      <w:r w:rsidRPr="00003B04">
        <w:rPr>
          <w:rFonts w:ascii="Arial" w:hAnsi="Arial"/>
          <w:b/>
          <w:i/>
          <w:sz w:val="36"/>
          <w:szCs w:val="36"/>
        </w:rPr>
        <w:t>2016</w:t>
      </w:r>
      <w:r w:rsidRPr="00003B04">
        <w:rPr>
          <w:rFonts w:ascii="Arial" w:hAnsi="Arial"/>
          <w:i/>
          <w:sz w:val="36"/>
          <w:szCs w:val="36"/>
        </w:rPr>
        <w:t xml:space="preserve"> </w:t>
      </w:r>
      <w:r w:rsidR="00C01FCB" w:rsidRPr="00003B04">
        <w:rPr>
          <w:rFonts w:ascii="Arial" w:hAnsi="Arial"/>
          <w:i/>
          <w:sz w:val="36"/>
          <w:szCs w:val="36"/>
        </w:rPr>
        <w:t>-</w:t>
      </w:r>
    </w:p>
    <w:tbl>
      <w:tblPr>
        <w:tblStyle w:val="TableGrid"/>
        <w:tblW w:w="5011" w:type="pct"/>
        <w:shd w:val="clear" w:color="auto" w:fill="FFFFFF" w:themeFill="background1"/>
        <w:tblLayout w:type="fixed"/>
        <w:tblCellMar>
          <w:top w:w="72" w:type="dxa"/>
          <w:left w:w="43" w:type="dxa"/>
          <w:bottom w:w="72" w:type="dxa"/>
          <w:right w:w="29" w:type="dxa"/>
        </w:tblCellMar>
        <w:tblLook w:val="04A0" w:firstRow="1" w:lastRow="0" w:firstColumn="1" w:lastColumn="0" w:noHBand="0" w:noVBand="1"/>
      </w:tblPr>
      <w:tblGrid>
        <w:gridCol w:w="451"/>
        <w:gridCol w:w="452"/>
        <w:gridCol w:w="556"/>
        <w:gridCol w:w="435"/>
        <w:gridCol w:w="523"/>
        <w:gridCol w:w="438"/>
        <w:gridCol w:w="523"/>
        <w:gridCol w:w="263"/>
        <w:gridCol w:w="473"/>
        <w:gridCol w:w="452"/>
        <w:gridCol w:w="452"/>
        <w:gridCol w:w="452"/>
        <w:gridCol w:w="452"/>
        <w:gridCol w:w="494"/>
        <w:gridCol w:w="540"/>
        <w:gridCol w:w="329"/>
        <w:gridCol w:w="454"/>
        <w:gridCol w:w="454"/>
        <w:gridCol w:w="454"/>
        <w:gridCol w:w="454"/>
        <w:gridCol w:w="454"/>
        <w:gridCol w:w="454"/>
        <w:gridCol w:w="408"/>
      </w:tblGrid>
      <w:tr w:rsidR="0013595D" w:rsidRPr="00003B04" w:rsidTr="00E942C2">
        <w:trPr>
          <w:trHeight w:val="189"/>
        </w:trPr>
        <w:tc>
          <w:tcPr>
            <w:tcW w:w="162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lang w:val="fr-FR"/>
              </w:rPr>
            </w:pPr>
            <w:r w:rsidRPr="00003B04">
              <w:rPr>
                <w:rFonts w:ascii="Arial" w:hAnsi="Arial" w:cs="Arial"/>
                <w:b/>
                <w:sz w:val="13"/>
                <w:szCs w:val="13"/>
                <w:lang w:val="fr-FR"/>
              </w:rPr>
              <w:t>OCTOBER – OCTOBRE</w:t>
            </w:r>
          </w:p>
        </w:tc>
        <w:tc>
          <w:tcPr>
            <w:tcW w:w="126"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lang w:val="fr-FR"/>
              </w:rPr>
            </w:pPr>
          </w:p>
        </w:tc>
        <w:tc>
          <w:tcPr>
            <w:tcW w:w="159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lang w:val="fr-FR"/>
              </w:rPr>
            </w:pPr>
            <w:r w:rsidRPr="00003B04">
              <w:rPr>
                <w:rFonts w:ascii="Arial" w:hAnsi="Arial" w:cs="Arial"/>
                <w:b/>
                <w:sz w:val="13"/>
                <w:szCs w:val="13"/>
                <w:lang w:val="fr-FR"/>
              </w:rPr>
              <w:t>NOVEMBER – NOVEMBRE</w:t>
            </w:r>
          </w:p>
        </w:tc>
        <w:tc>
          <w:tcPr>
            <w:tcW w:w="158"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lang w:val="fr-FR"/>
              </w:rPr>
            </w:pPr>
          </w:p>
        </w:tc>
        <w:tc>
          <w:tcPr>
            <w:tcW w:w="1503"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lang w:val="fr-FR"/>
              </w:rPr>
            </w:pPr>
            <w:r w:rsidRPr="00003B04">
              <w:rPr>
                <w:rFonts w:ascii="Arial" w:hAnsi="Arial" w:cs="Arial"/>
                <w:b/>
                <w:sz w:val="13"/>
                <w:szCs w:val="13"/>
                <w:lang w:val="fr-FR"/>
              </w:rPr>
              <w:t>DECEMBER - DÉCEMBRE</w:t>
            </w:r>
          </w:p>
        </w:tc>
      </w:tr>
      <w:tr w:rsidR="0013595D" w:rsidRPr="00003B04" w:rsidTr="00E942C2">
        <w:trPr>
          <w:trHeight w:val="288"/>
        </w:trPr>
        <w:tc>
          <w:tcPr>
            <w:tcW w:w="216" w:type="pct"/>
            <w:tcBorders>
              <w:top w:val="double" w:sz="6" w:space="0" w:color="auto"/>
              <w:left w:val="double" w:sz="6" w:space="0" w:color="auto"/>
            </w:tcBorders>
            <w:shd w:val="clear" w:color="auto" w:fill="FFFFFF" w:themeFill="background1"/>
            <w:tcMar>
              <w:bottom w:w="43" w:type="dxa"/>
            </w:tcMar>
            <w:vAlign w:val="center"/>
          </w:tcPr>
          <w:p w:rsidR="0013595D" w:rsidRPr="00003B04" w:rsidRDefault="0013595D" w:rsidP="00E942C2">
            <w:pPr>
              <w:tabs>
                <w:tab w:val="center" w:pos="5220"/>
                <w:tab w:val="right" w:pos="10440"/>
              </w:tabs>
              <w:jc w:val="center"/>
              <w:rPr>
                <w:rFonts w:ascii="Arial" w:hAnsi="Arial" w:cs="Arial"/>
                <w:b/>
                <w:sz w:val="14"/>
                <w:szCs w:val="14"/>
                <w:lang w:val="fr-FR"/>
              </w:rPr>
            </w:pPr>
            <w:r w:rsidRPr="00003B04">
              <w:rPr>
                <w:rFonts w:ascii="Arial" w:hAnsi="Arial" w:cs="Arial"/>
                <w:b/>
                <w:sz w:val="14"/>
                <w:szCs w:val="14"/>
                <w:lang w:val="fr-FR"/>
              </w:rPr>
              <w:t>S</w:t>
            </w:r>
          </w:p>
          <w:p w:rsidR="0013595D" w:rsidRPr="00003B04" w:rsidRDefault="0013595D" w:rsidP="00E942C2">
            <w:pPr>
              <w:tabs>
                <w:tab w:val="center" w:pos="5220"/>
                <w:tab w:val="right" w:pos="10440"/>
              </w:tabs>
              <w:jc w:val="center"/>
              <w:rPr>
                <w:rFonts w:ascii="Arial" w:hAnsi="Arial" w:cs="Arial"/>
                <w:b/>
                <w:sz w:val="14"/>
                <w:szCs w:val="14"/>
                <w:lang w:val="fr-FR"/>
              </w:rPr>
            </w:pPr>
            <w:r w:rsidRPr="00003B04">
              <w:rPr>
                <w:rFonts w:ascii="Arial" w:hAnsi="Arial" w:cs="Arial"/>
                <w:b/>
                <w:sz w:val="14"/>
                <w:szCs w:val="14"/>
                <w:lang w:val="fr-FR"/>
              </w:rPr>
              <w:t>D</w:t>
            </w:r>
          </w:p>
        </w:tc>
        <w:tc>
          <w:tcPr>
            <w:tcW w:w="217" w:type="pct"/>
            <w:tcBorders>
              <w:top w:val="double" w:sz="6" w:space="0" w:color="auto"/>
            </w:tcBorders>
            <w:shd w:val="clear" w:color="auto" w:fill="FFFFFF" w:themeFill="background1"/>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lang w:val="fr-FR"/>
              </w:rPr>
            </w:pPr>
            <w:r w:rsidRPr="00003B04">
              <w:rPr>
                <w:rFonts w:ascii="Arial" w:hAnsi="Arial" w:cs="Arial"/>
                <w:b/>
                <w:sz w:val="13"/>
                <w:szCs w:val="13"/>
                <w:lang w:val="fr-FR"/>
              </w:rPr>
              <w:t>M</w:t>
            </w:r>
          </w:p>
          <w:p w:rsidR="0013595D" w:rsidRPr="00003B04" w:rsidRDefault="0013595D" w:rsidP="00E942C2">
            <w:pPr>
              <w:tabs>
                <w:tab w:val="center" w:pos="5220"/>
                <w:tab w:val="right" w:pos="10440"/>
              </w:tabs>
              <w:jc w:val="center"/>
              <w:rPr>
                <w:rFonts w:ascii="Arial" w:hAnsi="Arial" w:cs="Arial"/>
                <w:b/>
                <w:sz w:val="13"/>
                <w:szCs w:val="13"/>
                <w:lang w:val="fr-FR"/>
              </w:rPr>
            </w:pPr>
            <w:r w:rsidRPr="00003B04">
              <w:rPr>
                <w:rFonts w:ascii="Arial" w:hAnsi="Arial" w:cs="Arial"/>
                <w:b/>
                <w:sz w:val="13"/>
                <w:szCs w:val="13"/>
                <w:lang w:val="fr-FR"/>
              </w:rPr>
              <w:t>L</w:t>
            </w:r>
          </w:p>
        </w:tc>
        <w:tc>
          <w:tcPr>
            <w:tcW w:w="267" w:type="pct"/>
            <w:tcBorders>
              <w:top w:val="double" w:sz="6" w:space="0" w:color="auto"/>
            </w:tcBorders>
            <w:shd w:val="clear" w:color="auto" w:fill="FFFFFF" w:themeFill="background1"/>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lang w:val="fr-FR"/>
              </w:rPr>
            </w:pPr>
            <w:r w:rsidRPr="00003B04">
              <w:rPr>
                <w:rFonts w:ascii="Arial" w:hAnsi="Arial" w:cs="Arial"/>
                <w:b/>
                <w:sz w:val="13"/>
                <w:szCs w:val="13"/>
                <w:lang w:val="fr-FR"/>
              </w:rPr>
              <w:t>T</w:t>
            </w:r>
          </w:p>
          <w:p w:rsidR="0013595D" w:rsidRPr="00003B04" w:rsidRDefault="0013595D" w:rsidP="00E942C2">
            <w:pPr>
              <w:tabs>
                <w:tab w:val="center" w:pos="5220"/>
                <w:tab w:val="right" w:pos="10440"/>
              </w:tabs>
              <w:jc w:val="center"/>
              <w:rPr>
                <w:rFonts w:ascii="Arial" w:hAnsi="Arial" w:cs="Arial"/>
                <w:b/>
                <w:sz w:val="13"/>
                <w:szCs w:val="13"/>
                <w:lang w:val="fr-FR"/>
              </w:rPr>
            </w:pPr>
            <w:r w:rsidRPr="00003B04">
              <w:rPr>
                <w:rFonts w:ascii="Arial" w:hAnsi="Arial" w:cs="Arial"/>
                <w:b/>
                <w:sz w:val="13"/>
                <w:szCs w:val="13"/>
                <w:lang w:val="fr-FR"/>
              </w:rPr>
              <w:t>M</w:t>
            </w:r>
          </w:p>
        </w:tc>
        <w:tc>
          <w:tcPr>
            <w:tcW w:w="209" w:type="pct"/>
            <w:tcBorders>
              <w:top w:val="double" w:sz="6" w:space="0" w:color="auto"/>
            </w:tcBorders>
            <w:shd w:val="clear" w:color="auto" w:fill="FFFFFF" w:themeFill="background1"/>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lang w:val="fr-FR"/>
              </w:rPr>
            </w:pPr>
            <w:r w:rsidRPr="00003B04">
              <w:rPr>
                <w:rFonts w:ascii="Arial" w:hAnsi="Arial" w:cs="Arial"/>
                <w:b/>
                <w:sz w:val="13"/>
                <w:szCs w:val="13"/>
                <w:lang w:val="fr-FR"/>
              </w:rPr>
              <w:t>W</w:t>
            </w:r>
          </w:p>
          <w:p w:rsidR="0013595D" w:rsidRPr="00003B04" w:rsidRDefault="0013595D" w:rsidP="00E942C2">
            <w:pPr>
              <w:tabs>
                <w:tab w:val="center" w:pos="5220"/>
                <w:tab w:val="right" w:pos="10440"/>
              </w:tabs>
              <w:jc w:val="center"/>
              <w:rPr>
                <w:rFonts w:ascii="Arial" w:hAnsi="Arial" w:cs="Arial"/>
                <w:b/>
                <w:sz w:val="13"/>
                <w:szCs w:val="13"/>
                <w:lang w:val="fr-FR"/>
              </w:rPr>
            </w:pPr>
            <w:r w:rsidRPr="00003B04">
              <w:rPr>
                <w:rFonts w:ascii="Arial" w:hAnsi="Arial" w:cs="Arial"/>
                <w:b/>
                <w:sz w:val="13"/>
                <w:szCs w:val="13"/>
                <w:lang w:val="fr-FR"/>
              </w:rPr>
              <w:t>M</w:t>
            </w:r>
          </w:p>
        </w:tc>
        <w:tc>
          <w:tcPr>
            <w:tcW w:w="251" w:type="pct"/>
            <w:tcBorders>
              <w:top w:val="double" w:sz="6" w:space="0" w:color="auto"/>
            </w:tcBorders>
            <w:shd w:val="clear" w:color="auto" w:fill="FFFFFF" w:themeFill="background1"/>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lang w:val="fr-FR"/>
              </w:rPr>
            </w:pPr>
            <w:r w:rsidRPr="00003B04">
              <w:rPr>
                <w:rFonts w:ascii="Arial" w:hAnsi="Arial" w:cs="Arial"/>
                <w:b/>
                <w:sz w:val="13"/>
                <w:szCs w:val="13"/>
                <w:lang w:val="fr-FR"/>
              </w:rPr>
              <w:t>T</w:t>
            </w:r>
          </w:p>
          <w:p w:rsidR="0013595D" w:rsidRPr="00003B04" w:rsidRDefault="0013595D" w:rsidP="00E942C2">
            <w:pPr>
              <w:tabs>
                <w:tab w:val="center" w:pos="5220"/>
                <w:tab w:val="right" w:pos="10440"/>
              </w:tabs>
              <w:jc w:val="center"/>
              <w:rPr>
                <w:rFonts w:ascii="Arial" w:hAnsi="Arial" w:cs="Arial"/>
                <w:b/>
                <w:sz w:val="13"/>
                <w:szCs w:val="13"/>
                <w:lang w:val="fr-FR"/>
              </w:rPr>
            </w:pPr>
            <w:r w:rsidRPr="00003B04">
              <w:rPr>
                <w:rFonts w:ascii="Arial" w:hAnsi="Arial" w:cs="Arial"/>
                <w:b/>
                <w:sz w:val="13"/>
                <w:szCs w:val="13"/>
                <w:lang w:val="fr-FR"/>
              </w:rPr>
              <w:t>J</w:t>
            </w:r>
          </w:p>
        </w:tc>
        <w:tc>
          <w:tcPr>
            <w:tcW w:w="210" w:type="pct"/>
            <w:tcBorders>
              <w:top w:val="double" w:sz="6" w:space="0" w:color="auto"/>
            </w:tcBorders>
            <w:shd w:val="clear" w:color="auto" w:fill="FFFFFF" w:themeFill="background1"/>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lang w:val="fr-FR"/>
              </w:rPr>
            </w:pPr>
            <w:r w:rsidRPr="00003B04">
              <w:rPr>
                <w:rFonts w:ascii="Arial" w:hAnsi="Arial" w:cs="Arial"/>
                <w:b/>
                <w:sz w:val="13"/>
                <w:szCs w:val="13"/>
                <w:lang w:val="fr-FR"/>
              </w:rPr>
              <w:t>F</w:t>
            </w:r>
          </w:p>
          <w:p w:rsidR="0013595D" w:rsidRPr="00003B04" w:rsidRDefault="0013595D" w:rsidP="00E942C2">
            <w:pPr>
              <w:tabs>
                <w:tab w:val="center" w:pos="5220"/>
                <w:tab w:val="right" w:pos="10440"/>
              </w:tabs>
              <w:jc w:val="center"/>
              <w:rPr>
                <w:rFonts w:ascii="Arial" w:hAnsi="Arial" w:cs="Arial"/>
                <w:b/>
                <w:sz w:val="13"/>
                <w:szCs w:val="13"/>
                <w:lang w:val="fr-FR"/>
              </w:rPr>
            </w:pPr>
            <w:r w:rsidRPr="00003B04">
              <w:rPr>
                <w:rFonts w:ascii="Arial" w:hAnsi="Arial" w:cs="Arial"/>
                <w:b/>
                <w:sz w:val="13"/>
                <w:szCs w:val="13"/>
                <w:lang w:val="fr-FR"/>
              </w:rPr>
              <w:t>V</w:t>
            </w:r>
          </w:p>
        </w:tc>
        <w:tc>
          <w:tcPr>
            <w:tcW w:w="251" w:type="pct"/>
            <w:tcBorders>
              <w:top w:val="double" w:sz="6" w:space="0" w:color="auto"/>
              <w:right w:val="double" w:sz="6" w:space="0" w:color="auto"/>
            </w:tcBorders>
            <w:shd w:val="clear" w:color="auto" w:fill="FFFFFF" w:themeFill="background1"/>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lang w:val="fr-FR"/>
              </w:rPr>
            </w:pPr>
            <w:r w:rsidRPr="00003B04">
              <w:rPr>
                <w:rFonts w:ascii="Arial" w:hAnsi="Arial" w:cs="Arial"/>
                <w:b/>
                <w:sz w:val="13"/>
                <w:szCs w:val="13"/>
                <w:lang w:val="fr-FR"/>
              </w:rPr>
              <w:t>S</w:t>
            </w:r>
          </w:p>
          <w:p w:rsidR="0013595D" w:rsidRPr="00003B04" w:rsidRDefault="0013595D" w:rsidP="00E942C2">
            <w:pPr>
              <w:tabs>
                <w:tab w:val="center" w:pos="5220"/>
                <w:tab w:val="right" w:pos="10440"/>
              </w:tabs>
              <w:jc w:val="center"/>
              <w:rPr>
                <w:rFonts w:ascii="Arial" w:hAnsi="Arial" w:cs="Arial"/>
                <w:b/>
                <w:sz w:val="13"/>
                <w:szCs w:val="13"/>
                <w:lang w:val="fr-FR"/>
              </w:rPr>
            </w:pPr>
            <w:r w:rsidRPr="00003B04">
              <w:rPr>
                <w:rFonts w:ascii="Arial" w:hAnsi="Arial" w:cs="Arial"/>
                <w:b/>
                <w:sz w:val="13"/>
                <w:szCs w:val="13"/>
                <w:lang w:val="fr-FR"/>
              </w:rPr>
              <w:t>S</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003B04" w:rsidRDefault="0013595D" w:rsidP="00E942C2">
            <w:pPr>
              <w:tabs>
                <w:tab w:val="center" w:pos="5220"/>
                <w:tab w:val="right" w:pos="10440"/>
              </w:tabs>
              <w:jc w:val="center"/>
              <w:rPr>
                <w:rFonts w:ascii="Arial" w:hAnsi="Arial" w:cs="Arial"/>
                <w:sz w:val="13"/>
                <w:szCs w:val="13"/>
                <w:lang w:val="fr-FR"/>
              </w:rPr>
            </w:pPr>
          </w:p>
        </w:tc>
        <w:tc>
          <w:tcPr>
            <w:tcW w:w="227" w:type="pct"/>
            <w:tcBorders>
              <w:top w:val="double" w:sz="6" w:space="0" w:color="auto"/>
              <w:left w:val="double" w:sz="6" w:space="0" w:color="auto"/>
            </w:tcBorders>
            <w:shd w:val="clear" w:color="auto" w:fill="FFFFFF" w:themeFill="background1"/>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lang w:val="fr-FR"/>
              </w:rPr>
            </w:pPr>
            <w:r w:rsidRPr="00003B04">
              <w:rPr>
                <w:rFonts w:ascii="Arial" w:hAnsi="Arial" w:cs="Arial"/>
                <w:b/>
                <w:sz w:val="13"/>
                <w:szCs w:val="13"/>
                <w:lang w:val="fr-FR"/>
              </w:rPr>
              <w:t>S</w:t>
            </w:r>
          </w:p>
          <w:p w:rsidR="0013595D" w:rsidRPr="00003B04" w:rsidRDefault="0013595D" w:rsidP="00E942C2">
            <w:pPr>
              <w:tabs>
                <w:tab w:val="center" w:pos="5220"/>
                <w:tab w:val="right" w:pos="10440"/>
              </w:tabs>
              <w:jc w:val="center"/>
              <w:rPr>
                <w:rFonts w:ascii="Arial" w:hAnsi="Arial" w:cs="Arial"/>
                <w:b/>
                <w:sz w:val="13"/>
                <w:szCs w:val="13"/>
                <w:lang w:val="fr-FR"/>
              </w:rPr>
            </w:pPr>
            <w:r w:rsidRPr="00003B04">
              <w:rPr>
                <w:rFonts w:ascii="Arial" w:hAnsi="Arial" w:cs="Arial"/>
                <w:b/>
                <w:sz w:val="13"/>
                <w:szCs w:val="13"/>
                <w:lang w:val="fr-FR"/>
              </w:rPr>
              <w:t>D</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lang w:val="fr-FR"/>
              </w:rPr>
            </w:pPr>
            <w:r w:rsidRPr="00003B04">
              <w:rPr>
                <w:rFonts w:ascii="Arial" w:hAnsi="Arial" w:cs="Arial"/>
                <w:b/>
                <w:sz w:val="13"/>
                <w:szCs w:val="13"/>
                <w:lang w:val="fr-FR"/>
              </w:rPr>
              <w:t>M</w:t>
            </w:r>
          </w:p>
          <w:p w:rsidR="0013595D" w:rsidRPr="00003B04" w:rsidRDefault="0013595D" w:rsidP="00E942C2">
            <w:pPr>
              <w:tabs>
                <w:tab w:val="center" w:pos="5220"/>
                <w:tab w:val="right" w:pos="10440"/>
              </w:tabs>
              <w:jc w:val="center"/>
              <w:rPr>
                <w:rFonts w:ascii="Arial" w:hAnsi="Arial" w:cs="Arial"/>
                <w:b/>
                <w:sz w:val="13"/>
                <w:szCs w:val="13"/>
                <w:lang w:val="fr-FR"/>
              </w:rPr>
            </w:pPr>
            <w:r w:rsidRPr="00003B04">
              <w:rPr>
                <w:rFonts w:ascii="Arial" w:hAnsi="Arial" w:cs="Arial"/>
                <w:b/>
                <w:sz w:val="13"/>
                <w:szCs w:val="13"/>
                <w:lang w:val="fr-FR"/>
              </w:rPr>
              <w:t>L</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lang w:val="fr-FR"/>
              </w:rPr>
            </w:pPr>
            <w:r w:rsidRPr="00003B04">
              <w:rPr>
                <w:rFonts w:ascii="Arial" w:hAnsi="Arial" w:cs="Arial"/>
                <w:b/>
                <w:sz w:val="13"/>
                <w:szCs w:val="13"/>
                <w:lang w:val="fr-FR"/>
              </w:rPr>
              <w:t>T</w:t>
            </w:r>
          </w:p>
          <w:p w:rsidR="0013595D" w:rsidRPr="00003B04" w:rsidRDefault="0013595D" w:rsidP="00E942C2">
            <w:pPr>
              <w:tabs>
                <w:tab w:val="center" w:pos="5220"/>
                <w:tab w:val="right" w:pos="10440"/>
              </w:tabs>
              <w:jc w:val="center"/>
              <w:rPr>
                <w:rFonts w:ascii="Arial" w:hAnsi="Arial" w:cs="Arial"/>
                <w:b/>
                <w:sz w:val="13"/>
                <w:szCs w:val="13"/>
                <w:lang w:val="fr-FR"/>
              </w:rPr>
            </w:pPr>
            <w:r w:rsidRPr="00003B04">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lang w:val="fr-FR"/>
              </w:rPr>
            </w:pPr>
            <w:r w:rsidRPr="00003B04">
              <w:rPr>
                <w:rFonts w:ascii="Arial" w:hAnsi="Arial" w:cs="Arial"/>
                <w:b/>
                <w:sz w:val="13"/>
                <w:szCs w:val="13"/>
                <w:lang w:val="fr-FR"/>
              </w:rPr>
              <w:t>W</w:t>
            </w:r>
          </w:p>
          <w:p w:rsidR="0013595D" w:rsidRPr="00003B04" w:rsidRDefault="0013595D" w:rsidP="00E942C2">
            <w:pPr>
              <w:tabs>
                <w:tab w:val="center" w:pos="5220"/>
                <w:tab w:val="right" w:pos="10440"/>
              </w:tabs>
              <w:jc w:val="center"/>
              <w:rPr>
                <w:rFonts w:ascii="Arial" w:hAnsi="Arial" w:cs="Arial"/>
                <w:b/>
                <w:sz w:val="13"/>
                <w:szCs w:val="13"/>
                <w:lang w:val="fr-FR"/>
              </w:rPr>
            </w:pPr>
            <w:r w:rsidRPr="00003B04">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lang w:val="fr-FR"/>
              </w:rPr>
            </w:pPr>
            <w:r w:rsidRPr="00003B04">
              <w:rPr>
                <w:rFonts w:ascii="Arial" w:hAnsi="Arial" w:cs="Arial"/>
                <w:b/>
                <w:sz w:val="13"/>
                <w:szCs w:val="13"/>
                <w:lang w:val="fr-FR"/>
              </w:rPr>
              <w:t>T</w:t>
            </w:r>
          </w:p>
          <w:p w:rsidR="0013595D" w:rsidRPr="00003B04" w:rsidRDefault="0013595D" w:rsidP="00E942C2">
            <w:pPr>
              <w:tabs>
                <w:tab w:val="center" w:pos="5220"/>
                <w:tab w:val="right" w:pos="10440"/>
              </w:tabs>
              <w:jc w:val="center"/>
              <w:rPr>
                <w:rFonts w:ascii="Arial" w:hAnsi="Arial" w:cs="Arial"/>
                <w:b/>
                <w:sz w:val="13"/>
                <w:szCs w:val="13"/>
                <w:lang w:val="fr-FR"/>
              </w:rPr>
            </w:pPr>
            <w:r w:rsidRPr="00003B04">
              <w:rPr>
                <w:rFonts w:ascii="Arial" w:hAnsi="Arial" w:cs="Arial"/>
                <w:b/>
                <w:sz w:val="13"/>
                <w:szCs w:val="13"/>
                <w:lang w:val="fr-FR"/>
              </w:rPr>
              <w:t>J</w:t>
            </w:r>
          </w:p>
        </w:tc>
        <w:tc>
          <w:tcPr>
            <w:tcW w:w="23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lang w:val="fr-FR"/>
              </w:rPr>
            </w:pPr>
            <w:r w:rsidRPr="00003B04">
              <w:rPr>
                <w:rFonts w:ascii="Arial" w:hAnsi="Arial" w:cs="Arial"/>
                <w:b/>
                <w:sz w:val="13"/>
                <w:szCs w:val="13"/>
                <w:lang w:val="fr-FR"/>
              </w:rPr>
              <w:t>F</w:t>
            </w:r>
          </w:p>
          <w:p w:rsidR="0013595D" w:rsidRPr="00003B04" w:rsidRDefault="0013595D" w:rsidP="00E942C2">
            <w:pPr>
              <w:tabs>
                <w:tab w:val="center" w:pos="5220"/>
                <w:tab w:val="right" w:pos="10440"/>
              </w:tabs>
              <w:jc w:val="center"/>
              <w:rPr>
                <w:rFonts w:ascii="Arial" w:hAnsi="Arial" w:cs="Arial"/>
                <w:b/>
                <w:sz w:val="13"/>
                <w:szCs w:val="13"/>
                <w:lang w:val="fr-FR"/>
              </w:rPr>
            </w:pPr>
            <w:r w:rsidRPr="00003B04">
              <w:rPr>
                <w:rFonts w:ascii="Arial" w:hAnsi="Arial" w:cs="Arial"/>
                <w:b/>
                <w:sz w:val="13"/>
                <w:szCs w:val="13"/>
                <w:lang w:val="fr-FR"/>
              </w:rPr>
              <w:t>V</w:t>
            </w:r>
          </w:p>
        </w:tc>
        <w:tc>
          <w:tcPr>
            <w:tcW w:w="259" w:type="pct"/>
            <w:tcBorders>
              <w:top w:val="double" w:sz="6" w:space="0" w:color="auto"/>
              <w:right w:val="double" w:sz="6" w:space="0" w:color="auto"/>
            </w:tcBorders>
            <w:shd w:val="clear" w:color="auto" w:fill="FFFFFF" w:themeFill="background1"/>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lang w:val="fr-FR"/>
              </w:rPr>
            </w:pPr>
            <w:r w:rsidRPr="00003B04">
              <w:rPr>
                <w:rFonts w:ascii="Arial" w:hAnsi="Arial" w:cs="Arial"/>
                <w:b/>
                <w:sz w:val="13"/>
                <w:szCs w:val="13"/>
                <w:lang w:val="fr-FR"/>
              </w:rPr>
              <w:t>S</w:t>
            </w:r>
          </w:p>
          <w:p w:rsidR="0013595D" w:rsidRPr="00003B04" w:rsidRDefault="0013595D" w:rsidP="00E942C2">
            <w:pPr>
              <w:tabs>
                <w:tab w:val="center" w:pos="5220"/>
                <w:tab w:val="right" w:pos="10440"/>
              </w:tabs>
              <w:jc w:val="center"/>
              <w:rPr>
                <w:rFonts w:ascii="Arial" w:hAnsi="Arial" w:cs="Arial"/>
                <w:b/>
                <w:sz w:val="13"/>
                <w:szCs w:val="13"/>
                <w:lang w:val="fr-FR"/>
              </w:rPr>
            </w:pPr>
            <w:r w:rsidRPr="00003B04">
              <w:rPr>
                <w:rFonts w:ascii="Arial" w:hAnsi="Arial" w:cs="Arial"/>
                <w:b/>
                <w:sz w:val="13"/>
                <w:szCs w:val="13"/>
                <w:lang w:val="fr-FR"/>
              </w:rPr>
              <w:t>S</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lang w:val="fr-FR"/>
              </w:rPr>
            </w:pPr>
          </w:p>
        </w:tc>
        <w:tc>
          <w:tcPr>
            <w:tcW w:w="218" w:type="pct"/>
            <w:tcBorders>
              <w:top w:val="double" w:sz="6" w:space="0" w:color="auto"/>
              <w:left w:val="double" w:sz="6" w:space="0" w:color="auto"/>
            </w:tcBorders>
            <w:shd w:val="clear" w:color="auto" w:fill="FFFFFF" w:themeFill="background1"/>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lang w:val="fr-FR"/>
              </w:rPr>
            </w:pPr>
            <w:r w:rsidRPr="00003B04">
              <w:rPr>
                <w:rFonts w:ascii="Arial" w:hAnsi="Arial" w:cs="Arial"/>
                <w:b/>
                <w:sz w:val="13"/>
                <w:szCs w:val="13"/>
                <w:lang w:val="fr-FR"/>
              </w:rPr>
              <w:t>S</w:t>
            </w:r>
          </w:p>
          <w:p w:rsidR="0013595D" w:rsidRPr="00003B04" w:rsidRDefault="0013595D" w:rsidP="00E942C2">
            <w:pPr>
              <w:tabs>
                <w:tab w:val="center" w:pos="5220"/>
                <w:tab w:val="right" w:pos="10440"/>
              </w:tabs>
              <w:jc w:val="center"/>
              <w:rPr>
                <w:rFonts w:ascii="Arial" w:hAnsi="Arial" w:cs="Arial"/>
                <w:b/>
                <w:sz w:val="13"/>
                <w:szCs w:val="13"/>
                <w:lang w:val="fr-FR"/>
              </w:rPr>
            </w:pPr>
            <w:r w:rsidRPr="00003B04">
              <w:rPr>
                <w:rFonts w:ascii="Arial" w:hAnsi="Arial" w:cs="Arial"/>
                <w:b/>
                <w:sz w:val="13"/>
                <w:szCs w:val="13"/>
                <w:lang w:val="fr-FR"/>
              </w:rPr>
              <w:t>D</w:t>
            </w:r>
          </w:p>
        </w:tc>
        <w:tc>
          <w:tcPr>
            <w:tcW w:w="218" w:type="pct"/>
            <w:tcBorders>
              <w:top w:val="double" w:sz="6" w:space="0" w:color="auto"/>
              <w:bottom w:val="single" w:sz="4" w:space="0" w:color="auto"/>
            </w:tcBorders>
            <w:shd w:val="clear" w:color="auto" w:fill="FFFFFF" w:themeFill="background1"/>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lang w:val="fr-FR"/>
              </w:rPr>
            </w:pPr>
            <w:r w:rsidRPr="00003B04">
              <w:rPr>
                <w:rFonts w:ascii="Arial" w:hAnsi="Arial" w:cs="Arial"/>
                <w:b/>
                <w:sz w:val="13"/>
                <w:szCs w:val="13"/>
                <w:lang w:val="fr-FR"/>
              </w:rPr>
              <w:t>M</w:t>
            </w:r>
          </w:p>
          <w:p w:rsidR="0013595D" w:rsidRPr="00003B04" w:rsidRDefault="0013595D" w:rsidP="00E942C2">
            <w:pPr>
              <w:tabs>
                <w:tab w:val="center" w:pos="5220"/>
                <w:tab w:val="right" w:pos="10440"/>
              </w:tabs>
              <w:jc w:val="center"/>
              <w:rPr>
                <w:rFonts w:ascii="Arial" w:hAnsi="Arial" w:cs="Arial"/>
                <w:b/>
                <w:sz w:val="13"/>
                <w:szCs w:val="13"/>
                <w:lang w:val="fr-FR"/>
              </w:rPr>
            </w:pPr>
            <w:r w:rsidRPr="00003B04">
              <w:rPr>
                <w:rFonts w:ascii="Arial" w:hAnsi="Arial" w:cs="Arial"/>
                <w:b/>
                <w:sz w:val="13"/>
                <w:szCs w:val="13"/>
                <w:lang w:val="fr-FR"/>
              </w:rPr>
              <w:t>L</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lang w:val="fr-FR"/>
              </w:rPr>
            </w:pPr>
            <w:r w:rsidRPr="00003B04">
              <w:rPr>
                <w:rFonts w:ascii="Arial" w:hAnsi="Arial" w:cs="Arial"/>
                <w:b/>
                <w:sz w:val="13"/>
                <w:szCs w:val="13"/>
                <w:lang w:val="fr-FR"/>
              </w:rPr>
              <w:t>T</w:t>
            </w:r>
          </w:p>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W</w:t>
            </w:r>
          </w:p>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T</w:t>
            </w:r>
          </w:p>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J</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F</w:t>
            </w:r>
          </w:p>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V</w:t>
            </w:r>
          </w:p>
        </w:tc>
        <w:tc>
          <w:tcPr>
            <w:tcW w:w="196" w:type="pct"/>
            <w:tcBorders>
              <w:top w:val="double" w:sz="6" w:space="0" w:color="auto"/>
              <w:right w:val="double" w:sz="6" w:space="0" w:color="auto"/>
            </w:tcBorders>
            <w:shd w:val="clear" w:color="auto" w:fill="FFFFFF" w:themeFill="background1"/>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S</w:t>
            </w:r>
          </w:p>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S</w:t>
            </w:r>
          </w:p>
        </w:tc>
      </w:tr>
      <w:tr w:rsidR="0013595D" w:rsidRPr="00003B04"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p>
        </w:tc>
        <w:tc>
          <w:tcPr>
            <w:tcW w:w="267" w:type="pct"/>
            <w:tcBorders>
              <w:bottom w:val="single" w:sz="4" w:space="0" w:color="000000" w:themeColor="text1"/>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p>
        </w:tc>
        <w:tc>
          <w:tcPr>
            <w:tcW w:w="209" w:type="pct"/>
            <w:tcBorders>
              <w:bottom w:val="single" w:sz="4" w:space="0" w:color="000000" w:themeColor="text1"/>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p>
        </w:tc>
        <w:tc>
          <w:tcPr>
            <w:tcW w:w="251" w:type="pct"/>
            <w:tcBorders>
              <w:bottom w:val="single" w:sz="4" w:space="0" w:color="000000" w:themeColor="text1"/>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p>
        </w:tc>
        <w:tc>
          <w:tcPr>
            <w:tcW w:w="210" w:type="pct"/>
            <w:tcBorders>
              <w:bottom w:val="single" w:sz="4" w:space="0" w:color="000000" w:themeColor="text1"/>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p>
        </w:tc>
        <w:tc>
          <w:tcPr>
            <w:tcW w:w="251" w:type="pct"/>
            <w:tcBorders>
              <w:right w:val="double" w:sz="6" w:space="0" w:color="auto"/>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003B0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31</w:t>
            </w:r>
          </w:p>
        </w:tc>
        <w:tc>
          <w:tcPr>
            <w:tcW w:w="217"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w:t>
            </w:r>
          </w:p>
        </w:tc>
        <w:tc>
          <w:tcPr>
            <w:tcW w:w="217" w:type="pct"/>
            <w:tcBorders>
              <w:bottom w:val="single" w:sz="4" w:space="0" w:color="000000" w:themeColor="text1"/>
            </w:tcBorders>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w:t>
            </w:r>
          </w:p>
        </w:tc>
        <w:tc>
          <w:tcPr>
            <w:tcW w:w="217" w:type="pct"/>
            <w:tcBorders>
              <w:bottom w:val="single" w:sz="4" w:space="0" w:color="000000" w:themeColor="text1"/>
            </w:tcBorders>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3</w:t>
            </w:r>
          </w:p>
        </w:tc>
        <w:tc>
          <w:tcPr>
            <w:tcW w:w="237" w:type="pct"/>
            <w:tcBorders>
              <w:bottom w:val="double" w:sz="6" w:space="0" w:color="auto"/>
            </w:tcBorders>
            <w:shd w:val="pct20" w:color="auto" w:fill="auto"/>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4</w:t>
            </w:r>
          </w:p>
        </w:tc>
        <w:tc>
          <w:tcPr>
            <w:tcW w:w="259" w:type="pct"/>
            <w:tcBorders>
              <w:right w:val="double" w:sz="6" w:space="0" w:color="auto"/>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5</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003B04"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right w:val="single" w:sz="4" w:space="0" w:color="auto"/>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p>
        </w:tc>
        <w:tc>
          <w:tcPr>
            <w:tcW w:w="218" w:type="pc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p>
        </w:tc>
        <w:tc>
          <w:tcPr>
            <w:tcW w:w="218" w:type="pct"/>
            <w:tcBorders>
              <w:left w:val="single" w:sz="4" w:space="0" w:color="000000" w:themeColor="text1"/>
              <w:bottom w:val="single" w:sz="4" w:space="0" w:color="000000" w:themeColor="text1"/>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p>
        </w:tc>
        <w:tc>
          <w:tcPr>
            <w:tcW w:w="218" w:type="pct"/>
            <w:tcBorders>
              <w:bottom w:val="single" w:sz="4" w:space="0" w:color="000000" w:themeColor="text1"/>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p>
        </w:tc>
        <w:tc>
          <w:tcPr>
            <w:tcW w:w="218" w:type="pct"/>
            <w:tcBorders>
              <w:bottom w:val="single" w:sz="4" w:space="0" w:color="000000" w:themeColor="text1"/>
            </w:tcBorders>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w:t>
            </w:r>
          </w:p>
        </w:tc>
        <w:tc>
          <w:tcPr>
            <w:tcW w:w="218" w:type="pct"/>
            <w:tcBorders>
              <w:bottom w:val="single" w:sz="4" w:space="0" w:color="000000" w:themeColor="text1"/>
            </w:tcBorders>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w:t>
            </w:r>
          </w:p>
        </w:tc>
        <w:tc>
          <w:tcPr>
            <w:tcW w:w="196" w:type="pct"/>
            <w:tcBorders>
              <w:right w:val="double" w:sz="6" w:space="0" w:color="auto"/>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3</w:t>
            </w:r>
          </w:p>
        </w:tc>
      </w:tr>
      <w:tr w:rsidR="0013595D" w:rsidRPr="00003B04" w:rsidTr="00E942C2">
        <w:trPr>
          <w:trHeight w:val="288"/>
        </w:trPr>
        <w:tc>
          <w:tcPr>
            <w:tcW w:w="216"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top w:w="0" w:type="dxa"/>
              <w:bottom w:w="0" w:type="dxa"/>
            </w:tcMar>
            <w:vAlign w:val="bottom"/>
          </w:tcPr>
          <w:p w:rsidR="0013595D" w:rsidRPr="00003B04" w:rsidRDefault="0013595D" w:rsidP="00E942C2">
            <w:pPr>
              <w:jc w:val="center"/>
              <w:rPr>
                <w:rFonts w:ascii="Arial" w:hAnsi="Arial" w:cs="Arial"/>
                <w:b/>
                <w:sz w:val="12"/>
                <w:szCs w:val="12"/>
              </w:rPr>
            </w:pPr>
          </w:p>
          <w:p w:rsidR="0013595D" w:rsidRPr="00003B04" w:rsidRDefault="0013595D" w:rsidP="00E942C2">
            <w:pPr>
              <w:jc w:val="center"/>
              <w:rPr>
                <w:rFonts w:ascii="Arial" w:hAnsi="Arial" w:cs="Arial"/>
                <w:sz w:val="13"/>
                <w:szCs w:val="13"/>
              </w:rPr>
            </w:pPr>
            <w:r w:rsidRPr="00003B04">
              <w:rPr>
                <w:rFonts w:ascii="Arial" w:hAnsi="Arial" w:cs="Arial"/>
                <w:sz w:val="13"/>
                <w:szCs w:val="13"/>
              </w:rPr>
              <w:t>3</w:t>
            </w:r>
          </w:p>
        </w:tc>
        <w:tc>
          <w:tcPr>
            <w:tcW w:w="267" w:type="pct"/>
            <w:tcBorders>
              <w:left w:val="single" w:sz="4" w:space="0" w:color="000000" w:themeColor="text1"/>
              <w:bottom w:val="single" w:sz="4" w:space="0" w:color="000000" w:themeColor="text1"/>
            </w:tcBorders>
            <w:shd w:val="pct20" w:color="auto" w:fill="FFFFFF" w:themeFill="background1"/>
            <w:tcMar>
              <w:top w:w="0" w:type="dxa"/>
              <w:bottom w:w="0"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4</w:t>
            </w:r>
          </w:p>
        </w:tc>
        <w:tc>
          <w:tcPr>
            <w:tcW w:w="209" w:type="pct"/>
            <w:tcBorders>
              <w:bottom w:val="single" w:sz="4" w:space="0" w:color="000000" w:themeColor="text1"/>
            </w:tcBorders>
            <w:shd w:val="pct20" w:color="auto" w:fill="FFFFFF" w:themeFill="background1"/>
            <w:tcMar>
              <w:top w:w="0" w:type="dxa"/>
              <w:bottom w:w="0"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5</w:t>
            </w:r>
          </w:p>
        </w:tc>
        <w:tc>
          <w:tcPr>
            <w:tcW w:w="251" w:type="pct"/>
            <w:tcBorders>
              <w:bottom w:val="single" w:sz="4" w:space="0" w:color="000000" w:themeColor="text1"/>
            </w:tcBorders>
            <w:shd w:val="pct20" w:color="auto" w:fill="FFFFFF" w:themeFill="background1"/>
            <w:tcMar>
              <w:top w:w="0" w:type="dxa"/>
              <w:bottom w:w="0"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6</w:t>
            </w:r>
          </w:p>
        </w:tc>
        <w:tc>
          <w:tcPr>
            <w:tcW w:w="210" w:type="pct"/>
            <w:tcBorders>
              <w:bottom w:val="single" w:sz="4" w:space="0" w:color="000000" w:themeColor="text1"/>
            </w:tcBorders>
            <w:shd w:val="pct20" w:color="auto" w:fill="FFFFFF" w:themeFill="background1"/>
            <w:tcMar>
              <w:top w:w="0" w:type="dxa"/>
              <w:bottom w:w="0"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7</w:t>
            </w:r>
          </w:p>
        </w:tc>
        <w:tc>
          <w:tcPr>
            <w:tcW w:w="251" w:type="pct"/>
            <w:tcBorders>
              <w:right w:val="double" w:sz="6" w:space="0" w:color="auto"/>
            </w:tcBorders>
            <w:shd w:val="clear" w:color="auto" w:fill="FFFFFF" w:themeFill="background1"/>
            <w:tcMar>
              <w:top w:w="0" w:type="dxa"/>
              <w:bottom w:w="0"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8</w:t>
            </w:r>
          </w:p>
        </w:tc>
        <w:tc>
          <w:tcPr>
            <w:tcW w:w="126"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003B0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7</w:t>
            </w:r>
          </w:p>
        </w:tc>
        <w:tc>
          <w:tcPr>
            <w:tcW w:w="217" w:type="pct"/>
            <w:tcBorders>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8</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9</w:t>
            </w:r>
          </w:p>
        </w:tc>
        <w:tc>
          <w:tcPr>
            <w:tcW w:w="217" w:type="pct"/>
            <w:tcBorders>
              <w:left w:val="single" w:sz="4" w:space="0" w:color="000000" w:themeColor="text1"/>
              <w:bottom w:val="single" w:sz="4" w:space="0" w:color="000000" w:themeColor="text1"/>
              <w:right w:val="double" w:sz="6" w:space="0" w:color="auto"/>
            </w:tcBorders>
            <w:shd w:val="pct20" w:color="auto" w:fill="auto"/>
            <w:tcMar>
              <w:top w:w="0" w:type="dxa"/>
              <w:bottom w:w="0"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10</w:t>
            </w:r>
          </w:p>
        </w:tc>
        <w:tc>
          <w:tcPr>
            <w:tcW w:w="237" w:type="pct"/>
            <w:tcBorders>
              <w:top w:val="double" w:sz="6" w:space="0" w:color="auto"/>
              <w:left w:val="double" w:sz="6" w:space="0" w:color="auto"/>
              <w:bottom w:val="double" w:sz="6" w:space="0" w:color="auto"/>
              <w:right w:val="double" w:sz="6" w:space="0" w:color="auto"/>
            </w:tcBorders>
            <w:shd w:val="clear" w:color="auto" w:fill="FFFFFF" w:themeFill="background1"/>
            <w:tcMar>
              <w:top w:w="0" w:type="dxa"/>
              <w:bottom w:w="0" w:type="dxa"/>
            </w:tcMar>
            <w:vAlign w:val="bottom"/>
          </w:tcPr>
          <w:p w:rsidR="0013595D" w:rsidRPr="00003B04" w:rsidRDefault="0013595D" w:rsidP="00E942C2">
            <w:pPr>
              <w:jc w:val="center"/>
              <w:rPr>
                <w:rFonts w:ascii="Arial" w:hAnsi="Arial" w:cs="Arial"/>
                <w:b/>
                <w:sz w:val="13"/>
                <w:szCs w:val="13"/>
              </w:rPr>
            </w:pPr>
            <w:r w:rsidRPr="00003B04">
              <w:rPr>
                <w:rFonts w:ascii="Arial" w:hAnsi="Arial" w:cs="Arial"/>
                <w:b/>
                <w:sz w:val="13"/>
                <w:szCs w:val="13"/>
              </w:rPr>
              <w:t xml:space="preserve">H </w:t>
            </w:r>
          </w:p>
          <w:p w:rsidR="0013595D" w:rsidRPr="00003B04" w:rsidRDefault="0013595D" w:rsidP="00E942C2">
            <w:pPr>
              <w:jc w:val="center"/>
              <w:rPr>
                <w:rFonts w:ascii="Arial" w:hAnsi="Arial" w:cs="Arial"/>
                <w:sz w:val="13"/>
                <w:szCs w:val="13"/>
              </w:rPr>
            </w:pPr>
            <w:r w:rsidRPr="00003B04">
              <w:rPr>
                <w:rFonts w:ascii="Arial" w:hAnsi="Arial" w:cs="Arial"/>
                <w:sz w:val="13"/>
                <w:szCs w:val="13"/>
              </w:rPr>
              <w:t>11</w:t>
            </w:r>
          </w:p>
        </w:tc>
        <w:tc>
          <w:tcPr>
            <w:tcW w:w="259" w:type="pct"/>
            <w:tcBorders>
              <w:left w:val="double" w:sz="6" w:space="0" w:color="auto"/>
              <w:right w:val="double" w:sz="6" w:space="0" w:color="auto"/>
            </w:tcBorders>
            <w:shd w:val="clear" w:color="auto" w:fill="FFFFFF" w:themeFill="background1"/>
            <w:tcMar>
              <w:top w:w="0" w:type="dxa"/>
              <w:bottom w:w="0"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12</w:t>
            </w:r>
          </w:p>
        </w:tc>
        <w:tc>
          <w:tcPr>
            <w:tcW w:w="158"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003B04"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top w:w="0" w:type="dxa"/>
              <w:bottom w:w="0"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4</w:t>
            </w:r>
          </w:p>
        </w:tc>
        <w:tc>
          <w:tcPr>
            <w:tcW w:w="218" w:type="pct"/>
            <w:tcBorders>
              <w:top w:val="single" w:sz="4" w:space="0" w:color="000000" w:themeColor="text1"/>
            </w:tcBorders>
            <w:shd w:val="pct20" w:color="auto" w:fill="FFFFFF" w:themeFill="background1"/>
            <w:tcMar>
              <w:top w:w="0" w:type="dxa"/>
              <w:bottom w:w="0"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5</w:t>
            </w:r>
          </w:p>
        </w:tc>
        <w:tc>
          <w:tcPr>
            <w:tcW w:w="218" w:type="pct"/>
            <w:shd w:val="pct20" w:color="auto" w:fill="FFFFFF" w:themeFill="background1"/>
            <w:tcMar>
              <w:top w:w="0" w:type="dxa"/>
              <w:bottom w:w="0"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6</w:t>
            </w:r>
          </w:p>
        </w:tc>
        <w:tc>
          <w:tcPr>
            <w:tcW w:w="218" w:type="pct"/>
            <w:shd w:val="pct20" w:color="auto" w:fill="FFFFFF" w:themeFill="background1"/>
            <w:tcMar>
              <w:top w:w="0" w:type="dxa"/>
              <w:bottom w:w="0"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7</w:t>
            </w:r>
          </w:p>
        </w:tc>
        <w:tc>
          <w:tcPr>
            <w:tcW w:w="218" w:type="pct"/>
            <w:shd w:val="pct20" w:color="auto" w:fill="FFFFFF" w:themeFill="background1"/>
            <w:tcMar>
              <w:top w:w="0" w:type="dxa"/>
              <w:bottom w:w="0"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8</w:t>
            </w:r>
          </w:p>
        </w:tc>
        <w:tc>
          <w:tcPr>
            <w:tcW w:w="218" w:type="pct"/>
            <w:shd w:val="pct20" w:color="auto" w:fill="FFFFFF" w:themeFill="background1"/>
            <w:tcMar>
              <w:top w:w="0" w:type="dxa"/>
              <w:bottom w:w="0"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9</w:t>
            </w:r>
          </w:p>
        </w:tc>
        <w:tc>
          <w:tcPr>
            <w:tcW w:w="196" w:type="pct"/>
            <w:tcBorders>
              <w:right w:val="double" w:sz="6" w:space="0" w:color="auto"/>
            </w:tcBorders>
            <w:shd w:val="clear" w:color="auto" w:fill="FFFFFF" w:themeFill="background1"/>
            <w:tcMar>
              <w:top w:w="0" w:type="dxa"/>
              <w:bottom w:w="0"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10</w:t>
            </w:r>
          </w:p>
        </w:tc>
      </w:tr>
      <w:tr w:rsidR="0013595D" w:rsidRPr="00003B04" w:rsidTr="00E942C2">
        <w:trPr>
          <w:trHeight w:val="288"/>
        </w:trPr>
        <w:tc>
          <w:tcPr>
            <w:tcW w:w="216" w:type="pct"/>
            <w:tcBorders>
              <w:left w:val="double" w:sz="6" w:space="0" w:color="auto"/>
              <w:right w:val="double" w:sz="6" w:space="0" w:color="auto"/>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9</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b/>
                <w:sz w:val="13"/>
                <w:szCs w:val="13"/>
              </w:rPr>
              <w:t xml:space="preserve">H </w:t>
            </w:r>
          </w:p>
          <w:p w:rsidR="0013595D" w:rsidRPr="00003B04" w:rsidRDefault="0013595D" w:rsidP="00E942C2">
            <w:pPr>
              <w:jc w:val="center"/>
              <w:rPr>
                <w:rFonts w:ascii="Arial" w:hAnsi="Arial" w:cs="Arial"/>
                <w:sz w:val="13"/>
                <w:szCs w:val="13"/>
              </w:rPr>
            </w:pPr>
            <w:r w:rsidRPr="00003B04">
              <w:rPr>
                <w:rFonts w:ascii="Arial" w:hAnsi="Arial" w:cs="Arial"/>
                <w:sz w:val="13"/>
                <w:szCs w:val="13"/>
              </w:rPr>
              <w:t>10</w:t>
            </w:r>
          </w:p>
        </w:tc>
        <w:tc>
          <w:tcPr>
            <w:tcW w:w="267" w:type="pct"/>
            <w:tcBorders>
              <w:left w:val="double" w:sz="6" w:space="0" w:color="auto"/>
            </w:tcBorders>
            <w:shd w:val="pct20" w:color="auto" w:fill="auto"/>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11</w:t>
            </w:r>
          </w:p>
        </w:tc>
        <w:tc>
          <w:tcPr>
            <w:tcW w:w="209" w:type="pct"/>
            <w:shd w:val="pct20" w:color="auto" w:fill="auto"/>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12</w:t>
            </w:r>
          </w:p>
        </w:tc>
        <w:tc>
          <w:tcPr>
            <w:tcW w:w="251" w:type="pct"/>
            <w:shd w:val="pct20" w:color="auto" w:fill="auto"/>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13</w:t>
            </w:r>
          </w:p>
        </w:tc>
        <w:tc>
          <w:tcPr>
            <w:tcW w:w="210" w:type="pct"/>
            <w:shd w:val="pct20" w:color="auto" w:fill="auto"/>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14</w:t>
            </w:r>
          </w:p>
        </w:tc>
        <w:tc>
          <w:tcPr>
            <w:tcW w:w="251" w:type="pct"/>
            <w:tcBorders>
              <w:right w:val="double" w:sz="6" w:space="0" w:color="auto"/>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15</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003B0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13</w:t>
            </w:r>
          </w:p>
        </w:tc>
        <w:tc>
          <w:tcPr>
            <w:tcW w:w="21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14</w:t>
            </w:r>
          </w:p>
        </w:tc>
        <w:tc>
          <w:tcPr>
            <w:tcW w:w="217" w:type="pct"/>
            <w:tcBorders>
              <w:top w:val="single" w:sz="4" w:space="0" w:color="000000" w:themeColor="text1"/>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15</w:t>
            </w:r>
          </w:p>
        </w:tc>
        <w:tc>
          <w:tcPr>
            <w:tcW w:w="217" w:type="pct"/>
            <w:tcBorders>
              <w:top w:val="single" w:sz="4" w:space="0" w:color="000000" w:themeColor="text1"/>
              <w:left w:val="single" w:sz="4" w:space="0" w:color="auto"/>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16</w:t>
            </w:r>
          </w:p>
        </w:tc>
        <w:tc>
          <w:tcPr>
            <w:tcW w:w="217" w:type="pct"/>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17</w:t>
            </w:r>
          </w:p>
        </w:tc>
        <w:tc>
          <w:tcPr>
            <w:tcW w:w="237" w:type="pct"/>
            <w:tcBorders>
              <w:top w:val="double" w:sz="6" w:space="0" w:color="auto"/>
              <w:bottom w:val="single" w:sz="4" w:space="0" w:color="000000" w:themeColor="text1"/>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18</w:t>
            </w:r>
          </w:p>
        </w:tc>
        <w:tc>
          <w:tcPr>
            <w:tcW w:w="259" w:type="pct"/>
            <w:tcBorders>
              <w:right w:val="double" w:sz="6" w:space="0" w:color="auto"/>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19</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003B04"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11</w:t>
            </w:r>
          </w:p>
        </w:tc>
        <w:tc>
          <w:tcPr>
            <w:tcW w:w="218" w:type="pct"/>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12</w:t>
            </w:r>
          </w:p>
        </w:tc>
        <w:tc>
          <w:tcPr>
            <w:tcW w:w="218" w:type="pct"/>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13</w:t>
            </w:r>
          </w:p>
        </w:tc>
        <w:tc>
          <w:tcPr>
            <w:tcW w:w="218" w:type="pct"/>
            <w:tcBorders>
              <w:bottom w:val="single" w:sz="4" w:space="0" w:color="000000" w:themeColor="text1"/>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14</w:t>
            </w:r>
          </w:p>
        </w:tc>
        <w:tc>
          <w:tcPr>
            <w:tcW w:w="218" w:type="pct"/>
            <w:tcBorders>
              <w:bottom w:val="single" w:sz="4" w:space="0" w:color="auto"/>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15</w:t>
            </w:r>
          </w:p>
        </w:tc>
        <w:tc>
          <w:tcPr>
            <w:tcW w:w="218" w:type="pct"/>
            <w:tcBorders>
              <w:bottom w:val="single" w:sz="4" w:space="0" w:color="000000" w:themeColor="text1"/>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16</w:t>
            </w:r>
          </w:p>
        </w:tc>
        <w:tc>
          <w:tcPr>
            <w:tcW w:w="196" w:type="pct"/>
            <w:tcBorders>
              <w:right w:val="double" w:sz="6" w:space="0" w:color="auto"/>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17</w:t>
            </w:r>
          </w:p>
        </w:tc>
      </w:tr>
      <w:tr w:rsidR="0013595D" w:rsidRPr="00003B04"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16</w:t>
            </w:r>
          </w:p>
        </w:tc>
        <w:tc>
          <w:tcPr>
            <w:tcW w:w="217" w:type="pct"/>
            <w:tcBorders>
              <w:top w:val="double" w:sz="6" w:space="0" w:color="auto"/>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17</w:t>
            </w:r>
          </w:p>
        </w:tc>
        <w:tc>
          <w:tcPr>
            <w:tcW w:w="267" w:type="pct"/>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18</w:t>
            </w:r>
          </w:p>
        </w:tc>
        <w:tc>
          <w:tcPr>
            <w:tcW w:w="209" w:type="pct"/>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19</w:t>
            </w:r>
          </w:p>
        </w:tc>
        <w:tc>
          <w:tcPr>
            <w:tcW w:w="251" w:type="pct"/>
            <w:tcBorders>
              <w:bottom w:val="single" w:sz="4" w:space="0" w:color="auto"/>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20</w:t>
            </w:r>
          </w:p>
        </w:tc>
        <w:tc>
          <w:tcPr>
            <w:tcW w:w="210" w:type="pct"/>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21</w:t>
            </w:r>
          </w:p>
        </w:tc>
        <w:tc>
          <w:tcPr>
            <w:tcW w:w="251" w:type="pct"/>
            <w:tcBorders>
              <w:right w:val="double" w:sz="6" w:space="0" w:color="auto"/>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22</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003B0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20</w:t>
            </w:r>
          </w:p>
        </w:tc>
        <w:tc>
          <w:tcPr>
            <w:tcW w:w="217" w:type="pct"/>
            <w:tcBorders>
              <w:top w:val="single" w:sz="4" w:space="0" w:color="000000" w:themeColor="text1"/>
              <w:bottom w:val="single" w:sz="4" w:space="0" w:color="000000" w:themeColor="text1"/>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21</w:t>
            </w:r>
          </w:p>
        </w:tc>
        <w:tc>
          <w:tcPr>
            <w:tcW w:w="217" w:type="pct"/>
            <w:tcBorders>
              <w:top w:val="single" w:sz="4" w:space="0" w:color="auto"/>
              <w:bottom w:val="single" w:sz="4" w:space="0" w:color="000000" w:themeColor="text1"/>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22</w:t>
            </w:r>
          </w:p>
        </w:tc>
        <w:tc>
          <w:tcPr>
            <w:tcW w:w="217" w:type="pct"/>
            <w:tcBorders>
              <w:bottom w:val="single" w:sz="4" w:space="0" w:color="000000" w:themeColor="text1"/>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23</w:t>
            </w:r>
          </w:p>
        </w:tc>
        <w:tc>
          <w:tcPr>
            <w:tcW w:w="217" w:type="pct"/>
            <w:tcBorders>
              <w:bottom w:val="single" w:sz="4" w:space="0" w:color="000000" w:themeColor="text1"/>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24</w:t>
            </w:r>
          </w:p>
        </w:tc>
        <w:tc>
          <w:tcPr>
            <w:tcW w:w="237" w:type="pct"/>
            <w:tcBorders>
              <w:bottom w:val="single" w:sz="4" w:space="0" w:color="000000" w:themeColor="text1"/>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25</w:t>
            </w:r>
          </w:p>
        </w:tc>
        <w:tc>
          <w:tcPr>
            <w:tcW w:w="259" w:type="pct"/>
            <w:tcBorders>
              <w:bottom w:val="single" w:sz="4" w:space="0" w:color="000000" w:themeColor="text1"/>
              <w:right w:val="double" w:sz="6" w:space="0" w:color="auto"/>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26</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003B04"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18</w:t>
            </w:r>
          </w:p>
        </w:tc>
        <w:tc>
          <w:tcPr>
            <w:tcW w:w="218" w:type="pct"/>
            <w:tcBorders>
              <w:bottom w:val="double" w:sz="6" w:space="0" w:color="auto"/>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19</w:t>
            </w:r>
          </w:p>
        </w:tc>
        <w:tc>
          <w:tcPr>
            <w:tcW w:w="218" w:type="pct"/>
            <w:tcBorders>
              <w:bottom w:val="double" w:sz="6" w:space="0" w:color="auto"/>
              <w:right w:val="single" w:sz="4" w:space="0" w:color="000000" w:themeColor="text1"/>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21</w:t>
            </w:r>
          </w:p>
        </w:tc>
        <w:tc>
          <w:tcPr>
            <w:tcW w:w="218"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22</w:t>
            </w:r>
          </w:p>
        </w:tc>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23</w:t>
            </w:r>
          </w:p>
        </w:tc>
        <w:tc>
          <w:tcPr>
            <w:tcW w:w="196" w:type="pct"/>
            <w:tcBorders>
              <w:left w:val="single" w:sz="4" w:space="0" w:color="000000" w:themeColor="text1"/>
              <w:right w:val="double" w:sz="6" w:space="0" w:color="auto"/>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24</w:t>
            </w:r>
          </w:p>
        </w:tc>
      </w:tr>
      <w:tr w:rsidR="0013595D" w:rsidRPr="00003B04" w:rsidTr="00E942C2">
        <w:trPr>
          <w:trHeight w:val="288"/>
        </w:trPr>
        <w:tc>
          <w:tcPr>
            <w:tcW w:w="216" w:type="pct"/>
            <w:tcBorders>
              <w:left w:val="double" w:sz="6" w:space="0" w:color="auto"/>
              <w:bottom w:val="double" w:sz="6" w:space="0" w:color="auto"/>
            </w:tcBorders>
            <w:shd w:val="clear" w:color="auto" w:fill="FFFFFF" w:themeFill="background1"/>
            <w:tcMar>
              <w:bottom w:w="43" w:type="dxa"/>
            </w:tcMar>
            <w:vAlign w:val="bottom"/>
          </w:tcPr>
          <w:p w:rsidR="0013595D" w:rsidRPr="00003B04" w:rsidRDefault="0013595D" w:rsidP="00E942C2">
            <w:pPr>
              <w:rPr>
                <w:rFonts w:ascii="Arial" w:hAnsi="Arial" w:cs="Arial"/>
                <w:sz w:val="13"/>
                <w:szCs w:val="13"/>
              </w:rPr>
            </w:pPr>
            <w:r w:rsidRPr="00003B04">
              <w:rPr>
                <w:rFonts w:ascii="Arial" w:hAnsi="Arial" w:cs="Arial"/>
                <w:sz w:val="13"/>
                <w:szCs w:val="13"/>
              </w:rPr>
              <w:t>23</w:t>
            </w:r>
          </w:p>
          <w:p w:rsidR="0013595D" w:rsidRPr="00003B04" w:rsidRDefault="0013595D" w:rsidP="00E942C2">
            <w:pPr>
              <w:jc w:val="center"/>
              <w:rPr>
                <w:rFonts w:ascii="Arial" w:hAnsi="Arial" w:cs="Arial"/>
                <w:sz w:val="13"/>
                <w:szCs w:val="13"/>
              </w:rPr>
            </w:pPr>
            <w:r w:rsidRPr="00003B04">
              <w:rPr>
                <w:rFonts w:ascii="Arial" w:hAnsi="Arial" w:cs="Arial"/>
                <w:sz w:val="13"/>
                <w:szCs w:val="13"/>
              </w:rPr>
              <w:t xml:space="preserve">     30</w:t>
            </w:r>
          </w:p>
        </w:tc>
        <w:tc>
          <w:tcPr>
            <w:tcW w:w="217" w:type="pct"/>
            <w:tcBorders>
              <w:bottom w:val="double" w:sz="6" w:space="0" w:color="auto"/>
            </w:tcBorders>
            <w:shd w:val="clear" w:color="auto" w:fill="FFFFFF" w:themeFill="background1"/>
            <w:tcMar>
              <w:bottom w:w="43" w:type="dxa"/>
            </w:tcMar>
            <w:vAlign w:val="bottom"/>
          </w:tcPr>
          <w:p w:rsidR="0013595D" w:rsidRPr="00003B04" w:rsidRDefault="0013595D" w:rsidP="00E942C2">
            <w:pPr>
              <w:rPr>
                <w:rFonts w:ascii="Arial" w:hAnsi="Arial" w:cs="Arial"/>
                <w:sz w:val="13"/>
                <w:szCs w:val="13"/>
              </w:rPr>
            </w:pPr>
            <w:r w:rsidRPr="00003B04">
              <w:rPr>
                <w:rFonts w:ascii="Arial" w:hAnsi="Arial" w:cs="Arial"/>
                <w:sz w:val="13"/>
                <w:szCs w:val="13"/>
              </w:rPr>
              <w:t>24</w:t>
            </w:r>
          </w:p>
          <w:p w:rsidR="0013595D" w:rsidRPr="00003B04" w:rsidRDefault="0013595D" w:rsidP="00E942C2">
            <w:pPr>
              <w:rPr>
                <w:rFonts w:ascii="Arial" w:hAnsi="Arial" w:cs="Arial"/>
                <w:sz w:val="13"/>
                <w:szCs w:val="13"/>
              </w:rPr>
            </w:pPr>
            <w:r w:rsidRPr="00003B04">
              <w:rPr>
                <w:rFonts w:ascii="Arial" w:hAnsi="Arial" w:cs="Arial"/>
                <w:sz w:val="13"/>
                <w:szCs w:val="13"/>
              </w:rPr>
              <w:t xml:space="preserve">      31</w:t>
            </w:r>
          </w:p>
        </w:tc>
        <w:tc>
          <w:tcPr>
            <w:tcW w:w="267" w:type="pct"/>
            <w:tcBorders>
              <w:bottom w:val="double" w:sz="6" w:space="0" w:color="auto"/>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25</w:t>
            </w:r>
          </w:p>
        </w:tc>
        <w:tc>
          <w:tcPr>
            <w:tcW w:w="209" w:type="pct"/>
            <w:tcBorders>
              <w:bottom w:val="double" w:sz="6" w:space="0" w:color="auto"/>
              <w:right w:val="single" w:sz="4" w:space="0" w:color="auto"/>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26</w:t>
            </w:r>
          </w:p>
        </w:tc>
        <w:tc>
          <w:tcPr>
            <w:tcW w:w="251" w:type="pct"/>
            <w:tcBorders>
              <w:top w:val="single" w:sz="4" w:space="0" w:color="auto"/>
              <w:left w:val="single" w:sz="4" w:space="0" w:color="auto"/>
              <w:bottom w:val="double" w:sz="6" w:space="0" w:color="auto"/>
              <w:right w:val="single" w:sz="4" w:space="0" w:color="auto"/>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27</w:t>
            </w:r>
          </w:p>
        </w:tc>
        <w:tc>
          <w:tcPr>
            <w:tcW w:w="210" w:type="pct"/>
            <w:tcBorders>
              <w:left w:val="single" w:sz="4" w:space="0" w:color="auto"/>
              <w:bottom w:val="double" w:sz="6" w:space="0" w:color="auto"/>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28</w:t>
            </w:r>
          </w:p>
        </w:tc>
        <w:tc>
          <w:tcPr>
            <w:tcW w:w="251" w:type="pct"/>
            <w:tcBorders>
              <w:bottom w:val="double" w:sz="6" w:space="0" w:color="auto"/>
              <w:right w:val="double" w:sz="6" w:space="0" w:color="auto"/>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29</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003B0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double" w:sz="6" w:space="0" w:color="auto"/>
              <w:right w:val="single" w:sz="4" w:space="0" w:color="000000" w:themeColor="text1"/>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27</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28</w:t>
            </w:r>
          </w:p>
        </w:tc>
        <w:tc>
          <w:tcPr>
            <w:tcW w:w="217" w:type="pct"/>
            <w:tcBorders>
              <w:left w:val="single" w:sz="4" w:space="0" w:color="000000" w:themeColor="text1"/>
              <w:bottom w:val="double" w:sz="6" w:space="0" w:color="auto"/>
            </w:tcBorders>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29</w:t>
            </w:r>
          </w:p>
        </w:tc>
        <w:tc>
          <w:tcPr>
            <w:tcW w:w="217" w:type="pct"/>
            <w:tcBorders>
              <w:bottom w:val="double" w:sz="6" w:space="0" w:color="auto"/>
            </w:tcBorders>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30</w:t>
            </w:r>
          </w:p>
        </w:tc>
        <w:tc>
          <w:tcPr>
            <w:tcW w:w="217" w:type="pct"/>
            <w:tcBorders>
              <w:bottom w:val="double" w:sz="6" w:space="0" w:color="auto"/>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p>
        </w:tc>
        <w:tc>
          <w:tcPr>
            <w:tcW w:w="237" w:type="pct"/>
            <w:tcBorders>
              <w:bottom w:val="double" w:sz="6" w:space="0" w:color="auto"/>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p>
        </w:tc>
        <w:tc>
          <w:tcPr>
            <w:tcW w:w="259" w:type="pct"/>
            <w:tcBorders>
              <w:bottom w:val="double" w:sz="6" w:space="0" w:color="auto"/>
              <w:right w:val="double" w:sz="6" w:space="0" w:color="auto"/>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003B04" w:rsidRDefault="0013595D" w:rsidP="00E942C2">
            <w:pPr>
              <w:tabs>
                <w:tab w:val="center" w:pos="5220"/>
                <w:tab w:val="right" w:pos="10440"/>
              </w:tabs>
              <w:jc w:val="center"/>
              <w:rPr>
                <w:rFonts w:ascii="Arial" w:hAnsi="Arial" w:cs="Arial"/>
                <w:sz w:val="13"/>
                <w:szCs w:val="13"/>
              </w:rPr>
            </w:pPr>
          </w:p>
        </w:tc>
        <w:tc>
          <w:tcPr>
            <w:tcW w:w="218" w:type="pct"/>
            <w:tcBorders>
              <w:top w:val="single" w:sz="4" w:space="0" w:color="000000" w:themeColor="text1"/>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003B04" w:rsidRDefault="0013595D" w:rsidP="00E942C2">
            <w:pPr>
              <w:jc w:val="center"/>
              <w:rPr>
                <w:rFonts w:ascii="Arial" w:hAnsi="Arial" w:cs="Arial"/>
                <w:b/>
                <w:sz w:val="13"/>
                <w:szCs w:val="13"/>
              </w:rPr>
            </w:pPr>
          </w:p>
          <w:p w:rsidR="0013595D" w:rsidRPr="00003B04" w:rsidRDefault="0013595D" w:rsidP="00E942C2">
            <w:pPr>
              <w:jc w:val="center"/>
              <w:rPr>
                <w:rFonts w:ascii="Arial" w:hAnsi="Arial" w:cs="Arial"/>
                <w:sz w:val="13"/>
                <w:szCs w:val="13"/>
              </w:rPr>
            </w:pPr>
            <w:r w:rsidRPr="00003B04">
              <w:rPr>
                <w:rFonts w:ascii="Arial" w:hAnsi="Arial" w:cs="Arial"/>
                <w:sz w:val="13"/>
                <w:szCs w:val="13"/>
              </w:rPr>
              <w:t>25</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003B04" w:rsidRDefault="0013595D" w:rsidP="00E942C2">
            <w:pPr>
              <w:jc w:val="center"/>
              <w:rPr>
                <w:rFonts w:ascii="Arial" w:hAnsi="Arial" w:cs="Arial"/>
                <w:b/>
                <w:sz w:val="13"/>
                <w:szCs w:val="13"/>
              </w:rPr>
            </w:pPr>
            <w:r w:rsidRPr="00003B04">
              <w:rPr>
                <w:rFonts w:ascii="Arial" w:hAnsi="Arial" w:cs="Arial"/>
                <w:b/>
                <w:sz w:val="13"/>
                <w:szCs w:val="13"/>
              </w:rPr>
              <w:t>H</w:t>
            </w:r>
          </w:p>
          <w:p w:rsidR="0013595D" w:rsidRPr="00003B04" w:rsidRDefault="0013595D" w:rsidP="00E942C2">
            <w:pPr>
              <w:jc w:val="center"/>
              <w:rPr>
                <w:rFonts w:ascii="Arial" w:hAnsi="Arial" w:cs="Arial"/>
                <w:sz w:val="13"/>
                <w:szCs w:val="13"/>
              </w:rPr>
            </w:pPr>
            <w:r w:rsidRPr="00003B04">
              <w:rPr>
                <w:rFonts w:ascii="Arial" w:hAnsi="Arial" w:cs="Arial"/>
                <w:sz w:val="13"/>
                <w:szCs w:val="13"/>
              </w:rPr>
              <w:t>26</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003B04" w:rsidRDefault="0013595D" w:rsidP="00E942C2">
            <w:pPr>
              <w:jc w:val="center"/>
              <w:rPr>
                <w:rFonts w:ascii="Arial" w:hAnsi="Arial" w:cs="Arial"/>
                <w:b/>
                <w:sz w:val="13"/>
                <w:szCs w:val="13"/>
              </w:rPr>
            </w:pPr>
            <w:r w:rsidRPr="00003B04">
              <w:rPr>
                <w:rFonts w:ascii="Arial" w:hAnsi="Arial" w:cs="Arial"/>
                <w:b/>
                <w:sz w:val="13"/>
                <w:szCs w:val="13"/>
              </w:rPr>
              <w:t>H</w:t>
            </w:r>
          </w:p>
          <w:p w:rsidR="0013595D" w:rsidRPr="00003B04" w:rsidRDefault="0013595D" w:rsidP="00E942C2">
            <w:pPr>
              <w:jc w:val="center"/>
              <w:rPr>
                <w:rFonts w:ascii="Arial" w:hAnsi="Arial" w:cs="Arial"/>
                <w:sz w:val="13"/>
                <w:szCs w:val="13"/>
              </w:rPr>
            </w:pPr>
            <w:r w:rsidRPr="00003B04">
              <w:rPr>
                <w:rFonts w:ascii="Arial" w:hAnsi="Arial" w:cs="Arial"/>
                <w:sz w:val="13"/>
                <w:szCs w:val="13"/>
              </w:rPr>
              <w:t>27</w:t>
            </w:r>
          </w:p>
        </w:tc>
        <w:tc>
          <w:tcPr>
            <w:tcW w:w="218" w:type="pct"/>
            <w:tcBorders>
              <w:top w:val="single" w:sz="4" w:space="0" w:color="000000" w:themeColor="text1"/>
              <w:left w:val="double" w:sz="6" w:space="0" w:color="auto"/>
              <w:bottom w:val="double" w:sz="6" w:space="0" w:color="auto"/>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28</w:t>
            </w:r>
          </w:p>
        </w:tc>
        <w:tc>
          <w:tcPr>
            <w:tcW w:w="218" w:type="pct"/>
            <w:tcBorders>
              <w:top w:val="single" w:sz="4" w:space="0" w:color="auto"/>
              <w:bottom w:val="double" w:sz="6" w:space="0" w:color="auto"/>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29</w:t>
            </w:r>
          </w:p>
        </w:tc>
        <w:tc>
          <w:tcPr>
            <w:tcW w:w="218" w:type="pct"/>
            <w:tcBorders>
              <w:top w:val="single" w:sz="4" w:space="0" w:color="000000" w:themeColor="text1"/>
              <w:bottom w:val="double" w:sz="6" w:space="0" w:color="auto"/>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30</w:t>
            </w:r>
          </w:p>
        </w:tc>
        <w:tc>
          <w:tcPr>
            <w:tcW w:w="196" w:type="pct"/>
            <w:tcBorders>
              <w:bottom w:val="double" w:sz="6" w:space="0" w:color="auto"/>
              <w:right w:val="double" w:sz="6" w:space="0" w:color="auto"/>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31</w:t>
            </w:r>
          </w:p>
        </w:tc>
      </w:tr>
    </w:tbl>
    <w:p w:rsidR="0013595D" w:rsidRPr="00003B04" w:rsidRDefault="0013595D" w:rsidP="0013595D">
      <w:pPr>
        <w:tabs>
          <w:tab w:val="center" w:pos="5220"/>
          <w:tab w:val="right" w:pos="10440"/>
        </w:tabs>
        <w:jc w:val="center"/>
        <w:rPr>
          <w:rFonts w:ascii="Arial" w:hAnsi="Arial" w:cs="Arial"/>
          <w:sz w:val="36"/>
          <w:szCs w:val="36"/>
        </w:rPr>
      </w:pPr>
      <w:r w:rsidRPr="00003B04">
        <w:rPr>
          <w:rFonts w:ascii="Arial" w:hAnsi="Arial" w:cs="Arial"/>
          <w:b/>
          <w:i/>
          <w:sz w:val="36"/>
          <w:szCs w:val="36"/>
        </w:rPr>
        <w:t xml:space="preserve"> - 2017 -</w:t>
      </w:r>
    </w:p>
    <w:tbl>
      <w:tblPr>
        <w:tblStyle w:val="TableGrid"/>
        <w:tblW w:w="5028" w:type="pct"/>
        <w:tblLayout w:type="fixed"/>
        <w:tblCellMar>
          <w:top w:w="72" w:type="dxa"/>
          <w:left w:w="43" w:type="dxa"/>
          <w:bottom w:w="72" w:type="dxa"/>
          <w:right w:w="29" w:type="dxa"/>
        </w:tblCellMar>
        <w:tblLook w:val="04A0" w:firstRow="1" w:lastRow="0" w:firstColumn="1" w:lastColumn="0" w:noHBand="0" w:noVBand="1"/>
      </w:tblPr>
      <w:tblGrid>
        <w:gridCol w:w="453"/>
        <w:gridCol w:w="453"/>
        <w:gridCol w:w="453"/>
        <w:gridCol w:w="487"/>
        <w:gridCol w:w="462"/>
        <w:gridCol w:w="539"/>
        <w:gridCol w:w="516"/>
        <w:gridCol w:w="288"/>
        <w:gridCol w:w="500"/>
        <w:gridCol w:w="435"/>
        <w:gridCol w:w="521"/>
        <w:gridCol w:w="523"/>
        <w:gridCol w:w="452"/>
        <w:gridCol w:w="454"/>
        <w:gridCol w:w="472"/>
        <w:gridCol w:w="320"/>
        <w:gridCol w:w="464"/>
        <w:gridCol w:w="466"/>
        <w:gridCol w:w="435"/>
        <w:gridCol w:w="435"/>
        <w:gridCol w:w="435"/>
        <w:gridCol w:w="435"/>
        <w:gridCol w:w="454"/>
      </w:tblGrid>
      <w:tr w:rsidR="0013595D" w:rsidRPr="00003B04" w:rsidTr="00E942C2">
        <w:trPr>
          <w:trHeight w:val="178"/>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JANUARY – JANVIER</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FEBRUARY – FÉVRIER</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MARCH - MARS</w:t>
            </w:r>
          </w:p>
        </w:tc>
      </w:tr>
      <w:tr w:rsidR="0013595D" w:rsidRPr="00003B04" w:rsidTr="00E942C2">
        <w:trPr>
          <w:trHeight w:val="270"/>
        </w:trPr>
        <w:tc>
          <w:tcPr>
            <w:tcW w:w="217" w:type="pct"/>
            <w:tcBorders>
              <w:top w:val="double" w:sz="6" w:space="0" w:color="auto"/>
              <w:left w:val="double" w:sz="6" w:space="0" w:color="auto"/>
              <w:bottom w:val="single" w:sz="4" w:space="0" w:color="000000" w:themeColor="text1"/>
            </w:tcBorders>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S</w:t>
            </w:r>
          </w:p>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D</w:t>
            </w:r>
          </w:p>
        </w:tc>
        <w:tc>
          <w:tcPr>
            <w:tcW w:w="217" w:type="pct"/>
            <w:tcBorders>
              <w:top w:val="double" w:sz="6" w:space="0" w:color="auto"/>
              <w:bottom w:val="double" w:sz="6" w:space="0" w:color="auto"/>
            </w:tcBorders>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M</w:t>
            </w:r>
          </w:p>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L</w:t>
            </w:r>
          </w:p>
        </w:tc>
        <w:tc>
          <w:tcPr>
            <w:tcW w:w="217" w:type="pct"/>
            <w:tcBorders>
              <w:top w:val="double" w:sz="6" w:space="0" w:color="auto"/>
            </w:tcBorders>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T</w:t>
            </w:r>
          </w:p>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M</w:t>
            </w:r>
          </w:p>
        </w:tc>
        <w:tc>
          <w:tcPr>
            <w:tcW w:w="233" w:type="pct"/>
            <w:tcBorders>
              <w:top w:val="double" w:sz="6" w:space="0" w:color="auto"/>
              <w:bottom w:val="single" w:sz="4" w:space="0" w:color="000000" w:themeColor="text1"/>
            </w:tcBorders>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W</w:t>
            </w:r>
          </w:p>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M</w:t>
            </w:r>
          </w:p>
        </w:tc>
        <w:tc>
          <w:tcPr>
            <w:tcW w:w="221" w:type="pct"/>
            <w:tcBorders>
              <w:top w:val="double" w:sz="6" w:space="0" w:color="auto"/>
              <w:bottom w:val="single" w:sz="4" w:space="0" w:color="auto"/>
            </w:tcBorders>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T</w:t>
            </w:r>
          </w:p>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J</w:t>
            </w:r>
          </w:p>
        </w:tc>
        <w:tc>
          <w:tcPr>
            <w:tcW w:w="258" w:type="pct"/>
            <w:tcBorders>
              <w:top w:val="double" w:sz="6" w:space="0" w:color="auto"/>
              <w:bottom w:val="single" w:sz="4" w:space="0" w:color="000000" w:themeColor="text1"/>
            </w:tcBorders>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F</w:t>
            </w:r>
          </w:p>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S</w:t>
            </w:r>
          </w:p>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S</w:t>
            </w:r>
          </w:p>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D</w:t>
            </w:r>
          </w:p>
        </w:tc>
        <w:tc>
          <w:tcPr>
            <w:tcW w:w="208" w:type="pct"/>
            <w:tcBorders>
              <w:top w:val="double" w:sz="6" w:space="0" w:color="auto"/>
            </w:tcBorders>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M</w:t>
            </w:r>
          </w:p>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L</w:t>
            </w:r>
          </w:p>
        </w:tc>
        <w:tc>
          <w:tcPr>
            <w:tcW w:w="249" w:type="pct"/>
            <w:tcBorders>
              <w:top w:val="double" w:sz="6" w:space="0" w:color="auto"/>
            </w:tcBorders>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T</w:t>
            </w:r>
          </w:p>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M</w:t>
            </w:r>
          </w:p>
        </w:tc>
        <w:tc>
          <w:tcPr>
            <w:tcW w:w="250" w:type="pct"/>
            <w:tcBorders>
              <w:top w:val="double" w:sz="6" w:space="0" w:color="auto"/>
            </w:tcBorders>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W</w:t>
            </w:r>
          </w:p>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M</w:t>
            </w:r>
          </w:p>
        </w:tc>
        <w:tc>
          <w:tcPr>
            <w:tcW w:w="216" w:type="pct"/>
            <w:tcBorders>
              <w:top w:val="double" w:sz="6" w:space="0" w:color="auto"/>
            </w:tcBorders>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T</w:t>
            </w:r>
          </w:p>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J</w:t>
            </w:r>
          </w:p>
        </w:tc>
        <w:tc>
          <w:tcPr>
            <w:tcW w:w="217" w:type="pct"/>
            <w:tcBorders>
              <w:top w:val="double" w:sz="6" w:space="0" w:color="auto"/>
            </w:tcBorders>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F</w:t>
            </w:r>
          </w:p>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S</w:t>
            </w:r>
          </w:p>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S</w:t>
            </w:r>
          </w:p>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D</w:t>
            </w:r>
          </w:p>
        </w:tc>
        <w:tc>
          <w:tcPr>
            <w:tcW w:w="223" w:type="pct"/>
            <w:tcBorders>
              <w:top w:val="double" w:sz="6" w:space="0" w:color="auto"/>
            </w:tcBorders>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M</w:t>
            </w:r>
          </w:p>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L</w:t>
            </w:r>
          </w:p>
        </w:tc>
        <w:tc>
          <w:tcPr>
            <w:tcW w:w="208" w:type="pct"/>
            <w:tcBorders>
              <w:top w:val="double" w:sz="6" w:space="0" w:color="auto"/>
            </w:tcBorders>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T</w:t>
            </w:r>
          </w:p>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M</w:t>
            </w:r>
          </w:p>
        </w:tc>
        <w:tc>
          <w:tcPr>
            <w:tcW w:w="208" w:type="pct"/>
            <w:tcBorders>
              <w:top w:val="double" w:sz="6" w:space="0" w:color="auto"/>
            </w:tcBorders>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W</w:t>
            </w:r>
          </w:p>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M</w:t>
            </w:r>
          </w:p>
        </w:tc>
        <w:tc>
          <w:tcPr>
            <w:tcW w:w="208" w:type="pct"/>
            <w:tcBorders>
              <w:top w:val="double" w:sz="6" w:space="0" w:color="auto"/>
            </w:tcBorders>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T</w:t>
            </w:r>
          </w:p>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J</w:t>
            </w:r>
          </w:p>
        </w:tc>
        <w:tc>
          <w:tcPr>
            <w:tcW w:w="208" w:type="pct"/>
            <w:tcBorders>
              <w:top w:val="double" w:sz="6" w:space="0" w:color="auto"/>
            </w:tcBorders>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F</w:t>
            </w:r>
          </w:p>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S</w:t>
            </w:r>
          </w:p>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S</w:t>
            </w:r>
          </w:p>
        </w:tc>
      </w:tr>
      <w:tr w:rsidR="0013595D" w:rsidRPr="00003B04"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tcMar>
              <w:bottom w:w="43" w:type="dxa"/>
            </w:tcMar>
            <w:vAlign w:val="bottom"/>
          </w:tcPr>
          <w:p w:rsidR="0013595D" w:rsidRPr="00003B04" w:rsidRDefault="0013595D" w:rsidP="00E942C2">
            <w:pPr>
              <w:jc w:val="center"/>
              <w:rPr>
                <w:rFonts w:ascii="Arial" w:hAnsi="Arial" w:cs="Arial"/>
                <w:b/>
                <w:sz w:val="13"/>
                <w:szCs w:val="13"/>
              </w:rPr>
            </w:pPr>
          </w:p>
          <w:p w:rsidR="0013595D" w:rsidRPr="00003B04" w:rsidRDefault="0013595D" w:rsidP="00E942C2">
            <w:pPr>
              <w:jc w:val="center"/>
              <w:rPr>
                <w:rFonts w:ascii="Arial" w:hAnsi="Arial" w:cs="Arial"/>
                <w:sz w:val="13"/>
                <w:szCs w:val="13"/>
              </w:rPr>
            </w:pPr>
            <w:r w:rsidRPr="00003B04">
              <w:rPr>
                <w:rFonts w:ascii="Arial" w:hAnsi="Arial" w:cs="Arial"/>
                <w:sz w:val="13"/>
                <w:szCs w:val="13"/>
              </w:rPr>
              <w:t>1</w:t>
            </w:r>
          </w:p>
        </w:tc>
        <w:tc>
          <w:tcPr>
            <w:tcW w:w="217" w:type="pct"/>
            <w:tcBorders>
              <w:top w:val="double" w:sz="6" w:space="0" w:color="auto"/>
              <w:left w:val="double" w:sz="6" w:space="0" w:color="auto"/>
              <w:bottom w:val="double" w:sz="6" w:space="0" w:color="auto"/>
              <w:right w:val="double" w:sz="6" w:space="0" w:color="auto"/>
            </w:tcBorders>
            <w:tcMar>
              <w:bottom w:w="43" w:type="dxa"/>
            </w:tcMar>
            <w:vAlign w:val="bottom"/>
          </w:tcPr>
          <w:p w:rsidR="0013595D" w:rsidRPr="00003B04" w:rsidRDefault="0013595D" w:rsidP="00E942C2">
            <w:pPr>
              <w:jc w:val="center"/>
              <w:rPr>
                <w:rFonts w:ascii="Arial" w:hAnsi="Arial" w:cs="Arial"/>
                <w:b/>
                <w:sz w:val="13"/>
                <w:szCs w:val="13"/>
              </w:rPr>
            </w:pPr>
            <w:r w:rsidRPr="00003B04">
              <w:rPr>
                <w:rFonts w:ascii="Arial" w:hAnsi="Arial" w:cs="Arial"/>
                <w:b/>
                <w:sz w:val="13"/>
                <w:szCs w:val="13"/>
              </w:rPr>
              <w:t>H</w:t>
            </w:r>
          </w:p>
          <w:p w:rsidR="0013595D" w:rsidRPr="00003B04" w:rsidRDefault="0013595D" w:rsidP="00E942C2">
            <w:pPr>
              <w:jc w:val="center"/>
              <w:rPr>
                <w:rFonts w:ascii="Arial" w:hAnsi="Arial" w:cs="Arial"/>
                <w:sz w:val="13"/>
                <w:szCs w:val="13"/>
              </w:rPr>
            </w:pPr>
            <w:r w:rsidRPr="00003B04">
              <w:rPr>
                <w:rFonts w:ascii="Arial" w:hAnsi="Arial" w:cs="Arial"/>
                <w:sz w:val="13"/>
                <w:szCs w:val="13"/>
              </w:rPr>
              <w:t>2</w:t>
            </w:r>
          </w:p>
        </w:tc>
        <w:tc>
          <w:tcPr>
            <w:tcW w:w="217" w:type="pct"/>
            <w:tcBorders>
              <w:left w:val="double" w:sz="6" w:space="0" w:color="auto"/>
              <w:bottom w:val="single" w:sz="4" w:space="0" w:color="000000" w:themeColor="text1"/>
              <w:right w:val="single" w:sz="4" w:space="0" w:color="000000" w:themeColor="text1"/>
            </w:tcBorders>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3</w:t>
            </w:r>
          </w:p>
        </w:tc>
        <w:tc>
          <w:tcPr>
            <w:tcW w:w="233"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4</w:t>
            </w:r>
          </w:p>
        </w:tc>
        <w:tc>
          <w:tcPr>
            <w:tcW w:w="221"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5</w:t>
            </w:r>
          </w:p>
        </w:tc>
        <w:tc>
          <w:tcPr>
            <w:tcW w:w="2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6</w:t>
            </w:r>
          </w:p>
        </w:tc>
        <w:tc>
          <w:tcPr>
            <w:tcW w:w="247" w:type="pct"/>
            <w:tcBorders>
              <w:left w:val="single" w:sz="4" w:space="0" w:color="000000" w:themeColor="text1"/>
              <w:right w:val="double" w:sz="6" w:space="0" w:color="auto"/>
            </w:tcBorders>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7</w:t>
            </w:r>
          </w:p>
        </w:tc>
        <w:tc>
          <w:tcPr>
            <w:tcW w:w="138" w:type="pct"/>
            <w:tcBorders>
              <w:top w:val="nil"/>
              <w:left w:val="double" w:sz="6" w:space="0" w:color="auto"/>
              <w:bottom w:val="nil"/>
              <w:right w:val="double" w:sz="6" w:space="0" w:color="auto"/>
            </w:tcBorders>
            <w:tcMar>
              <w:bottom w:w="43" w:type="dxa"/>
            </w:tcMar>
            <w:vAlign w:val="bottom"/>
          </w:tcPr>
          <w:p w:rsidR="0013595D" w:rsidRPr="00003B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tcMar>
              <w:bottom w:w="43" w:type="dxa"/>
            </w:tcMar>
            <w:vAlign w:val="bottom"/>
          </w:tcPr>
          <w:p w:rsidR="0013595D" w:rsidRPr="00003B04" w:rsidRDefault="0013595D" w:rsidP="00E942C2">
            <w:pPr>
              <w:jc w:val="center"/>
              <w:rPr>
                <w:rFonts w:ascii="Arial" w:hAnsi="Arial" w:cs="Arial"/>
                <w:sz w:val="13"/>
                <w:szCs w:val="13"/>
              </w:rPr>
            </w:pPr>
          </w:p>
        </w:tc>
        <w:tc>
          <w:tcPr>
            <w:tcW w:w="208" w:type="pct"/>
            <w:tcBorders>
              <w:bottom w:val="single" w:sz="4" w:space="0" w:color="auto"/>
            </w:tcBorders>
            <w:tcMar>
              <w:bottom w:w="43" w:type="dxa"/>
            </w:tcMar>
            <w:vAlign w:val="bottom"/>
          </w:tcPr>
          <w:p w:rsidR="0013595D" w:rsidRPr="00003B04" w:rsidRDefault="0013595D" w:rsidP="00E942C2">
            <w:pPr>
              <w:jc w:val="center"/>
              <w:rPr>
                <w:rFonts w:ascii="Arial" w:hAnsi="Arial" w:cs="Arial"/>
                <w:sz w:val="13"/>
                <w:szCs w:val="13"/>
              </w:rPr>
            </w:pPr>
          </w:p>
        </w:tc>
        <w:tc>
          <w:tcPr>
            <w:tcW w:w="249" w:type="pct"/>
            <w:tcBorders>
              <w:bottom w:val="single" w:sz="4" w:space="0" w:color="000000" w:themeColor="text1"/>
            </w:tcBorders>
            <w:tcMar>
              <w:bottom w:w="43" w:type="dxa"/>
            </w:tcMar>
            <w:vAlign w:val="bottom"/>
          </w:tcPr>
          <w:p w:rsidR="0013595D" w:rsidRPr="00003B04" w:rsidRDefault="0013595D" w:rsidP="00E942C2">
            <w:pPr>
              <w:jc w:val="center"/>
              <w:rPr>
                <w:rFonts w:ascii="Arial" w:hAnsi="Arial" w:cs="Arial"/>
                <w:sz w:val="13"/>
                <w:szCs w:val="13"/>
              </w:rPr>
            </w:pPr>
          </w:p>
        </w:tc>
        <w:tc>
          <w:tcPr>
            <w:tcW w:w="250" w:type="pct"/>
            <w:tcBorders>
              <w:bottom w:val="single" w:sz="4" w:space="0" w:color="000000" w:themeColor="text1"/>
            </w:tcBorders>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w:t>
            </w:r>
          </w:p>
        </w:tc>
        <w:tc>
          <w:tcPr>
            <w:tcW w:w="216" w:type="pct"/>
            <w:tcBorders>
              <w:bottom w:val="single" w:sz="4" w:space="0" w:color="000000" w:themeColor="text1"/>
            </w:tcBorders>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w:t>
            </w:r>
          </w:p>
        </w:tc>
        <w:tc>
          <w:tcPr>
            <w:tcW w:w="217" w:type="pct"/>
            <w:tcBorders>
              <w:bottom w:val="single" w:sz="4" w:space="0" w:color="000000" w:themeColor="text1"/>
            </w:tcBorders>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3</w:t>
            </w:r>
          </w:p>
        </w:tc>
        <w:tc>
          <w:tcPr>
            <w:tcW w:w="225" w:type="pct"/>
            <w:tcBorders>
              <w:right w:val="double" w:sz="6" w:space="0" w:color="auto"/>
            </w:tcBorders>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4</w:t>
            </w:r>
          </w:p>
        </w:tc>
        <w:tc>
          <w:tcPr>
            <w:tcW w:w="153" w:type="pct"/>
            <w:tcBorders>
              <w:top w:val="nil"/>
              <w:left w:val="double" w:sz="6" w:space="0" w:color="auto"/>
              <w:bottom w:val="nil"/>
              <w:right w:val="double" w:sz="6" w:space="0" w:color="auto"/>
            </w:tcBorders>
            <w:tcMar>
              <w:bottom w:w="43" w:type="dxa"/>
            </w:tcMar>
            <w:vAlign w:val="bottom"/>
          </w:tcPr>
          <w:p w:rsidR="0013595D" w:rsidRPr="00003B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003B04" w:rsidRDefault="0013595D" w:rsidP="00E942C2">
            <w:pPr>
              <w:jc w:val="center"/>
              <w:rPr>
                <w:rFonts w:ascii="Arial" w:hAnsi="Arial" w:cs="Arial"/>
                <w:sz w:val="13"/>
                <w:szCs w:val="13"/>
              </w:rPr>
            </w:pPr>
          </w:p>
        </w:tc>
        <w:tc>
          <w:tcPr>
            <w:tcW w:w="223" w:type="pct"/>
            <w:tcMar>
              <w:bottom w:w="43" w:type="dxa"/>
            </w:tcMar>
            <w:vAlign w:val="bottom"/>
          </w:tcPr>
          <w:p w:rsidR="0013595D" w:rsidRPr="00003B04" w:rsidRDefault="0013595D" w:rsidP="00E942C2">
            <w:pPr>
              <w:jc w:val="center"/>
              <w:rPr>
                <w:rFonts w:ascii="Arial" w:hAnsi="Arial" w:cs="Arial"/>
                <w:sz w:val="13"/>
                <w:szCs w:val="13"/>
              </w:rPr>
            </w:pPr>
          </w:p>
        </w:tc>
        <w:tc>
          <w:tcPr>
            <w:tcW w:w="208" w:type="pct"/>
            <w:tcMar>
              <w:bottom w:w="43" w:type="dxa"/>
            </w:tcMar>
            <w:vAlign w:val="bottom"/>
          </w:tcPr>
          <w:p w:rsidR="0013595D" w:rsidRPr="00003B04" w:rsidRDefault="0013595D" w:rsidP="00E942C2">
            <w:pPr>
              <w:jc w:val="center"/>
              <w:rPr>
                <w:rFonts w:ascii="Arial" w:hAnsi="Arial" w:cs="Arial"/>
                <w:sz w:val="13"/>
                <w:szCs w:val="13"/>
              </w:rPr>
            </w:pPr>
          </w:p>
        </w:tc>
        <w:tc>
          <w:tcPr>
            <w:tcW w:w="208" w:type="pct"/>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w:t>
            </w:r>
          </w:p>
        </w:tc>
        <w:tc>
          <w:tcPr>
            <w:tcW w:w="208" w:type="pct"/>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w:t>
            </w:r>
          </w:p>
        </w:tc>
        <w:tc>
          <w:tcPr>
            <w:tcW w:w="208" w:type="pct"/>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3</w:t>
            </w:r>
          </w:p>
        </w:tc>
        <w:tc>
          <w:tcPr>
            <w:tcW w:w="218" w:type="pct"/>
            <w:tcBorders>
              <w:right w:val="double" w:sz="6" w:space="0" w:color="auto"/>
            </w:tcBorders>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4</w:t>
            </w:r>
          </w:p>
        </w:tc>
      </w:tr>
      <w:tr w:rsidR="0013595D" w:rsidRPr="00003B04" w:rsidTr="00E942C2">
        <w:trPr>
          <w:trHeight w:val="288"/>
        </w:trPr>
        <w:tc>
          <w:tcPr>
            <w:tcW w:w="217" w:type="pct"/>
            <w:tcBorders>
              <w:top w:val="single" w:sz="4" w:space="0" w:color="000000" w:themeColor="text1"/>
              <w:left w:val="double" w:sz="6" w:space="0" w:color="auto"/>
            </w:tcBorders>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8</w:t>
            </w:r>
          </w:p>
        </w:tc>
        <w:tc>
          <w:tcPr>
            <w:tcW w:w="217" w:type="pct"/>
            <w:tcBorders>
              <w:top w:val="double" w:sz="6" w:space="0" w:color="auto"/>
              <w:bottom w:val="single" w:sz="4" w:space="0" w:color="000000" w:themeColor="text1"/>
            </w:tcBorders>
            <w:shd w:val="pct20" w:color="auto" w:fill="auto"/>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9</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10</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11</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12</w:t>
            </w:r>
          </w:p>
        </w:tc>
        <w:tc>
          <w:tcPr>
            <w:tcW w:w="258"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13</w:t>
            </w:r>
          </w:p>
        </w:tc>
        <w:tc>
          <w:tcPr>
            <w:tcW w:w="247" w:type="pct"/>
            <w:tcBorders>
              <w:right w:val="double" w:sz="6" w:space="0" w:color="auto"/>
            </w:tcBorders>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14</w:t>
            </w:r>
          </w:p>
        </w:tc>
        <w:tc>
          <w:tcPr>
            <w:tcW w:w="138" w:type="pct"/>
            <w:tcBorders>
              <w:top w:val="nil"/>
              <w:left w:val="double" w:sz="6" w:space="0" w:color="auto"/>
              <w:bottom w:val="nil"/>
              <w:right w:val="double" w:sz="6" w:space="0" w:color="auto"/>
            </w:tcBorders>
            <w:tcMar>
              <w:bottom w:w="43" w:type="dxa"/>
            </w:tcMar>
            <w:vAlign w:val="bottom"/>
          </w:tcPr>
          <w:p w:rsidR="0013595D" w:rsidRPr="00003B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auto"/>
            </w:tcBorders>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5</w:t>
            </w:r>
          </w:p>
        </w:tc>
        <w:tc>
          <w:tcPr>
            <w:tcW w:w="208"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6</w:t>
            </w:r>
          </w:p>
        </w:tc>
        <w:tc>
          <w:tcPr>
            <w:tcW w:w="249" w:type="pct"/>
            <w:tcBorders>
              <w:left w:val="single" w:sz="4" w:space="0" w:color="auto"/>
              <w:bottom w:val="single" w:sz="4" w:space="0" w:color="000000" w:themeColor="text1"/>
            </w:tcBorders>
            <w:shd w:val="clear" w:color="auto" w:fill="auto"/>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7</w:t>
            </w:r>
          </w:p>
        </w:tc>
        <w:tc>
          <w:tcPr>
            <w:tcW w:w="250" w:type="pct"/>
            <w:tcBorders>
              <w:bottom w:val="single" w:sz="4" w:space="0" w:color="000000" w:themeColor="text1"/>
            </w:tcBorders>
            <w:shd w:val="clear" w:color="auto" w:fill="auto"/>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8</w:t>
            </w:r>
          </w:p>
        </w:tc>
        <w:tc>
          <w:tcPr>
            <w:tcW w:w="216" w:type="pct"/>
            <w:tcBorders>
              <w:bottom w:val="single" w:sz="4" w:space="0" w:color="000000" w:themeColor="text1"/>
            </w:tcBorders>
            <w:shd w:val="clear" w:color="auto" w:fill="auto"/>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9</w:t>
            </w:r>
          </w:p>
        </w:tc>
        <w:tc>
          <w:tcPr>
            <w:tcW w:w="217" w:type="pct"/>
            <w:tcBorders>
              <w:bottom w:val="single" w:sz="4" w:space="0" w:color="000000" w:themeColor="text1"/>
            </w:tcBorders>
            <w:shd w:val="clear" w:color="auto" w:fill="auto"/>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10</w:t>
            </w:r>
          </w:p>
        </w:tc>
        <w:tc>
          <w:tcPr>
            <w:tcW w:w="225" w:type="pct"/>
            <w:tcBorders>
              <w:right w:val="double" w:sz="6" w:space="0" w:color="auto"/>
            </w:tcBorders>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11</w:t>
            </w:r>
          </w:p>
        </w:tc>
        <w:tc>
          <w:tcPr>
            <w:tcW w:w="153" w:type="pct"/>
            <w:tcBorders>
              <w:top w:val="nil"/>
              <w:left w:val="double" w:sz="6" w:space="0" w:color="auto"/>
              <w:bottom w:val="nil"/>
              <w:right w:val="double" w:sz="6" w:space="0" w:color="auto"/>
            </w:tcBorders>
            <w:tcMar>
              <w:bottom w:w="43" w:type="dxa"/>
            </w:tcMar>
            <w:vAlign w:val="bottom"/>
          </w:tcPr>
          <w:p w:rsidR="0013595D" w:rsidRPr="00003B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5</w:t>
            </w:r>
          </w:p>
        </w:tc>
        <w:tc>
          <w:tcPr>
            <w:tcW w:w="223" w:type="pct"/>
            <w:tcBorders>
              <w:bottom w:val="single" w:sz="4" w:space="0" w:color="auto"/>
            </w:tcBorders>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6</w:t>
            </w:r>
          </w:p>
        </w:tc>
        <w:tc>
          <w:tcPr>
            <w:tcW w:w="208" w:type="pct"/>
            <w:tcBorders>
              <w:bottom w:val="single" w:sz="4" w:space="0" w:color="000000" w:themeColor="text1"/>
            </w:tcBorders>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7</w:t>
            </w:r>
          </w:p>
        </w:tc>
        <w:tc>
          <w:tcPr>
            <w:tcW w:w="208" w:type="pct"/>
            <w:tcBorders>
              <w:bottom w:val="single" w:sz="4" w:space="0" w:color="000000" w:themeColor="text1"/>
            </w:tcBorders>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8</w:t>
            </w:r>
          </w:p>
        </w:tc>
        <w:tc>
          <w:tcPr>
            <w:tcW w:w="208" w:type="pct"/>
            <w:tcBorders>
              <w:bottom w:val="single" w:sz="4" w:space="0" w:color="000000" w:themeColor="text1"/>
            </w:tcBorders>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9</w:t>
            </w:r>
          </w:p>
        </w:tc>
        <w:tc>
          <w:tcPr>
            <w:tcW w:w="208" w:type="pct"/>
            <w:tcBorders>
              <w:bottom w:val="single" w:sz="4" w:space="0" w:color="000000" w:themeColor="text1"/>
            </w:tcBorders>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10</w:t>
            </w:r>
          </w:p>
        </w:tc>
        <w:tc>
          <w:tcPr>
            <w:tcW w:w="218" w:type="pct"/>
            <w:tcBorders>
              <w:right w:val="double" w:sz="6" w:space="0" w:color="auto"/>
            </w:tcBorders>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11</w:t>
            </w:r>
          </w:p>
        </w:tc>
      </w:tr>
      <w:tr w:rsidR="0013595D" w:rsidRPr="00003B04" w:rsidTr="00E942C2">
        <w:trPr>
          <w:trHeight w:val="288"/>
        </w:trPr>
        <w:tc>
          <w:tcPr>
            <w:tcW w:w="217" w:type="pct"/>
            <w:tcBorders>
              <w:left w:val="double" w:sz="6" w:space="0" w:color="auto"/>
              <w:right w:val="single" w:sz="4" w:space="0" w:color="000000" w:themeColor="text1"/>
            </w:tcBorders>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15</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17</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18</w:t>
            </w:r>
          </w:p>
        </w:tc>
        <w:tc>
          <w:tcPr>
            <w:tcW w:w="2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19</w:t>
            </w:r>
          </w:p>
        </w:tc>
        <w:tc>
          <w:tcPr>
            <w:tcW w:w="258"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20</w:t>
            </w:r>
          </w:p>
        </w:tc>
        <w:tc>
          <w:tcPr>
            <w:tcW w:w="247" w:type="pct"/>
            <w:tcBorders>
              <w:right w:val="double" w:sz="6" w:space="0" w:color="auto"/>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21</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003B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12</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13</w:t>
            </w:r>
          </w:p>
        </w:tc>
        <w:tc>
          <w:tcPr>
            <w:tcW w:w="249"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14</w:t>
            </w:r>
          </w:p>
        </w:tc>
        <w:tc>
          <w:tcPr>
            <w:tcW w:w="250"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15</w:t>
            </w:r>
          </w:p>
        </w:tc>
        <w:tc>
          <w:tcPr>
            <w:tcW w:w="216"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16</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17</w:t>
            </w:r>
          </w:p>
        </w:tc>
        <w:tc>
          <w:tcPr>
            <w:tcW w:w="225" w:type="pct"/>
            <w:tcBorders>
              <w:right w:val="double" w:sz="6" w:space="0" w:color="auto"/>
            </w:tcBorders>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18</w:t>
            </w:r>
          </w:p>
        </w:tc>
        <w:tc>
          <w:tcPr>
            <w:tcW w:w="153" w:type="pct"/>
            <w:tcBorders>
              <w:top w:val="nil"/>
              <w:left w:val="double" w:sz="6" w:space="0" w:color="auto"/>
              <w:bottom w:val="nil"/>
              <w:right w:val="double" w:sz="6" w:space="0" w:color="auto"/>
            </w:tcBorders>
            <w:tcMar>
              <w:bottom w:w="43" w:type="dxa"/>
            </w:tcMar>
            <w:vAlign w:val="bottom"/>
          </w:tcPr>
          <w:p w:rsidR="0013595D" w:rsidRPr="00003B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12</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13</w:t>
            </w:r>
          </w:p>
        </w:tc>
        <w:tc>
          <w:tcPr>
            <w:tcW w:w="208" w:type="pct"/>
            <w:tcBorders>
              <w:left w:val="single" w:sz="4" w:space="0" w:color="auto"/>
              <w:bottom w:val="single" w:sz="4" w:space="0" w:color="000000" w:themeColor="text1"/>
            </w:tcBorders>
            <w:shd w:val="clear" w:color="auto" w:fill="auto"/>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14</w:t>
            </w:r>
          </w:p>
        </w:tc>
        <w:tc>
          <w:tcPr>
            <w:tcW w:w="208" w:type="pct"/>
            <w:tcBorders>
              <w:bottom w:val="single" w:sz="4" w:space="0" w:color="000000" w:themeColor="text1"/>
            </w:tcBorders>
            <w:shd w:val="clear" w:color="auto" w:fill="auto"/>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15</w:t>
            </w:r>
          </w:p>
        </w:tc>
        <w:tc>
          <w:tcPr>
            <w:tcW w:w="208" w:type="pct"/>
            <w:tcBorders>
              <w:bottom w:val="single" w:sz="4" w:space="0" w:color="000000" w:themeColor="text1"/>
            </w:tcBorders>
            <w:shd w:val="clear" w:color="auto" w:fill="auto"/>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16</w:t>
            </w:r>
          </w:p>
        </w:tc>
        <w:tc>
          <w:tcPr>
            <w:tcW w:w="208" w:type="pct"/>
            <w:tcBorders>
              <w:bottom w:val="single" w:sz="4" w:space="0" w:color="000000" w:themeColor="text1"/>
            </w:tcBorders>
            <w:shd w:val="clear" w:color="auto" w:fill="auto"/>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17</w:t>
            </w:r>
          </w:p>
        </w:tc>
        <w:tc>
          <w:tcPr>
            <w:tcW w:w="218" w:type="pct"/>
            <w:tcBorders>
              <w:right w:val="double" w:sz="6" w:space="0" w:color="auto"/>
            </w:tcBorders>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18</w:t>
            </w:r>
          </w:p>
        </w:tc>
      </w:tr>
      <w:tr w:rsidR="0013595D" w:rsidRPr="00003B04" w:rsidTr="00E942C2">
        <w:trPr>
          <w:trHeight w:val="288"/>
        </w:trPr>
        <w:tc>
          <w:tcPr>
            <w:tcW w:w="217" w:type="pct"/>
            <w:tcBorders>
              <w:left w:val="double" w:sz="6" w:space="0" w:color="auto"/>
            </w:tcBorders>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22</w:t>
            </w:r>
          </w:p>
        </w:tc>
        <w:tc>
          <w:tcPr>
            <w:tcW w:w="217" w:type="pct"/>
            <w:tcBorders>
              <w:top w:val="single" w:sz="4" w:space="0" w:color="000000" w:themeColor="text1"/>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23</w:t>
            </w:r>
          </w:p>
        </w:tc>
        <w:tc>
          <w:tcPr>
            <w:tcW w:w="217" w:type="pct"/>
            <w:tcBorders>
              <w:top w:val="single" w:sz="4" w:space="0" w:color="000000" w:themeColor="text1"/>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24</w:t>
            </w:r>
          </w:p>
        </w:tc>
        <w:tc>
          <w:tcPr>
            <w:tcW w:w="233" w:type="pct"/>
            <w:tcBorders>
              <w:top w:val="single" w:sz="4" w:space="0" w:color="000000" w:themeColor="text1"/>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25</w:t>
            </w:r>
          </w:p>
        </w:tc>
        <w:tc>
          <w:tcPr>
            <w:tcW w:w="221" w:type="pct"/>
            <w:tcBorders>
              <w:top w:val="single" w:sz="4" w:space="0" w:color="000000" w:themeColor="text1"/>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26</w:t>
            </w:r>
          </w:p>
        </w:tc>
        <w:tc>
          <w:tcPr>
            <w:tcW w:w="258" w:type="pct"/>
            <w:tcBorders>
              <w:top w:val="single" w:sz="4" w:space="0" w:color="000000" w:themeColor="text1"/>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27</w:t>
            </w:r>
          </w:p>
        </w:tc>
        <w:tc>
          <w:tcPr>
            <w:tcW w:w="247" w:type="pct"/>
            <w:tcBorders>
              <w:right w:val="double" w:sz="6" w:space="0" w:color="auto"/>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28</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003B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19</w:t>
            </w:r>
          </w:p>
        </w:tc>
        <w:tc>
          <w:tcPr>
            <w:tcW w:w="208" w:type="pct"/>
            <w:tcBorders>
              <w:top w:val="single" w:sz="4" w:space="0" w:color="000000" w:themeColor="text1"/>
            </w:tcBorders>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20</w:t>
            </w:r>
          </w:p>
        </w:tc>
        <w:tc>
          <w:tcPr>
            <w:tcW w:w="249" w:type="pct"/>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21</w:t>
            </w:r>
          </w:p>
        </w:tc>
        <w:tc>
          <w:tcPr>
            <w:tcW w:w="250" w:type="pct"/>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22</w:t>
            </w:r>
          </w:p>
        </w:tc>
        <w:tc>
          <w:tcPr>
            <w:tcW w:w="216" w:type="pct"/>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23</w:t>
            </w:r>
          </w:p>
        </w:tc>
        <w:tc>
          <w:tcPr>
            <w:tcW w:w="217" w:type="pct"/>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24</w:t>
            </w:r>
          </w:p>
        </w:tc>
        <w:tc>
          <w:tcPr>
            <w:tcW w:w="225" w:type="pct"/>
            <w:tcBorders>
              <w:right w:val="double" w:sz="6" w:space="0" w:color="auto"/>
            </w:tcBorders>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25</w:t>
            </w:r>
          </w:p>
        </w:tc>
        <w:tc>
          <w:tcPr>
            <w:tcW w:w="153" w:type="pct"/>
            <w:tcBorders>
              <w:top w:val="nil"/>
              <w:left w:val="double" w:sz="6" w:space="0" w:color="auto"/>
              <w:bottom w:val="nil"/>
              <w:right w:val="double" w:sz="6" w:space="0" w:color="auto"/>
            </w:tcBorders>
            <w:tcMar>
              <w:bottom w:w="43" w:type="dxa"/>
            </w:tcMar>
            <w:vAlign w:val="bottom"/>
          </w:tcPr>
          <w:p w:rsidR="0013595D" w:rsidRPr="00003B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20</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21</w:t>
            </w:r>
          </w:p>
        </w:tc>
        <w:tc>
          <w:tcPr>
            <w:tcW w:w="208" w:type="pct"/>
            <w:tcBorders>
              <w:bottom w:val="single" w:sz="4" w:space="0" w:color="000000" w:themeColor="text1"/>
            </w:tcBorders>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22</w:t>
            </w:r>
          </w:p>
        </w:tc>
        <w:tc>
          <w:tcPr>
            <w:tcW w:w="208" w:type="pct"/>
            <w:tcBorders>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23</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24</w:t>
            </w:r>
          </w:p>
        </w:tc>
        <w:tc>
          <w:tcPr>
            <w:tcW w:w="218" w:type="pct"/>
            <w:tcBorders>
              <w:left w:val="single" w:sz="4" w:space="0" w:color="000000" w:themeColor="text1"/>
              <w:right w:val="double" w:sz="6" w:space="0" w:color="auto"/>
            </w:tcBorders>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25</w:t>
            </w:r>
          </w:p>
        </w:tc>
      </w:tr>
      <w:tr w:rsidR="0013595D" w:rsidRPr="00003B04" w:rsidTr="00E942C2">
        <w:trPr>
          <w:trHeight w:val="288"/>
        </w:trPr>
        <w:tc>
          <w:tcPr>
            <w:tcW w:w="217" w:type="pct"/>
            <w:tcBorders>
              <w:left w:val="double" w:sz="6" w:space="0" w:color="auto"/>
              <w:bottom w:val="double" w:sz="6" w:space="0" w:color="auto"/>
            </w:tcBorders>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29</w:t>
            </w:r>
          </w:p>
        </w:tc>
        <w:tc>
          <w:tcPr>
            <w:tcW w:w="217" w:type="pct"/>
            <w:tcBorders>
              <w:bottom w:val="double" w:sz="6" w:space="0" w:color="auto"/>
            </w:tcBorders>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30</w:t>
            </w:r>
          </w:p>
        </w:tc>
        <w:tc>
          <w:tcPr>
            <w:tcW w:w="217" w:type="pct"/>
            <w:tcBorders>
              <w:bottom w:val="double" w:sz="6" w:space="0" w:color="auto"/>
            </w:tcBorders>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31</w:t>
            </w:r>
          </w:p>
        </w:tc>
        <w:tc>
          <w:tcPr>
            <w:tcW w:w="233" w:type="pct"/>
            <w:tcBorders>
              <w:bottom w:val="double" w:sz="6" w:space="0" w:color="auto"/>
            </w:tcBorders>
            <w:tcMar>
              <w:bottom w:w="43" w:type="dxa"/>
            </w:tcMar>
            <w:vAlign w:val="bottom"/>
          </w:tcPr>
          <w:p w:rsidR="0013595D" w:rsidRPr="00003B04" w:rsidRDefault="0013595D" w:rsidP="00E942C2">
            <w:pPr>
              <w:jc w:val="center"/>
              <w:rPr>
                <w:rFonts w:ascii="Arial" w:hAnsi="Arial" w:cs="Arial"/>
                <w:sz w:val="13"/>
                <w:szCs w:val="13"/>
              </w:rPr>
            </w:pPr>
          </w:p>
        </w:tc>
        <w:tc>
          <w:tcPr>
            <w:tcW w:w="221" w:type="pct"/>
            <w:tcBorders>
              <w:bottom w:val="double" w:sz="6" w:space="0" w:color="auto"/>
            </w:tcBorders>
            <w:tcMar>
              <w:bottom w:w="43" w:type="dxa"/>
            </w:tcMar>
            <w:vAlign w:val="bottom"/>
          </w:tcPr>
          <w:p w:rsidR="0013595D" w:rsidRPr="00003B04" w:rsidRDefault="0013595D" w:rsidP="00E942C2">
            <w:pPr>
              <w:jc w:val="center"/>
              <w:rPr>
                <w:rFonts w:ascii="Arial" w:hAnsi="Arial" w:cs="Arial"/>
                <w:sz w:val="13"/>
                <w:szCs w:val="13"/>
              </w:rPr>
            </w:pPr>
          </w:p>
        </w:tc>
        <w:tc>
          <w:tcPr>
            <w:tcW w:w="258" w:type="pct"/>
            <w:tcBorders>
              <w:bottom w:val="double" w:sz="6" w:space="0" w:color="auto"/>
            </w:tcBorders>
            <w:tcMar>
              <w:bottom w:w="43" w:type="dxa"/>
            </w:tcMar>
            <w:vAlign w:val="bottom"/>
          </w:tcPr>
          <w:p w:rsidR="0013595D" w:rsidRPr="00003B04" w:rsidRDefault="0013595D" w:rsidP="00E942C2">
            <w:pPr>
              <w:jc w:val="center"/>
              <w:rPr>
                <w:rFonts w:ascii="Arial" w:hAnsi="Arial" w:cs="Arial"/>
                <w:sz w:val="13"/>
                <w:szCs w:val="13"/>
              </w:rPr>
            </w:pPr>
          </w:p>
        </w:tc>
        <w:tc>
          <w:tcPr>
            <w:tcW w:w="247" w:type="pct"/>
            <w:tcBorders>
              <w:bottom w:val="double" w:sz="6" w:space="0" w:color="auto"/>
              <w:right w:val="double" w:sz="6" w:space="0" w:color="auto"/>
            </w:tcBorders>
            <w:tcMar>
              <w:bottom w:w="43" w:type="dxa"/>
            </w:tcMar>
            <w:vAlign w:val="bottom"/>
          </w:tcPr>
          <w:p w:rsidR="0013595D" w:rsidRPr="00003B04" w:rsidRDefault="0013595D" w:rsidP="00E942C2">
            <w:pPr>
              <w:jc w:val="center"/>
              <w:rPr>
                <w:rFonts w:ascii="Arial" w:hAnsi="Arial" w:cs="Arial"/>
                <w:sz w:val="13"/>
                <w:szCs w:val="13"/>
              </w:rPr>
            </w:pPr>
          </w:p>
        </w:tc>
        <w:tc>
          <w:tcPr>
            <w:tcW w:w="138" w:type="pct"/>
            <w:tcBorders>
              <w:top w:val="nil"/>
              <w:left w:val="double" w:sz="6" w:space="0" w:color="auto"/>
              <w:bottom w:val="nil"/>
              <w:right w:val="double" w:sz="6" w:space="0" w:color="auto"/>
            </w:tcBorders>
            <w:tcMar>
              <w:bottom w:w="43" w:type="dxa"/>
            </w:tcMar>
            <w:vAlign w:val="bottom"/>
          </w:tcPr>
          <w:p w:rsidR="0013595D" w:rsidRPr="00003B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26</w:t>
            </w:r>
          </w:p>
        </w:tc>
        <w:tc>
          <w:tcPr>
            <w:tcW w:w="208" w:type="pct"/>
            <w:tcBorders>
              <w:bottom w:val="double" w:sz="6" w:space="0" w:color="auto"/>
            </w:tcBorders>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27</w:t>
            </w:r>
          </w:p>
        </w:tc>
        <w:tc>
          <w:tcPr>
            <w:tcW w:w="249" w:type="pct"/>
            <w:tcBorders>
              <w:bottom w:val="double" w:sz="6" w:space="0" w:color="auto"/>
            </w:tcBorders>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28</w:t>
            </w:r>
          </w:p>
        </w:tc>
        <w:tc>
          <w:tcPr>
            <w:tcW w:w="250" w:type="pct"/>
            <w:tcBorders>
              <w:bottom w:val="double" w:sz="6" w:space="0" w:color="auto"/>
            </w:tcBorders>
            <w:tcMar>
              <w:bottom w:w="43" w:type="dxa"/>
            </w:tcMar>
            <w:vAlign w:val="bottom"/>
          </w:tcPr>
          <w:p w:rsidR="0013595D" w:rsidRPr="00003B04" w:rsidRDefault="0013595D" w:rsidP="00E942C2">
            <w:pPr>
              <w:rPr>
                <w:rFonts w:ascii="Arial" w:hAnsi="Arial" w:cs="Arial"/>
                <w:sz w:val="13"/>
                <w:szCs w:val="13"/>
              </w:rPr>
            </w:pPr>
          </w:p>
        </w:tc>
        <w:tc>
          <w:tcPr>
            <w:tcW w:w="216" w:type="pct"/>
            <w:tcBorders>
              <w:bottom w:val="double" w:sz="6" w:space="0" w:color="auto"/>
            </w:tcBorders>
            <w:tcMar>
              <w:bottom w:w="43" w:type="dxa"/>
            </w:tcMar>
            <w:vAlign w:val="bottom"/>
          </w:tcPr>
          <w:p w:rsidR="0013595D" w:rsidRPr="00003B04"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003B04"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003B04"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003B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27</w:t>
            </w:r>
          </w:p>
        </w:tc>
        <w:tc>
          <w:tcPr>
            <w:tcW w:w="208" w:type="pct"/>
            <w:tcBorders>
              <w:top w:val="single" w:sz="4" w:space="0" w:color="000000" w:themeColor="text1"/>
              <w:left w:val="single" w:sz="4" w:space="0" w:color="000000" w:themeColor="text1"/>
              <w:bottom w:val="double" w:sz="6" w:space="0" w:color="auto"/>
            </w:tcBorders>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28</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29</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30</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31</w:t>
            </w:r>
          </w:p>
        </w:tc>
        <w:tc>
          <w:tcPr>
            <w:tcW w:w="218" w:type="pct"/>
            <w:tcBorders>
              <w:bottom w:val="double" w:sz="6" w:space="0" w:color="auto"/>
              <w:right w:val="double" w:sz="6" w:space="0" w:color="auto"/>
            </w:tcBorders>
            <w:tcMar>
              <w:bottom w:w="43" w:type="dxa"/>
            </w:tcMar>
            <w:vAlign w:val="bottom"/>
          </w:tcPr>
          <w:p w:rsidR="0013595D" w:rsidRPr="00003B04" w:rsidRDefault="0013595D" w:rsidP="00E942C2">
            <w:pPr>
              <w:jc w:val="center"/>
              <w:rPr>
                <w:rFonts w:ascii="Arial" w:hAnsi="Arial" w:cs="Arial"/>
                <w:sz w:val="13"/>
                <w:szCs w:val="13"/>
              </w:rPr>
            </w:pPr>
          </w:p>
        </w:tc>
      </w:tr>
      <w:tr w:rsidR="0013595D" w:rsidRPr="00003B04" w:rsidTr="00E942C2">
        <w:trPr>
          <w:trHeight w:val="150"/>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APRIL – AVRIL</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MAY – MAI</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JUNE – JUIN</w:t>
            </w:r>
          </w:p>
        </w:tc>
      </w:tr>
      <w:tr w:rsidR="0013595D" w:rsidRPr="00003B04" w:rsidTr="00E942C2">
        <w:trPr>
          <w:trHeight w:val="270"/>
        </w:trPr>
        <w:tc>
          <w:tcPr>
            <w:tcW w:w="217" w:type="pct"/>
            <w:tcBorders>
              <w:top w:val="double" w:sz="6" w:space="0" w:color="auto"/>
              <w:left w:val="double" w:sz="6" w:space="0" w:color="auto"/>
            </w:tcBorders>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S</w:t>
            </w:r>
          </w:p>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D</w:t>
            </w:r>
          </w:p>
        </w:tc>
        <w:tc>
          <w:tcPr>
            <w:tcW w:w="217" w:type="pct"/>
            <w:tcBorders>
              <w:top w:val="double" w:sz="6" w:space="0" w:color="auto"/>
            </w:tcBorders>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M</w:t>
            </w:r>
          </w:p>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L</w:t>
            </w:r>
          </w:p>
        </w:tc>
        <w:tc>
          <w:tcPr>
            <w:tcW w:w="217" w:type="pct"/>
            <w:tcBorders>
              <w:top w:val="double" w:sz="6" w:space="0" w:color="auto"/>
            </w:tcBorders>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T</w:t>
            </w:r>
          </w:p>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M</w:t>
            </w:r>
          </w:p>
        </w:tc>
        <w:tc>
          <w:tcPr>
            <w:tcW w:w="233" w:type="pct"/>
            <w:tcBorders>
              <w:top w:val="double" w:sz="6" w:space="0" w:color="auto"/>
            </w:tcBorders>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W</w:t>
            </w:r>
          </w:p>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M</w:t>
            </w:r>
          </w:p>
        </w:tc>
        <w:tc>
          <w:tcPr>
            <w:tcW w:w="221" w:type="pct"/>
            <w:tcBorders>
              <w:top w:val="double" w:sz="6" w:space="0" w:color="auto"/>
            </w:tcBorders>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T</w:t>
            </w:r>
          </w:p>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J</w:t>
            </w:r>
          </w:p>
        </w:tc>
        <w:tc>
          <w:tcPr>
            <w:tcW w:w="258" w:type="pct"/>
            <w:tcBorders>
              <w:top w:val="double" w:sz="6" w:space="0" w:color="auto"/>
              <w:bottom w:val="single" w:sz="4" w:space="0" w:color="auto"/>
            </w:tcBorders>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F</w:t>
            </w:r>
          </w:p>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S</w:t>
            </w:r>
          </w:p>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S</w:t>
            </w:r>
          </w:p>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D</w:t>
            </w:r>
          </w:p>
        </w:tc>
        <w:tc>
          <w:tcPr>
            <w:tcW w:w="208" w:type="pct"/>
            <w:tcBorders>
              <w:top w:val="double" w:sz="6" w:space="0" w:color="auto"/>
            </w:tcBorders>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M</w:t>
            </w:r>
          </w:p>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L</w:t>
            </w:r>
          </w:p>
        </w:tc>
        <w:tc>
          <w:tcPr>
            <w:tcW w:w="249" w:type="pct"/>
            <w:tcBorders>
              <w:top w:val="double" w:sz="6" w:space="0" w:color="auto"/>
            </w:tcBorders>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T</w:t>
            </w:r>
          </w:p>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M</w:t>
            </w:r>
          </w:p>
        </w:tc>
        <w:tc>
          <w:tcPr>
            <w:tcW w:w="250" w:type="pct"/>
            <w:tcBorders>
              <w:top w:val="double" w:sz="6" w:space="0" w:color="auto"/>
            </w:tcBorders>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W</w:t>
            </w:r>
          </w:p>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M</w:t>
            </w:r>
          </w:p>
        </w:tc>
        <w:tc>
          <w:tcPr>
            <w:tcW w:w="216" w:type="pct"/>
            <w:tcBorders>
              <w:top w:val="double" w:sz="6" w:space="0" w:color="auto"/>
            </w:tcBorders>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T</w:t>
            </w:r>
          </w:p>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J</w:t>
            </w:r>
          </w:p>
        </w:tc>
        <w:tc>
          <w:tcPr>
            <w:tcW w:w="217" w:type="pct"/>
            <w:tcBorders>
              <w:top w:val="double" w:sz="6" w:space="0" w:color="auto"/>
            </w:tcBorders>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F</w:t>
            </w:r>
          </w:p>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S</w:t>
            </w:r>
          </w:p>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S</w:t>
            </w:r>
          </w:p>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D</w:t>
            </w:r>
          </w:p>
        </w:tc>
        <w:tc>
          <w:tcPr>
            <w:tcW w:w="223" w:type="pct"/>
            <w:tcBorders>
              <w:top w:val="double" w:sz="6" w:space="0" w:color="auto"/>
            </w:tcBorders>
            <w:shd w:val="clear" w:color="auto" w:fill="FFFFFF" w:themeFill="background1"/>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M</w:t>
            </w:r>
          </w:p>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L</w:t>
            </w:r>
          </w:p>
        </w:tc>
        <w:tc>
          <w:tcPr>
            <w:tcW w:w="208" w:type="pct"/>
            <w:tcBorders>
              <w:top w:val="double" w:sz="6" w:space="0" w:color="auto"/>
            </w:tcBorders>
            <w:shd w:val="clear" w:color="auto" w:fill="FFFFFF" w:themeFill="background1"/>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T</w:t>
            </w:r>
          </w:p>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W</w:t>
            </w:r>
          </w:p>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T</w:t>
            </w:r>
          </w:p>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J</w:t>
            </w:r>
          </w:p>
        </w:tc>
        <w:tc>
          <w:tcPr>
            <w:tcW w:w="208" w:type="pct"/>
            <w:tcBorders>
              <w:top w:val="double" w:sz="6" w:space="0" w:color="auto"/>
            </w:tcBorders>
            <w:shd w:val="clear" w:color="auto" w:fill="FFFFFF" w:themeFill="background1"/>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F</w:t>
            </w:r>
          </w:p>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S</w:t>
            </w:r>
          </w:p>
          <w:p w:rsidR="0013595D" w:rsidRPr="00003B04" w:rsidRDefault="0013595D" w:rsidP="00E942C2">
            <w:pPr>
              <w:tabs>
                <w:tab w:val="center" w:pos="5220"/>
                <w:tab w:val="right" w:pos="10440"/>
              </w:tabs>
              <w:jc w:val="center"/>
              <w:rPr>
                <w:rFonts w:ascii="Arial" w:hAnsi="Arial" w:cs="Arial"/>
                <w:b/>
                <w:sz w:val="13"/>
                <w:szCs w:val="13"/>
              </w:rPr>
            </w:pPr>
            <w:r w:rsidRPr="00003B04">
              <w:rPr>
                <w:rFonts w:ascii="Arial" w:hAnsi="Arial" w:cs="Arial"/>
                <w:b/>
                <w:sz w:val="13"/>
                <w:szCs w:val="13"/>
              </w:rPr>
              <w:t>S</w:t>
            </w:r>
          </w:p>
        </w:tc>
      </w:tr>
      <w:tr w:rsidR="0013595D" w:rsidRPr="00003B04" w:rsidTr="00E942C2">
        <w:trPr>
          <w:trHeight w:val="288"/>
        </w:trPr>
        <w:tc>
          <w:tcPr>
            <w:tcW w:w="217" w:type="pct"/>
            <w:tcBorders>
              <w:left w:val="double" w:sz="6" w:space="0" w:color="auto"/>
            </w:tcBorders>
            <w:shd w:val="clear" w:color="auto" w:fill="auto"/>
            <w:tcMar>
              <w:bottom w:w="43" w:type="dxa"/>
            </w:tcMar>
            <w:vAlign w:val="bottom"/>
          </w:tcPr>
          <w:p w:rsidR="0013595D" w:rsidRPr="00003B04" w:rsidRDefault="0013595D" w:rsidP="00E942C2">
            <w:pPr>
              <w:jc w:val="center"/>
              <w:rPr>
                <w:rFonts w:ascii="Arial" w:hAnsi="Arial" w:cs="Arial"/>
                <w:sz w:val="13"/>
                <w:szCs w:val="13"/>
              </w:rPr>
            </w:pPr>
          </w:p>
        </w:tc>
        <w:tc>
          <w:tcPr>
            <w:tcW w:w="217" w:type="pct"/>
            <w:tcBorders>
              <w:bottom w:val="single" w:sz="4" w:space="0" w:color="auto"/>
            </w:tcBorders>
            <w:shd w:val="clear" w:color="auto" w:fill="auto"/>
            <w:tcMar>
              <w:bottom w:w="43" w:type="dxa"/>
            </w:tcMar>
            <w:vAlign w:val="bottom"/>
          </w:tcPr>
          <w:p w:rsidR="0013595D" w:rsidRPr="00003B04"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auto"/>
            <w:tcMar>
              <w:bottom w:w="43" w:type="dxa"/>
            </w:tcMar>
            <w:vAlign w:val="bottom"/>
          </w:tcPr>
          <w:p w:rsidR="0013595D" w:rsidRPr="00003B04" w:rsidRDefault="0013595D" w:rsidP="00E942C2">
            <w:pPr>
              <w:jc w:val="center"/>
              <w:rPr>
                <w:rFonts w:ascii="Arial" w:hAnsi="Arial" w:cs="Arial"/>
                <w:sz w:val="13"/>
                <w:szCs w:val="13"/>
              </w:rPr>
            </w:pPr>
          </w:p>
        </w:tc>
        <w:tc>
          <w:tcPr>
            <w:tcW w:w="233" w:type="pct"/>
            <w:tcBorders>
              <w:bottom w:val="single" w:sz="4" w:space="0" w:color="000000" w:themeColor="text1"/>
            </w:tcBorders>
            <w:shd w:val="clear" w:color="auto" w:fill="auto"/>
            <w:tcMar>
              <w:bottom w:w="43" w:type="dxa"/>
            </w:tcMar>
            <w:vAlign w:val="bottom"/>
          </w:tcPr>
          <w:p w:rsidR="0013595D" w:rsidRPr="00003B04" w:rsidRDefault="0013595D" w:rsidP="00E942C2">
            <w:pPr>
              <w:jc w:val="center"/>
              <w:rPr>
                <w:rFonts w:ascii="Arial" w:hAnsi="Arial" w:cs="Arial"/>
                <w:sz w:val="13"/>
                <w:szCs w:val="13"/>
              </w:rPr>
            </w:pPr>
          </w:p>
        </w:tc>
        <w:tc>
          <w:tcPr>
            <w:tcW w:w="221" w:type="pct"/>
            <w:tcBorders>
              <w:bottom w:val="single" w:sz="4" w:space="0" w:color="000000" w:themeColor="text1"/>
              <w:right w:val="single" w:sz="4" w:space="0" w:color="auto"/>
            </w:tcBorders>
            <w:shd w:val="clear" w:color="auto" w:fill="auto"/>
            <w:tcMar>
              <w:bottom w:w="43" w:type="dxa"/>
            </w:tcMar>
            <w:vAlign w:val="bottom"/>
          </w:tcPr>
          <w:p w:rsidR="0013595D" w:rsidRPr="00003B04" w:rsidRDefault="0013595D" w:rsidP="00E942C2">
            <w:pPr>
              <w:jc w:val="center"/>
              <w:rPr>
                <w:rFonts w:ascii="Arial" w:hAnsi="Arial" w:cs="Arial"/>
                <w:sz w:val="13"/>
                <w:szCs w:val="13"/>
              </w:rPr>
            </w:pPr>
          </w:p>
        </w:tc>
        <w:tc>
          <w:tcPr>
            <w:tcW w:w="258"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p>
        </w:tc>
        <w:tc>
          <w:tcPr>
            <w:tcW w:w="247" w:type="pct"/>
            <w:tcBorders>
              <w:left w:val="single" w:sz="4" w:space="0" w:color="auto"/>
              <w:right w:val="double" w:sz="6" w:space="0" w:color="auto"/>
            </w:tcBorders>
            <w:shd w:val="clear" w:color="auto" w:fill="auto"/>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003B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003B04"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auto"/>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w:t>
            </w:r>
          </w:p>
        </w:tc>
        <w:tc>
          <w:tcPr>
            <w:tcW w:w="249" w:type="pct"/>
            <w:tcBorders>
              <w:bottom w:val="single" w:sz="4" w:space="0" w:color="000000" w:themeColor="text1"/>
            </w:tcBorders>
            <w:shd w:val="clear" w:color="auto" w:fill="auto"/>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w:t>
            </w:r>
          </w:p>
        </w:tc>
        <w:tc>
          <w:tcPr>
            <w:tcW w:w="250" w:type="pct"/>
            <w:tcBorders>
              <w:bottom w:val="single" w:sz="4" w:space="0" w:color="000000" w:themeColor="text1"/>
            </w:tcBorders>
            <w:shd w:val="clear" w:color="auto" w:fill="auto"/>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3</w:t>
            </w:r>
          </w:p>
        </w:tc>
        <w:tc>
          <w:tcPr>
            <w:tcW w:w="216" w:type="pct"/>
            <w:tcBorders>
              <w:bottom w:val="single" w:sz="4" w:space="0" w:color="000000" w:themeColor="text1"/>
            </w:tcBorders>
            <w:shd w:val="clear" w:color="auto" w:fill="auto"/>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4</w:t>
            </w:r>
          </w:p>
        </w:tc>
        <w:tc>
          <w:tcPr>
            <w:tcW w:w="217" w:type="pct"/>
            <w:tcBorders>
              <w:bottom w:val="single" w:sz="4" w:space="0" w:color="000000" w:themeColor="text1"/>
            </w:tcBorders>
            <w:shd w:val="clear" w:color="auto" w:fill="auto"/>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5</w:t>
            </w:r>
          </w:p>
        </w:tc>
        <w:tc>
          <w:tcPr>
            <w:tcW w:w="225" w:type="pct"/>
            <w:tcBorders>
              <w:right w:val="double" w:sz="6" w:space="0" w:color="auto"/>
            </w:tcBorders>
            <w:shd w:val="clear" w:color="auto" w:fill="auto"/>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6</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003B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003B04" w:rsidRDefault="0013595D" w:rsidP="00E942C2">
            <w:pPr>
              <w:jc w:val="center"/>
              <w:rPr>
                <w:rFonts w:ascii="Arial" w:hAnsi="Arial" w:cs="Arial"/>
                <w:sz w:val="13"/>
                <w:szCs w:val="13"/>
              </w:rPr>
            </w:pPr>
          </w:p>
        </w:tc>
        <w:tc>
          <w:tcPr>
            <w:tcW w:w="223" w:type="pct"/>
            <w:tcBorders>
              <w:bottom w:val="single" w:sz="4" w:space="0" w:color="auto"/>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w:t>
            </w:r>
          </w:p>
        </w:tc>
        <w:tc>
          <w:tcPr>
            <w:tcW w:w="208" w:type="pct"/>
            <w:tcBorders>
              <w:bottom w:val="single" w:sz="4" w:space="0" w:color="000000" w:themeColor="text1"/>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w:t>
            </w:r>
          </w:p>
        </w:tc>
        <w:tc>
          <w:tcPr>
            <w:tcW w:w="218" w:type="pct"/>
            <w:tcBorders>
              <w:right w:val="double" w:sz="6" w:space="0" w:color="auto"/>
            </w:tcBorders>
            <w:shd w:val="clear" w:color="auto" w:fill="auto"/>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3</w:t>
            </w:r>
          </w:p>
        </w:tc>
      </w:tr>
      <w:tr w:rsidR="0013595D" w:rsidRPr="00003B04" w:rsidTr="00E942C2">
        <w:trPr>
          <w:trHeight w:val="288"/>
        </w:trPr>
        <w:tc>
          <w:tcPr>
            <w:tcW w:w="217" w:type="pct"/>
            <w:tcBorders>
              <w:left w:val="double" w:sz="6" w:space="0" w:color="auto"/>
              <w:right w:val="single" w:sz="4" w:space="0" w:color="auto"/>
            </w:tcBorders>
            <w:shd w:val="clear" w:color="auto" w:fill="auto"/>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w:t>
            </w:r>
          </w:p>
        </w:tc>
        <w:tc>
          <w:tcPr>
            <w:tcW w:w="217" w:type="pct"/>
            <w:tcBorders>
              <w:top w:val="single" w:sz="4" w:space="0" w:color="auto"/>
              <w:left w:val="single" w:sz="4" w:space="0" w:color="auto"/>
              <w:bottom w:val="single" w:sz="4" w:space="0" w:color="auto"/>
              <w:right w:val="single" w:sz="4" w:space="0" w:color="auto"/>
            </w:tcBorders>
            <w:shd w:val="clear" w:color="auto" w:fill="auto"/>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3</w:t>
            </w:r>
          </w:p>
        </w:tc>
        <w:tc>
          <w:tcPr>
            <w:tcW w:w="217" w:type="pct"/>
            <w:tcBorders>
              <w:left w:val="single" w:sz="4" w:space="0" w:color="auto"/>
              <w:bottom w:val="single" w:sz="4" w:space="0" w:color="000000" w:themeColor="text1"/>
            </w:tcBorders>
            <w:shd w:val="clear" w:color="auto" w:fill="auto"/>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4</w:t>
            </w:r>
          </w:p>
        </w:tc>
        <w:tc>
          <w:tcPr>
            <w:tcW w:w="233" w:type="pct"/>
            <w:tcBorders>
              <w:bottom w:val="single" w:sz="4" w:space="0" w:color="000000" w:themeColor="text1"/>
            </w:tcBorders>
            <w:shd w:val="clear" w:color="auto" w:fill="auto"/>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5</w:t>
            </w:r>
          </w:p>
        </w:tc>
        <w:tc>
          <w:tcPr>
            <w:tcW w:w="221" w:type="pct"/>
            <w:tcBorders>
              <w:bottom w:val="single" w:sz="4" w:space="0" w:color="000000" w:themeColor="text1"/>
            </w:tcBorders>
            <w:shd w:val="clear" w:color="auto" w:fill="auto"/>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6</w:t>
            </w:r>
          </w:p>
        </w:tc>
        <w:tc>
          <w:tcPr>
            <w:tcW w:w="258" w:type="pct"/>
            <w:tcBorders>
              <w:top w:val="single" w:sz="4" w:space="0" w:color="auto"/>
              <w:bottom w:val="double" w:sz="6" w:space="0" w:color="auto"/>
            </w:tcBorders>
            <w:shd w:val="clear" w:color="auto" w:fill="auto"/>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7</w:t>
            </w:r>
          </w:p>
        </w:tc>
        <w:tc>
          <w:tcPr>
            <w:tcW w:w="247" w:type="pct"/>
            <w:tcBorders>
              <w:right w:val="double" w:sz="6" w:space="0" w:color="auto"/>
            </w:tcBorders>
            <w:shd w:val="clear" w:color="auto" w:fill="auto"/>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8</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003B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7</w:t>
            </w:r>
          </w:p>
        </w:tc>
        <w:tc>
          <w:tcPr>
            <w:tcW w:w="208" w:type="pct"/>
            <w:tcBorders>
              <w:bottom w:val="single" w:sz="4" w:space="0" w:color="000000" w:themeColor="text1"/>
            </w:tcBorders>
            <w:shd w:val="clear" w:color="auto" w:fill="auto"/>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8</w:t>
            </w:r>
          </w:p>
        </w:tc>
        <w:tc>
          <w:tcPr>
            <w:tcW w:w="249" w:type="pct"/>
            <w:tcBorders>
              <w:bottom w:val="single" w:sz="4" w:space="0" w:color="000000" w:themeColor="text1"/>
            </w:tcBorders>
            <w:shd w:val="clear" w:color="auto" w:fill="auto"/>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9</w:t>
            </w:r>
          </w:p>
        </w:tc>
        <w:tc>
          <w:tcPr>
            <w:tcW w:w="250" w:type="pct"/>
            <w:tcBorders>
              <w:bottom w:val="single" w:sz="4" w:space="0" w:color="000000" w:themeColor="text1"/>
            </w:tcBorders>
            <w:shd w:val="clear" w:color="auto" w:fill="auto"/>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10</w:t>
            </w:r>
          </w:p>
        </w:tc>
        <w:tc>
          <w:tcPr>
            <w:tcW w:w="216" w:type="pct"/>
            <w:tcBorders>
              <w:bottom w:val="single" w:sz="4" w:space="0" w:color="000000" w:themeColor="text1"/>
            </w:tcBorders>
            <w:shd w:val="clear" w:color="auto" w:fill="auto"/>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11</w:t>
            </w:r>
          </w:p>
        </w:tc>
        <w:tc>
          <w:tcPr>
            <w:tcW w:w="217" w:type="pct"/>
            <w:tcBorders>
              <w:bottom w:val="single" w:sz="4" w:space="0" w:color="000000" w:themeColor="text1"/>
            </w:tcBorders>
            <w:shd w:val="clear" w:color="auto" w:fill="auto"/>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12</w:t>
            </w:r>
          </w:p>
        </w:tc>
        <w:tc>
          <w:tcPr>
            <w:tcW w:w="225" w:type="pct"/>
            <w:tcBorders>
              <w:right w:val="double" w:sz="6" w:space="0" w:color="auto"/>
            </w:tcBorders>
            <w:shd w:val="clear" w:color="auto" w:fill="auto"/>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13</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003B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4</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5</w:t>
            </w:r>
          </w:p>
        </w:tc>
        <w:tc>
          <w:tcPr>
            <w:tcW w:w="208" w:type="pct"/>
            <w:tcBorders>
              <w:left w:val="single" w:sz="4" w:space="0" w:color="auto"/>
              <w:bottom w:val="single" w:sz="4" w:space="0" w:color="000000" w:themeColor="text1"/>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6</w:t>
            </w:r>
          </w:p>
        </w:tc>
        <w:tc>
          <w:tcPr>
            <w:tcW w:w="208" w:type="pct"/>
            <w:tcBorders>
              <w:bottom w:val="single" w:sz="4" w:space="0" w:color="000000" w:themeColor="text1"/>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7</w:t>
            </w:r>
          </w:p>
        </w:tc>
        <w:tc>
          <w:tcPr>
            <w:tcW w:w="208" w:type="pct"/>
            <w:tcBorders>
              <w:bottom w:val="single" w:sz="4" w:space="0" w:color="000000" w:themeColor="text1"/>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8</w:t>
            </w:r>
          </w:p>
        </w:tc>
        <w:tc>
          <w:tcPr>
            <w:tcW w:w="208" w:type="pct"/>
            <w:tcBorders>
              <w:bottom w:val="single" w:sz="4" w:space="0" w:color="000000" w:themeColor="text1"/>
            </w:tcBorders>
            <w:shd w:val="clear"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9</w:t>
            </w:r>
          </w:p>
        </w:tc>
        <w:tc>
          <w:tcPr>
            <w:tcW w:w="218" w:type="pct"/>
            <w:tcBorders>
              <w:right w:val="double" w:sz="6" w:space="0" w:color="auto"/>
            </w:tcBorders>
            <w:shd w:val="clear" w:color="auto" w:fill="auto"/>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10</w:t>
            </w:r>
          </w:p>
        </w:tc>
      </w:tr>
      <w:tr w:rsidR="0013595D" w:rsidRPr="00003B04" w:rsidTr="00E942C2">
        <w:trPr>
          <w:trHeight w:val="288"/>
        </w:trPr>
        <w:tc>
          <w:tcPr>
            <w:tcW w:w="217"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9</w:t>
            </w:r>
          </w:p>
        </w:tc>
        <w:tc>
          <w:tcPr>
            <w:tcW w:w="217"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10</w:t>
            </w:r>
          </w:p>
        </w:tc>
        <w:tc>
          <w:tcPr>
            <w:tcW w:w="217" w:type="pct"/>
            <w:tcBorders>
              <w:top w:val="single" w:sz="4" w:space="0" w:color="000000" w:themeColor="text1"/>
              <w:left w:val="single" w:sz="4" w:space="0" w:color="auto"/>
              <w:bottom w:val="single" w:sz="4" w:space="0" w:color="000000" w:themeColor="text1"/>
            </w:tcBorders>
            <w:shd w:val="clear" w:color="auto" w:fill="auto"/>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11</w:t>
            </w:r>
          </w:p>
        </w:tc>
        <w:tc>
          <w:tcPr>
            <w:tcW w:w="233" w:type="pct"/>
            <w:tcBorders>
              <w:top w:val="single" w:sz="4" w:space="0" w:color="000000" w:themeColor="text1"/>
              <w:bottom w:val="single" w:sz="4" w:space="0" w:color="000000" w:themeColor="text1"/>
            </w:tcBorders>
            <w:shd w:val="clear" w:color="auto" w:fill="auto"/>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12</w:t>
            </w:r>
          </w:p>
        </w:tc>
        <w:tc>
          <w:tcPr>
            <w:tcW w:w="221" w:type="pct"/>
            <w:tcBorders>
              <w:top w:val="single" w:sz="4" w:space="0" w:color="000000" w:themeColor="text1"/>
              <w:bottom w:val="single" w:sz="4" w:space="0" w:color="000000" w:themeColor="text1"/>
              <w:right w:val="double" w:sz="6" w:space="0" w:color="auto"/>
            </w:tcBorders>
            <w:shd w:val="clear" w:color="auto" w:fill="auto"/>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13</w:t>
            </w:r>
          </w:p>
        </w:tc>
        <w:tc>
          <w:tcPr>
            <w:tcW w:w="258"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13595D" w:rsidRPr="00003B04" w:rsidRDefault="0013595D" w:rsidP="00E942C2">
            <w:pPr>
              <w:jc w:val="center"/>
              <w:rPr>
                <w:rFonts w:ascii="Arial" w:hAnsi="Arial" w:cs="Arial"/>
                <w:b/>
                <w:sz w:val="13"/>
                <w:szCs w:val="13"/>
              </w:rPr>
            </w:pPr>
            <w:r w:rsidRPr="00003B04">
              <w:rPr>
                <w:rFonts w:ascii="Arial" w:hAnsi="Arial" w:cs="Arial"/>
                <w:b/>
                <w:sz w:val="13"/>
                <w:szCs w:val="13"/>
              </w:rPr>
              <w:t>H</w:t>
            </w:r>
          </w:p>
          <w:p w:rsidR="0013595D" w:rsidRPr="00003B04" w:rsidRDefault="0013595D" w:rsidP="00E942C2">
            <w:pPr>
              <w:jc w:val="center"/>
              <w:rPr>
                <w:rFonts w:ascii="Arial" w:hAnsi="Arial" w:cs="Arial"/>
                <w:sz w:val="13"/>
                <w:szCs w:val="13"/>
              </w:rPr>
            </w:pPr>
            <w:r w:rsidRPr="00003B04">
              <w:rPr>
                <w:rFonts w:ascii="Arial" w:hAnsi="Arial" w:cs="Arial"/>
                <w:sz w:val="13"/>
                <w:szCs w:val="13"/>
              </w:rPr>
              <w:t>14</w:t>
            </w:r>
          </w:p>
        </w:tc>
        <w:tc>
          <w:tcPr>
            <w:tcW w:w="247" w:type="pct"/>
            <w:tcBorders>
              <w:left w:val="double" w:sz="6" w:space="0" w:color="auto"/>
              <w:right w:val="double" w:sz="6" w:space="0" w:color="auto"/>
            </w:tcBorders>
            <w:shd w:val="clear" w:color="auto" w:fill="auto"/>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15</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003B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auto"/>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14</w:t>
            </w:r>
          </w:p>
        </w:tc>
        <w:tc>
          <w:tcPr>
            <w:tcW w:w="208"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15</w:t>
            </w:r>
          </w:p>
        </w:tc>
        <w:tc>
          <w:tcPr>
            <w:tcW w:w="249"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16</w:t>
            </w:r>
          </w:p>
        </w:tc>
        <w:tc>
          <w:tcPr>
            <w:tcW w:w="250" w:type="pct"/>
            <w:tcBorders>
              <w:bottom w:val="single" w:sz="4" w:space="0" w:color="000000" w:themeColor="text1"/>
            </w:tcBorders>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17</w:t>
            </w:r>
          </w:p>
        </w:tc>
        <w:tc>
          <w:tcPr>
            <w:tcW w:w="216" w:type="pct"/>
            <w:tcBorders>
              <w:bottom w:val="single" w:sz="4" w:space="0" w:color="000000" w:themeColor="text1"/>
            </w:tcBorders>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18</w:t>
            </w:r>
          </w:p>
        </w:tc>
        <w:tc>
          <w:tcPr>
            <w:tcW w:w="217" w:type="pct"/>
            <w:tcBorders>
              <w:bottom w:val="single" w:sz="4" w:space="0" w:color="000000" w:themeColor="text1"/>
            </w:tcBorders>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19</w:t>
            </w:r>
          </w:p>
        </w:tc>
        <w:tc>
          <w:tcPr>
            <w:tcW w:w="225" w:type="pct"/>
            <w:tcBorders>
              <w:right w:val="double" w:sz="6" w:space="0" w:color="auto"/>
            </w:tcBorders>
            <w:shd w:val="clear" w:color="auto" w:fill="auto"/>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20</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003B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12</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13</w:t>
            </w:r>
          </w:p>
        </w:tc>
        <w:tc>
          <w:tcPr>
            <w:tcW w:w="208" w:type="pct"/>
            <w:tcBorders>
              <w:bottom w:val="single" w:sz="4" w:space="0" w:color="000000" w:themeColor="text1"/>
            </w:tcBorders>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14</w:t>
            </w:r>
          </w:p>
        </w:tc>
        <w:tc>
          <w:tcPr>
            <w:tcW w:w="208" w:type="pct"/>
            <w:tcBorders>
              <w:bottom w:val="single" w:sz="4" w:space="0" w:color="000000" w:themeColor="text1"/>
            </w:tcBorders>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15</w:t>
            </w:r>
          </w:p>
        </w:tc>
        <w:tc>
          <w:tcPr>
            <w:tcW w:w="208" w:type="pct"/>
            <w:tcBorders>
              <w:bottom w:val="single" w:sz="4" w:space="0" w:color="000000" w:themeColor="text1"/>
            </w:tcBorders>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16</w:t>
            </w:r>
          </w:p>
        </w:tc>
        <w:tc>
          <w:tcPr>
            <w:tcW w:w="218" w:type="pct"/>
            <w:tcBorders>
              <w:right w:val="double" w:sz="6" w:space="0" w:color="auto"/>
            </w:tcBorders>
            <w:shd w:val="clear" w:color="auto" w:fill="auto"/>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17</w:t>
            </w:r>
          </w:p>
        </w:tc>
      </w:tr>
      <w:tr w:rsidR="0013595D" w:rsidRPr="00003B04"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bottom w:w="43" w:type="dxa"/>
            </w:tcMar>
            <w:vAlign w:val="bottom"/>
          </w:tcPr>
          <w:p w:rsidR="0013595D" w:rsidRPr="00003B04" w:rsidRDefault="0013595D" w:rsidP="00E942C2">
            <w:pPr>
              <w:jc w:val="center"/>
              <w:rPr>
                <w:rFonts w:ascii="Arial" w:hAnsi="Arial" w:cs="Arial"/>
                <w:b/>
                <w:sz w:val="13"/>
                <w:szCs w:val="13"/>
              </w:rPr>
            </w:pPr>
          </w:p>
          <w:p w:rsidR="0013595D" w:rsidRPr="00003B04" w:rsidRDefault="0013595D" w:rsidP="00E942C2">
            <w:pPr>
              <w:jc w:val="center"/>
              <w:rPr>
                <w:rFonts w:ascii="Arial" w:hAnsi="Arial" w:cs="Arial"/>
                <w:sz w:val="13"/>
                <w:szCs w:val="13"/>
              </w:rPr>
            </w:pPr>
            <w:r w:rsidRPr="00003B04">
              <w:rPr>
                <w:rFonts w:ascii="Arial" w:hAnsi="Arial" w:cs="Arial"/>
                <w:sz w:val="13"/>
                <w:szCs w:val="13"/>
              </w:rPr>
              <w:t>16</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003B04" w:rsidRDefault="0013595D" w:rsidP="00E942C2">
            <w:pPr>
              <w:jc w:val="center"/>
              <w:rPr>
                <w:rFonts w:ascii="Arial" w:hAnsi="Arial" w:cs="Arial"/>
                <w:b/>
                <w:sz w:val="13"/>
                <w:szCs w:val="13"/>
              </w:rPr>
            </w:pPr>
            <w:r w:rsidRPr="00003B04">
              <w:rPr>
                <w:rFonts w:ascii="Arial" w:hAnsi="Arial" w:cs="Arial"/>
                <w:b/>
                <w:sz w:val="13"/>
                <w:szCs w:val="13"/>
              </w:rPr>
              <w:t>H</w:t>
            </w:r>
          </w:p>
          <w:p w:rsidR="0013595D" w:rsidRPr="00003B04" w:rsidRDefault="0013595D" w:rsidP="00E942C2">
            <w:pPr>
              <w:jc w:val="center"/>
              <w:rPr>
                <w:rFonts w:ascii="Arial" w:hAnsi="Arial" w:cs="Arial"/>
                <w:sz w:val="13"/>
                <w:szCs w:val="13"/>
              </w:rPr>
            </w:pPr>
            <w:r w:rsidRPr="00003B04">
              <w:rPr>
                <w:rFonts w:ascii="Arial" w:hAnsi="Arial" w:cs="Arial"/>
                <w:sz w:val="13"/>
                <w:szCs w:val="13"/>
              </w:rPr>
              <w:t>17</w:t>
            </w:r>
          </w:p>
        </w:tc>
        <w:tc>
          <w:tcPr>
            <w:tcW w:w="217" w:type="pct"/>
            <w:tcBorders>
              <w:top w:val="single" w:sz="4" w:space="0" w:color="000000" w:themeColor="text1"/>
              <w:left w:val="double" w:sz="6" w:space="0" w:color="auto"/>
              <w:bottom w:val="single" w:sz="4" w:space="0" w:color="000000" w:themeColor="text1"/>
            </w:tcBorders>
            <w:shd w:val="pct20" w:color="auto" w:fill="auto"/>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18</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19</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20</w:t>
            </w:r>
          </w:p>
        </w:tc>
        <w:tc>
          <w:tcPr>
            <w:tcW w:w="258" w:type="pct"/>
            <w:tcBorders>
              <w:top w:val="double" w:sz="6" w:space="0" w:color="auto"/>
              <w:bottom w:val="single" w:sz="4" w:space="0" w:color="000000" w:themeColor="text1"/>
            </w:tcBorders>
            <w:shd w:val="pct20" w:color="auto" w:fill="auto"/>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21</w:t>
            </w:r>
          </w:p>
        </w:tc>
        <w:tc>
          <w:tcPr>
            <w:tcW w:w="247" w:type="pct"/>
            <w:tcBorders>
              <w:right w:val="double" w:sz="6" w:space="0" w:color="auto"/>
            </w:tcBorders>
            <w:shd w:val="clear" w:color="auto" w:fill="auto"/>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22</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003B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double" w:sz="6" w:space="0" w:color="auto"/>
            </w:tcBorders>
            <w:shd w:val="clear" w:color="auto" w:fill="auto"/>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21</w:t>
            </w:r>
          </w:p>
        </w:tc>
        <w:tc>
          <w:tcPr>
            <w:tcW w:w="20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003B04" w:rsidRDefault="0013595D" w:rsidP="00E942C2">
            <w:pPr>
              <w:jc w:val="center"/>
              <w:rPr>
                <w:rFonts w:ascii="Arial" w:hAnsi="Arial" w:cs="Arial"/>
                <w:b/>
                <w:sz w:val="13"/>
                <w:szCs w:val="13"/>
              </w:rPr>
            </w:pPr>
            <w:r w:rsidRPr="00003B04">
              <w:rPr>
                <w:rFonts w:ascii="Arial" w:hAnsi="Arial" w:cs="Arial"/>
                <w:b/>
                <w:sz w:val="13"/>
                <w:szCs w:val="13"/>
              </w:rPr>
              <w:t>H</w:t>
            </w:r>
          </w:p>
          <w:p w:rsidR="0013595D" w:rsidRPr="00003B04" w:rsidRDefault="0013595D" w:rsidP="00E942C2">
            <w:pPr>
              <w:jc w:val="center"/>
              <w:rPr>
                <w:rFonts w:ascii="Arial" w:hAnsi="Arial" w:cs="Arial"/>
                <w:sz w:val="13"/>
                <w:szCs w:val="13"/>
              </w:rPr>
            </w:pPr>
            <w:r w:rsidRPr="00003B04">
              <w:rPr>
                <w:rFonts w:ascii="Arial" w:hAnsi="Arial" w:cs="Arial"/>
                <w:sz w:val="13"/>
                <w:szCs w:val="13"/>
              </w:rPr>
              <w:t>22</w:t>
            </w:r>
          </w:p>
        </w:tc>
        <w:tc>
          <w:tcPr>
            <w:tcW w:w="249" w:type="pct"/>
            <w:tcBorders>
              <w:left w:val="double" w:sz="6" w:space="0" w:color="auto"/>
            </w:tcBorders>
            <w:shd w:val="pct20" w:color="auto" w:fill="auto"/>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23</w:t>
            </w:r>
          </w:p>
        </w:tc>
        <w:tc>
          <w:tcPr>
            <w:tcW w:w="250" w:type="pct"/>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24</w:t>
            </w:r>
          </w:p>
        </w:tc>
        <w:tc>
          <w:tcPr>
            <w:tcW w:w="216" w:type="pct"/>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25</w:t>
            </w:r>
          </w:p>
        </w:tc>
        <w:tc>
          <w:tcPr>
            <w:tcW w:w="217" w:type="pct"/>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26</w:t>
            </w:r>
          </w:p>
        </w:tc>
        <w:tc>
          <w:tcPr>
            <w:tcW w:w="225" w:type="pct"/>
            <w:tcBorders>
              <w:right w:val="double" w:sz="6" w:space="0" w:color="auto"/>
            </w:tcBorders>
            <w:shd w:val="clear" w:color="auto" w:fill="auto"/>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27</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003B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18</w:t>
            </w:r>
          </w:p>
        </w:tc>
        <w:tc>
          <w:tcPr>
            <w:tcW w:w="223" w:type="pct"/>
            <w:tcBorders>
              <w:top w:val="single" w:sz="4" w:space="0" w:color="000000" w:themeColor="text1"/>
            </w:tcBorders>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19</w:t>
            </w:r>
          </w:p>
        </w:tc>
        <w:tc>
          <w:tcPr>
            <w:tcW w:w="208" w:type="pct"/>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20</w:t>
            </w:r>
          </w:p>
        </w:tc>
        <w:tc>
          <w:tcPr>
            <w:tcW w:w="208" w:type="pct"/>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21</w:t>
            </w:r>
          </w:p>
        </w:tc>
        <w:tc>
          <w:tcPr>
            <w:tcW w:w="208" w:type="pct"/>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22</w:t>
            </w:r>
          </w:p>
        </w:tc>
        <w:tc>
          <w:tcPr>
            <w:tcW w:w="208" w:type="pct"/>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23</w:t>
            </w:r>
          </w:p>
        </w:tc>
        <w:tc>
          <w:tcPr>
            <w:tcW w:w="218" w:type="pct"/>
            <w:tcBorders>
              <w:right w:val="double" w:sz="6" w:space="0" w:color="auto"/>
            </w:tcBorders>
            <w:shd w:val="clear" w:color="auto" w:fill="auto"/>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24</w:t>
            </w:r>
          </w:p>
        </w:tc>
      </w:tr>
      <w:tr w:rsidR="0013595D" w:rsidRPr="00003B04" w:rsidTr="00E942C2">
        <w:trPr>
          <w:trHeight w:val="288"/>
        </w:trPr>
        <w:tc>
          <w:tcPr>
            <w:tcW w:w="217" w:type="pct"/>
            <w:tcBorders>
              <w:top w:val="single" w:sz="4" w:space="0" w:color="000000" w:themeColor="text1"/>
              <w:left w:val="double" w:sz="6" w:space="0" w:color="auto"/>
              <w:bottom w:val="double" w:sz="6" w:space="0" w:color="auto"/>
            </w:tcBorders>
            <w:tcMar>
              <w:bottom w:w="43" w:type="dxa"/>
            </w:tcMar>
            <w:vAlign w:val="bottom"/>
          </w:tcPr>
          <w:p w:rsidR="0013595D" w:rsidRPr="00003B04" w:rsidRDefault="0013595D" w:rsidP="00E942C2">
            <w:pPr>
              <w:rPr>
                <w:rFonts w:ascii="Arial" w:hAnsi="Arial" w:cs="Arial"/>
                <w:sz w:val="13"/>
                <w:szCs w:val="13"/>
              </w:rPr>
            </w:pPr>
            <w:r w:rsidRPr="00003B04">
              <w:rPr>
                <w:rFonts w:ascii="Arial" w:hAnsi="Arial" w:cs="Arial"/>
                <w:sz w:val="13"/>
                <w:szCs w:val="13"/>
              </w:rPr>
              <w:t>23</w:t>
            </w:r>
          </w:p>
          <w:p w:rsidR="0013595D" w:rsidRPr="00003B04" w:rsidRDefault="0013595D" w:rsidP="00E942C2">
            <w:pPr>
              <w:jc w:val="center"/>
              <w:rPr>
                <w:rFonts w:ascii="Arial" w:hAnsi="Arial" w:cs="Arial"/>
                <w:sz w:val="13"/>
                <w:szCs w:val="13"/>
              </w:rPr>
            </w:pPr>
            <w:r w:rsidRPr="00003B04">
              <w:rPr>
                <w:rFonts w:ascii="Arial" w:hAnsi="Arial" w:cs="Arial"/>
                <w:sz w:val="13"/>
                <w:szCs w:val="13"/>
              </w:rPr>
              <w:t xml:space="preserve">      30</w:t>
            </w:r>
          </w:p>
        </w:tc>
        <w:tc>
          <w:tcPr>
            <w:tcW w:w="217" w:type="pct"/>
            <w:tcBorders>
              <w:top w:val="double" w:sz="6" w:space="0" w:color="auto"/>
              <w:bottom w:val="double" w:sz="6" w:space="0" w:color="auto"/>
            </w:tcBorders>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24</w:t>
            </w:r>
          </w:p>
        </w:tc>
        <w:tc>
          <w:tcPr>
            <w:tcW w:w="217"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25</w:t>
            </w:r>
          </w:p>
        </w:tc>
        <w:tc>
          <w:tcPr>
            <w:tcW w:w="233"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26</w:t>
            </w:r>
          </w:p>
        </w:tc>
        <w:tc>
          <w:tcPr>
            <w:tcW w:w="221"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27</w:t>
            </w:r>
          </w:p>
        </w:tc>
        <w:tc>
          <w:tcPr>
            <w:tcW w:w="25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28</w:t>
            </w:r>
          </w:p>
        </w:tc>
        <w:tc>
          <w:tcPr>
            <w:tcW w:w="247" w:type="pct"/>
            <w:tcBorders>
              <w:bottom w:val="double" w:sz="6" w:space="0" w:color="auto"/>
              <w:right w:val="double" w:sz="6" w:space="0" w:color="auto"/>
            </w:tcBorders>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29</w:t>
            </w:r>
          </w:p>
        </w:tc>
        <w:tc>
          <w:tcPr>
            <w:tcW w:w="138" w:type="pct"/>
            <w:tcBorders>
              <w:top w:val="nil"/>
              <w:left w:val="double" w:sz="6" w:space="0" w:color="auto"/>
              <w:bottom w:val="nil"/>
              <w:right w:val="double" w:sz="6" w:space="0" w:color="auto"/>
            </w:tcBorders>
            <w:tcMar>
              <w:bottom w:w="43" w:type="dxa"/>
            </w:tcMar>
            <w:vAlign w:val="bottom"/>
          </w:tcPr>
          <w:p w:rsidR="0013595D" w:rsidRPr="00003B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28</w:t>
            </w:r>
          </w:p>
        </w:tc>
        <w:tc>
          <w:tcPr>
            <w:tcW w:w="208" w:type="pct"/>
            <w:tcBorders>
              <w:top w:val="double" w:sz="6" w:space="0" w:color="auto"/>
              <w:bottom w:val="double" w:sz="6" w:space="0" w:color="auto"/>
            </w:tcBorders>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29</w:t>
            </w:r>
          </w:p>
        </w:tc>
        <w:tc>
          <w:tcPr>
            <w:tcW w:w="249" w:type="pct"/>
            <w:tcBorders>
              <w:bottom w:val="double" w:sz="6" w:space="0" w:color="auto"/>
            </w:tcBorders>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30</w:t>
            </w:r>
          </w:p>
        </w:tc>
        <w:tc>
          <w:tcPr>
            <w:tcW w:w="250" w:type="pct"/>
            <w:tcBorders>
              <w:bottom w:val="double" w:sz="6" w:space="0" w:color="auto"/>
            </w:tcBorders>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31</w:t>
            </w:r>
          </w:p>
        </w:tc>
        <w:tc>
          <w:tcPr>
            <w:tcW w:w="216" w:type="pct"/>
            <w:tcBorders>
              <w:bottom w:val="double" w:sz="6" w:space="0" w:color="auto"/>
            </w:tcBorders>
            <w:tcMar>
              <w:bottom w:w="43" w:type="dxa"/>
            </w:tcMar>
            <w:vAlign w:val="bottom"/>
          </w:tcPr>
          <w:p w:rsidR="0013595D" w:rsidRPr="00003B04"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003B04"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003B04"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003B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25</w:t>
            </w:r>
          </w:p>
        </w:tc>
        <w:tc>
          <w:tcPr>
            <w:tcW w:w="223" w:type="pct"/>
            <w:tcBorders>
              <w:bottom w:val="double" w:sz="6" w:space="0" w:color="auto"/>
            </w:tcBorders>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26</w:t>
            </w:r>
          </w:p>
        </w:tc>
        <w:tc>
          <w:tcPr>
            <w:tcW w:w="208" w:type="pct"/>
            <w:tcBorders>
              <w:bottom w:val="double" w:sz="6" w:space="0" w:color="auto"/>
            </w:tcBorders>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27</w:t>
            </w:r>
          </w:p>
        </w:tc>
        <w:tc>
          <w:tcPr>
            <w:tcW w:w="208" w:type="pct"/>
            <w:tcBorders>
              <w:bottom w:val="double" w:sz="6" w:space="0" w:color="auto"/>
            </w:tcBorders>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28</w:t>
            </w:r>
          </w:p>
        </w:tc>
        <w:tc>
          <w:tcPr>
            <w:tcW w:w="208" w:type="pct"/>
            <w:tcBorders>
              <w:bottom w:val="double" w:sz="6" w:space="0" w:color="auto"/>
            </w:tcBorders>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29</w:t>
            </w:r>
          </w:p>
        </w:tc>
        <w:tc>
          <w:tcPr>
            <w:tcW w:w="208" w:type="pct"/>
            <w:tcBorders>
              <w:bottom w:val="double" w:sz="6" w:space="0" w:color="auto"/>
            </w:tcBorders>
            <w:tcMar>
              <w:bottom w:w="43" w:type="dxa"/>
            </w:tcMar>
            <w:vAlign w:val="bottom"/>
          </w:tcPr>
          <w:p w:rsidR="0013595D" w:rsidRPr="00003B04" w:rsidRDefault="0013595D" w:rsidP="00E942C2">
            <w:pPr>
              <w:jc w:val="center"/>
              <w:rPr>
                <w:rFonts w:ascii="Arial" w:hAnsi="Arial" w:cs="Arial"/>
                <w:sz w:val="13"/>
                <w:szCs w:val="13"/>
              </w:rPr>
            </w:pPr>
            <w:r w:rsidRPr="00003B04">
              <w:rPr>
                <w:rFonts w:ascii="Arial" w:hAnsi="Arial" w:cs="Arial"/>
                <w:sz w:val="13"/>
                <w:szCs w:val="13"/>
              </w:rPr>
              <w:t>30</w:t>
            </w:r>
          </w:p>
        </w:tc>
        <w:tc>
          <w:tcPr>
            <w:tcW w:w="218" w:type="pct"/>
            <w:tcBorders>
              <w:bottom w:val="double" w:sz="6" w:space="0" w:color="auto"/>
              <w:right w:val="double" w:sz="6" w:space="0" w:color="auto"/>
            </w:tcBorders>
            <w:tcMar>
              <w:bottom w:w="43" w:type="dxa"/>
            </w:tcMar>
            <w:vAlign w:val="bottom"/>
          </w:tcPr>
          <w:p w:rsidR="0013595D" w:rsidRPr="00003B04" w:rsidRDefault="0013595D" w:rsidP="00E942C2">
            <w:pPr>
              <w:jc w:val="center"/>
              <w:rPr>
                <w:rFonts w:ascii="Arial" w:hAnsi="Arial" w:cs="Arial"/>
                <w:sz w:val="13"/>
                <w:szCs w:val="13"/>
              </w:rPr>
            </w:pPr>
          </w:p>
        </w:tc>
      </w:tr>
    </w:tbl>
    <w:p w:rsidR="0013595D" w:rsidRPr="00003B04" w:rsidRDefault="0013595D" w:rsidP="0013595D">
      <w:pPr>
        <w:widowControl w:val="0"/>
        <w:tabs>
          <w:tab w:val="center" w:pos="5400"/>
          <w:tab w:val="right" w:pos="10440"/>
        </w:tabs>
        <w:rPr>
          <w:rFonts w:ascii="Arial" w:hAnsi="Arial"/>
          <w:sz w:val="18"/>
        </w:rPr>
      </w:pPr>
    </w:p>
    <w:p w:rsidR="0013595D" w:rsidRPr="00003B04"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003B04"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003B04" w:rsidRDefault="0013595D" w:rsidP="00E942C2">
            <w:pPr>
              <w:widowControl w:val="0"/>
              <w:rPr>
                <w:rFonts w:ascii="Arial" w:hAnsi="Arial"/>
                <w:sz w:val="16"/>
              </w:rPr>
            </w:pPr>
            <w:r w:rsidRPr="00003B04">
              <w:rPr>
                <w:rFonts w:ascii="Arial" w:hAnsi="Arial"/>
                <w:sz w:val="16"/>
              </w:rPr>
              <w:t>Sittings of the Court:</w:t>
            </w:r>
          </w:p>
          <w:p w:rsidR="0013595D" w:rsidRPr="00003B04" w:rsidRDefault="0013595D" w:rsidP="00E942C2">
            <w:pPr>
              <w:widowControl w:val="0"/>
              <w:rPr>
                <w:rFonts w:ascii="Arial" w:hAnsi="Arial"/>
                <w:sz w:val="16"/>
              </w:rPr>
            </w:pPr>
            <w:r w:rsidRPr="00003B04">
              <w:rPr>
                <w:rFonts w:ascii="Arial" w:hAnsi="Arial"/>
                <w:sz w:val="16"/>
              </w:rPr>
              <w:t xml:space="preserve">Séances de la </w:t>
            </w:r>
            <w:proofErr w:type="spellStart"/>
            <w:r w:rsidRPr="00003B04">
              <w:rPr>
                <w:rFonts w:ascii="Arial" w:hAnsi="Arial"/>
                <w:sz w:val="16"/>
              </w:rPr>
              <w:t>Cour</w:t>
            </w:r>
            <w:proofErr w:type="spellEnd"/>
            <w:r w:rsidRPr="00003B04">
              <w:rPr>
                <w:rFonts w:ascii="Arial" w:hAnsi="Arial"/>
                <w:sz w:val="16"/>
              </w:rPr>
              <w:t xml:space="preserve">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003B04" w:rsidRDefault="0013595D" w:rsidP="00E942C2">
            <w:pPr>
              <w:widowControl w:val="0"/>
              <w:rPr>
                <w:rFonts w:ascii="Arial" w:hAnsi="Arial"/>
                <w:sz w:val="16"/>
              </w:rPr>
            </w:pPr>
          </w:p>
          <w:p w:rsidR="0013595D" w:rsidRPr="00003B04"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003B04"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003B04">
              <w:rPr>
                <w:rFonts w:ascii="Arial" w:hAnsi="Arial"/>
                <w:b/>
                <w:sz w:val="16"/>
                <w:lang w:val="fr-CA"/>
              </w:rPr>
              <w:t xml:space="preserve">18  </w:t>
            </w:r>
            <w:proofErr w:type="spellStart"/>
            <w:r w:rsidRPr="00003B04">
              <w:rPr>
                <w:rFonts w:ascii="Arial" w:hAnsi="Arial"/>
                <w:b/>
                <w:sz w:val="16"/>
                <w:lang w:val="fr-CA"/>
              </w:rPr>
              <w:t>sitting</w:t>
            </w:r>
            <w:proofErr w:type="spellEnd"/>
            <w:r w:rsidRPr="00003B04">
              <w:rPr>
                <w:rFonts w:ascii="Arial" w:hAnsi="Arial"/>
                <w:b/>
                <w:sz w:val="16"/>
                <w:lang w:val="fr-CA"/>
              </w:rPr>
              <w:t xml:space="preserve"> </w:t>
            </w:r>
            <w:proofErr w:type="spellStart"/>
            <w:r w:rsidRPr="00003B04">
              <w:rPr>
                <w:rFonts w:ascii="Arial" w:hAnsi="Arial"/>
                <w:b/>
                <w:sz w:val="16"/>
                <w:lang w:val="fr-CA"/>
              </w:rPr>
              <w:t>weeks</w:t>
            </w:r>
            <w:proofErr w:type="spellEnd"/>
            <w:r w:rsidRPr="00003B04">
              <w:rPr>
                <w:rFonts w:ascii="Arial" w:hAnsi="Arial"/>
                <w:b/>
                <w:sz w:val="16"/>
                <w:lang w:val="fr-CA"/>
              </w:rPr>
              <w:t xml:space="preserve"> / semaines séances de la cour</w:t>
            </w:r>
          </w:p>
          <w:p w:rsidR="0013595D" w:rsidRPr="00003B04"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003B04">
              <w:rPr>
                <w:rFonts w:ascii="Arial" w:hAnsi="Arial"/>
                <w:b/>
                <w:sz w:val="16"/>
                <w:lang w:val="fr-CA"/>
              </w:rPr>
              <w:t xml:space="preserve">86  </w:t>
            </w:r>
            <w:proofErr w:type="spellStart"/>
            <w:r w:rsidRPr="00003B04">
              <w:rPr>
                <w:rFonts w:ascii="Arial" w:hAnsi="Arial"/>
                <w:b/>
                <w:sz w:val="16"/>
                <w:lang w:val="fr-CA"/>
              </w:rPr>
              <w:t>sitting</w:t>
            </w:r>
            <w:proofErr w:type="spellEnd"/>
            <w:r w:rsidRPr="00003B04">
              <w:rPr>
                <w:rFonts w:ascii="Arial" w:hAnsi="Arial"/>
                <w:b/>
                <w:sz w:val="16"/>
                <w:lang w:val="fr-CA"/>
              </w:rPr>
              <w:t xml:space="preserve"> </w:t>
            </w:r>
            <w:proofErr w:type="spellStart"/>
            <w:r w:rsidRPr="00003B04">
              <w:rPr>
                <w:rFonts w:ascii="Arial" w:hAnsi="Arial"/>
                <w:b/>
                <w:sz w:val="16"/>
                <w:lang w:val="fr-CA"/>
              </w:rPr>
              <w:t>days</w:t>
            </w:r>
            <w:proofErr w:type="spellEnd"/>
            <w:r w:rsidRPr="00003B04">
              <w:rPr>
                <w:rFonts w:ascii="Arial" w:hAnsi="Arial"/>
                <w:b/>
                <w:sz w:val="16"/>
                <w:lang w:val="fr-CA"/>
              </w:rPr>
              <w:t xml:space="preserve"> / journées séances de la cour</w:t>
            </w:r>
          </w:p>
          <w:p w:rsidR="0013595D" w:rsidRPr="00003B04"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003B04">
              <w:rPr>
                <w:rFonts w:ascii="Arial" w:hAnsi="Arial"/>
                <w:b/>
                <w:sz w:val="16"/>
                <w:lang w:val="fr-CA"/>
              </w:rPr>
              <w:t>4</w:t>
            </w:r>
            <w:r w:rsidRPr="00003B04">
              <w:rPr>
                <w:rFonts w:ascii="Arial" w:hAnsi="Arial"/>
                <w:b/>
                <w:sz w:val="16"/>
              </w:rPr>
              <w:t xml:space="preserve">    holidays during sitting days / </w:t>
            </w:r>
            <w:proofErr w:type="spellStart"/>
            <w:r w:rsidRPr="00003B04">
              <w:rPr>
                <w:rFonts w:ascii="Arial" w:hAnsi="Arial"/>
                <w:b/>
                <w:sz w:val="16"/>
              </w:rPr>
              <w:t>jours</w:t>
            </w:r>
            <w:proofErr w:type="spellEnd"/>
            <w:r w:rsidRPr="00003B04">
              <w:rPr>
                <w:rFonts w:ascii="Arial" w:hAnsi="Arial"/>
                <w:b/>
                <w:sz w:val="16"/>
              </w:rPr>
              <w:t xml:space="preserve"> </w:t>
            </w:r>
            <w:proofErr w:type="spellStart"/>
            <w:r w:rsidRPr="00003B04">
              <w:rPr>
                <w:rFonts w:ascii="Arial" w:hAnsi="Arial"/>
                <w:b/>
                <w:sz w:val="16"/>
              </w:rPr>
              <w:t>fériés</w:t>
            </w:r>
            <w:proofErr w:type="spellEnd"/>
            <w:r w:rsidRPr="00003B04">
              <w:rPr>
                <w:rFonts w:ascii="Arial" w:hAnsi="Arial"/>
                <w:b/>
                <w:sz w:val="16"/>
              </w:rPr>
              <w:t xml:space="preserve"> </w:t>
            </w:r>
            <w:proofErr w:type="spellStart"/>
            <w:r w:rsidRPr="00003B04">
              <w:rPr>
                <w:rFonts w:ascii="Arial" w:hAnsi="Arial"/>
                <w:b/>
                <w:sz w:val="16"/>
              </w:rPr>
              <w:t>durant</w:t>
            </w:r>
            <w:proofErr w:type="spellEnd"/>
            <w:r w:rsidRPr="00003B04">
              <w:rPr>
                <w:rFonts w:ascii="Arial" w:hAnsi="Arial"/>
                <w:b/>
                <w:sz w:val="16"/>
              </w:rPr>
              <w:t xml:space="preserve"> les sessions</w:t>
            </w:r>
          </w:p>
          <w:p w:rsidR="0013595D" w:rsidRPr="00003B04"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003B04"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003B04">
              <w:rPr>
                <w:rFonts w:ascii="Arial" w:hAnsi="Arial"/>
                <w:sz w:val="16"/>
              </w:rPr>
              <w:t>Holidays:</w:t>
            </w:r>
          </w:p>
          <w:p w:rsidR="0013595D" w:rsidRPr="00003B04"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003B04">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003B04">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145"/>
      <w:footerReference w:type="default" r:id="rId146"/>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7BF" w:rsidRDefault="001337BF" w:rsidP="00A87207">
      <w:r>
        <w:separator/>
      </w:r>
    </w:p>
  </w:endnote>
  <w:endnote w:type="continuationSeparator" w:id="0">
    <w:p w:rsidR="001337BF" w:rsidRDefault="001337BF"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BF" w:rsidRDefault="001337B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BF" w:rsidRDefault="00604445">
    <w:pPr>
      <w:pStyle w:val="Footer"/>
      <w:rPr>
        <w:lang w:val="fr-CA"/>
      </w:rPr>
    </w:pPr>
    <w:r>
      <w:rPr>
        <w:lang w:val="fr-CA"/>
      </w:rPr>
      <w:pict>
        <v:rect id="_x0000_i1094" style="width:480.95pt;height:1pt" o:hralign="center" o:hrstd="t" o:hrnoshade="t" o:hr="t" fillcolor="black [3213]" stroked="f"/>
      </w:pict>
    </w:r>
  </w:p>
  <w:p w:rsidR="001337BF" w:rsidRDefault="001337BF" w:rsidP="00245129">
    <w:pPr>
      <w:tabs>
        <w:tab w:val="center" w:pos="4680"/>
      </w:tabs>
    </w:pPr>
    <w:r>
      <w:tab/>
    </w:r>
    <w:r w:rsidRPr="0009648D">
      <w:t xml:space="preserve">- </w:t>
    </w:r>
    <w:r>
      <w:fldChar w:fldCharType="begin"/>
    </w:r>
    <w:r>
      <w:instrText xml:space="preserve"> PAGE   \* MERGEFORMAT </w:instrText>
    </w:r>
    <w:r>
      <w:fldChar w:fldCharType="separate"/>
    </w:r>
    <w:r w:rsidR="00604445">
      <w:rPr>
        <w:noProof/>
      </w:rPr>
      <w:t>304</w:t>
    </w:r>
    <w:r>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BF" w:rsidRDefault="001337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337BF" w:rsidRDefault="001337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337BF" w:rsidRDefault="001337BF">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BF" w:rsidRDefault="00604445" w:rsidP="00755F22">
    <w:pPr>
      <w:tabs>
        <w:tab w:val="left" w:pos="-1440"/>
        <w:tab w:val="left" w:pos="-720"/>
      </w:tabs>
    </w:pPr>
    <w:r>
      <w:pict>
        <v:rect id="_x0000_i1097" style="width:480.95pt;height:1pt" o:hralign="center" o:hrstd="t" o:hrnoshade="t" o:hr="t" fillcolor="black [3213]" stroked="f"/>
      </w:pict>
    </w:r>
  </w:p>
  <w:p w:rsidR="001337BF" w:rsidRDefault="001337BF" w:rsidP="00EB2B90">
    <w:pPr>
      <w:tabs>
        <w:tab w:val="center" w:pos="4680"/>
      </w:tabs>
    </w:pPr>
    <w:r>
      <w:tab/>
      <w:t xml:space="preserve">- </w:t>
    </w:r>
    <w:r>
      <w:fldChar w:fldCharType="begin"/>
    </w:r>
    <w:r>
      <w:instrText xml:space="preserve"> PAGE   \* MERGEFORMAT </w:instrText>
    </w:r>
    <w:r>
      <w:fldChar w:fldCharType="separate"/>
    </w:r>
    <w:r w:rsidR="00604445">
      <w:rPr>
        <w:noProof/>
      </w:rPr>
      <w:t>348</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BF" w:rsidRDefault="00604445" w:rsidP="00EB2B90">
    <w:pPr>
      <w:tabs>
        <w:tab w:val="center" w:pos="4680"/>
      </w:tabs>
    </w:pPr>
    <w:r>
      <w:pict>
        <v:rect id="_x0000_i1098" style="width:480.95pt;height:1pt" o:hralign="center" o:hrstd="t" o:hrnoshade="t" o:hr="t" fillcolor="black [3213]" stroked="f"/>
      </w:pict>
    </w:r>
  </w:p>
  <w:p w:rsidR="001337BF" w:rsidRPr="0031432F" w:rsidRDefault="001337BF" w:rsidP="00EB2B90">
    <w:pPr>
      <w:tabs>
        <w:tab w:val="center" w:pos="4680"/>
      </w:tabs>
    </w:pPr>
    <w:r>
      <w:tab/>
      <w:t xml:space="preserve">- </w:t>
    </w:r>
    <w:r>
      <w:fldChar w:fldCharType="begin"/>
    </w:r>
    <w:r>
      <w:instrText xml:space="preserve"> PAGE   \* MERGEFORMAT </w:instrText>
    </w:r>
    <w:r>
      <w:fldChar w:fldCharType="separate"/>
    </w:r>
    <w:r w:rsidR="00604445">
      <w:rPr>
        <w:noProof/>
      </w:rPr>
      <w:t>346</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BF" w:rsidRDefault="001337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337BF" w:rsidRDefault="001337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337BF" w:rsidRDefault="001337BF">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BF" w:rsidRDefault="00604445" w:rsidP="00732DB7">
    <w:r>
      <w:pict>
        <v:rect id="_x0000_i1104" style="width:480.95pt;height:1pt" o:hralign="center" o:hrstd="t" o:hrnoshade="t" o:hr="t" fillcolor="black" stroked="f"/>
      </w:pict>
    </w:r>
  </w:p>
  <w:p w:rsidR="001337BF" w:rsidRDefault="001337BF">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BF" w:rsidRDefault="00604445">
    <w:pPr>
      <w:pStyle w:val="Footer"/>
    </w:pPr>
    <w:r>
      <w:pict>
        <v:rect id="_x0000_i1105" style="width:480.95pt;height:1pt" o:hralign="center" o:hrstd="t" o:hrnoshade="t" o:hr="t" fillcolor="black" stroked="f"/>
      </w:pict>
    </w:r>
  </w:p>
  <w:p w:rsidR="001337BF" w:rsidRPr="00283C52" w:rsidRDefault="001337BF">
    <w:pPr>
      <w:pStyle w:val="Footer"/>
    </w:pPr>
    <w:r>
      <w:tab/>
    </w:r>
    <w:r w:rsidRPr="00283C52">
      <w:t xml:space="preserve">- </w:t>
    </w:r>
    <w:r w:rsidRPr="00283C52">
      <w:pgNum/>
    </w:r>
    <w:r w:rsidRPr="00283C52">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BF" w:rsidRDefault="001337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337BF" w:rsidRDefault="001337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337BF" w:rsidRDefault="001337BF">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BF" w:rsidRDefault="00604445" w:rsidP="00732DB7">
    <w:r>
      <w:pict>
        <v:rect id="_x0000_i1108" style="width:480.95pt;height:1pt" o:hralign="center" o:hrstd="t" o:hrnoshade="t" o:hr="t" fillcolor="black" stroked="f"/>
      </w:pict>
    </w:r>
  </w:p>
  <w:p w:rsidR="001337BF" w:rsidRDefault="001337BF">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BF" w:rsidRDefault="00604445">
    <w:pPr>
      <w:pStyle w:val="Footer"/>
    </w:pPr>
    <w:r>
      <w:pict>
        <v:rect id="_x0000_i1109" style="width:480.95pt;height:1pt" o:hralign="center" o:hrstd="t" o:hrnoshade="t" o:hr="t" fillcolor="black [3213]" stroked="f"/>
      </w:pict>
    </w:r>
  </w:p>
  <w:p w:rsidR="001337BF" w:rsidRPr="003C2C0F" w:rsidRDefault="001337BF" w:rsidP="00697C62">
    <w:pPr>
      <w:tabs>
        <w:tab w:val="center" w:pos="4680"/>
      </w:tabs>
    </w:pPr>
    <w:r>
      <w:tab/>
      <w:t xml:space="preserve">- </w:t>
    </w:r>
    <w:r>
      <w:fldChar w:fldCharType="begin"/>
    </w:r>
    <w:r>
      <w:instrText xml:space="preserve"> PAGE   \* MERGEFORMAT </w:instrText>
    </w:r>
    <w:r>
      <w:fldChar w:fldCharType="separate"/>
    </w:r>
    <w:r w:rsidR="00604445">
      <w:rPr>
        <w:noProof/>
      </w:rPr>
      <w:t>354</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BF" w:rsidRDefault="001337BF">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BF" w:rsidRDefault="001337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337BF" w:rsidRDefault="001337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337BF" w:rsidRDefault="001337BF">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BF" w:rsidRDefault="001337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337BF" w:rsidRDefault="006044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12" style="width:480.95pt;height:1pt" o:hralign="center" o:hrstd="t" o:hrnoshade="t" o:hr="t" fillcolor="black [3213]" stroked="f"/>
      </w:pict>
    </w:r>
  </w:p>
  <w:p w:rsidR="001337BF" w:rsidRDefault="001337BF"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604445">
      <w:rPr>
        <w:noProof/>
        <w:szCs w:val="24"/>
      </w:rPr>
      <w:t>359</w:t>
    </w:r>
    <w:r w:rsidRPr="001775C1">
      <w:rPr>
        <w:szCs w:val="24"/>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BF" w:rsidRDefault="00604445" w:rsidP="00782AE4">
    <w:pPr>
      <w:tabs>
        <w:tab w:val="center" w:pos="4680"/>
      </w:tabs>
    </w:pPr>
    <w:r>
      <w:pict>
        <v:rect id="_x0000_i1113" style="width:480.95pt;height:1pt" o:hralign="center" o:hrstd="t" o:hrnoshade="t" o:hr="t" fillcolor="black [3213]" stroked="f"/>
      </w:pict>
    </w:r>
  </w:p>
  <w:p w:rsidR="001337BF" w:rsidRDefault="001337BF"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604445">
      <w:rPr>
        <w:noProof/>
        <w:szCs w:val="24"/>
      </w:rPr>
      <w:t>356</w:t>
    </w:r>
    <w:r w:rsidRPr="001775C1">
      <w:rPr>
        <w:szCs w:val="24"/>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BF" w:rsidRPr="00924065" w:rsidRDefault="001337BF"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BF" w:rsidRDefault="001337B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BF" w:rsidRDefault="00604445" w:rsidP="00A87207">
    <w:pPr>
      <w:pStyle w:val="Footer"/>
    </w:pPr>
    <w:r>
      <w:pict>
        <v:rect id="_x0000_i1044" style="width:480.95pt;height:1pt" o:hralign="center" o:hrstd="t" o:hrnoshade="t" o:hr="t" fillcolor="black [3213]" stroked="f"/>
      </w:pict>
    </w:r>
  </w:p>
  <w:p w:rsidR="001337BF" w:rsidRPr="00B7374B" w:rsidRDefault="001337BF"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604445">
      <w:rPr>
        <w:noProof/>
        <w:szCs w:val="24"/>
      </w:rPr>
      <w:t>302</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BF" w:rsidRDefault="00604445" w:rsidP="00755F22">
    <w:pPr>
      <w:tabs>
        <w:tab w:val="left" w:pos="-1440"/>
        <w:tab w:val="left" w:pos="-720"/>
      </w:tabs>
    </w:pPr>
    <w:r>
      <w:pict>
        <v:rect id="_x0000_i1045" style="width:480.95pt;height:1pt" o:hralign="center" o:hrstd="t" o:hrnoshade="t" o:hr="t" fillcolor="black [3213]" stroked="f"/>
      </w:pict>
    </w:r>
  </w:p>
  <w:p w:rsidR="001337BF" w:rsidRPr="00954D22" w:rsidRDefault="001337BF"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604445">
      <w:rPr>
        <w:noProof/>
        <w:szCs w:val="24"/>
      </w:rPr>
      <w:t>300</w:t>
    </w:r>
    <w:r>
      <w:rPr>
        <w:szCs w:val="24"/>
      </w:rPr>
      <w:fldChar w:fldCharType="end"/>
    </w:r>
    <w:r w:rsidRPr="00954D22">
      <w:rPr>
        <w:szCs w:val="24"/>
      </w:rPr>
      <w:t xml:space="preserve"> -</w:t>
    </w:r>
  </w:p>
  <w:p w:rsidR="001337BF" w:rsidRDefault="001337B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BF" w:rsidRDefault="00604445" w:rsidP="00A87207">
    <w:pPr>
      <w:pStyle w:val="Footer"/>
    </w:pPr>
    <w:r>
      <w:pict>
        <v:rect id="_x0000_i1047" style="width:480.95pt;height:1pt" o:hralign="center" o:hrstd="t" o:hrnoshade="t" o:hr="t" fillcolor="black [3213]" stroked="f"/>
      </w:pict>
    </w:r>
  </w:p>
  <w:p w:rsidR="001337BF" w:rsidRPr="00B7374B" w:rsidRDefault="001337BF"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BF" w:rsidRDefault="00604445"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8" style="width:480.95pt;height:1pt" o:hralign="center" o:hrstd="t" o:hrnoshade="t" o:hr="t" fillcolor="black [3213]" stroked="f"/>
      </w:pict>
    </w:r>
  </w:p>
  <w:p w:rsidR="001337BF" w:rsidRPr="00954D22" w:rsidRDefault="001337BF"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604445">
      <w:rPr>
        <w:noProof/>
        <w:szCs w:val="24"/>
      </w:rPr>
      <w:t>303</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BF" w:rsidRDefault="001337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1337BF" w:rsidRDefault="001337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337BF" w:rsidRDefault="001337BF">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BF" w:rsidRDefault="006044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93" style="width:480.95pt;height:1pt" o:hralign="center" o:hrstd="t" o:hrnoshade="t" o:hr="t" fillcolor="black [3213]" stroked="f"/>
      </w:pict>
    </w:r>
  </w:p>
  <w:p w:rsidR="001337BF" w:rsidRPr="0009648D" w:rsidRDefault="001337BF" w:rsidP="00ED7E83">
    <w:pPr>
      <w:tabs>
        <w:tab w:val="center" w:pos="4680"/>
      </w:tabs>
    </w:pPr>
    <w:r>
      <w:tab/>
    </w:r>
    <w:r w:rsidRPr="0009648D">
      <w:t xml:space="preserve">- </w:t>
    </w:r>
    <w:r>
      <w:fldChar w:fldCharType="begin"/>
    </w:r>
    <w:r>
      <w:instrText xml:space="preserve"> PAGE   \* MERGEFORMAT </w:instrText>
    </w:r>
    <w:r>
      <w:fldChar w:fldCharType="separate"/>
    </w:r>
    <w:r w:rsidR="00604445">
      <w:rPr>
        <w:noProof/>
      </w:rPr>
      <w:t>345</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7BF" w:rsidRDefault="001337BF" w:rsidP="00A87207">
      <w:r>
        <w:separator/>
      </w:r>
    </w:p>
  </w:footnote>
  <w:footnote w:type="continuationSeparator" w:id="0">
    <w:p w:rsidR="001337BF" w:rsidRDefault="001337BF"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BF" w:rsidRDefault="001337B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BF" w:rsidRDefault="001337B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1337BF">
      <w:tc>
        <w:tcPr>
          <w:tcW w:w="4230" w:type="dxa"/>
          <w:tcMar>
            <w:left w:w="0" w:type="dxa"/>
            <w:right w:w="0" w:type="dxa"/>
          </w:tcMar>
        </w:tcPr>
        <w:p w:rsidR="001337BF" w:rsidRDefault="001337B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1337BF" w:rsidRDefault="001337B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337BF" w:rsidRDefault="001337B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1337BF">
      <w:trPr>
        <w:gridAfter w:val="2"/>
        <w:wAfter w:w="5250" w:type="dxa"/>
      </w:trPr>
      <w:tc>
        <w:tcPr>
          <w:tcW w:w="4230" w:type="dxa"/>
          <w:tcMar>
            <w:left w:w="0" w:type="dxa"/>
            <w:right w:w="0" w:type="dxa"/>
          </w:tcMar>
        </w:tcPr>
        <w:p w:rsidR="001337BF" w:rsidRDefault="001337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337BF" w:rsidRDefault="001337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1337BF" w:rsidRPr="00755F22" w:rsidTr="00245129">
      <w:tc>
        <w:tcPr>
          <w:tcW w:w="4230" w:type="dxa"/>
          <w:tcMar>
            <w:left w:w="0" w:type="dxa"/>
            <w:right w:w="0" w:type="dxa"/>
          </w:tcMar>
        </w:tcPr>
        <w:p w:rsidR="001337BF" w:rsidRPr="00755F22" w:rsidRDefault="001337BF" w:rsidP="00831CA9">
          <w:pPr>
            <w:keepNext/>
            <w:keepLines/>
            <w:rPr>
              <w:sz w:val="20"/>
              <w:szCs w:val="20"/>
            </w:rPr>
          </w:pPr>
          <w:r w:rsidRPr="00755F22">
            <w:rPr>
              <w:sz w:val="20"/>
              <w:szCs w:val="20"/>
            </w:rPr>
            <w:t>MOTIONS</w:t>
          </w:r>
        </w:p>
      </w:tc>
      <w:tc>
        <w:tcPr>
          <w:tcW w:w="1170" w:type="dxa"/>
          <w:tcMar>
            <w:left w:w="0" w:type="dxa"/>
            <w:right w:w="0" w:type="dxa"/>
          </w:tcMar>
        </w:tcPr>
        <w:p w:rsidR="001337BF" w:rsidRPr="00755F22" w:rsidRDefault="001337BF" w:rsidP="00831CA9">
          <w:pPr>
            <w:keepLines/>
            <w:jc w:val="center"/>
            <w:rPr>
              <w:sz w:val="20"/>
              <w:szCs w:val="20"/>
            </w:rPr>
          </w:pPr>
        </w:p>
        <w:p w:rsidR="001337BF" w:rsidRPr="00755F22" w:rsidRDefault="001337BF" w:rsidP="00831CA9">
          <w:pPr>
            <w:keepLines/>
            <w:tabs>
              <w:tab w:val="left" w:pos="-1440"/>
              <w:tab w:val="left" w:pos="-720"/>
            </w:tabs>
            <w:jc w:val="center"/>
            <w:rPr>
              <w:sz w:val="20"/>
              <w:szCs w:val="20"/>
            </w:rPr>
          </w:pPr>
        </w:p>
      </w:tc>
      <w:tc>
        <w:tcPr>
          <w:tcW w:w="4080" w:type="dxa"/>
          <w:tcMar>
            <w:left w:w="0" w:type="dxa"/>
            <w:right w:w="0" w:type="dxa"/>
          </w:tcMar>
        </w:tcPr>
        <w:p w:rsidR="001337BF" w:rsidRPr="00BA6468" w:rsidRDefault="001337BF" w:rsidP="00BA6468">
          <w:pPr>
            <w:keepLines/>
            <w:rPr>
              <w:sz w:val="20"/>
              <w:szCs w:val="20"/>
              <w:lang w:val="fr-CA"/>
            </w:rPr>
          </w:pPr>
          <w:r w:rsidRPr="00BA6468">
            <w:rPr>
              <w:sz w:val="20"/>
              <w:szCs w:val="20"/>
              <w:lang w:val="fr-CA"/>
            </w:rPr>
            <w:t>REQUÊTES</w:t>
          </w:r>
        </w:p>
      </w:tc>
    </w:tr>
  </w:tbl>
  <w:p w:rsidR="001337BF" w:rsidRDefault="001337BF"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BF" w:rsidRDefault="001337B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337BF" w:rsidRPr="00C3697D">
      <w:tc>
        <w:tcPr>
          <w:tcW w:w="4200" w:type="dxa"/>
          <w:tcMar>
            <w:left w:w="0" w:type="dxa"/>
            <w:right w:w="0" w:type="dxa"/>
          </w:tcMar>
        </w:tcPr>
        <w:p w:rsidR="001337BF" w:rsidRDefault="001337B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1337BF" w:rsidRDefault="001337B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337BF" w:rsidRPr="00283C52" w:rsidRDefault="001337B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1337BF" w:rsidRPr="00283C52" w:rsidRDefault="001337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1337BF" w:rsidRPr="00283C52" w:rsidRDefault="001337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337BF" w:rsidRPr="00C3697D" w:rsidTr="00245129">
      <w:tc>
        <w:tcPr>
          <w:tcW w:w="4200" w:type="dxa"/>
          <w:tcMar>
            <w:left w:w="0" w:type="dxa"/>
            <w:right w:w="0" w:type="dxa"/>
          </w:tcMar>
        </w:tcPr>
        <w:p w:rsidR="001337BF" w:rsidRPr="00732DB7" w:rsidRDefault="001337BF"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1337BF" w:rsidRPr="00732DB7" w:rsidRDefault="001337BF" w:rsidP="00732DB7">
          <w:pPr>
            <w:keepNext/>
            <w:keepLines/>
            <w:tabs>
              <w:tab w:val="left" w:pos="-1440"/>
              <w:tab w:val="left" w:pos="-720"/>
            </w:tabs>
            <w:jc w:val="center"/>
            <w:rPr>
              <w:sz w:val="20"/>
              <w:szCs w:val="20"/>
            </w:rPr>
          </w:pPr>
        </w:p>
        <w:p w:rsidR="001337BF" w:rsidRPr="00732DB7" w:rsidRDefault="001337BF" w:rsidP="00732DB7">
          <w:pPr>
            <w:keepNext/>
            <w:keepLines/>
            <w:tabs>
              <w:tab w:val="left" w:pos="-1440"/>
              <w:tab w:val="left" w:pos="-720"/>
            </w:tabs>
            <w:jc w:val="center"/>
            <w:rPr>
              <w:sz w:val="20"/>
              <w:szCs w:val="20"/>
            </w:rPr>
          </w:pPr>
        </w:p>
        <w:p w:rsidR="001337BF" w:rsidRPr="00732DB7" w:rsidRDefault="001337BF" w:rsidP="00732DB7">
          <w:pPr>
            <w:keepNext/>
            <w:keepLines/>
            <w:tabs>
              <w:tab w:val="left" w:pos="-1440"/>
              <w:tab w:val="left" w:pos="-720"/>
            </w:tabs>
            <w:jc w:val="center"/>
            <w:rPr>
              <w:sz w:val="20"/>
              <w:szCs w:val="20"/>
            </w:rPr>
          </w:pPr>
        </w:p>
      </w:tc>
      <w:tc>
        <w:tcPr>
          <w:tcW w:w="4080" w:type="dxa"/>
          <w:tcMar>
            <w:left w:w="0" w:type="dxa"/>
            <w:right w:w="0" w:type="dxa"/>
          </w:tcMar>
        </w:tcPr>
        <w:p w:rsidR="001337BF" w:rsidRPr="00732DB7" w:rsidRDefault="001337BF"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1337BF" w:rsidRPr="00283C52" w:rsidRDefault="001337BF"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BF" w:rsidRDefault="001337B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337BF" w:rsidRPr="00C3697D">
      <w:tc>
        <w:tcPr>
          <w:tcW w:w="4200" w:type="dxa"/>
          <w:tcMar>
            <w:left w:w="0" w:type="dxa"/>
            <w:right w:w="0" w:type="dxa"/>
          </w:tcMar>
        </w:tcPr>
        <w:p w:rsidR="001337BF" w:rsidRDefault="001337B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1337BF" w:rsidRDefault="001337B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1337BF" w:rsidRDefault="001337B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1337BF" w:rsidRPr="003C2C0F" w:rsidRDefault="001337B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1337BF" w:rsidRPr="003C2C0F" w:rsidRDefault="001337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1337BF" w:rsidRPr="003C2C0F" w:rsidRDefault="001337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337BF" w:rsidRPr="00C3697D" w:rsidTr="00245129">
      <w:tc>
        <w:tcPr>
          <w:tcW w:w="4200" w:type="dxa"/>
          <w:tcMar>
            <w:left w:w="0" w:type="dxa"/>
            <w:right w:w="0" w:type="dxa"/>
          </w:tcMar>
        </w:tcPr>
        <w:p w:rsidR="001337BF" w:rsidRPr="00FF6EEC" w:rsidRDefault="001337BF" w:rsidP="00FF6EEC">
          <w:pPr>
            <w:rPr>
              <w:sz w:val="20"/>
              <w:szCs w:val="20"/>
            </w:rPr>
          </w:pPr>
          <w:r w:rsidRPr="00FF6EEC">
            <w:rPr>
              <w:sz w:val="20"/>
              <w:szCs w:val="20"/>
            </w:rPr>
            <w:t>PRONOUNCEMENTS OF APPEALS RESERVED</w:t>
          </w:r>
        </w:p>
      </w:tc>
      <w:tc>
        <w:tcPr>
          <w:tcW w:w="1200" w:type="dxa"/>
          <w:tcMar>
            <w:left w:w="0" w:type="dxa"/>
            <w:right w:w="0" w:type="dxa"/>
          </w:tcMar>
        </w:tcPr>
        <w:p w:rsidR="001337BF" w:rsidRPr="00FF6EEC" w:rsidRDefault="001337BF" w:rsidP="00FF6EEC">
          <w:pPr>
            <w:jc w:val="center"/>
            <w:rPr>
              <w:sz w:val="20"/>
              <w:szCs w:val="20"/>
            </w:rPr>
          </w:pPr>
        </w:p>
        <w:p w:rsidR="001337BF" w:rsidRPr="00FF6EEC" w:rsidRDefault="001337BF" w:rsidP="00FF6EEC">
          <w:pPr>
            <w:jc w:val="center"/>
            <w:rPr>
              <w:sz w:val="20"/>
              <w:szCs w:val="20"/>
            </w:rPr>
          </w:pPr>
        </w:p>
        <w:p w:rsidR="001337BF" w:rsidRPr="00FF6EEC" w:rsidRDefault="001337BF" w:rsidP="00FF6EEC">
          <w:pPr>
            <w:jc w:val="center"/>
            <w:rPr>
              <w:sz w:val="20"/>
              <w:szCs w:val="20"/>
            </w:rPr>
          </w:pPr>
        </w:p>
      </w:tc>
      <w:tc>
        <w:tcPr>
          <w:tcW w:w="4080" w:type="dxa"/>
          <w:tcMar>
            <w:left w:w="0" w:type="dxa"/>
            <w:right w:w="0" w:type="dxa"/>
          </w:tcMar>
        </w:tcPr>
        <w:p w:rsidR="001337BF" w:rsidRPr="00FF6EEC" w:rsidRDefault="001337BF" w:rsidP="00FF6EEC">
          <w:pPr>
            <w:rPr>
              <w:sz w:val="20"/>
              <w:szCs w:val="20"/>
              <w:lang w:val="fr-CA"/>
            </w:rPr>
          </w:pPr>
          <w:r w:rsidRPr="00FF6EEC">
            <w:rPr>
              <w:sz w:val="20"/>
              <w:szCs w:val="20"/>
              <w:lang w:val="fr-CA"/>
            </w:rPr>
            <w:t>JUGEMENTS RENDUS SUR LES APPELS EN DÉLIBÉRÉ</w:t>
          </w:r>
        </w:p>
      </w:tc>
    </w:tr>
  </w:tbl>
  <w:p w:rsidR="001337BF" w:rsidRPr="003C2C0F" w:rsidRDefault="001337BF"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BF" w:rsidRDefault="001337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BF" w:rsidRDefault="001337B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1337BF">
      <w:tc>
        <w:tcPr>
          <w:tcW w:w="4230" w:type="dxa"/>
          <w:tcMar>
            <w:left w:w="0" w:type="dxa"/>
            <w:right w:w="0" w:type="dxa"/>
          </w:tcMar>
        </w:tcPr>
        <w:p w:rsidR="001337BF" w:rsidRDefault="001337B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1337BF" w:rsidRDefault="001337B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1337BF" w:rsidRDefault="001337B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1337BF" w:rsidRDefault="001337B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337BF" w:rsidRDefault="001337B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1337BF" w:rsidRDefault="001337B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1337BF" w:rsidRDefault="001337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337BF" w:rsidRDefault="001337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1337BF" w:rsidRPr="00782AE4" w:rsidTr="00245129">
      <w:tc>
        <w:tcPr>
          <w:tcW w:w="4230" w:type="dxa"/>
          <w:tcMar>
            <w:left w:w="0" w:type="dxa"/>
            <w:right w:w="0" w:type="dxa"/>
          </w:tcMar>
        </w:tcPr>
        <w:p w:rsidR="001337BF" w:rsidRPr="00782AE4" w:rsidRDefault="001337BF" w:rsidP="00102926">
          <w:pPr>
            <w:keepNext/>
            <w:keepLines/>
            <w:tabs>
              <w:tab w:val="left" w:pos="-1440"/>
              <w:tab w:val="left" w:pos="-720"/>
            </w:tabs>
            <w:rPr>
              <w:sz w:val="20"/>
              <w:szCs w:val="20"/>
            </w:rPr>
          </w:pPr>
          <w:r w:rsidRPr="00782AE4">
            <w:rPr>
              <w:sz w:val="20"/>
              <w:szCs w:val="20"/>
            </w:rPr>
            <w:t xml:space="preserve">HEADNOTES OF RECENT </w:t>
          </w:r>
        </w:p>
        <w:p w:rsidR="001337BF" w:rsidRPr="00782AE4" w:rsidRDefault="001337B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1337BF" w:rsidRDefault="001337BF" w:rsidP="00102926">
          <w:pPr>
            <w:keepNext/>
            <w:keepLines/>
            <w:tabs>
              <w:tab w:val="left" w:pos="-1440"/>
              <w:tab w:val="left" w:pos="-720"/>
            </w:tabs>
            <w:jc w:val="center"/>
            <w:rPr>
              <w:sz w:val="20"/>
              <w:szCs w:val="20"/>
            </w:rPr>
          </w:pPr>
        </w:p>
        <w:p w:rsidR="001337BF" w:rsidRDefault="001337BF" w:rsidP="00102926">
          <w:pPr>
            <w:keepNext/>
            <w:keepLines/>
            <w:tabs>
              <w:tab w:val="left" w:pos="-1440"/>
              <w:tab w:val="left" w:pos="-720"/>
            </w:tabs>
            <w:jc w:val="center"/>
            <w:rPr>
              <w:sz w:val="20"/>
              <w:szCs w:val="20"/>
            </w:rPr>
          </w:pPr>
        </w:p>
        <w:p w:rsidR="001337BF" w:rsidRPr="00782AE4" w:rsidRDefault="001337BF" w:rsidP="00102926">
          <w:pPr>
            <w:keepNext/>
            <w:keepLines/>
            <w:tabs>
              <w:tab w:val="left" w:pos="-1440"/>
              <w:tab w:val="left" w:pos="-720"/>
            </w:tabs>
            <w:jc w:val="center"/>
            <w:rPr>
              <w:sz w:val="20"/>
              <w:szCs w:val="20"/>
            </w:rPr>
          </w:pPr>
        </w:p>
      </w:tc>
      <w:tc>
        <w:tcPr>
          <w:tcW w:w="4080" w:type="dxa"/>
          <w:tcMar>
            <w:left w:w="0" w:type="dxa"/>
            <w:right w:w="0" w:type="dxa"/>
          </w:tcMar>
        </w:tcPr>
        <w:p w:rsidR="001337BF" w:rsidRPr="00102926" w:rsidRDefault="001337B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1337BF" w:rsidRPr="00782AE4" w:rsidRDefault="001337BF" w:rsidP="00102926">
          <w:pPr>
            <w:keepLines/>
            <w:tabs>
              <w:tab w:val="left" w:pos="-1440"/>
              <w:tab w:val="left" w:pos="-720"/>
            </w:tabs>
            <w:rPr>
              <w:sz w:val="20"/>
              <w:szCs w:val="20"/>
            </w:rPr>
          </w:pPr>
          <w:r w:rsidRPr="00102926">
            <w:rPr>
              <w:sz w:val="20"/>
              <w:szCs w:val="20"/>
              <w:lang w:val="fr-CA"/>
            </w:rPr>
            <w:t>RÉCENTS</w:t>
          </w:r>
        </w:p>
      </w:tc>
    </w:tr>
  </w:tbl>
  <w:p w:rsidR="001337BF" w:rsidRDefault="001337BF"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BF" w:rsidRDefault="001337BF">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BF" w:rsidRDefault="001337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BF" w:rsidRDefault="001337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1337BF" w:rsidRPr="0044776A" w:rsidTr="00245129">
      <w:tc>
        <w:tcPr>
          <w:tcW w:w="4290" w:type="dxa"/>
          <w:tcMar>
            <w:left w:w="0" w:type="dxa"/>
            <w:right w:w="0" w:type="dxa"/>
          </w:tcMar>
        </w:tcPr>
        <w:p w:rsidR="001337BF" w:rsidRPr="0044776A" w:rsidRDefault="001337BF"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1337BF" w:rsidRPr="0044776A" w:rsidRDefault="001337BF" w:rsidP="002E2327">
          <w:pPr>
            <w:keepNext/>
            <w:keepLines/>
            <w:tabs>
              <w:tab w:val="left" w:pos="-1440"/>
              <w:tab w:val="left" w:pos="-720"/>
            </w:tabs>
            <w:jc w:val="center"/>
            <w:rPr>
              <w:sz w:val="20"/>
              <w:szCs w:val="20"/>
            </w:rPr>
          </w:pPr>
        </w:p>
        <w:p w:rsidR="001337BF" w:rsidRPr="0044776A" w:rsidRDefault="001337BF" w:rsidP="002E2327">
          <w:pPr>
            <w:keepNext/>
            <w:keepLines/>
            <w:tabs>
              <w:tab w:val="left" w:pos="-1440"/>
              <w:tab w:val="left" w:pos="-720"/>
            </w:tabs>
            <w:jc w:val="center"/>
            <w:rPr>
              <w:sz w:val="20"/>
              <w:szCs w:val="20"/>
            </w:rPr>
          </w:pPr>
        </w:p>
        <w:p w:rsidR="001337BF" w:rsidRPr="0044776A" w:rsidRDefault="001337BF" w:rsidP="002E2327">
          <w:pPr>
            <w:keepNext/>
            <w:keepLines/>
            <w:tabs>
              <w:tab w:val="left" w:pos="-1440"/>
              <w:tab w:val="left" w:pos="-720"/>
            </w:tabs>
            <w:jc w:val="center"/>
            <w:rPr>
              <w:sz w:val="20"/>
              <w:szCs w:val="20"/>
            </w:rPr>
          </w:pPr>
        </w:p>
      </w:tc>
      <w:tc>
        <w:tcPr>
          <w:tcW w:w="4320" w:type="dxa"/>
          <w:tcMar>
            <w:left w:w="0" w:type="dxa"/>
            <w:right w:w="0" w:type="dxa"/>
          </w:tcMar>
        </w:tcPr>
        <w:p w:rsidR="001337BF" w:rsidRPr="0044776A" w:rsidRDefault="001337BF" w:rsidP="002E2327">
          <w:pPr>
            <w:keepLines/>
            <w:rPr>
              <w:sz w:val="20"/>
              <w:szCs w:val="20"/>
              <w:lang w:val="fr-CA"/>
            </w:rPr>
          </w:pPr>
          <w:r w:rsidRPr="0044776A">
            <w:rPr>
              <w:sz w:val="20"/>
              <w:szCs w:val="20"/>
              <w:lang w:val="fr-CA"/>
            </w:rPr>
            <w:t>DEMANDES D'AUTORISATION D'APPEL DÉPOSÉES</w:t>
          </w:r>
        </w:p>
      </w:tc>
    </w:tr>
  </w:tbl>
  <w:p w:rsidR="001337BF" w:rsidRDefault="001337B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BF" w:rsidRDefault="001337B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337BF" w:rsidRPr="00C3697D" w:rsidTr="00245129">
      <w:tc>
        <w:tcPr>
          <w:tcW w:w="4200" w:type="dxa"/>
          <w:tcMar>
            <w:left w:w="0" w:type="dxa"/>
            <w:right w:w="0" w:type="dxa"/>
          </w:tcMar>
        </w:tcPr>
        <w:p w:rsidR="001337BF" w:rsidRPr="0044776A" w:rsidRDefault="001337BF" w:rsidP="0044776A">
          <w:pPr>
            <w:keepNext/>
            <w:keepLines/>
            <w:widowControl w:val="0"/>
            <w:rPr>
              <w:sz w:val="20"/>
              <w:szCs w:val="20"/>
            </w:rPr>
          </w:pPr>
          <w:r>
            <w:rPr>
              <w:sz w:val="20"/>
              <w:szCs w:val="20"/>
            </w:rPr>
            <w:t>APPLICATIONS FOR LEAVE</w:t>
          </w:r>
        </w:p>
        <w:p w:rsidR="001337BF" w:rsidRPr="0044776A" w:rsidRDefault="001337BF"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1337BF" w:rsidRPr="0044776A" w:rsidRDefault="001337BF" w:rsidP="0044776A">
          <w:pPr>
            <w:keepNext/>
            <w:keepLines/>
            <w:widowControl w:val="0"/>
            <w:jc w:val="center"/>
            <w:rPr>
              <w:sz w:val="20"/>
              <w:szCs w:val="20"/>
            </w:rPr>
          </w:pPr>
        </w:p>
        <w:p w:rsidR="001337BF" w:rsidRPr="0044776A" w:rsidRDefault="001337BF" w:rsidP="0044776A">
          <w:pPr>
            <w:keepNext/>
            <w:keepLines/>
            <w:widowControl w:val="0"/>
            <w:jc w:val="center"/>
            <w:rPr>
              <w:sz w:val="20"/>
              <w:szCs w:val="20"/>
            </w:rPr>
          </w:pPr>
        </w:p>
        <w:p w:rsidR="001337BF" w:rsidRPr="0044776A" w:rsidRDefault="001337BF" w:rsidP="0044776A">
          <w:pPr>
            <w:keepNext/>
            <w:keepLines/>
            <w:widowControl w:val="0"/>
            <w:jc w:val="center"/>
            <w:rPr>
              <w:sz w:val="20"/>
              <w:szCs w:val="20"/>
            </w:rPr>
          </w:pPr>
        </w:p>
      </w:tc>
      <w:tc>
        <w:tcPr>
          <w:tcW w:w="4080" w:type="dxa"/>
          <w:tcMar>
            <w:left w:w="0" w:type="dxa"/>
            <w:right w:w="0" w:type="dxa"/>
          </w:tcMar>
        </w:tcPr>
        <w:p w:rsidR="001337BF" w:rsidRPr="0044776A" w:rsidRDefault="001337BF" w:rsidP="0044776A">
          <w:pPr>
            <w:keepLines/>
            <w:widowControl w:val="0"/>
            <w:rPr>
              <w:sz w:val="20"/>
              <w:szCs w:val="20"/>
              <w:lang w:val="fr-CA"/>
            </w:rPr>
          </w:pPr>
          <w:r w:rsidRPr="0044776A">
            <w:rPr>
              <w:sz w:val="20"/>
              <w:szCs w:val="20"/>
              <w:lang w:val="fr-CA"/>
            </w:rPr>
            <w:t>DEMANDES SOUMISES À LA COUR DEPUIS LA DERNIÈRE PARUTION</w:t>
          </w:r>
        </w:p>
        <w:p w:rsidR="001337BF" w:rsidRPr="0044776A" w:rsidRDefault="001337BF" w:rsidP="0044776A">
          <w:pPr>
            <w:widowControl w:val="0"/>
            <w:rPr>
              <w:sz w:val="20"/>
              <w:szCs w:val="20"/>
              <w:lang w:val="fr-CA"/>
            </w:rPr>
          </w:pPr>
        </w:p>
      </w:tc>
    </w:tr>
  </w:tbl>
  <w:p w:rsidR="001337BF" w:rsidRPr="002E2327" w:rsidRDefault="001337BF">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BF" w:rsidRDefault="001337B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337BF" w:rsidRPr="00C3697D">
      <w:tc>
        <w:tcPr>
          <w:tcW w:w="4200" w:type="dxa"/>
          <w:tcMar>
            <w:left w:w="0" w:type="dxa"/>
            <w:right w:w="0" w:type="dxa"/>
          </w:tcMar>
        </w:tcPr>
        <w:p w:rsidR="001337BF" w:rsidRDefault="001337B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1337BF" w:rsidRDefault="001337B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1337BF" w:rsidRDefault="001337B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337BF" w:rsidRPr="00FF6BA5" w:rsidRDefault="001337B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1337BF" w:rsidRPr="00FF6BA5" w:rsidRDefault="001337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1337BF" w:rsidRPr="00FF6BA5" w:rsidRDefault="001337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1337BF" w:rsidRPr="00FF6BA5" w:rsidRDefault="001337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337BF" w:rsidRPr="00C3697D" w:rsidTr="00245129">
      <w:tc>
        <w:tcPr>
          <w:tcW w:w="4200" w:type="dxa"/>
          <w:tcMar>
            <w:left w:w="0" w:type="dxa"/>
            <w:right w:w="0" w:type="dxa"/>
          </w:tcMar>
        </w:tcPr>
        <w:p w:rsidR="001337BF" w:rsidRPr="00755F22" w:rsidRDefault="001337B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1337BF" w:rsidRPr="00755F22" w:rsidRDefault="001337B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1337BF" w:rsidRPr="00755F22" w:rsidRDefault="001337B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337BF" w:rsidRPr="00755F22" w:rsidRDefault="001337B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337BF" w:rsidRPr="00755F22" w:rsidRDefault="001337B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1337BF" w:rsidRPr="00755F22" w:rsidRDefault="001337B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1337BF" w:rsidRPr="00FF6BA5" w:rsidRDefault="001337BF"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C019B"/>
    <w:multiLevelType w:val="hybridMultilevel"/>
    <w:tmpl w:val="6AFCA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610376"/>
    <w:multiLevelType w:val="hybridMultilevel"/>
    <w:tmpl w:val="DAB616FA"/>
    <w:lvl w:ilvl="0" w:tplc="01CEA43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72556"/>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1215033"/>
    <w:multiLevelType w:val="hybridMultilevel"/>
    <w:tmpl w:val="DDF4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7466BFE"/>
    <w:multiLevelType w:val="hybridMultilevel"/>
    <w:tmpl w:val="A138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7E31DA"/>
    <w:multiLevelType w:val="hybridMultilevel"/>
    <w:tmpl w:val="1CC03286"/>
    <w:lvl w:ilvl="0" w:tplc="DF00AD1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D30DA"/>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6"/>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3"/>
  </w:num>
  <w:num w:numId="10">
    <w:abstractNumId w:val="9"/>
  </w:num>
  <w:num w:numId="11">
    <w:abstractNumId w:val="7"/>
  </w:num>
  <w:num w:numId="12">
    <w:abstractNumId w:val="0"/>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25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09"/>
    <w:rsid w:val="00002704"/>
    <w:rsid w:val="00003B04"/>
    <w:rsid w:val="00020DC3"/>
    <w:rsid w:val="0003223B"/>
    <w:rsid w:val="000327B2"/>
    <w:rsid w:val="000340AB"/>
    <w:rsid w:val="0004528B"/>
    <w:rsid w:val="00046C30"/>
    <w:rsid w:val="000555BA"/>
    <w:rsid w:val="00064FBA"/>
    <w:rsid w:val="00091FA6"/>
    <w:rsid w:val="00096BD9"/>
    <w:rsid w:val="000A588A"/>
    <w:rsid w:val="000B3C9A"/>
    <w:rsid w:val="000B40A2"/>
    <w:rsid w:val="000B4624"/>
    <w:rsid w:val="000B5E80"/>
    <w:rsid w:val="000C0ACD"/>
    <w:rsid w:val="000C0D2A"/>
    <w:rsid w:val="000C5CE8"/>
    <w:rsid w:val="000E0040"/>
    <w:rsid w:val="000E27A5"/>
    <w:rsid w:val="000E2959"/>
    <w:rsid w:val="000E7F29"/>
    <w:rsid w:val="000F0B60"/>
    <w:rsid w:val="00102926"/>
    <w:rsid w:val="0010587F"/>
    <w:rsid w:val="00111C6B"/>
    <w:rsid w:val="0012102B"/>
    <w:rsid w:val="0013369E"/>
    <w:rsid w:val="001337BF"/>
    <w:rsid w:val="0013595D"/>
    <w:rsid w:val="001431D5"/>
    <w:rsid w:val="00164E6D"/>
    <w:rsid w:val="00183454"/>
    <w:rsid w:val="00197407"/>
    <w:rsid w:val="001B157C"/>
    <w:rsid w:val="001B4006"/>
    <w:rsid w:val="001B5C23"/>
    <w:rsid w:val="001B621B"/>
    <w:rsid w:val="001C33CB"/>
    <w:rsid w:val="001D0D5F"/>
    <w:rsid w:val="001D4700"/>
    <w:rsid w:val="001D5CB7"/>
    <w:rsid w:val="001D6B8C"/>
    <w:rsid w:val="001E5DEB"/>
    <w:rsid w:val="001F1F83"/>
    <w:rsid w:val="001F40DF"/>
    <w:rsid w:val="001F43F8"/>
    <w:rsid w:val="001F6B2D"/>
    <w:rsid w:val="002002DB"/>
    <w:rsid w:val="002021A9"/>
    <w:rsid w:val="00210C1B"/>
    <w:rsid w:val="002139A7"/>
    <w:rsid w:val="00215F7C"/>
    <w:rsid w:val="0022323B"/>
    <w:rsid w:val="00226D8B"/>
    <w:rsid w:val="002410B8"/>
    <w:rsid w:val="00242AEE"/>
    <w:rsid w:val="00245129"/>
    <w:rsid w:val="00245879"/>
    <w:rsid w:val="00253236"/>
    <w:rsid w:val="00267FD5"/>
    <w:rsid w:val="00274D34"/>
    <w:rsid w:val="00283ED8"/>
    <w:rsid w:val="0028414A"/>
    <w:rsid w:val="002868D0"/>
    <w:rsid w:val="002A008C"/>
    <w:rsid w:val="002A27D1"/>
    <w:rsid w:val="002A4AFA"/>
    <w:rsid w:val="002B2A73"/>
    <w:rsid w:val="002B516C"/>
    <w:rsid w:val="002D72EB"/>
    <w:rsid w:val="002E2327"/>
    <w:rsid w:val="002E3583"/>
    <w:rsid w:val="002E5576"/>
    <w:rsid w:val="0030050B"/>
    <w:rsid w:val="0031699B"/>
    <w:rsid w:val="00331B52"/>
    <w:rsid w:val="003359D3"/>
    <w:rsid w:val="00336812"/>
    <w:rsid w:val="00355967"/>
    <w:rsid w:val="00367D0C"/>
    <w:rsid w:val="00382C47"/>
    <w:rsid w:val="00384384"/>
    <w:rsid w:val="003866AE"/>
    <w:rsid w:val="003B3977"/>
    <w:rsid w:val="003E1D4C"/>
    <w:rsid w:val="00401486"/>
    <w:rsid w:val="004137A0"/>
    <w:rsid w:val="00413AAC"/>
    <w:rsid w:val="00422D9A"/>
    <w:rsid w:val="00432989"/>
    <w:rsid w:val="00440E24"/>
    <w:rsid w:val="0044776A"/>
    <w:rsid w:val="00460AFC"/>
    <w:rsid w:val="0047471F"/>
    <w:rsid w:val="004B195E"/>
    <w:rsid w:val="004B66B4"/>
    <w:rsid w:val="004B7F60"/>
    <w:rsid w:val="004C1AAC"/>
    <w:rsid w:val="004E1E0A"/>
    <w:rsid w:val="004F090E"/>
    <w:rsid w:val="004F14EC"/>
    <w:rsid w:val="00501F3C"/>
    <w:rsid w:val="0052229C"/>
    <w:rsid w:val="00527CC7"/>
    <w:rsid w:val="0056248C"/>
    <w:rsid w:val="00571CA4"/>
    <w:rsid w:val="0058140A"/>
    <w:rsid w:val="00581D21"/>
    <w:rsid w:val="00582136"/>
    <w:rsid w:val="005A5AB4"/>
    <w:rsid w:val="005C6840"/>
    <w:rsid w:val="005D24CB"/>
    <w:rsid w:val="005F1ED8"/>
    <w:rsid w:val="005F263E"/>
    <w:rsid w:val="00600252"/>
    <w:rsid w:val="00604445"/>
    <w:rsid w:val="00612A40"/>
    <w:rsid w:val="0062714A"/>
    <w:rsid w:val="00627341"/>
    <w:rsid w:val="0064134F"/>
    <w:rsid w:val="00643909"/>
    <w:rsid w:val="00646F25"/>
    <w:rsid w:val="00675479"/>
    <w:rsid w:val="00680709"/>
    <w:rsid w:val="00681F61"/>
    <w:rsid w:val="00696BF9"/>
    <w:rsid w:val="00697C62"/>
    <w:rsid w:val="006A329B"/>
    <w:rsid w:val="006A7EB8"/>
    <w:rsid w:val="006B6926"/>
    <w:rsid w:val="006C3F47"/>
    <w:rsid w:val="006C5F7A"/>
    <w:rsid w:val="006E06AF"/>
    <w:rsid w:val="006F350F"/>
    <w:rsid w:val="00732DB7"/>
    <w:rsid w:val="0074238B"/>
    <w:rsid w:val="00744381"/>
    <w:rsid w:val="00745EF7"/>
    <w:rsid w:val="00755F22"/>
    <w:rsid w:val="00762008"/>
    <w:rsid w:val="00766E4A"/>
    <w:rsid w:val="00767A6B"/>
    <w:rsid w:val="007820CE"/>
    <w:rsid w:val="00782AE4"/>
    <w:rsid w:val="0079724F"/>
    <w:rsid w:val="007A3EAE"/>
    <w:rsid w:val="007C04FC"/>
    <w:rsid w:val="007C3DB0"/>
    <w:rsid w:val="007C47C2"/>
    <w:rsid w:val="007D3E0F"/>
    <w:rsid w:val="007E4282"/>
    <w:rsid w:val="007F387B"/>
    <w:rsid w:val="00802863"/>
    <w:rsid w:val="008112A9"/>
    <w:rsid w:val="0081473A"/>
    <w:rsid w:val="00815B3C"/>
    <w:rsid w:val="0081610A"/>
    <w:rsid w:val="0082783A"/>
    <w:rsid w:val="00831CA9"/>
    <w:rsid w:val="00850E1F"/>
    <w:rsid w:val="008530C4"/>
    <w:rsid w:val="0085476B"/>
    <w:rsid w:val="0086340B"/>
    <w:rsid w:val="00887A6A"/>
    <w:rsid w:val="008902B1"/>
    <w:rsid w:val="00890FEB"/>
    <w:rsid w:val="00895E7E"/>
    <w:rsid w:val="008A136C"/>
    <w:rsid w:val="008A497E"/>
    <w:rsid w:val="008A5C1A"/>
    <w:rsid w:val="008D292F"/>
    <w:rsid w:val="008E03DC"/>
    <w:rsid w:val="008F5EB8"/>
    <w:rsid w:val="00902E51"/>
    <w:rsid w:val="00924065"/>
    <w:rsid w:val="00930D68"/>
    <w:rsid w:val="00932DB4"/>
    <w:rsid w:val="0093427F"/>
    <w:rsid w:val="00941A4B"/>
    <w:rsid w:val="00946242"/>
    <w:rsid w:val="0095096B"/>
    <w:rsid w:val="00970CD3"/>
    <w:rsid w:val="009723FA"/>
    <w:rsid w:val="00984546"/>
    <w:rsid w:val="009901D3"/>
    <w:rsid w:val="00996510"/>
    <w:rsid w:val="009D1F15"/>
    <w:rsid w:val="009D555E"/>
    <w:rsid w:val="009D7E89"/>
    <w:rsid w:val="009F3024"/>
    <w:rsid w:val="009F39BA"/>
    <w:rsid w:val="00A0355E"/>
    <w:rsid w:val="00A375D1"/>
    <w:rsid w:val="00A51D10"/>
    <w:rsid w:val="00A52A83"/>
    <w:rsid w:val="00A6552C"/>
    <w:rsid w:val="00A72A8F"/>
    <w:rsid w:val="00A87207"/>
    <w:rsid w:val="00A935AA"/>
    <w:rsid w:val="00A956D3"/>
    <w:rsid w:val="00AA2FD9"/>
    <w:rsid w:val="00AA4913"/>
    <w:rsid w:val="00AB2201"/>
    <w:rsid w:val="00AC0490"/>
    <w:rsid w:val="00AD1D34"/>
    <w:rsid w:val="00AD3259"/>
    <w:rsid w:val="00AF1715"/>
    <w:rsid w:val="00AF3904"/>
    <w:rsid w:val="00B010C0"/>
    <w:rsid w:val="00B14364"/>
    <w:rsid w:val="00B32F99"/>
    <w:rsid w:val="00B4740D"/>
    <w:rsid w:val="00B52CAC"/>
    <w:rsid w:val="00B61629"/>
    <w:rsid w:val="00B66A26"/>
    <w:rsid w:val="00B7374B"/>
    <w:rsid w:val="00B90DC0"/>
    <w:rsid w:val="00BA116A"/>
    <w:rsid w:val="00BA5582"/>
    <w:rsid w:val="00BA6468"/>
    <w:rsid w:val="00BA7C8B"/>
    <w:rsid w:val="00BB1D44"/>
    <w:rsid w:val="00BC52A3"/>
    <w:rsid w:val="00BD06DA"/>
    <w:rsid w:val="00BD4217"/>
    <w:rsid w:val="00BF25F3"/>
    <w:rsid w:val="00C01FCB"/>
    <w:rsid w:val="00C1697B"/>
    <w:rsid w:val="00C21644"/>
    <w:rsid w:val="00C21CB5"/>
    <w:rsid w:val="00C3697D"/>
    <w:rsid w:val="00C46376"/>
    <w:rsid w:val="00C50A5C"/>
    <w:rsid w:val="00C50FDF"/>
    <w:rsid w:val="00C63381"/>
    <w:rsid w:val="00C661B7"/>
    <w:rsid w:val="00C73D06"/>
    <w:rsid w:val="00C73E1B"/>
    <w:rsid w:val="00C7556C"/>
    <w:rsid w:val="00C759B4"/>
    <w:rsid w:val="00C77713"/>
    <w:rsid w:val="00C85BB7"/>
    <w:rsid w:val="00CA2DEA"/>
    <w:rsid w:val="00CB3520"/>
    <w:rsid w:val="00CB43D5"/>
    <w:rsid w:val="00CC4D84"/>
    <w:rsid w:val="00CE198A"/>
    <w:rsid w:val="00CF08C8"/>
    <w:rsid w:val="00D004FC"/>
    <w:rsid w:val="00D310D9"/>
    <w:rsid w:val="00D44E26"/>
    <w:rsid w:val="00D50871"/>
    <w:rsid w:val="00D64901"/>
    <w:rsid w:val="00D71EE6"/>
    <w:rsid w:val="00D76BDF"/>
    <w:rsid w:val="00D818B6"/>
    <w:rsid w:val="00D862C1"/>
    <w:rsid w:val="00D93B50"/>
    <w:rsid w:val="00D94028"/>
    <w:rsid w:val="00D94670"/>
    <w:rsid w:val="00DA46F6"/>
    <w:rsid w:val="00DA756F"/>
    <w:rsid w:val="00DD0B49"/>
    <w:rsid w:val="00DE0502"/>
    <w:rsid w:val="00DE349D"/>
    <w:rsid w:val="00E00EEF"/>
    <w:rsid w:val="00E06DFA"/>
    <w:rsid w:val="00E20A0A"/>
    <w:rsid w:val="00E226CD"/>
    <w:rsid w:val="00E240C2"/>
    <w:rsid w:val="00E356C7"/>
    <w:rsid w:val="00E414CA"/>
    <w:rsid w:val="00E41A5A"/>
    <w:rsid w:val="00E45FE4"/>
    <w:rsid w:val="00E6184A"/>
    <w:rsid w:val="00E64FA7"/>
    <w:rsid w:val="00E75CFD"/>
    <w:rsid w:val="00E770CB"/>
    <w:rsid w:val="00E8544A"/>
    <w:rsid w:val="00E903A1"/>
    <w:rsid w:val="00E940EB"/>
    <w:rsid w:val="00E942C2"/>
    <w:rsid w:val="00E9703F"/>
    <w:rsid w:val="00EA1958"/>
    <w:rsid w:val="00EB2B90"/>
    <w:rsid w:val="00ED7E83"/>
    <w:rsid w:val="00EE091F"/>
    <w:rsid w:val="00EE4290"/>
    <w:rsid w:val="00EF4B63"/>
    <w:rsid w:val="00F0068D"/>
    <w:rsid w:val="00F0576D"/>
    <w:rsid w:val="00F05954"/>
    <w:rsid w:val="00F14E6D"/>
    <w:rsid w:val="00F15EA8"/>
    <w:rsid w:val="00F16C8D"/>
    <w:rsid w:val="00F26C61"/>
    <w:rsid w:val="00F33CCE"/>
    <w:rsid w:val="00F40249"/>
    <w:rsid w:val="00F526C8"/>
    <w:rsid w:val="00F6022A"/>
    <w:rsid w:val="00F761A3"/>
    <w:rsid w:val="00F9272D"/>
    <w:rsid w:val="00F9518C"/>
    <w:rsid w:val="00FA316E"/>
    <w:rsid w:val="00FA3373"/>
    <w:rsid w:val="00FA59EF"/>
    <w:rsid w:val="00FB19A2"/>
    <w:rsid w:val="00FB1CBD"/>
    <w:rsid w:val="00FB4A2E"/>
    <w:rsid w:val="00FD0A5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604445"/>
    <w:pPr>
      <w:jc w:val="center"/>
    </w:pPr>
    <w:rPr>
      <w:szCs w:val="24"/>
      <w:lang w:val="fr-CA"/>
    </w:rPr>
  </w:style>
  <w:style w:type="character" w:customStyle="1" w:styleId="SCCCoramChar">
    <w:name w:val="SCC.Coram Char"/>
    <w:basedOn w:val="DefaultParagraphFont"/>
    <w:link w:val="SCCCoram"/>
    <w:rsid w:val="00604445"/>
    <w:rPr>
      <w:szCs w:val="24"/>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BanSummary">
    <w:name w:val="SCC.BanSummary"/>
    <w:basedOn w:val="Normal"/>
    <w:next w:val="Normal"/>
    <w:link w:val="SCCBanSummaryChar"/>
    <w:uiPriority w:val="99"/>
    <w:rsid w:val="00EE4290"/>
    <w:pPr>
      <w:jc w:val="both"/>
    </w:pPr>
    <w:rPr>
      <w:rFonts w:eastAsia="Calibri" w:cs="Times New Roman"/>
      <w:smallCaps/>
    </w:rPr>
  </w:style>
  <w:style w:type="character" w:customStyle="1" w:styleId="SCCBanSummaryChar">
    <w:name w:val="SCC.BanSummary Char"/>
    <w:basedOn w:val="DefaultParagraphFont"/>
    <w:link w:val="SCCBanSummary"/>
    <w:uiPriority w:val="99"/>
    <w:rsid w:val="00EE4290"/>
    <w:rPr>
      <w:rFonts w:eastAsia="Calibri" w:cs="Times New Roman"/>
      <w:smallCaps/>
      <w:lang w:val="en-CA"/>
    </w:rPr>
  </w:style>
  <w:style w:type="paragraph" w:styleId="NoSpacing">
    <w:name w:val="No Spacing"/>
    <w:uiPriority w:val="1"/>
    <w:qFormat/>
    <w:rsid w:val="00EE4290"/>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EE4290"/>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EE4290"/>
    <w:rPr>
      <w:rFonts w:eastAsia="Calibri" w:cs="Times New Roman"/>
      <w:szCs w:val="24"/>
      <w:lang w:val="en-CA"/>
    </w:rPr>
  </w:style>
  <w:style w:type="character" w:customStyle="1" w:styleId="DocumentMapChar">
    <w:name w:val="Document Map Char"/>
    <w:basedOn w:val="DefaultParagraphFont"/>
    <w:link w:val="DocumentMap"/>
    <w:uiPriority w:val="99"/>
    <w:semiHidden/>
    <w:rsid w:val="00EE4290"/>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EE4290"/>
    <w:rPr>
      <w:rFonts w:ascii="Tahoma" w:eastAsia="Times New Roman" w:hAnsi="Tahoma" w:cs="Tahoma"/>
      <w:sz w:val="16"/>
      <w:szCs w:val="16"/>
      <w:lang w:val="en-US"/>
    </w:rPr>
  </w:style>
  <w:style w:type="paragraph" w:customStyle="1" w:styleId="Style268435469">
    <w:name w:val="Style268435469"/>
    <w:rsid w:val="00EE4290"/>
    <w:pPr>
      <w:autoSpaceDE w:val="0"/>
      <w:autoSpaceDN w:val="0"/>
      <w:adjustRightInd w:val="0"/>
    </w:pPr>
    <w:rPr>
      <w:rFonts w:ascii="Arial" w:eastAsia="Calibri" w:hAnsi="Arial" w:cs="Arial"/>
      <w:szCs w:val="24"/>
      <w:lang w:val="en-CA"/>
    </w:rPr>
  </w:style>
  <w:style w:type="character" w:customStyle="1" w:styleId="BalloonTextChar">
    <w:name w:val="Balloon Text Char"/>
    <w:basedOn w:val="DefaultParagraphFont"/>
    <w:link w:val="BalloonText"/>
    <w:uiPriority w:val="99"/>
    <w:semiHidden/>
    <w:rsid w:val="00EE4290"/>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EE4290"/>
    <w:rPr>
      <w:rFonts w:ascii="Tahoma" w:eastAsia="Times New Roman" w:hAnsi="Tahoma" w:cs="Tahoma"/>
      <w:sz w:val="16"/>
      <w:szCs w:val="16"/>
      <w:lang w:val="en-US"/>
    </w:rPr>
  </w:style>
  <w:style w:type="character" w:customStyle="1" w:styleId="PlainTextChar">
    <w:name w:val="Plain Text Char"/>
    <w:basedOn w:val="DefaultParagraphFont"/>
    <w:link w:val="PlainText"/>
    <w:uiPriority w:val="99"/>
    <w:semiHidden/>
    <w:rsid w:val="00EE4290"/>
    <w:rPr>
      <w:rFonts w:ascii="Consolas" w:eastAsia="Times New Roman" w:hAnsi="Consolas" w:cs="Times New Roman"/>
      <w:sz w:val="21"/>
      <w:szCs w:val="21"/>
    </w:rPr>
  </w:style>
  <w:style w:type="paragraph" w:styleId="PlainText">
    <w:name w:val="Plain Text"/>
    <w:basedOn w:val="Normal"/>
    <w:link w:val="PlainTextChar"/>
    <w:uiPriority w:val="99"/>
    <w:semiHidden/>
    <w:unhideWhenUsed/>
    <w:rsid w:val="00EE4290"/>
    <w:rPr>
      <w:rFonts w:ascii="Consolas" w:eastAsia="Times New Roman" w:hAnsi="Consolas" w:cs="Times New Roman"/>
      <w:sz w:val="21"/>
      <w:szCs w:val="21"/>
      <w:lang w:val="en-US"/>
    </w:rPr>
  </w:style>
  <w:style w:type="paragraph" w:styleId="CommentText">
    <w:name w:val="annotation text"/>
    <w:basedOn w:val="Normal"/>
    <w:link w:val="CommentTextChar"/>
    <w:uiPriority w:val="99"/>
    <w:semiHidden/>
    <w:unhideWhenUsed/>
    <w:rsid w:val="00EE4290"/>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EE4290"/>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EE4290"/>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EE4290"/>
    <w:rPr>
      <w:b/>
      <w:bCs/>
    </w:rPr>
  </w:style>
  <w:style w:type="character" w:customStyle="1" w:styleId="italic1">
    <w:name w:val="italic1"/>
    <w:basedOn w:val="DefaultParagraphFont"/>
    <w:rsid w:val="00EE4290"/>
    <w:rPr>
      <w:i/>
      <w:iCs/>
    </w:rPr>
  </w:style>
  <w:style w:type="character" w:customStyle="1" w:styleId="plainitalics1">
    <w:name w:val="plainitalics1"/>
    <w:basedOn w:val="DefaultParagraphFont"/>
    <w:rsid w:val="00EE4290"/>
    <w:rPr>
      <w:i/>
      <w:iCs/>
    </w:rPr>
  </w:style>
  <w:style w:type="character" w:customStyle="1" w:styleId="nowrap">
    <w:name w:val="nowrap"/>
    <w:basedOn w:val="DefaultParagraphFont"/>
    <w:rsid w:val="001337BF"/>
  </w:style>
  <w:style w:type="character" w:styleId="FollowedHyperlink">
    <w:name w:val="FollowedHyperlink"/>
    <w:basedOn w:val="DefaultParagraphFont"/>
    <w:uiPriority w:val="99"/>
    <w:semiHidden/>
    <w:unhideWhenUsed/>
    <w:rsid w:val="001D47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6597">
      <w:bodyDiv w:val="1"/>
      <w:marLeft w:val="0"/>
      <w:marRight w:val="0"/>
      <w:marTop w:val="0"/>
      <w:marBottom w:val="0"/>
      <w:divBdr>
        <w:top w:val="none" w:sz="0" w:space="0" w:color="auto"/>
        <w:left w:val="none" w:sz="0" w:space="0" w:color="auto"/>
        <w:bottom w:val="none" w:sz="0" w:space="0" w:color="auto"/>
        <w:right w:val="none" w:sz="0" w:space="0" w:color="auto"/>
      </w:divBdr>
    </w:div>
    <w:div w:id="163749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mb/mbqb/doc/2013/2013mbqb101/2013mbqb101.html?resultIndex=1" TargetMode="External"/><Relationship Id="rId117" Type="http://schemas.openxmlformats.org/officeDocument/2006/relationships/footer" Target="footer11.xml"/><Relationship Id="rId21" Type="http://schemas.openxmlformats.org/officeDocument/2006/relationships/header" Target="header6.xml"/><Relationship Id="rId42" Type="http://schemas.openxmlformats.org/officeDocument/2006/relationships/hyperlink" Target="http://www.canlii.org/en/ab/abca/doc/2016/2016abca244/2016abca244.html?resultIndex=1" TargetMode="External"/><Relationship Id="rId47" Type="http://schemas.openxmlformats.org/officeDocument/2006/relationships/hyperlink" Target="http://www.canlii.org/en/on/onca/doc/2016/2016onca633/2016onca633.html?autocompleteStr=2016%20ONCA%20633&amp;autocompletePos=1" TargetMode="External"/><Relationship Id="rId63" Type="http://schemas.openxmlformats.org/officeDocument/2006/relationships/hyperlink" Target="http://www.canlii.org/en/sk/skqb/doc/2015/2015skqb123/2015skqb123.html?resultIndex=1" TargetMode="External"/><Relationship Id="rId68" Type="http://schemas.openxmlformats.org/officeDocument/2006/relationships/hyperlink" Target="http://www.canlii.org/en/on/onca/doc/2015/2015onca880/2015onca880.html?resultIndex=1" TargetMode="External"/><Relationship Id="rId84" Type="http://schemas.openxmlformats.org/officeDocument/2006/relationships/hyperlink" Target="http://www.canlii.org/en/on/onsc/doc/2015/2015onsc3753/2015onsc3753.html?autocompleteStr=2015%20ONSC%203753&amp;autocompletePos=1" TargetMode="External"/><Relationship Id="rId89" Type="http://schemas.openxmlformats.org/officeDocument/2006/relationships/hyperlink" Target="http://canlii.ca/t/grv4n" TargetMode="External"/><Relationship Id="rId112" Type="http://schemas.openxmlformats.org/officeDocument/2006/relationships/footer" Target="footer9.xml"/><Relationship Id="rId133" Type="http://schemas.openxmlformats.org/officeDocument/2006/relationships/header" Target="header18.xml"/><Relationship Id="rId138" Type="http://schemas.openxmlformats.org/officeDocument/2006/relationships/hyperlink" Target="http://www.scc-csc.ca/case-dossier/info/sum-som-eng.aspx?cas=36610" TargetMode="External"/><Relationship Id="rId16" Type="http://schemas.openxmlformats.org/officeDocument/2006/relationships/footer" Target="footer3.xml"/><Relationship Id="rId107" Type="http://schemas.openxmlformats.org/officeDocument/2006/relationships/hyperlink" Target="http://www.canlii.org/en/on/onscdc/doc/2015/2015onsc606/2015onsc606.html?autocompleteStr=2015%20ONSC%20606&amp;autocompletePos=1" TargetMode="External"/><Relationship Id="rId11" Type="http://schemas.openxmlformats.org/officeDocument/2006/relationships/header" Target="header1.xml"/><Relationship Id="rId32" Type="http://schemas.openxmlformats.org/officeDocument/2006/relationships/hyperlink" Target="https://www.canlii.org/en/mb/mbca/doc/2016/2016mbca90/2016mbca90.html?resultIndex=1" TargetMode="External"/><Relationship Id="rId37" Type="http://schemas.openxmlformats.org/officeDocument/2006/relationships/hyperlink" Target="http://www.canlii.org/en/on/onsc/doc/2015/2015onsc3430/2015onsc3430.html?resultIndex=1" TargetMode="External"/><Relationship Id="rId53" Type="http://schemas.openxmlformats.org/officeDocument/2006/relationships/hyperlink" Target="http://www.canlii.org/en/index.html" TargetMode="External"/><Relationship Id="rId58" Type="http://schemas.openxmlformats.org/officeDocument/2006/relationships/hyperlink" Target="http://www.canlii.org/en/bc/bcca/doc/2016/2016bcca423/2016bcca423.html?autocompleteStr=2016%20BCCA%20423&amp;autocompletePos=1" TargetMode="External"/><Relationship Id="rId74" Type="http://schemas.openxmlformats.org/officeDocument/2006/relationships/hyperlink" Target="http://www.canlii.org/en/on/onca/doc/2016/2016onca566/2016onca566.html?autocompleteStr=2016%20ONCA%20566&amp;autocompletePos=1" TargetMode="External"/><Relationship Id="rId79" Type="http://schemas.openxmlformats.org/officeDocument/2006/relationships/hyperlink" Target="http://www.canlii.org/en/ca/fct/doc/2016/2016fc569/2016fc569.html?autocompleteStr=2016%20FC%20569&amp;autocompletePos=1" TargetMode="External"/><Relationship Id="rId102" Type="http://schemas.openxmlformats.org/officeDocument/2006/relationships/hyperlink" Target="http://canlii.ca/t/grqvk" TargetMode="External"/><Relationship Id="rId123" Type="http://schemas.openxmlformats.org/officeDocument/2006/relationships/hyperlink" Target="http://www.scc-csc.ca/case-dossier/info/sum-som-eng.aspx?cas=37167" TargetMode="External"/><Relationship Id="rId128" Type="http://schemas.openxmlformats.org/officeDocument/2006/relationships/footer" Target="footer14.xml"/><Relationship Id="rId144" Type="http://schemas.openxmlformats.org/officeDocument/2006/relationships/footer" Target="footer22.xml"/><Relationship Id="rId5" Type="http://schemas.openxmlformats.org/officeDocument/2006/relationships/webSettings" Target="webSettings.xml"/><Relationship Id="rId90" Type="http://schemas.openxmlformats.org/officeDocument/2006/relationships/hyperlink" Target="http://canlii.ca/t/gsmv2" TargetMode="External"/><Relationship Id="rId95" Type="http://schemas.openxmlformats.org/officeDocument/2006/relationships/hyperlink" Target="http://www.canlii.org/en/ca/fca/doc/2016/2016fca220/2016fca220.html?autocompleteStr=2016%20FCA%20220&amp;autocompletePos=1" TargetMode="External"/><Relationship Id="rId22" Type="http://schemas.openxmlformats.org/officeDocument/2006/relationships/footer" Target="footer6.xml"/><Relationship Id="rId27" Type="http://schemas.openxmlformats.org/officeDocument/2006/relationships/hyperlink" Target="https://www.canlii.org/en/mb/mbqb/doc/2014/2014mbqb204/2014mbqb204.html?resultIndex=1" TargetMode="External"/><Relationship Id="rId43" Type="http://schemas.openxmlformats.org/officeDocument/2006/relationships/hyperlink" Target="http://www.canlii.org/en/ab/abca/doc/2015/2015abca310/2015abca310.html?resultIndex=1" TargetMode="External"/><Relationship Id="rId48" Type="http://schemas.openxmlformats.org/officeDocument/2006/relationships/hyperlink" Target="http://www.canlii.org/en/on/onsc/doc/2013/2013onsc2298/2013onsc2298.html?autocompleteStr=2013%20ONSC%202298&amp;autocompletePos=1" TargetMode="External"/><Relationship Id="rId64" Type="http://schemas.openxmlformats.org/officeDocument/2006/relationships/hyperlink" Target="http://www.canlii.org/en/sk/skca/doc/2016/2016skca120/2016skca120.html?autocompleteStr=2016%20SKCA%20120&amp;autocompletePos=1" TargetMode="External"/><Relationship Id="rId69" Type="http://schemas.openxmlformats.org/officeDocument/2006/relationships/hyperlink" Target="http://www.canlii.org/en/mb/mbca/doc/2016/2016mbca91/2016mbca91.html?resultIndex=1" TargetMode="External"/><Relationship Id="rId113" Type="http://schemas.openxmlformats.org/officeDocument/2006/relationships/header" Target="header10.xml"/><Relationship Id="rId118" Type="http://schemas.openxmlformats.org/officeDocument/2006/relationships/footer" Target="footer12.xml"/><Relationship Id="rId134" Type="http://schemas.openxmlformats.org/officeDocument/2006/relationships/footer" Target="footer17.xml"/><Relationship Id="rId139" Type="http://schemas.openxmlformats.org/officeDocument/2006/relationships/header" Target="header20.xml"/><Relationship Id="rId80" Type="http://schemas.openxmlformats.org/officeDocument/2006/relationships/hyperlink" Target="http://www.canlii.org/en/ca/fca/doc/2016/2016fca229/2016fca229.html?autocompleteStr=2016%20FCA%20229&amp;autocompletePos=1" TargetMode="External"/><Relationship Id="rId85" Type="http://schemas.openxmlformats.org/officeDocument/2006/relationships/hyperlink" Target="http://www.canlii.org/en/on/onca/doc/2016/2016onca468/2016onca468.html?autocompleteStr=2016%20ONCA%20468&amp;autocompletePos=1"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canlii.org/en/mb/mbqb/doc/2012/2012mbqb178/2012mbqb178.html?resultIndex=1" TargetMode="External"/><Relationship Id="rId33" Type="http://schemas.openxmlformats.org/officeDocument/2006/relationships/hyperlink" Target="http://www.canlii.org/fr/qc/qccs/doc/2016/2016qccs2158/2016qccs2158.html" TargetMode="External"/><Relationship Id="rId38" Type="http://schemas.openxmlformats.org/officeDocument/2006/relationships/hyperlink" Target="http://www.canlii.org/en/on/onca/doc/2016/2016onca531/2016onca531.html?resultIndex=1" TargetMode="External"/><Relationship Id="rId46" Type="http://schemas.openxmlformats.org/officeDocument/2006/relationships/hyperlink" Target="http://www.canlii.org/en/on/onscdc/doc/2015/2015onsc1367/2015onsc1367.html?autocompleteStr=2015%20ONSC%201367&amp;autocompletePos=1" TargetMode="External"/><Relationship Id="rId59" Type="http://schemas.openxmlformats.org/officeDocument/2006/relationships/hyperlink" Target="http://canlii.ca/t/g2s0b" TargetMode="External"/><Relationship Id="rId67" Type="http://schemas.openxmlformats.org/officeDocument/2006/relationships/hyperlink" Target="http://www.canlii.org/en/on/onca/doc/2015/2015onca880/2015onca880.html?resultIndex=1" TargetMode="External"/><Relationship Id="rId103" Type="http://schemas.openxmlformats.org/officeDocument/2006/relationships/hyperlink" Target="http://canlii.ca/t/gnz7f" TargetMode="External"/><Relationship Id="rId108" Type="http://schemas.openxmlformats.org/officeDocument/2006/relationships/hyperlink" Target="http://www.lexisnexis.com/ca/legal/docview/getDocForCuiReq?oc=00240&amp;lni=5K8V-D5P1-DYH1-H3HN&amp;perma=true&amp;csi=280717&amp;secondRedirectIndicator=true" TargetMode="External"/><Relationship Id="rId116" Type="http://schemas.openxmlformats.org/officeDocument/2006/relationships/header" Target="header12.xml"/><Relationship Id="rId124" Type="http://schemas.openxmlformats.org/officeDocument/2006/relationships/hyperlink" Target="http://www.scc-csc.ca/case-dossier/info/sum-som-fra.aspx?cas=36915" TargetMode="External"/><Relationship Id="rId129" Type="http://schemas.openxmlformats.org/officeDocument/2006/relationships/footer" Target="footer15.xml"/><Relationship Id="rId137" Type="http://schemas.openxmlformats.org/officeDocument/2006/relationships/footer" Target="footer19.xml"/><Relationship Id="rId20" Type="http://schemas.openxmlformats.org/officeDocument/2006/relationships/footer" Target="footer5.xml"/><Relationship Id="rId41" Type="http://schemas.openxmlformats.org/officeDocument/2006/relationships/hyperlink" Target="http://www.canlii.org/en/ab/abca/doc/2015/2015abca310/2015abca310.html?resultIndex=1" TargetMode="External"/><Relationship Id="rId54" Type="http://schemas.openxmlformats.org/officeDocument/2006/relationships/hyperlink" Target="http://www.canlii.org/en/on/onca/doc/2016/2016onca518/2016onca518.html?resultIndex=1" TargetMode="External"/><Relationship Id="rId62" Type="http://schemas.openxmlformats.org/officeDocument/2006/relationships/hyperlink" Target="http://canlii.ca/t/ggdhr" TargetMode="External"/><Relationship Id="rId70" Type="http://schemas.openxmlformats.org/officeDocument/2006/relationships/hyperlink" Target="http://www.canlii.org/en/mb/mbca/doc/2016/2016mbca91/2016mbca91.html?resultIndex=1" TargetMode="External"/><Relationship Id="rId75" Type="http://schemas.openxmlformats.org/officeDocument/2006/relationships/hyperlink" Target="http://www.canlii.org/en/on/onsc/doc/2015/2015onsc4829/2015onsc4829.html?autocompleteStr=2015%20ONSC%204829&amp;autocompletePos=1" TargetMode="External"/><Relationship Id="rId83" Type="http://schemas.openxmlformats.org/officeDocument/2006/relationships/hyperlink" Target="http://www.canlii.org/en/on/onsc/doc/2014/2014onsc6506/2014onsc6506.html?autocompleteStr=2014%20ONSC%206506&amp;autocompletePos=1" TargetMode="External"/><Relationship Id="rId88" Type="http://schemas.openxmlformats.org/officeDocument/2006/relationships/hyperlink" Target="http://www.canlii.org/en/on/onca/doc/2016/2016onca468/2016onca468.html?autocompleteStr=2016%20ONCA%20468&amp;autocompletePos=1" TargetMode="External"/><Relationship Id="rId91" Type="http://schemas.openxmlformats.org/officeDocument/2006/relationships/hyperlink" Target="http://www.ontariocourts.ca/decisions/2016/2016ONCA0787.htm" TargetMode="External"/><Relationship Id="rId96" Type="http://schemas.openxmlformats.org/officeDocument/2006/relationships/hyperlink" Target="http://www.canlii.org/en/ca/fca/doc/2016/2016fca220/2016fca220.html?autocompleteStr=2016%20FCA%20220&amp;autocompletePos=1" TargetMode="External"/><Relationship Id="rId111" Type="http://schemas.openxmlformats.org/officeDocument/2006/relationships/footer" Target="footer8.xml"/><Relationship Id="rId132" Type="http://schemas.openxmlformats.org/officeDocument/2006/relationships/header" Target="header17.xml"/><Relationship Id="rId140" Type="http://schemas.openxmlformats.org/officeDocument/2006/relationships/header" Target="header21.xml"/><Relationship Id="rId145"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s://www.canlii.org/en/mb/mbca/doc/2016/2016mbca90/2016mbca90.html?resultIndex=1" TargetMode="External"/><Relationship Id="rId36" Type="http://schemas.openxmlformats.org/officeDocument/2006/relationships/hyperlink" Target="http://www.canlii.org/en/qc/qcca/doc/2016/2016qcca1303/2016qcca1303.html" TargetMode="External"/><Relationship Id="rId49" Type="http://schemas.openxmlformats.org/officeDocument/2006/relationships/hyperlink" Target="http://www.canlii.org/en/on/onscdc/doc/2015/2015onsc1367/2015onsc1367.html?autocompleteStr=2015%20ONSC%201367&amp;autocompletePos=1" TargetMode="External"/><Relationship Id="rId57" Type="http://schemas.openxmlformats.org/officeDocument/2006/relationships/hyperlink" Target="http://www.canlii.org/en/bc/bcsc/doc/2015/2015bcsc2326/2015bcsc2326.html" TargetMode="External"/><Relationship Id="rId106" Type="http://schemas.openxmlformats.org/officeDocument/2006/relationships/hyperlink" Target="http://www.lexisnexis.com/ca/legal/docview/getDocForCuiReq?oc=00240&amp;lni=5K8V-D5P1-DYH1-H3HN&amp;perma=true&amp;csi=280717&amp;secondRedirectIndicator=true" TargetMode="External"/><Relationship Id="rId114" Type="http://schemas.openxmlformats.org/officeDocument/2006/relationships/footer" Target="footer10.xml"/><Relationship Id="rId119" Type="http://schemas.openxmlformats.org/officeDocument/2006/relationships/header" Target="header13.xml"/><Relationship Id="rId127" Type="http://schemas.openxmlformats.org/officeDocument/2006/relationships/header" Target="header15.xml"/><Relationship Id="rId10" Type="http://schemas.openxmlformats.org/officeDocument/2006/relationships/hyperlink" Target="http://www.scc-csc.ca" TargetMode="External"/><Relationship Id="rId31" Type="http://schemas.openxmlformats.org/officeDocument/2006/relationships/hyperlink" Target="https://www.canlii.org/en/mb/mbqb/doc/2014/2014mbqb204/2014mbqb204.html?resultIndex=1" TargetMode="External"/><Relationship Id="rId44" Type="http://schemas.openxmlformats.org/officeDocument/2006/relationships/hyperlink" Target="http://www.canlii.org/en/ab/abca/doc/2016/2016abca244/2016abca244.html?resultIndex=1" TargetMode="External"/><Relationship Id="rId52" Type="http://schemas.openxmlformats.org/officeDocument/2006/relationships/hyperlink" Target="http://www.canlii.org/en/on/onca/doc/2016/2016onca518/2016onca518.html?resultIndex=1" TargetMode="External"/><Relationship Id="rId60" Type="http://schemas.openxmlformats.org/officeDocument/2006/relationships/hyperlink" Target="http://canlii.ca/t/ggdhr" TargetMode="External"/><Relationship Id="rId65" Type="http://schemas.openxmlformats.org/officeDocument/2006/relationships/hyperlink" Target="http://www.canlii.org/en/sk/skqb/doc/2015/2015skqb123/2015skqb123.html?resultIndex=1" TargetMode="External"/><Relationship Id="rId73" Type="http://schemas.openxmlformats.org/officeDocument/2006/relationships/hyperlink" Target="http://www.canlii.org/en/on/onsc/doc/2015/2015onsc4829/2015onsc4829.html?autocompleteStr=2015%20ONSC%204829&amp;autocompletePos=1" TargetMode="External"/><Relationship Id="rId78" Type="http://schemas.openxmlformats.org/officeDocument/2006/relationships/hyperlink" Target="http://www.canlii.org/en/ca/fca/doc/2016/2016fca229/2016fca229.html?autocompleteStr=2016%20FCA%20229&amp;autocompletePos=1" TargetMode="External"/><Relationship Id="rId81" Type="http://schemas.openxmlformats.org/officeDocument/2006/relationships/hyperlink" Target="http://www.canlii.org/en/bc/bcca/doc/2016/2016bcca333/2016bcca333.html?autocompleteStr=2016%20BCCA%20333&amp;autocompletePos=1" TargetMode="External"/><Relationship Id="rId86" Type="http://schemas.openxmlformats.org/officeDocument/2006/relationships/hyperlink" Target="http://www.canlii.org/en/on/onsc/doc/2014/2014onsc6506/2014onsc6506.html?autocompleteStr=2014%20ONSC%206506&amp;autocompletePos=1" TargetMode="External"/><Relationship Id="rId94" Type="http://schemas.openxmlformats.org/officeDocument/2006/relationships/hyperlink" Target="http://www.ontariocourts.ca/decisions/2016/2016ONCA0787.htm" TargetMode="External"/><Relationship Id="rId99" Type="http://schemas.openxmlformats.org/officeDocument/2006/relationships/hyperlink" Target="http://www.canlii.org/fr/qc/qccs/doc/2015/2015qccs731/2015qccs731.html?autocompleteStr=granby%20multi&amp;autocompletePos=1" TargetMode="External"/><Relationship Id="rId101" Type="http://schemas.openxmlformats.org/officeDocument/2006/relationships/hyperlink" Target="http://canlii.ca/t/gnz7f" TargetMode="External"/><Relationship Id="rId122" Type="http://schemas.openxmlformats.org/officeDocument/2006/relationships/hyperlink" Target="http://www.scc-csc.ca/case-dossier/info/sum-som-eng.aspx?cas=37153" TargetMode="External"/><Relationship Id="rId130" Type="http://schemas.openxmlformats.org/officeDocument/2006/relationships/header" Target="header16.xml"/><Relationship Id="rId135" Type="http://schemas.openxmlformats.org/officeDocument/2006/relationships/footer" Target="footer18.xml"/><Relationship Id="rId143" Type="http://schemas.openxmlformats.org/officeDocument/2006/relationships/header" Target="header22.xm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yperlink" Target="http://www.canlii.org/en/on/onsc/doc/2015/2015onsc3430/2015onsc3430.html?resultIndex=1" TargetMode="External"/><Relationship Id="rId109" Type="http://schemas.openxmlformats.org/officeDocument/2006/relationships/header" Target="header8.xml"/><Relationship Id="rId34" Type="http://schemas.openxmlformats.org/officeDocument/2006/relationships/hyperlink" Target="http://www.canlii.org/en/qc/qcca/doc/2016/2016qcca1303/2016qcca1303.html" TargetMode="External"/><Relationship Id="rId50" Type="http://schemas.openxmlformats.org/officeDocument/2006/relationships/hyperlink" Target="http://www.canlii.org/en/on/onca/doc/2016/2016onca633/2016onca633.html?autocompleteStr=2016%20ONCA%20633&amp;autocompletePos=1" TargetMode="External"/><Relationship Id="rId55" Type="http://schemas.openxmlformats.org/officeDocument/2006/relationships/hyperlink" Target="http://www.canlii.org/en/bc/bcsc/doc/2015/2015bcsc2326/2015bcsc2326.html" TargetMode="External"/><Relationship Id="rId76" Type="http://schemas.openxmlformats.org/officeDocument/2006/relationships/hyperlink" Target="http://www.canlii.org/en/on/onca/doc/2016/2016onca566/2016onca566.html?autocompleteStr=2016%20ONCA%20566&amp;autocompletePos=1" TargetMode="External"/><Relationship Id="rId97" Type="http://schemas.openxmlformats.org/officeDocument/2006/relationships/hyperlink" Target="http://www.canlii.org/fr/qc/qccs/doc/2015/2015qccs731/2015qccs731.html?autocompleteStr=granby%20multi&amp;autocompletePos=1" TargetMode="External"/><Relationship Id="rId104" Type="http://schemas.openxmlformats.org/officeDocument/2006/relationships/hyperlink" Target="http://canlii.ca/t/grqvk" TargetMode="External"/><Relationship Id="rId120" Type="http://schemas.openxmlformats.org/officeDocument/2006/relationships/footer" Target="footer13.xml"/><Relationship Id="rId125" Type="http://schemas.openxmlformats.org/officeDocument/2006/relationships/hyperlink" Target="http://www.scc-csc.ca/case-dossier/info/sum-som-fra.aspx?cas=36752" TargetMode="External"/><Relationship Id="rId141" Type="http://schemas.openxmlformats.org/officeDocument/2006/relationships/footer" Target="footer20.xml"/><Relationship Id="rId146" Type="http://schemas.openxmlformats.org/officeDocument/2006/relationships/footer" Target="footer23.xml"/><Relationship Id="rId7" Type="http://schemas.openxmlformats.org/officeDocument/2006/relationships/endnotes" Target="endnotes.xml"/><Relationship Id="rId71" Type="http://schemas.openxmlformats.org/officeDocument/2006/relationships/hyperlink" Target="http://canlii.ca/t/gtnvn" TargetMode="External"/><Relationship Id="rId92" Type="http://schemas.openxmlformats.org/officeDocument/2006/relationships/hyperlink" Target="http://canlii.ca/t/grv4n" TargetMode="External"/><Relationship Id="rId2" Type="http://schemas.openxmlformats.org/officeDocument/2006/relationships/numbering" Target="numbering.xml"/><Relationship Id="rId29" Type="http://schemas.openxmlformats.org/officeDocument/2006/relationships/hyperlink" Target="https://www.canlii.org/en/mb/mbqb/doc/2012/2012mbqb178/2012mbqb178.html?resultIndex=1" TargetMode="External"/><Relationship Id="rId24" Type="http://schemas.openxmlformats.org/officeDocument/2006/relationships/footer" Target="footer7.xml"/><Relationship Id="rId40" Type="http://schemas.openxmlformats.org/officeDocument/2006/relationships/hyperlink" Target="http://www.canlii.org/en/on/onca/doc/2016/2016onca531/2016onca531.html?resultIndex=1" TargetMode="External"/><Relationship Id="rId45" Type="http://schemas.openxmlformats.org/officeDocument/2006/relationships/hyperlink" Target="http://www.canlii.org/en/on/onsc/doc/2013/2013onsc2298/2013onsc2298.html?autocompleteStr=2013%20ONSC%202298&amp;autocompletePos=1" TargetMode="External"/><Relationship Id="rId66" Type="http://schemas.openxmlformats.org/officeDocument/2006/relationships/hyperlink" Target="http://www.canlii.org/en/sk/skca/doc/2016/2016skca120/2016skca120.html?autocompleteStr=2016%20SKCA%20120&amp;autocompletePos=1" TargetMode="External"/><Relationship Id="rId87" Type="http://schemas.openxmlformats.org/officeDocument/2006/relationships/hyperlink" Target="http://www.canlii.org/en/on/onsc/doc/2015/2015onsc3753/2015onsc3753.html?autocompleteStr=2015%20ONSC%203753&amp;autocompletePos=1" TargetMode="External"/><Relationship Id="rId110" Type="http://schemas.openxmlformats.org/officeDocument/2006/relationships/header" Target="header9.xml"/><Relationship Id="rId115" Type="http://schemas.openxmlformats.org/officeDocument/2006/relationships/header" Target="header11.xml"/><Relationship Id="rId131" Type="http://schemas.openxmlformats.org/officeDocument/2006/relationships/footer" Target="footer16.xml"/><Relationship Id="rId136" Type="http://schemas.openxmlformats.org/officeDocument/2006/relationships/header" Target="header19.xml"/><Relationship Id="rId61" Type="http://schemas.openxmlformats.org/officeDocument/2006/relationships/hyperlink" Target="http://canlii.ca/t/g2s0b" TargetMode="External"/><Relationship Id="rId82" Type="http://schemas.openxmlformats.org/officeDocument/2006/relationships/hyperlink" Target="http://www.canlii.org/en/bc/bcca/doc/2016/2016bcca333/2016bcca333.html?autocompleteStr=2016%20BCCA%20333&amp;autocompletePos=1" TargetMode="External"/><Relationship Id="rId19" Type="http://schemas.openxmlformats.org/officeDocument/2006/relationships/header" Target="header5.xml"/><Relationship Id="rId14" Type="http://schemas.openxmlformats.org/officeDocument/2006/relationships/footer" Target="footer2.xml"/><Relationship Id="rId30" Type="http://schemas.openxmlformats.org/officeDocument/2006/relationships/hyperlink" Target="https://www.canlii.org/en/mb/mbqb/doc/2013/2013mbqb101/2013mbqb101.html?resultIndex=1" TargetMode="External"/><Relationship Id="rId35" Type="http://schemas.openxmlformats.org/officeDocument/2006/relationships/hyperlink" Target="http://www.canlii.org/fr/qc/qccs/doc/2016/2016qccs2158/2016qccs2158.html" TargetMode="External"/><Relationship Id="rId56" Type="http://schemas.openxmlformats.org/officeDocument/2006/relationships/hyperlink" Target="http://www.canlii.org/en/bc/bcca/doc/2016/2016bcca423/2016bcca423.html?autocompleteStr=2016%20BCCA%20423&amp;autocompletePos=1" TargetMode="External"/><Relationship Id="rId77" Type="http://schemas.openxmlformats.org/officeDocument/2006/relationships/hyperlink" Target="http://www.canlii.org/en/ca/fct/doc/2016/2016fc569/2016fc569.html?autocompleteStr=2016%20FC%20569&amp;autocompletePos=1" TargetMode="External"/><Relationship Id="rId100" Type="http://schemas.openxmlformats.org/officeDocument/2006/relationships/hyperlink" Target="http://www.canlii.org/fr/qc/qcca/doc/2016/2016qcca1547/2016qcca1547.html" TargetMode="External"/><Relationship Id="rId105" Type="http://schemas.openxmlformats.org/officeDocument/2006/relationships/hyperlink" Target="http://www.canlii.org/en/on/onscdc/doc/2015/2015onsc606/2015onsc606.html?autocompleteStr=2015%20ONSC%20606&amp;autocompletePos=1" TargetMode="External"/><Relationship Id="rId126" Type="http://schemas.openxmlformats.org/officeDocument/2006/relationships/header" Target="header14.xml"/><Relationship Id="rId147"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http://www.canlii.org/en/index.html" TargetMode="External"/><Relationship Id="rId72" Type="http://schemas.openxmlformats.org/officeDocument/2006/relationships/hyperlink" Target="http://canlii.ca/t/gtnvn" TargetMode="External"/><Relationship Id="rId93" Type="http://schemas.openxmlformats.org/officeDocument/2006/relationships/hyperlink" Target="http://canlii.ca/t/gsmv2" TargetMode="External"/><Relationship Id="rId98" Type="http://schemas.openxmlformats.org/officeDocument/2006/relationships/hyperlink" Target="http://www.canlii.org/fr/qc/qcca/doc/2016/2016qcca1547/2016qcca1547.html" TargetMode="External"/><Relationship Id="rId121" Type="http://schemas.openxmlformats.org/officeDocument/2006/relationships/hyperlink" Target="http://www.scc-csc.ca/case-dossier/info/sum-som-eng.aspx?cas=37140" TargetMode="External"/><Relationship Id="rId142" Type="http://schemas.openxmlformats.org/officeDocument/2006/relationships/footer" Target="foot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C915F-22C2-4D7A-9290-6D5A73B34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27488</Words>
  <Characters>156685</Characters>
  <Application>Microsoft Office Word</Application>
  <DocSecurity>0</DocSecurity>
  <Lines>1305</Lines>
  <Paragraphs>367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2017-02-17T14:29:00Z</dcterms:created>
  <dcterms:modified xsi:type="dcterms:W3CDTF">2017-02-27T19:08:00Z</dcterms:modified>
</cp:coreProperties>
</file>