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D22292" w:rsidRDefault="00382C47" w:rsidP="00C7556C">
      <w:pPr>
        <w:jc w:val="center"/>
      </w:pPr>
      <w:r w:rsidRPr="00D22292">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D22292"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D22292" w:rsidTr="002E5576">
        <w:tc>
          <w:tcPr>
            <w:tcW w:w="4518" w:type="dxa"/>
          </w:tcPr>
          <w:p w:rsidR="00BF25F3" w:rsidRPr="00D22292" w:rsidRDefault="00BF25F3" w:rsidP="00BF25F3">
            <w:pPr>
              <w:tabs>
                <w:tab w:val="left" w:pos="6075"/>
              </w:tabs>
              <w:jc w:val="center"/>
              <w:rPr>
                <w:b/>
                <w:sz w:val="32"/>
                <w:szCs w:val="32"/>
              </w:rPr>
            </w:pPr>
            <w:r w:rsidRPr="00D22292">
              <w:rPr>
                <w:b/>
                <w:sz w:val="32"/>
                <w:szCs w:val="32"/>
              </w:rPr>
              <w:t>SUPREME COURT OF CANADA</w:t>
            </w:r>
          </w:p>
        </w:tc>
        <w:tc>
          <w:tcPr>
            <w:tcW w:w="630" w:type="dxa"/>
          </w:tcPr>
          <w:p w:rsidR="00BF25F3" w:rsidRPr="00D22292" w:rsidRDefault="00BF25F3" w:rsidP="00BF25F3">
            <w:pPr>
              <w:tabs>
                <w:tab w:val="left" w:pos="6075"/>
              </w:tabs>
              <w:jc w:val="center"/>
              <w:rPr>
                <w:sz w:val="32"/>
                <w:szCs w:val="32"/>
              </w:rPr>
            </w:pPr>
          </w:p>
        </w:tc>
        <w:tc>
          <w:tcPr>
            <w:tcW w:w="4428" w:type="dxa"/>
          </w:tcPr>
          <w:p w:rsidR="00BF25F3" w:rsidRPr="00D22292" w:rsidRDefault="00BF25F3" w:rsidP="00BF25F3">
            <w:pPr>
              <w:tabs>
                <w:tab w:val="left" w:pos="6075"/>
              </w:tabs>
              <w:jc w:val="center"/>
              <w:rPr>
                <w:b/>
                <w:sz w:val="32"/>
                <w:szCs w:val="32"/>
                <w:lang w:val="fr-CA"/>
              </w:rPr>
            </w:pPr>
            <w:r w:rsidRPr="00D22292">
              <w:rPr>
                <w:b/>
                <w:sz w:val="32"/>
                <w:szCs w:val="32"/>
                <w:lang w:val="fr-CA"/>
              </w:rPr>
              <w:t>COUR SUPRÊME DU CANADA</w:t>
            </w:r>
          </w:p>
        </w:tc>
      </w:tr>
      <w:tr w:rsidR="00BF25F3" w:rsidRPr="00D22292" w:rsidTr="002E5576">
        <w:tc>
          <w:tcPr>
            <w:tcW w:w="4518" w:type="dxa"/>
          </w:tcPr>
          <w:p w:rsidR="00BF25F3" w:rsidRPr="00D22292" w:rsidRDefault="00BF25F3" w:rsidP="00BF25F3">
            <w:pPr>
              <w:tabs>
                <w:tab w:val="left" w:pos="6075"/>
              </w:tabs>
            </w:pPr>
            <w:bookmarkStart w:id="0" w:name="_GoBack"/>
            <w:bookmarkEnd w:id="0"/>
          </w:p>
          <w:p w:rsidR="001B5C23" w:rsidRPr="00D22292" w:rsidRDefault="001B5C23" w:rsidP="00BF25F3">
            <w:pPr>
              <w:tabs>
                <w:tab w:val="left" w:pos="6075"/>
              </w:tabs>
            </w:pPr>
          </w:p>
          <w:p w:rsidR="001B5C23" w:rsidRPr="00D22292" w:rsidRDefault="001B5C23" w:rsidP="00BF25F3">
            <w:pPr>
              <w:tabs>
                <w:tab w:val="left" w:pos="6075"/>
              </w:tabs>
            </w:pPr>
          </w:p>
        </w:tc>
        <w:tc>
          <w:tcPr>
            <w:tcW w:w="630" w:type="dxa"/>
          </w:tcPr>
          <w:p w:rsidR="00BF25F3" w:rsidRPr="00D22292" w:rsidRDefault="00BF25F3" w:rsidP="00BF25F3">
            <w:pPr>
              <w:tabs>
                <w:tab w:val="left" w:pos="6075"/>
              </w:tabs>
            </w:pPr>
          </w:p>
        </w:tc>
        <w:tc>
          <w:tcPr>
            <w:tcW w:w="4428" w:type="dxa"/>
          </w:tcPr>
          <w:p w:rsidR="00BF25F3" w:rsidRPr="00D22292" w:rsidRDefault="00BF25F3" w:rsidP="00BF25F3">
            <w:pPr>
              <w:tabs>
                <w:tab w:val="left" w:pos="6075"/>
              </w:tabs>
              <w:rPr>
                <w:lang w:val="fr-CA"/>
              </w:rPr>
            </w:pPr>
          </w:p>
        </w:tc>
      </w:tr>
      <w:tr w:rsidR="00BF25F3" w:rsidRPr="00D22292" w:rsidTr="002E5576">
        <w:tc>
          <w:tcPr>
            <w:tcW w:w="4518" w:type="dxa"/>
          </w:tcPr>
          <w:p w:rsidR="001B5C23" w:rsidRPr="00D22292" w:rsidRDefault="00BF25F3" w:rsidP="00BF25F3">
            <w:pPr>
              <w:tabs>
                <w:tab w:val="left" w:pos="6075"/>
              </w:tabs>
              <w:jc w:val="center"/>
              <w:rPr>
                <w:sz w:val="28"/>
                <w:szCs w:val="28"/>
              </w:rPr>
            </w:pPr>
            <w:r w:rsidRPr="00D22292">
              <w:rPr>
                <w:sz w:val="28"/>
                <w:szCs w:val="28"/>
              </w:rPr>
              <w:t>BULLETIN OF</w:t>
            </w:r>
          </w:p>
          <w:p w:rsidR="00BF25F3" w:rsidRPr="00D22292" w:rsidRDefault="00BF25F3" w:rsidP="00BF25F3">
            <w:pPr>
              <w:tabs>
                <w:tab w:val="left" w:pos="6075"/>
              </w:tabs>
              <w:jc w:val="center"/>
              <w:rPr>
                <w:sz w:val="28"/>
                <w:szCs w:val="28"/>
              </w:rPr>
            </w:pPr>
            <w:r w:rsidRPr="00D22292">
              <w:rPr>
                <w:sz w:val="28"/>
                <w:szCs w:val="28"/>
              </w:rPr>
              <w:t xml:space="preserve"> PROCEEDINGS</w:t>
            </w:r>
          </w:p>
        </w:tc>
        <w:tc>
          <w:tcPr>
            <w:tcW w:w="630" w:type="dxa"/>
          </w:tcPr>
          <w:p w:rsidR="00BF25F3" w:rsidRPr="00D22292" w:rsidRDefault="00BF25F3" w:rsidP="00BF25F3">
            <w:pPr>
              <w:tabs>
                <w:tab w:val="left" w:pos="6075"/>
              </w:tabs>
            </w:pPr>
          </w:p>
        </w:tc>
        <w:tc>
          <w:tcPr>
            <w:tcW w:w="4428" w:type="dxa"/>
          </w:tcPr>
          <w:p w:rsidR="001B5C23" w:rsidRPr="00D22292" w:rsidRDefault="00BF25F3" w:rsidP="00BF25F3">
            <w:pPr>
              <w:tabs>
                <w:tab w:val="left" w:pos="6075"/>
              </w:tabs>
              <w:jc w:val="center"/>
              <w:rPr>
                <w:sz w:val="28"/>
                <w:szCs w:val="28"/>
                <w:lang w:val="fr-CA"/>
              </w:rPr>
            </w:pPr>
            <w:r w:rsidRPr="00D22292">
              <w:rPr>
                <w:sz w:val="28"/>
                <w:szCs w:val="28"/>
                <w:lang w:val="fr-CA"/>
              </w:rPr>
              <w:t>BULLETIN DES</w:t>
            </w:r>
          </w:p>
          <w:p w:rsidR="00BF25F3" w:rsidRPr="00D22292" w:rsidRDefault="00BF25F3" w:rsidP="00BF25F3">
            <w:pPr>
              <w:tabs>
                <w:tab w:val="left" w:pos="6075"/>
              </w:tabs>
              <w:jc w:val="center"/>
              <w:rPr>
                <w:sz w:val="28"/>
                <w:szCs w:val="28"/>
                <w:lang w:val="fr-CA"/>
              </w:rPr>
            </w:pPr>
            <w:r w:rsidRPr="00D22292">
              <w:rPr>
                <w:sz w:val="28"/>
                <w:szCs w:val="28"/>
                <w:lang w:val="fr-CA"/>
              </w:rPr>
              <w:t xml:space="preserve"> PROCÉDURES</w:t>
            </w:r>
          </w:p>
        </w:tc>
      </w:tr>
      <w:tr w:rsidR="00BF25F3" w:rsidRPr="00D22292" w:rsidTr="002E5576">
        <w:tc>
          <w:tcPr>
            <w:tcW w:w="4518" w:type="dxa"/>
          </w:tcPr>
          <w:p w:rsidR="00BF25F3" w:rsidRPr="00D22292" w:rsidRDefault="00BF25F3" w:rsidP="00BF25F3">
            <w:pPr>
              <w:tabs>
                <w:tab w:val="left" w:pos="6075"/>
              </w:tabs>
            </w:pPr>
          </w:p>
          <w:p w:rsidR="001B5C23" w:rsidRPr="00D22292" w:rsidRDefault="001B5C23" w:rsidP="00BF25F3">
            <w:pPr>
              <w:tabs>
                <w:tab w:val="left" w:pos="6075"/>
              </w:tabs>
            </w:pPr>
          </w:p>
        </w:tc>
        <w:tc>
          <w:tcPr>
            <w:tcW w:w="630" w:type="dxa"/>
          </w:tcPr>
          <w:p w:rsidR="00BF25F3" w:rsidRPr="00D22292" w:rsidRDefault="00BF25F3" w:rsidP="00BF25F3">
            <w:pPr>
              <w:tabs>
                <w:tab w:val="left" w:pos="6075"/>
              </w:tabs>
            </w:pPr>
          </w:p>
        </w:tc>
        <w:tc>
          <w:tcPr>
            <w:tcW w:w="4428" w:type="dxa"/>
          </w:tcPr>
          <w:p w:rsidR="00BF25F3" w:rsidRPr="00D22292" w:rsidRDefault="00BF25F3" w:rsidP="00BF25F3">
            <w:pPr>
              <w:tabs>
                <w:tab w:val="left" w:pos="6075"/>
              </w:tabs>
              <w:rPr>
                <w:lang w:val="fr-CA"/>
              </w:rPr>
            </w:pPr>
          </w:p>
        </w:tc>
      </w:tr>
      <w:tr w:rsidR="00BF25F3" w:rsidRPr="00D22292" w:rsidTr="002E5576">
        <w:tc>
          <w:tcPr>
            <w:tcW w:w="4518" w:type="dxa"/>
          </w:tcPr>
          <w:p w:rsidR="00BF25F3" w:rsidRPr="00D22292" w:rsidRDefault="00BF25F3" w:rsidP="00BF25F3">
            <w:pPr>
              <w:tabs>
                <w:tab w:val="left" w:pos="6075"/>
              </w:tabs>
              <w:jc w:val="both"/>
              <w:rPr>
                <w:rFonts w:ascii="Arial" w:hAnsi="Arial" w:cs="Arial"/>
                <w:i/>
                <w:sz w:val="20"/>
                <w:szCs w:val="20"/>
              </w:rPr>
            </w:pPr>
            <w:r w:rsidRPr="00D22292">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D22292" w:rsidRDefault="00BF25F3" w:rsidP="00BF25F3">
            <w:pPr>
              <w:tabs>
                <w:tab w:val="left" w:pos="6075"/>
              </w:tabs>
              <w:jc w:val="both"/>
              <w:rPr>
                <w:rFonts w:ascii="Arial" w:hAnsi="Arial" w:cs="Arial"/>
                <w:i/>
                <w:sz w:val="20"/>
                <w:szCs w:val="20"/>
              </w:rPr>
            </w:pPr>
          </w:p>
        </w:tc>
        <w:tc>
          <w:tcPr>
            <w:tcW w:w="4428" w:type="dxa"/>
          </w:tcPr>
          <w:p w:rsidR="00BF25F3" w:rsidRPr="00D22292" w:rsidRDefault="00BF25F3" w:rsidP="00BF25F3">
            <w:pPr>
              <w:tabs>
                <w:tab w:val="left" w:pos="6075"/>
              </w:tabs>
              <w:jc w:val="both"/>
              <w:rPr>
                <w:rFonts w:ascii="Arial" w:hAnsi="Arial" w:cs="Arial"/>
                <w:i/>
                <w:sz w:val="20"/>
                <w:szCs w:val="20"/>
                <w:lang w:val="fr-CA"/>
              </w:rPr>
            </w:pPr>
            <w:r w:rsidRPr="00D22292">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22292" w:rsidTr="002E5576">
        <w:tc>
          <w:tcPr>
            <w:tcW w:w="4518" w:type="dxa"/>
          </w:tcPr>
          <w:p w:rsidR="00BF25F3" w:rsidRPr="00D22292" w:rsidRDefault="00BF25F3" w:rsidP="00BF25F3">
            <w:pPr>
              <w:tabs>
                <w:tab w:val="left" w:pos="6075"/>
              </w:tabs>
              <w:rPr>
                <w:lang w:val="fr-CA"/>
              </w:rPr>
            </w:pPr>
          </w:p>
          <w:p w:rsidR="00D862C1" w:rsidRPr="00D22292" w:rsidRDefault="00D862C1" w:rsidP="00BF25F3">
            <w:pPr>
              <w:tabs>
                <w:tab w:val="left" w:pos="6075"/>
              </w:tabs>
              <w:rPr>
                <w:lang w:val="fr-CA"/>
              </w:rPr>
            </w:pPr>
          </w:p>
        </w:tc>
        <w:tc>
          <w:tcPr>
            <w:tcW w:w="630" w:type="dxa"/>
          </w:tcPr>
          <w:p w:rsidR="00BF25F3" w:rsidRPr="00D22292" w:rsidRDefault="00BF25F3" w:rsidP="00BF25F3">
            <w:pPr>
              <w:tabs>
                <w:tab w:val="left" w:pos="6075"/>
              </w:tabs>
              <w:rPr>
                <w:lang w:val="fr-CA"/>
              </w:rPr>
            </w:pPr>
          </w:p>
        </w:tc>
        <w:tc>
          <w:tcPr>
            <w:tcW w:w="4428" w:type="dxa"/>
          </w:tcPr>
          <w:p w:rsidR="00BF25F3" w:rsidRPr="00D22292" w:rsidRDefault="00BF25F3" w:rsidP="00BF25F3">
            <w:pPr>
              <w:tabs>
                <w:tab w:val="left" w:pos="6075"/>
              </w:tabs>
              <w:rPr>
                <w:lang w:val="fr-CA"/>
              </w:rPr>
            </w:pPr>
          </w:p>
        </w:tc>
      </w:tr>
      <w:tr w:rsidR="00BF25F3" w:rsidRPr="00D22292" w:rsidTr="002E5576">
        <w:tc>
          <w:tcPr>
            <w:tcW w:w="4518" w:type="dxa"/>
          </w:tcPr>
          <w:p w:rsidR="00BF25F3" w:rsidRPr="00D22292" w:rsidRDefault="00BF25F3" w:rsidP="009F3024">
            <w:pPr>
              <w:tabs>
                <w:tab w:val="left" w:pos="6075"/>
              </w:tabs>
              <w:jc w:val="both"/>
              <w:rPr>
                <w:rFonts w:ascii="Arial" w:hAnsi="Arial" w:cs="Arial"/>
                <w:i/>
                <w:sz w:val="20"/>
                <w:szCs w:val="20"/>
              </w:rPr>
            </w:pPr>
            <w:r w:rsidRPr="00D22292">
              <w:rPr>
                <w:rFonts w:ascii="Arial" w:hAnsi="Arial" w:cs="Arial"/>
                <w:i/>
                <w:sz w:val="20"/>
                <w:szCs w:val="20"/>
              </w:rPr>
              <w:t xml:space="preserve">During Court sessions </w:t>
            </w:r>
            <w:r w:rsidR="009F3024" w:rsidRPr="00D22292">
              <w:rPr>
                <w:rFonts w:ascii="Arial" w:hAnsi="Arial" w:cs="Arial"/>
                <w:i/>
                <w:sz w:val="20"/>
                <w:szCs w:val="20"/>
              </w:rPr>
              <w:t xml:space="preserve">the Bulletin </w:t>
            </w:r>
            <w:r w:rsidRPr="00D22292">
              <w:rPr>
                <w:rFonts w:ascii="Arial" w:hAnsi="Arial" w:cs="Arial"/>
                <w:i/>
                <w:sz w:val="20"/>
                <w:szCs w:val="20"/>
              </w:rPr>
              <w:t>is usually issued weekly.</w:t>
            </w:r>
          </w:p>
        </w:tc>
        <w:tc>
          <w:tcPr>
            <w:tcW w:w="630" w:type="dxa"/>
          </w:tcPr>
          <w:p w:rsidR="00BF25F3" w:rsidRPr="00D22292" w:rsidRDefault="00BF25F3" w:rsidP="00BF25F3">
            <w:pPr>
              <w:tabs>
                <w:tab w:val="left" w:pos="6075"/>
              </w:tabs>
              <w:jc w:val="both"/>
              <w:rPr>
                <w:rFonts w:ascii="Arial" w:hAnsi="Arial" w:cs="Arial"/>
                <w:i/>
                <w:sz w:val="20"/>
                <w:szCs w:val="20"/>
              </w:rPr>
            </w:pPr>
          </w:p>
        </w:tc>
        <w:tc>
          <w:tcPr>
            <w:tcW w:w="4428" w:type="dxa"/>
          </w:tcPr>
          <w:p w:rsidR="00BF25F3" w:rsidRPr="00D22292" w:rsidRDefault="00BF25F3" w:rsidP="00BF25F3">
            <w:pPr>
              <w:tabs>
                <w:tab w:val="left" w:pos="6075"/>
              </w:tabs>
              <w:jc w:val="both"/>
              <w:rPr>
                <w:rFonts w:ascii="Arial" w:hAnsi="Arial" w:cs="Arial"/>
                <w:i/>
                <w:sz w:val="20"/>
                <w:szCs w:val="20"/>
                <w:lang w:val="fr-CA"/>
              </w:rPr>
            </w:pPr>
            <w:r w:rsidRPr="00D22292">
              <w:rPr>
                <w:rFonts w:ascii="Arial" w:hAnsi="Arial" w:cs="Arial"/>
                <w:i/>
                <w:sz w:val="20"/>
                <w:szCs w:val="20"/>
                <w:lang w:val="fr-CA"/>
              </w:rPr>
              <w:t>Le Bulletin paraît en principe toutes les semaines pendant les sessions de la Cour.</w:t>
            </w:r>
          </w:p>
        </w:tc>
      </w:tr>
      <w:tr w:rsidR="00BF25F3" w:rsidRPr="00D22292" w:rsidTr="002E5576">
        <w:tc>
          <w:tcPr>
            <w:tcW w:w="4518" w:type="dxa"/>
          </w:tcPr>
          <w:p w:rsidR="00BF25F3" w:rsidRPr="00D22292" w:rsidRDefault="00BF25F3" w:rsidP="00BF25F3">
            <w:pPr>
              <w:tabs>
                <w:tab w:val="left" w:pos="6075"/>
              </w:tabs>
              <w:rPr>
                <w:lang w:val="fr-CA"/>
              </w:rPr>
            </w:pPr>
          </w:p>
          <w:p w:rsidR="00D862C1" w:rsidRPr="00D22292" w:rsidRDefault="00D862C1" w:rsidP="00BF25F3">
            <w:pPr>
              <w:tabs>
                <w:tab w:val="left" w:pos="6075"/>
              </w:tabs>
              <w:rPr>
                <w:lang w:val="fr-CA"/>
              </w:rPr>
            </w:pPr>
          </w:p>
        </w:tc>
        <w:tc>
          <w:tcPr>
            <w:tcW w:w="630" w:type="dxa"/>
          </w:tcPr>
          <w:p w:rsidR="00BF25F3" w:rsidRPr="00D22292" w:rsidRDefault="00BF25F3" w:rsidP="00BF25F3">
            <w:pPr>
              <w:tabs>
                <w:tab w:val="left" w:pos="6075"/>
              </w:tabs>
              <w:rPr>
                <w:lang w:val="fr-CA"/>
              </w:rPr>
            </w:pPr>
          </w:p>
        </w:tc>
        <w:tc>
          <w:tcPr>
            <w:tcW w:w="4428" w:type="dxa"/>
          </w:tcPr>
          <w:p w:rsidR="00BF25F3" w:rsidRPr="00D22292" w:rsidRDefault="00BF25F3" w:rsidP="00BF25F3">
            <w:pPr>
              <w:tabs>
                <w:tab w:val="left" w:pos="6075"/>
              </w:tabs>
              <w:rPr>
                <w:lang w:val="fr-CA"/>
              </w:rPr>
            </w:pPr>
          </w:p>
        </w:tc>
      </w:tr>
      <w:tr w:rsidR="00BF25F3" w:rsidRPr="00D22292" w:rsidTr="002E5576">
        <w:tc>
          <w:tcPr>
            <w:tcW w:w="4518" w:type="dxa"/>
          </w:tcPr>
          <w:p w:rsidR="00BF25F3" w:rsidRPr="00D22292" w:rsidRDefault="000E27A5" w:rsidP="00BF25F3">
            <w:pPr>
              <w:tabs>
                <w:tab w:val="left" w:pos="6075"/>
              </w:tabs>
              <w:jc w:val="both"/>
              <w:rPr>
                <w:rFonts w:ascii="Arial" w:hAnsi="Arial" w:cs="Arial"/>
                <w:i/>
                <w:sz w:val="20"/>
                <w:szCs w:val="20"/>
              </w:rPr>
            </w:pPr>
            <w:r w:rsidRPr="00D22292">
              <w:rPr>
                <w:rFonts w:ascii="Arial" w:hAnsi="Arial" w:cs="Arial"/>
                <w:i/>
                <w:sz w:val="20"/>
                <w:szCs w:val="20"/>
              </w:rPr>
              <w:fldChar w:fldCharType="begin"/>
            </w:r>
            <w:r w:rsidR="00BF25F3" w:rsidRPr="00D22292">
              <w:rPr>
                <w:rFonts w:ascii="Arial" w:hAnsi="Arial" w:cs="Arial"/>
                <w:i/>
                <w:sz w:val="20"/>
                <w:szCs w:val="20"/>
              </w:rPr>
              <w:instrText xml:space="preserve"> SEQ CHAPTER \h \r 1</w:instrText>
            </w:r>
            <w:r w:rsidRPr="00D22292">
              <w:rPr>
                <w:rFonts w:ascii="Arial" w:hAnsi="Arial" w:cs="Arial"/>
                <w:i/>
                <w:sz w:val="20"/>
                <w:szCs w:val="20"/>
              </w:rPr>
              <w:fldChar w:fldCharType="end"/>
            </w:r>
            <w:r w:rsidR="00BF25F3" w:rsidRPr="00D22292">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D22292" w:rsidRDefault="00BF25F3" w:rsidP="00BF25F3">
            <w:pPr>
              <w:tabs>
                <w:tab w:val="left" w:pos="6075"/>
              </w:tabs>
              <w:jc w:val="both"/>
              <w:rPr>
                <w:rFonts w:ascii="Arial" w:hAnsi="Arial" w:cs="Arial"/>
                <w:i/>
                <w:sz w:val="20"/>
                <w:szCs w:val="20"/>
              </w:rPr>
            </w:pPr>
          </w:p>
        </w:tc>
        <w:tc>
          <w:tcPr>
            <w:tcW w:w="4428" w:type="dxa"/>
          </w:tcPr>
          <w:p w:rsidR="00BF25F3" w:rsidRPr="00D22292" w:rsidRDefault="000E27A5" w:rsidP="00BF25F3">
            <w:pPr>
              <w:tabs>
                <w:tab w:val="left" w:pos="6075"/>
              </w:tabs>
              <w:jc w:val="both"/>
              <w:rPr>
                <w:rFonts w:ascii="Arial" w:hAnsi="Arial" w:cs="Arial"/>
                <w:i/>
                <w:sz w:val="20"/>
                <w:szCs w:val="20"/>
                <w:lang w:val="fr-CA"/>
              </w:rPr>
            </w:pPr>
            <w:r w:rsidRPr="00D22292">
              <w:rPr>
                <w:rFonts w:ascii="Arial" w:hAnsi="Arial" w:cs="Arial"/>
                <w:i/>
                <w:sz w:val="20"/>
                <w:szCs w:val="20"/>
                <w:lang w:val="fr-CA"/>
              </w:rPr>
              <w:fldChar w:fldCharType="begin"/>
            </w:r>
            <w:r w:rsidR="00BF25F3" w:rsidRPr="00D22292">
              <w:rPr>
                <w:rFonts w:ascii="Arial" w:hAnsi="Arial" w:cs="Arial"/>
                <w:i/>
                <w:sz w:val="20"/>
                <w:szCs w:val="20"/>
                <w:lang w:val="fr-CA"/>
              </w:rPr>
              <w:instrText xml:space="preserve"> SEQ CHAPTER \h \r 1</w:instrText>
            </w:r>
            <w:r w:rsidRPr="00D22292">
              <w:rPr>
                <w:rFonts w:ascii="Arial" w:hAnsi="Arial" w:cs="Arial"/>
                <w:i/>
                <w:sz w:val="20"/>
                <w:szCs w:val="20"/>
                <w:lang w:val="fr-CA"/>
              </w:rPr>
              <w:fldChar w:fldCharType="end"/>
            </w:r>
            <w:r w:rsidR="00BF25F3" w:rsidRPr="00D22292">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22292" w:rsidTr="002E5576">
        <w:tc>
          <w:tcPr>
            <w:tcW w:w="4518" w:type="dxa"/>
          </w:tcPr>
          <w:p w:rsidR="009F3024" w:rsidRPr="00D22292" w:rsidRDefault="009F3024" w:rsidP="009F3024">
            <w:pPr>
              <w:tabs>
                <w:tab w:val="left" w:pos="6075"/>
              </w:tabs>
              <w:rPr>
                <w:rFonts w:cs="Times New Roman"/>
                <w:szCs w:val="24"/>
                <w:lang w:val="fr-CA"/>
              </w:rPr>
            </w:pPr>
          </w:p>
          <w:p w:rsidR="009F3024" w:rsidRPr="00D22292" w:rsidRDefault="009F3024" w:rsidP="009F3024">
            <w:pPr>
              <w:tabs>
                <w:tab w:val="left" w:pos="6075"/>
              </w:tabs>
              <w:rPr>
                <w:rFonts w:cs="Times New Roman"/>
                <w:szCs w:val="24"/>
                <w:lang w:val="fr-CA"/>
              </w:rPr>
            </w:pPr>
          </w:p>
        </w:tc>
        <w:tc>
          <w:tcPr>
            <w:tcW w:w="630" w:type="dxa"/>
          </w:tcPr>
          <w:p w:rsidR="009F3024" w:rsidRPr="00D22292" w:rsidRDefault="009F3024" w:rsidP="009F3024">
            <w:pPr>
              <w:tabs>
                <w:tab w:val="left" w:pos="6075"/>
              </w:tabs>
              <w:rPr>
                <w:rFonts w:cs="Times New Roman"/>
                <w:szCs w:val="24"/>
                <w:lang w:val="fr-CA"/>
              </w:rPr>
            </w:pPr>
          </w:p>
        </w:tc>
        <w:tc>
          <w:tcPr>
            <w:tcW w:w="4428" w:type="dxa"/>
          </w:tcPr>
          <w:p w:rsidR="009F3024" w:rsidRPr="00D22292" w:rsidRDefault="009F3024" w:rsidP="009F3024">
            <w:pPr>
              <w:tabs>
                <w:tab w:val="left" w:pos="6075"/>
              </w:tabs>
              <w:rPr>
                <w:rFonts w:cs="Times New Roman"/>
                <w:szCs w:val="24"/>
                <w:lang w:val="fr-CA"/>
              </w:rPr>
            </w:pPr>
          </w:p>
        </w:tc>
      </w:tr>
      <w:tr w:rsidR="009F3024" w:rsidRPr="00D22292" w:rsidTr="002E5576">
        <w:tc>
          <w:tcPr>
            <w:tcW w:w="4518" w:type="dxa"/>
          </w:tcPr>
          <w:p w:rsidR="009F3024" w:rsidRPr="00D22292" w:rsidRDefault="009F3024" w:rsidP="00E414CA">
            <w:pPr>
              <w:tabs>
                <w:tab w:val="left" w:pos="6075"/>
              </w:tabs>
              <w:jc w:val="both"/>
              <w:rPr>
                <w:rFonts w:ascii="Arial" w:hAnsi="Arial" w:cs="Arial"/>
                <w:i/>
                <w:sz w:val="20"/>
                <w:szCs w:val="20"/>
              </w:rPr>
            </w:pPr>
            <w:r w:rsidRPr="00D22292">
              <w:rPr>
                <w:rFonts w:ascii="Arial" w:hAnsi="Arial" w:cs="Arial"/>
                <w:i/>
                <w:sz w:val="20"/>
                <w:szCs w:val="20"/>
              </w:rPr>
              <w:t xml:space="preserve">Consult the Supreme Court of Canada website at </w:t>
            </w:r>
            <w:hyperlink r:id="rId9" w:history="1">
              <w:r w:rsidR="00E414CA" w:rsidRPr="00D22292">
                <w:rPr>
                  <w:rStyle w:val="Hyperlink"/>
                  <w:rFonts w:ascii="Arial" w:hAnsi="Arial" w:cs="Arial"/>
                  <w:i/>
                  <w:sz w:val="20"/>
                  <w:szCs w:val="20"/>
                </w:rPr>
                <w:t>www.scc-csc.ca</w:t>
              </w:r>
            </w:hyperlink>
            <w:r w:rsidRPr="00D22292">
              <w:rPr>
                <w:rFonts w:ascii="Arial" w:hAnsi="Arial" w:cs="Arial"/>
                <w:i/>
                <w:sz w:val="20"/>
                <w:szCs w:val="20"/>
              </w:rPr>
              <w:t xml:space="preserve"> for more information.</w:t>
            </w:r>
          </w:p>
        </w:tc>
        <w:tc>
          <w:tcPr>
            <w:tcW w:w="630" w:type="dxa"/>
          </w:tcPr>
          <w:p w:rsidR="009F3024" w:rsidRPr="00D22292" w:rsidRDefault="009F3024" w:rsidP="00BF25F3">
            <w:pPr>
              <w:tabs>
                <w:tab w:val="left" w:pos="6075"/>
              </w:tabs>
              <w:jc w:val="both"/>
              <w:rPr>
                <w:rFonts w:ascii="Arial" w:hAnsi="Arial" w:cs="Arial"/>
                <w:i/>
                <w:sz w:val="20"/>
                <w:szCs w:val="20"/>
              </w:rPr>
            </w:pPr>
          </w:p>
        </w:tc>
        <w:tc>
          <w:tcPr>
            <w:tcW w:w="4428" w:type="dxa"/>
          </w:tcPr>
          <w:p w:rsidR="009F3024" w:rsidRPr="00D22292" w:rsidRDefault="009F3024" w:rsidP="00E414CA">
            <w:pPr>
              <w:tabs>
                <w:tab w:val="left" w:pos="6075"/>
              </w:tabs>
              <w:jc w:val="both"/>
              <w:rPr>
                <w:rFonts w:ascii="Arial" w:hAnsi="Arial" w:cs="Arial"/>
                <w:i/>
                <w:sz w:val="20"/>
                <w:szCs w:val="20"/>
                <w:lang w:val="fr-CA"/>
              </w:rPr>
            </w:pPr>
            <w:r w:rsidRPr="00D22292">
              <w:rPr>
                <w:rFonts w:ascii="Arial" w:hAnsi="Arial" w:cs="Arial"/>
                <w:i/>
                <w:sz w:val="20"/>
                <w:szCs w:val="20"/>
                <w:lang w:val="fr-CA"/>
              </w:rPr>
              <w:t xml:space="preserve">Pour de plus amples informations, consulter le site Web de la Cour suprême du Canada à l’adresse suivante : </w:t>
            </w:r>
            <w:hyperlink r:id="rId10" w:history="1">
              <w:r w:rsidR="0081473A" w:rsidRPr="00D22292">
                <w:rPr>
                  <w:rStyle w:val="Hyperlink"/>
                  <w:rFonts w:ascii="Arial" w:hAnsi="Arial" w:cs="Arial"/>
                  <w:i/>
                  <w:sz w:val="20"/>
                  <w:szCs w:val="20"/>
                  <w:lang w:val="fr-CA"/>
                </w:rPr>
                <w:t>www.scc-csc.ca</w:t>
              </w:r>
            </w:hyperlink>
            <w:r w:rsidRPr="00D22292">
              <w:rPr>
                <w:rFonts w:ascii="Arial" w:hAnsi="Arial" w:cs="Arial"/>
                <w:i/>
                <w:sz w:val="20"/>
                <w:szCs w:val="20"/>
                <w:lang w:val="fr-CA"/>
              </w:rPr>
              <w:t xml:space="preserve"> </w:t>
            </w:r>
          </w:p>
        </w:tc>
      </w:tr>
    </w:tbl>
    <w:p w:rsidR="00BF25F3" w:rsidRPr="00D22292" w:rsidRDefault="00BF25F3" w:rsidP="00BF25F3">
      <w:pPr>
        <w:tabs>
          <w:tab w:val="left" w:pos="6075"/>
        </w:tabs>
        <w:rPr>
          <w:lang w:val="fr-CA"/>
        </w:rPr>
      </w:pPr>
    </w:p>
    <w:p w:rsidR="00440E24" w:rsidRPr="00D22292" w:rsidRDefault="00440E24" w:rsidP="00440E24">
      <w:pPr>
        <w:pBdr>
          <w:bottom w:val="single" w:sz="6" w:space="1" w:color="auto"/>
        </w:pBdr>
        <w:tabs>
          <w:tab w:val="left" w:pos="6075"/>
        </w:tabs>
        <w:rPr>
          <w:lang w:val="fr-CA"/>
        </w:rPr>
      </w:pPr>
    </w:p>
    <w:p w:rsidR="00440E24" w:rsidRPr="00D22292" w:rsidRDefault="00440E24" w:rsidP="00440E24">
      <w:pPr>
        <w:rPr>
          <w:lang w:val="fr-CA"/>
        </w:rPr>
      </w:pPr>
    </w:p>
    <w:p w:rsidR="00600252" w:rsidRPr="00D22292" w:rsidRDefault="00C73D06" w:rsidP="00F0068D">
      <w:pPr>
        <w:pBdr>
          <w:bottom w:val="single" w:sz="6" w:space="1" w:color="auto"/>
        </w:pBdr>
        <w:tabs>
          <w:tab w:val="center" w:pos="4680"/>
          <w:tab w:val="right" w:pos="9360"/>
        </w:tabs>
        <w:rPr>
          <w:lang w:val="fr-CA"/>
        </w:rPr>
      </w:pPr>
      <w:r w:rsidRPr="00D22292">
        <w:rPr>
          <w:lang w:val="fr-CA"/>
        </w:rPr>
        <w:t>J</w:t>
      </w:r>
      <w:r w:rsidR="00E808EC" w:rsidRPr="00D22292">
        <w:rPr>
          <w:lang w:val="fr-CA"/>
        </w:rPr>
        <w:t>uly</w:t>
      </w:r>
      <w:r w:rsidR="00440E24" w:rsidRPr="00D22292">
        <w:rPr>
          <w:lang w:val="fr-CA"/>
        </w:rPr>
        <w:t xml:space="preserve"> </w:t>
      </w:r>
      <w:r w:rsidR="00E808EC" w:rsidRPr="00D22292">
        <w:rPr>
          <w:lang w:val="fr-CA"/>
        </w:rPr>
        <w:t>7</w:t>
      </w:r>
      <w:r w:rsidR="00440E24" w:rsidRPr="00D22292">
        <w:rPr>
          <w:lang w:val="fr-CA"/>
        </w:rPr>
        <w:t>, 201</w:t>
      </w:r>
      <w:r w:rsidR="00E8544A" w:rsidRPr="00D22292">
        <w:rPr>
          <w:lang w:val="fr-CA"/>
        </w:rPr>
        <w:t>7</w:t>
      </w:r>
      <w:r w:rsidR="00F0068D" w:rsidRPr="00D22292">
        <w:rPr>
          <w:lang w:val="fr-CA"/>
        </w:rPr>
        <w:tab/>
        <w:t>1</w:t>
      </w:r>
      <w:r w:rsidR="009B7EC2" w:rsidRPr="00D22292">
        <w:rPr>
          <w:lang w:val="fr-CA"/>
        </w:rPr>
        <w:t>089</w:t>
      </w:r>
      <w:r w:rsidR="00F0068D" w:rsidRPr="00D22292">
        <w:rPr>
          <w:lang w:val="fr-CA"/>
        </w:rPr>
        <w:t xml:space="preserve"> - </w:t>
      </w:r>
      <w:r w:rsidR="00EA637F" w:rsidRPr="00D22292">
        <w:rPr>
          <w:lang w:val="fr-CA"/>
        </w:rPr>
        <w:t>1115</w:t>
      </w:r>
      <w:r w:rsidR="00440E24" w:rsidRPr="00D22292">
        <w:rPr>
          <w:lang w:val="fr-CA"/>
        </w:rPr>
        <w:tab/>
        <w:t>Le</w:t>
      </w:r>
      <w:r w:rsidRPr="00D22292">
        <w:rPr>
          <w:lang w:val="fr-CA"/>
        </w:rPr>
        <w:t xml:space="preserve"> </w:t>
      </w:r>
      <w:r w:rsidR="00E808EC" w:rsidRPr="00D22292">
        <w:rPr>
          <w:lang w:val="fr-CA"/>
        </w:rPr>
        <w:t>7</w:t>
      </w:r>
      <w:r w:rsidRPr="00D22292">
        <w:rPr>
          <w:lang w:val="fr-CA"/>
        </w:rPr>
        <w:t xml:space="preserve"> j</w:t>
      </w:r>
      <w:r w:rsidR="00E808EC" w:rsidRPr="00D22292">
        <w:rPr>
          <w:lang w:val="fr-CA"/>
        </w:rPr>
        <w:t>uillet</w:t>
      </w:r>
      <w:r w:rsidR="00440E24" w:rsidRPr="00D22292">
        <w:rPr>
          <w:lang w:val="fr-CA"/>
        </w:rPr>
        <w:t xml:space="preserve"> 201</w:t>
      </w:r>
      <w:r w:rsidR="00E8544A" w:rsidRPr="00D22292">
        <w:rPr>
          <w:lang w:val="fr-CA"/>
        </w:rPr>
        <w:t>7</w:t>
      </w:r>
    </w:p>
    <w:p w:rsidR="00440E24" w:rsidRPr="00D22292" w:rsidRDefault="00440E24" w:rsidP="00440E24">
      <w:pPr>
        <w:pBdr>
          <w:bottom w:val="single" w:sz="6" w:space="1" w:color="auto"/>
        </w:pBdr>
        <w:tabs>
          <w:tab w:val="right" w:pos="9360"/>
        </w:tabs>
        <w:rPr>
          <w:lang w:val="fr-CA"/>
        </w:rPr>
      </w:pPr>
    </w:p>
    <w:p w:rsidR="00440E24" w:rsidRPr="00D22292" w:rsidRDefault="00440E24" w:rsidP="00440E24">
      <w:pPr>
        <w:pBdr>
          <w:bottom w:val="single" w:sz="6" w:space="1" w:color="auto"/>
        </w:pBdr>
        <w:tabs>
          <w:tab w:val="right" w:pos="9360"/>
        </w:tabs>
        <w:rPr>
          <w:sz w:val="18"/>
          <w:szCs w:val="18"/>
          <w:lang w:val="fr-CA"/>
        </w:rPr>
      </w:pPr>
      <w:r w:rsidRPr="00D22292">
        <w:rPr>
          <w:sz w:val="18"/>
          <w:szCs w:val="18"/>
          <w:lang w:val="fr-CA"/>
        </w:rPr>
        <w:t>© Supreme Court of Canada (</w:t>
      </w:r>
      <w:r w:rsidR="0030050B" w:rsidRPr="00D22292">
        <w:rPr>
          <w:sz w:val="18"/>
          <w:szCs w:val="18"/>
          <w:lang w:val="fr-CA"/>
        </w:rPr>
        <w:t>201</w:t>
      </w:r>
      <w:r w:rsidR="00E8544A" w:rsidRPr="00D22292">
        <w:rPr>
          <w:sz w:val="18"/>
          <w:szCs w:val="18"/>
          <w:lang w:val="fr-CA"/>
        </w:rPr>
        <w:t>7</w:t>
      </w:r>
      <w:r w:rsidRPr="00D22292">
        <w:rPr>
          <w:sz w:val="18"/>
          <w:szCs w:val="18"/>
          <w:lang w:val="fr-CA"/>
        </w:rPr>
        <w:t>)</w:t>
      </w:r>
      <w:r w:rsidRPr="00D22292">
        <w:rPr>
          <w:sz w:val="18"/>
          <w:szCs w:val="18"/>
          <w:lang w:val="fr-CA"/>
        </w:rPr>
        <w:tab/>
        <w:t>© Cour suprême du Canada (</w:t>
      </w:r>
      <w:r w:rsidR="0030050B" w:rsidRPr="00D22292">
        <w:rPr>
          <w:sz w:val="18"/>
          <w:szCs w:val="18"/>
          <w:lang w:val="fr-CA"/>
        </w:rPr>
        <w:t>201</w:t>
      </w:r>
      <w:r w:rsidR="00E8544A" w:rsidRPr="00D22292">
        <w:rPr>
          <w:sz w:val="18"/>
          <w:szCs w:val="18"/>
          <w:lang w:val="fr-CA"/>
        </w:rPr>
        <w:t>7</w:t>
      </w:r>
      <w:r w:rsidRPr="00D22292">
        <w:rPr>
          <w:sz w:val="18"/>
          <w:szCs w:val="18"/>
          <w:lang w:val="fr-CA"/>
        </w:rPr>
        <w:t>)</w:t>
      </w:r>
    </w:p>
    <w:p w:rsidR="00440E24" w:rsidRPr="00D22292" w:rsidRDefault="00440E24" w:rsidP="00440E24">
      <w:pPr>
        <w:pBdr>
          <w:bottom w:val="single" w:sz="6" w:space="1" w:color="auto"/>
        </w:pBdr>
        <w:tabs>
          <w:tab w:val="right" w:pos="9360"/>
        </w:tabs>
        <w:rPr>
          <w:sz w:val="18"/>
          <w:szCs w:val="18"/>
          <w:lang w:val="fr-CA"/>
        </w:rPr>
      </w:pPr>
      <w:r w:rsidRPr="00D22292">
        <w:rPr>
          <w:sz w:val="18"/>
          <w:szCs w:val="18"/>
          <w:lang w:val="fr-CA"/>
        </w:rPr>
        <w:t>ISSN 1918-8358 (Online)</w:t>
      </w:r>
      <w:r w:rsidRPr="00D22292">
        <w:rPr>
          <w:sz w:val="18"/>
          <w:szCs w:val="18"/>
          <w:lang w:val="fr-CA"/>
        </w:rPr>
        <w:tab/>
        <w:t>ISSN 1918-8358 (En ligne)</w:t>
      </w:r>
    </w:p>
    <w:p w:rsidR="00600252" w:rsidRPr="00D22292" w:rsidRDefault="00600252" w:rsidP="00BF25F3">
      <w:pPr>
        <w:pBdr>
          <w:bottom w:val="single" w:sz="6" w:space="1" w:color="auto"/>
        </w:pBdr>
        <w:tabs>
          <w:tab w:val="left" w:pos="6075"/>
        </w:tabs>
        <w:rPr>
          <w:lang w:val="fr-CA"/>
        </w:rPr>
      </w:pPr>
    </w:p>
    <w:p w:rsidR="0030050B" w:rsidRPr="00D22292"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D22292" w:rsidTr="00245129">
        <w:tc>
          <w:tcPr>
            <w:tcW w:w="4290" w:type="dxa"/>
            <w:shd w:val="clear" w:color="auto" w:fill="auto"/>
            <w:tcMar>
              <w:left w:w="0" w:type="dxa"/>
              <w:right w:w="0" w:type="dxa"/>
            </w:tcMar>
          </w:tcPr>
          <w:p w:rsidR="00245129" w:rsidRPr="00D22292" w:rsidRDefault="00245129" w:rsidP="00245129">
            <w:pPr>
              <w:jc w:val="both"/>
              <w:rPr>
                <w:rFonts w:eastAsia="Times New Roman" w:cs="Times New Roman"/>
                <w:b/>
                <w:sz w:val="20"/>
                <w:szCs w:val="20"/>
                <w:lang w:eastAsia="en-CA"/>
              </w:rPr>
            </w:pPr>
            <w:r w:rsidRPr="00D22292">
              <w:rPr>
                <w:b/>
              </w:rPr>
              <w:lastRenderedPageBreak/>
              <w:t>CONTENTS</w:t>
            </w:r>
          </w:p>
        </w:tc>
        <w:tc>
          <w:tcPr>
            <w:tcW w:w="1200" w:type="dxa"/>
            <w:shd w:val="clear" w:color="auto" w:fill="auto"/>
            <w:tcMar>
              <w:left w:w="0" w:type="dxa"/>
              <w:right w:w="0" w:type="dxa"/>
            </w:tcMar>
          </w:tcPr>
          <w:p w:rsidR="00245129" w:rsidRPr="00D22292" w:rsidRDefault="00245129" w:rsidP="00245129">
            <w:pPr>
              <w:jc w:val="center"/>
              <w:rPr>
                <w:rFonts w:eastAsia="Times New Roman" w:cs="Times New Roman"/>
                <w:b/>
                <w:sz w:val="20"/>
                <w:szCs w:val="20"/>
                <w:lang w:eastAsia="en-CA"/>
              </w:rPr>
            </w:pPr>
          </w:p>
          <w:p w:rsidR="00245129" w:rsidRPr="00D22292"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D22292" w:rsidRDefault="00245129" w:rsidP="00245129">
            <w:pPr>
              <w:rPr>
                <w:rFonts w:eastAsia="Times New Roman" w:cs="Times New Roman"/>
                <w:b/>
                <w:sz w:val="20"/>
                <w:szCs w:val="20"/>
                <w:lang w:val="fr-CA" w:eastAsia="en-CA"/>
              </w:rPr>
            </w:pPr>
            <w:r w:rsidRPr="00D22292">
              <w:rPr>
                <w:b/>
                <w:lang w:val="fr-CA"/>
              </w:rPr>
              <w:t>TABLE DES MATIÈRES</w:t>
            </w:r>
          </w:p>
        </w:tc>
      </w:tr>
    </w:tbl>
    <w:p w:rsidR="0095096B" w:rsidRPr="00D22292"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D22292" w:rsidTr="00164E6D">
        <w:tc>
          <w:tcPr>
            <w:tcW w:w="3708" w:type="dxa"/>
          </w:tcPr>
          <w:p w:rsidR="0095096B" w:rsidRPr="00D22292" w:rsidRDefault="0095096B" w:rsidP="0095096B">
            <w:pPr>
              <w:tabs>
                <w:tab w:val="right" w:pos="9360"/>
              </w:tabs>
              <w:rPr>
                <w:rFonts w:cs="Times New Roman"/>
                <w:sz w:val="20"/>
                <w:szCs w:val="20"/>
              </w:rPr>
            </w:pPr>
            <w:r w:rsidRPr="00D22292">
              <w:rPr>
                <w:rFonts w:cs="Times New Roman"/>
                <w:sz w:val="20"/>
                <w:szCs w:val="20"/>
              </w:rPr>
              <w:t xml:space="preserve">Applications for leave to appeal </w:t>
            </w:r>
          </w:p>
          <w:p w:rsidR="0095096B" w:rsidRPr="00D22292" w:rsidRDefault="0095096B" w:rsidP="0095096B">
            <w:pPr>
              <w:tabs>
                <w:tab w:val="right" w:pos="9360"/>
              </w:tabs>
              <w:rPr>
                <w:rFonts w:cs="Times New Roman"/>
                <w:sz w:val="20"/>
                <w:szCs w:val="20"/>
              </w:rPr>
            </w:pPr>
            <w:r w:rsidRPr="00D22292">
              <w:rPr>
                <w:rFonts w:cs="Times New Roman"/>
                <w:sz w:val="20"/>
                <w:szCs w:val="20"/>
              </w:rPr>
              <w:t>filed</w:t>
            </w:r>
          </w:p>
          <w:p w:rsidR="0095096B" w:rsidRPr="00D22292" w:rsidRDefault="0095096B" w:rsidP="0095096B">
            <w:pPr>
              <w:tabs>
                <w:tab w:val="right" w:pos="9360"/>
              </w:tabs>
              <w:rPr>
                <w:rFonts w:cs="Times New Roman"/>
                <w:sz w:val="20"/>
                <w:szCs w:val="20"/>
              </w:rPr>
            </w:pPr>
          </w:p>
          <w:p w:rsidR="0095096B" w:rsidRPr="00D22292" w:rsidRDefault="0095096B" w:rsidP="0095096B">
            <w:pPr>
              <w:tabs>
                <w:tab w:val="right" w:pos="9360"/>
              </w:tabs>
              <w:rPr>
                <w:rFonts w:cs="Times New Roman"/>
                <w:sz w:val="20"/>
                <w:szCs w:val="20"/>
              </w:rPr>
            </w:pPr>
            <w:r w:rsidRPr="00D22292">
              <w:rPr>
                <w:rFonts w:cs="Times New Roman"/>
                <w:sz w:val="20"/>
                <w:szCs w:val="20"/>
              </w:rPr>
              <w:t xml:space="preserve">Applications for leave submitted </w:t>
            </w:r>
          </w:p>
          <w:p w:rsidR="0095096B" w:rsidRPr="00D22292" w:rsidRDefault="0095096B" w:rsidP="0095096B">
            <w:pPr>
              <w:tabs>
                <w:tab w:val="right" w:pos="9360"/>
              </w:tabs>
              <w:rPr>
                <w:rFonts w:cs="Times New Roman"/>
                <w:sz w:val="20"/>
                <w:szCs w:val="20"/>
              </w:rPr>
            </w:pPr>
            <w:r w:rsidRPr="00D22292">
              <w:rPr>
                <w:rFonts w:cs="Times New Roman"/>
                <w:sz w:val="20"/>
                <w:szCs w:val="20"/>
              </w:rPr>
              <w:t>to Court since last issue</w:t>
            </w:r>
          </w:p>
          <w:p w:rsidR="0095096B" w:rsidRPr="00D22292" w:rsidRDefault="0095096B" w:rsidP="0095096B">
            <w:pPr>
              <w:tabs>
                <w:tab w:val="right" w:pos="9360"/>
              </w:tabs>
              <w:rPr>
                <w:rFonts w:cs="Times New Roman"/>
                <w:sz w:val="20"/>
                <w:szCs w:val="20"/>
              </w:rPr>
            </w:pPr>
          </w:p>
          <w:p w:rsidR="0095096B" w:rsidRPr="00D22292" w:rsidRDefault="0095096B" w:rsidP="0095096B">
            <w:pPr>
              <w:tabs>
                <w:tab w:val="right" w:pos="9360"/>
              </w:tabs>
              <w:rPr>
                <w:rFonts w:cs="Times New Roman"/>
                <w:sz w:val="20"/>
                <w:szCs w:val="20"/>
              </w:rPr>
            </w:pPr>
            <w:r w:rsidRPr="00D22292">
              <w:rPr>
                <w:rFonts w:cs="Times New Roman"/>
                <w:sz w:val="20"/>
                <w:szCs w:val="20"/>
              </w:rPr>
              <w:t xml:space="preserve">Judgments on applications for </w:t>
            </w:r>
          </w:p>
          <w:p w:rsidR="0095096B" w:rsidRPr="00D22292" w:rsidRDefault="0095096B" w:rsidP="0095096B">
            <w:pPr>
              <w:tabs>
                <w:tab w:val="right" w:pos="9360"/>
              </w:tabs>
              <w:rPr>
                <w:rFonts w:cs="Times New Roman"/>
                <w:sz w:val="20"/>
                <w:szCs w:val="20"/>
              </w:rPr>
            </w:pPr>
            <w:r w:rsidRPr="00D22292">
              <w:rPr>
                <w:rFonts w:cs="Times New Roman"/>
                <w:sz w:val="20"/>
                <w:szCs w:val="20"/>
              </w:rPr>
              <w:t>leave</w:t>
            </w:r>
          </w:p>
          <w:p w:rsidR="0095096B" w:rsidRPr="00D22292" w:rsidRDefault="0095096B" w:rsidP="0095096B">
            <w:pPr>
              <w:tabs>
                <w:tab w:val="right" w:pos="9360"/>
              </w:tabs>
              <w:rPr>
                <w:rFonts w:cs="Times New Roman"/>
                <w:sz w:val="20"/>
                <w:szCs w:val="20"/>
              </w:rPr>
            </w:pPr>
          </w:p>
          <w:p w:rsidR="0095096B" w:rsidRPr="00D22292" w:rsidRDefault="0095096B" w:rsidP="0095096B">
            <w:pPr>
              <w:tabs>
                <w:tab w:val="right" w:pos="9360"/>
              </w:tabs>
              <w:rPr>
                <w:rFonts w:cs="Times New Roman"/>
                <w:sz w:val="20"/>
                <w:szCs w:val="20"/>
              </w:rPr>
            </w:pPr>
            <w:r w:rsidRPr="00D22292">
              <w:rPr>
                <w:rFonts w:cs="Times New Roman"/>
                <w:sz w:val="20"/>
                <w:szCs w:val="20"/>
              </w:rPr>
              <w:t>Motions</w:t>
            </w:r>
          </w:p>
          <w:p w:rsidR="0095096B" w:rsidRPr="00D22292" w:rsidRDefault="0095096B" w:rsidP="0095096B">
            <w:pPr>
              <w:tabs>
                <w:tab w:val="right" w:pos="9360"/>
              </w:tabs>
              <w:rPr>
                <w:rFonts w:cs="Times New Roman"/>
                <w:sz w:val="20"/>
                <w:szCs w:val="20"/>
              </w:rPr>
            </w:pPr>
          </w:p>
          <w:p w:rsidR="0095096B" w:rsidRPr="00D22292" w:rsidRDefault="0095096B" w:rsidP="0095096B">
            <w:pPr>
              <w:tabs>
                <w:tab w:val="right" w:pos="9360"/>
              </w:tabs>
              <w:rPr>
                <w:rFonts w:cs="Times New Roman"/>
                <w:sz w:val="20"/>
                <w:szCs w:val="20"/>
              </w:rPr>
            </w:pPr>
            <w:r w:rsidRPr="00D22292">
              <w:rPr>
                <w:rFonts w:cs="Times New Roman"/>
                <w:sz w:val="20"/>
                <w:szCs w:val="20"/>
              </w:rPr>
              <w:t>Pronouncements of appeals reserved</w:t>
            </w:r>
          </w:p>
          <w:p w:rsidR="0095096B" w:rsidRPr="00D22292" w:rsidRDefault="0095096B" w:rsidP="0095096B">
            <w:pPr>
              <w:tabs>
                <w:tab w:val="right" w:pos="9360"/>
              </w:tabs>
              <w:rPr>
                <w:rFonts w:cs="Times New Roman"/>
                <w:sz w:val="20"/>
                <w:szCs w:val="20"/>
              </w:rPr>
            </w:pPr>
          </w:p>
          <w:p w:rsidR="0095096B" w:rsidRPr="00D22292" w:rsidRDefault="0095096B" w:rsidP="0095096B">
            <w:pPr>
              <w:tabs>
                <w:tab w:val="right" w:pos="9360"/>
              </w:tabs>
              <w:rPr>
                <w:rFonts w:cs="Times New Roman"/>
                <w:sz w:val="20"/>
                <w:szCs w:val="20"/>
              </w:rPr>
            </w:pPr>
          </w:p>
          <w:p w:rsidR="0095096B" w:rsidRPr="00D22292" w:rsidRDefault="0095096B" w:rsidP="0095096B">
            <w:pPr>
              <w:tabs>
                <w:tab w:val="right" w:pos="9360"/>
              </w:tabs>
              <w:rPr>
                <w:rFonts w:cs="Times New Roman"/>
                <w:sz w:val="20"/>
                <w:szCs w:val="20"/>
              </w:rPr>
            </w:pPr>
            <w:r w:rsidRPr="00D22292">
              <w:rPr>
                <w:rFonts w:cs="Times New Roman"/>
                <w:sz w:val="20"/>
                <w:szCs w:val="20"/>
              </w:rPr>
              <w:t>Headnotes of recent judgments</w:t>
            </w:r>
          </w:p>
          <w:p w:rsidR="0095096B" w:rsidRPr="00D22292" w:rsidRDefault="0095096B" w:rsidP="0095096B">
            <w:pPr>
              <w:tabs>
                <w:tab w:val="right" w:pos="9360"/>
              </w:tabs>
              <w:rPr>
                <w:rFonts w:cs="Times New Roman"/>
                <w:sz w:val="20"/>
                <w:szCs w:val="20"/>
              </w:rPr>
            </w:pPr>
          </w:p>
          <w:p w:rsidR="00A87207" w:rsidRPr="00D22292" w:rsidRDefault="00A87207" w:rsidP="00EA637F">
            <w:pPr>
              <w:tabs>
                <w:tab w:val="right" w:pos="9360"/>
              </w:tabs>
              <w:rPr>
                <w:rFonts w:cs="Times New Roman"/>
                <w:sz w:val="20"/>
                <w:szCs w:val="20"/>
              </w:rPr>
            </w:pPr>
          </w:p>
        </w:tc>
        <w:tc>
          <w:tcPr>
            <w:tcW w:w="1980" w:type="dxa"/>
          </w:tcPr>
          <w:p w:rsidR="0095096B" w:rsidRPr="00D22292" w:rsidRDefault="009B7EC2" w:rsidP="0095096B">
            <w:pPr>
              <w:jc w:val="center"/>
              <w:rPr>
                <w:rFonts w:cs="Times New Roman"/>
                <w:sz w:val="20"/>
                <w:szCs w:val="20"/>
              </w:rPr>
            </w:pPr>
            <w:r w:rsidRPr="00D22292">
              <w:rPr>
                <w:rFonts w:cs="Times New Roman"/>
                <w:sz w:val="20"/>
                <w:szCs w:val="20"/>
              </w:rPr>
              <w:t>1089</w:t>
            </w:r>
          </w:p>
          <w:p w:rsidR="00EA637F" w:rsidRPr="00D22292" w:rsidRDefault="00EA637F" w:rsidP="0095096B">
            <w:pPr>
              <w:jc w:val="center"/>
              <w:rPr>
                <w:rFonts w:cs="Times New Roman"/>
                <w:sz w:val="20"/>
                <w:szCs w:val="20"/>
              </w:rPr>
            </w:pPr>
          </w:p>
          <w:p w:rsidR="0095096B" w:rsidRPr="00D22292" w:rsidRDefault="0095096B" w:rsidP="0095096B">
            <w:pPr>
              <w:jc w:val="center"/>
              <w:rPr>
                <w:rFonts w:cs="Times New Roman"/>
                <w:sz w:val="20"/>
                <w:szCs w:val="20"/>
              </w:rPr>
            </w:pPr>
          </w:p>
          <w:p w:rsidR="0095096B" w:rsidRPr="00D22292" w:rsidRDefault="00EA637F" w:rsidP="0095096B">
            <w:pPr>
              <w:jc w:val="center"/>
              <w:rPr>
                <w:rFonts w:cs="Times New Roman"/>
                <w:sz w:val="20"/>
                <w:szCs w:val="20"/>
              </w:rPr>
            </w:pPr>
            <w:r w:rsidRPr="00D22292">
              <w:rPr>
                <w:rFonts w:cs="Times New Roman"/>
                <w:sz w:val="20"/>
                <w:szCs w:val="20"/>
              </w:rPr>
              <w:t>1090</w:t>
            </w:r>
          </w:p>
          <w:p w:rsidR="0095096B" w:rsidRPr="00D22292" w:rsidRDefault="0095096B" w:rsidP="0095096B">
            <w:pPr>
              <w:jc w:val="center"/>
              <w:rPr>
                <w:rFonts w:cs="Times New Roman"/>
                <w:sz w:val="20"/>
                <w:szCs w:val="20"/>
              </w:rPr>
            </w:pPr>
          </w:p>
          <w:p w:rsidR="0095096B" w:rsidRPr="00D22292" w:rsidRDefault="0095096B" w:rsidP="0095096B">
            <w:pPr>
              <w:jc w:val="center"/>
              <w:rPr>
                <w:rFonts w:cs="Times New Roman"/>
                <w:sz w:val="20"/>
                <w:szCs w:val="20"/>
              </w:rPr>
            </w:pPr>
          </w:p>
          <w:p w:rsidR="0095096B" w:rsidRPr="00D22292" w:rsidRDefault="00EA637F" w:rsidP="0095096B">
            <w:pPr>
              <w:jc w:val="center"/>
              <w:rPr>
                <w:rFonts w:cs="Times New Roman"/>
                <w:sz w:val="20"/>
                <w:szCs w:val="20"/>
              </w:rPr>
            </w:pPr>
            <w:r w:rsidRPr="00D22292">
              <w:rPr>
                <w:rFonts w:cs="Times New Roman"/>
                <w:sz w:val="20"/>
                <w:szCs w:val="20"/>
              </w:rPr>
              <w:t xml:space="preserve">1091 </w:t>
            </w:r>
            <w:r w:rsidR="0095096B" w:rsidRPr="00D22292">
              <w:rPr>
                <w:rFonts w:cs="Times New Roman"/>
                <w:sz w:val="20"/>
                <w:szCs w:val="20"/>
              </w:rPr>
              <w:t>-</w:t>
            </w:r>
            <w:r w:rsidRPr="00D22292">
              <w:rPr>
                <w:rFonts w:cs="Times New Roman"/>
                <w:sz w:val="20"/>
                <w:szCs w:val="20"/>
              </w:rPr>
              <w:t xml:space="preserve"> 1104</w:t>
            </w:r>
          </w:p>
          <w:p w:rsidR="0095096B" w:rsidRPr="00D22292" w:rsidRDefault="0095096B" w:rsidP="0095096B">
            <w:pPr>
              <w:jc w:val="center"/>
              <w:rPr>
                <w:rFonts w:cs="Times New Roman"/>
                <w:sz w:val="20"/>
                <w:szCs w:val="20"/>
              </w:rPr>
            </w:pPr>
          </w:p>
          <w:p w:rsidR="009B7EC2" w:rsidRPr="00D22292" w:rsidRDefault="009B7EC2" w:rsidP="0095096B">
            <w:pPr>
              <w:jc w:val="center"/>
              <w:rPr>
                <w:rFonts w:cs="Times New Roman"/>
                <w:sz w:val="20"/>
                <w:szCs w:val="20"/>
              </w:rPr>
            </w:pPr>
          </w:p>
          <w:p w:rsidR="0095096B" w:rsidRPr="00D22292" w:rsidRDefault="00EA637F" w:rsidP="0095096B">
            <w:pPr>
              <w:jc w:val="center"/>
              <w:rPr>
                <w:rFonts w:cs="Times New Roman"/>
                <w:sz w:val="20"/>
                <w:szCs w:val="20"/>
              </w:rPr>
            </w:pPr>
            <w:r w:rsidRPr="00D22292">
              <w:rPr>
                <w:rFonts w:cs="Times New Roman"/>
                <w:sz w:val="20"/>
                <w:szCs w:val="20"/>
              </w:rPr>
              <w:t xml:space="preserve">1105 </w:t>
            </w:r>
            <w:r w:rsidR="0095096B" w:rsidRPr="00D22292">
              <w:rPr>
                <w:rFonts w:cs="Times New Roman"/>
                <w:sz w:val="20"/>
                <w:szCs w:val="20"/>
              </w:rPr>
              <w:t>-</w:t>
            </w:r>
            <w:r w:rsidRPr="00D22292">
              <w:rPr>
                <w:rFonts w:cs="Times New Roman"/>
                <w:sz w:val="20"/>
                <w:szCs w:val="20"/>
              </w:rPr>
              <w:t xml:space="preserve"> 1106</w:t>
            </w:r>
          </w:p>
          <w:p w:rsidR="0095096B" w:rsidRPr="00D22292" w:rsidRDefault="0095096B" w:rsidP="0095096B">
            <w:pPr>
              <w:jc w:val="center"/>
              <w:rPr>
                <w:rFonts w:cs="Times New Roman"/>
                <w:sz w:val="20"/>
                <w:szCs w:val="20"/>
              </w:rPr>
            </w:pPr>
          </w:p>
          <w:p w:rsidR="0095096B" w:rsidRPr="00D22292" w:rsidRDefault="00EA637F" w:rsidP="0095096B">
            <w:pPr>
              <w:jc w:val="center"/>
              <w:rPr>
                <w:rFonts w:cs="Times New Roman"/>
                <w:sz w:val="20"/>
                <w:szCs w:val="20"/>
              </w:rPr>
            </w:pPr>
            <w:r w:rsidRPr="00D22292">
              <w:rPr>
                <w:rFonts w:cs="Times New Roman"/>
                <w:sz w:val="20"/>
                <w:szCs w:val="20"/>
              </w:rPr>
              <w:t>1107</w:t>
            </w:r>
          </w:p>
          <w:p w:rsidR="0095096B" w:rsidRPr="00D22292" w:rsidRDefault="0095096B" w:rsidP="0095096B">
            <w:pPr>
              <w:jc w:val="center"/>
              <w:rPr>
                <w:rFonts w:cs="Times New Roman"/>
                <w:sz w:val="20"/>
                <w:szCs w:val="20"/>
              </w:rPr>
            </w:pPr>
          </w:p>
          <w:p w:rsidR="009B7EC2" w:rsidRPr="00D22292" w:rsidRDefault="009B7EC2" w:rsidP="0095096B">
            <w:pPr>
              <w:jc w:val="center"/>
              <w:rPr>
                <w:rFonts w:cs="Times New Roman"/>
                <w:sz w:val="20"/>
                <w:szCs w:val="20"/>
              </w:rPr>
            </w:pPr>
          </w:p>
          <w:p w:rsidR="0095096B" w:rsidRPr="00D22292" w:rsidRDefault="00EA637F" w:rsidP="0095096B">
            <w:pPr>
              <w:jc w:val="center"/>
              <w:rPr>
                <w:rFonts w:cs="Times New Roman"/>
                <w:sz w:val="20"/>
                <w:szCs w:val="20"/>
              </w:rPr>
            </w:pPr>
            <w:r w:rsidRPr="00D22292">
              <w:rPr>
                <w:rFonts w:cs="Times New Roman"/>
                <w:sz w:val="20"/>
                <w:szCs w:val="20"/>
              </w:rPr>
              <w:t xml:space="preserve">1108 </w:t>
            </w:r>
            <w:r w:rsidR="0095096B" w:rsidRPr="00D22292">
              <w:rPr>
                <w:rFonts w:cs="Times New Roman"/>
                <w:sz w:val="20"/>
                <w:szCs w:val="20"/>
              </w:rPr>
              <w:t>-</w:t>
            </w:r>
            <w:r w:rsidRPr="00D22292">
              <w:rPr>
                <w:rFonts w:cs="Times New Roman"/>
                <w:sz w:val="20"/>
                <w:szCs w:val="20"/>
              </w:rPr>
              <w:t xml:space="preserve"> 1115</w:t>
            </w:r>
          </w:p>
          <w:p w:rsidR="0095096B" w:rsidRPr="00D22292" w:rsidRDefault="0095096B" w:rsidP="0095096B">
            <w:pPr>
              <w:jc w:val="center"/>
              <w:rPr>
                <w:rFonts w:cs="Times New Roman"/>
                <w:sz w:val="20"/>
                <w:szCs w:val="20"/>
              </w:rPr>
            </w:pPr>
          </w:p>
          <w:p w:rsidR="009B7EC2" w:rsidRPr="00D22292" w:rsidRDefault="009B7EC2" w:rsidP="0095096B">
            <w:pPr>
              <w:jc w:val="center"/>
              <w:rPr>
                <w:rFonts w:cs="Times New Roman"/>
                <w:sz w:val="20"/>
                <w:szCs w:val="20"/>
              </w:rPr>
            </w:pPr>
          </w:p>
          <w:p w:rsidR="00A87207" w:rsidRPr="00D22292" w:rsidRDefault="00A87207" w:rsidP="00EA637F">
            <w:pPr>
              <w:jc w:val="center"/>
              <w:rPr>
                <w:rFonts w:cs="Times New Roman"/>
                <w:sz w:val="20"/>
                <w:szCs w:val="20"/>
              </w:rPr>
            </w:pPr>
          </w:p>
        </w:tc>
        <w:tc>
          <w:tcPr>
            <w:tcW w:w="3888" w:type="dxa"/>
          </w:tcPr>
          <w:p w:rsidR="0095096B" w:rsidRPr="00D22292" w:rsidRDefault="000E27A5" w:rsidP="0095096B">
            <w:pPr>
              <w:rPr>
                <w:rFonts w:cs="Times New Roman"/>
                <w:sz w:val="20"/>
                <w:szCs w:val="20"/>
                <w:lang w:val="fr-CA"/>
              </w:rPr>
            </w:pPr>
            <w:r w:rsidRPr="00D22292">
              <w:rPr>
                <w:rFonts w:cs="Times New Roman"/>
                <w:sz w:val="20"/>
                <w:szCs w:val="20"/>
                <w:lang w:val="fr-CA"/>
              </w:rPr>
              <w:fldChar w:fldCharType="begin"/>
            </w:r>
            <w:r w:rsidR="0095096B" w:rsidRPr="00D22292">
              <w:rPr>
                <w:rFonts w:cs="Times New Roman"/>
                <w:sz w:val="20"/>
                <w:szCs w:val="20"/>
                <w:lang w:val="fr-CA"/>
              </w:rPr>
              <w:instrText xml:space="preserve"> SEQ CHAPTER \h \r 1</w:instrText>
            </w:r>
            <w:r w:rsidRPr="00D22292">
              <w:rPr>
                <w:rFonts w:cs="Times New Roman"/>
                <w:sz w:val="20"/>
                <w:szCs w:val="20"/>
                <w:lang w:val="fr-CA"/>
              </w:rPr>
              <w:fldChar w:fldCharType="end"/>
            </w:r>
            <w:r w:rsidR="0095096B" w:rsidRPr="00D22292">
              <w:rPr>
                <w:rFonts w:cs="Times New Roman"/>
                <w:sz w:val="20"/>
                <w:szCs w:val="20"/>
                <w:lang w:val="fr-CA"/>
              </w:rPr>
              <w:t>Demandes d</w:t>
            </w:r>
            <w:r w:rsidR="004137A0" w:rsidRPr="00D22292">
              <w:rPr>
                <w:rFonts w:cs="Times New Roman"/>
                <w:sz w:val="20"/>
                <w:szCs w:val="20"/>
                <w:lang w:val="fr-CA"/>
              </w:rPr>
              <w:t>’</w:t>
            </w:r>
            <w:r w:rsidR="0095096B" w:rsidRPr="00D22292">
              <w:rPr>
                <w:rFonts w:cs="Times New Roman"/>
                <w:sz w:val="20"/>
                <w:szCs w:val="20"/>
                <w:lang w:val="fr-CA"/>
              </w:rPr>
              <w:t>autorisation d</w:t>
            </w:r>
            <w:r w:rsidR="004137A0" w:rsidRPr="00D22292">
              <w:rPr>
                <w:rFonts w:cs="Times New Roman"/>
                <w:sz w:val="20"/>
                <w:szCs w:val="20"/>
                <w:lang w:val="fr-CA"/>
              </w:rPr>
              <w:t>’</w:t>
            </w:r>
            <w:r w:rsidR="0095096B" w:rsidRPr="00D22292">
              <w:rPr>
                <w:rFonts w:cs="Times New Roman"/>
                <w:sz w:val="20"/>
                <w:szCs w:val="20"/>
                <w:lang w:val="fr-CA"/>
              </w:rPr>
              <w:t xml:space="preserve">appel </w:t>
            </w:r>
          </w:p>
          <w:p w:rsidR="0095096B" w:rsidRPr="00D22292" w:rsidRDefault="0095096B" w:rsidP="0095096B">
            <w:pPr>
              <w:rPr>
                <w:rFonts w:cs="Times New Roman"/>
                <w:sz w:val="20"/>
                <w:szCs w:val="20"/>
                <w:lang w:val="fr-CA"/>
              </w:rPr>
            </w:pPr>
            <w:r w:rsidRPr="00D22292">
              <w:rPr>
                <w:rFonts w:cs="Times New Roman"/>
                <w:sz w:val="20"/>
                <w:szCs w:val="20"/>
                <w:lang w:val="fr-CA"/>
              </w:rPr>
              <w:t>déposées</w:t>
            </w:r>
          </w:p>
          <w:p w:rsidR="0095096B" w:rsidRPr="00D22292" w:rsidRDefault="0095096B" w:rsidP="0095096B">
            <w:pPr>
              <w:rPr>
                <w:rFonts w:cs="Times New Roman"/>
                <w:sz w:val="20"/>
                <w:szCs w:val="20"/>
                <w:lang w:val="fr-CA"/>
              </w:rPr>
            </w:pPr>
          </w:p>
          <w:p w:rsidR="0095096B" w:rsidRPr="00D22292" w:rsidRDefault="0095096B" w:rsidP="0095096B">
            <w:pPr>
              <w:rPr>
                <w:rFonts w:cs="Times New Roman"/>
                <w:sz w:val="20"/>
                <w:szCs w:val="20"/>
                <w:lang w:val="fr-CA"/>
              </w:rPr>
            </w:pPr>
            <w:r w:rsidRPr="00D22292">
              <w:rPr>
                <w:rFonts w:cs="Times New Roman"/>
                <w:sz w:val="20"/>
                <w:szCs w:val="20"/>
                <w:lang w:val="fr-CA"/>
              </w:rPr>
              <w:t xml:space="preserve">Demandes soumises à la Cour depuis la </w:t>
            </w:r>
          </w:p>
          <w:p w:rsidR="0095096B" w:rsidRPr="00D22292" w:rsidRDefault="0095096B" w:rsidP="0095096B">
            <w:pPr>
              <w:rPr>
                <w:rFonts w:cs="Times New Roman"/>
                <w:sz w:val="20"/>
                <w:szCs w:val="20"/>
                <w:lang w:val="fr-CA"/>
              </w:rPr>
            </w:pPr>
            <w:r w:rsidRPr="00D22292">
              <w:rPr>
                <w:rFonts w:cs="Times New Roman"/>
                <w:sz w:val="20"/>
                <w:szCs w:val="20"/>
                <w:lang w:val="fr-CA"/>
              </w:rPr>
              <w:t>dernière parution</w:t>
            </w:r>
          </w:p>
          <w:p w:rsidR="0095096B" w:rsidRPr="00D22292" w:rsidRDefault="0095096B" w:rsidP="0095096B">
            <w:pPr>
              <w:rPr>
                <w:rFonts w:cs="Times New Roman"/>
                <w:sz w:val="20"/>
                <w:szCs w:val="20"/>
                <w:lang w:val="fr-CA"/>
              </w:rPr>
            </w:pPr>
          </w:p>
          <w:p w:rsidR="0095096B" w:rsidRPr="00D22292" w:rsidRDefault="0095096B" w:rsidP="0095096B">
            <w:pPr>
              <w:rPr>
                <w:rFonts w:cs="Times New Roman"/>
                <w:sz w:val="20"/>
                <w:szCs w:val="20"/>
                <w:lang w:val="fr-CA"/>
              </w:rPr>
            </w:pPr>
            <w:r w:rsidRPr="00D22292">
              <w:rPr>
                <w:rFonts w:cs="Times New Roman"/>
                <w:sz w:val="20"/>
                <w:szCs w:val="20"/>
                <w:lang w:val="fr-CA"/>
              </w:rPr>
              <w:t xml:space="preserve">Jugements rendus sur les demandes </w:t>
            </w:r>
          </w:p>
          <w:p w:rsidR="0095096B" w:rsidRPr="00D22292" w:rsidRDefault="004137A0" w:rsidP="0095096B">
            <w:pPr>
              <w:rPr>
                <w:rFonts w:cs="Times New Roman"/>
                <w:sz w:val="20"/>
                <w:szCs w:val="20"/>
                <w:lang w:val="fr-CA"/>
              </w:rPr>
            </w:pPr>
            <w:r w:rsidRPr="00D22292">
              <w:rPr>
                <w:rFonts w:cs="Times New Roman"/>
                <w:sz w:val="20"/>
                <w:szCs w:val="20"/>
                <w:lang w:val="fr-CA"/>
              </w:rPr>
              <w:t>d’</w:t>
            </w:r>
            <w:r w:rsidR="0095096B" w:rsidRPr="00D22292">
              <w:rPr>
                <w:rFonts w:cs="Times New Roman"/>
                <w:sz w:val="20"/>
                <w:szCs w:val="20"/>
                <w:lang w:val="fr-CA"/>
              </w:rPr>
              <w:t>autorisation</w:t>
            </w:r>
          </w:p>
          <w:p w:rsidR="0095096B" w:rsidRPr="00D22292" w:rsidRDefault="0095096B" w:rsidP="0095096B">
            <w:pPr>
              <w:rPr>
                <w:rFonts w:cs="Times New Roman"/>
                <w:sz w:val="20"/>
                <w:szCs w:val="20"/>
                <w:lang w:val="fr-CA"/>
              </w:rPr>
            </w:pPr>
          </w:p>
          <w:p w:rsidR="0095096B" w:rsidRPr="00D22292" w:rsidRDefault="0095096B" w:rsidP="0095096B">
            <w:pPr>
              <w:rPr>
                <w:rFonts w:cs="Times New Roman"/>
                <w:sz w:val="20"/>
                <w:szCs w:val="20"/>
                <w:lang w:val="fr-CA"/>
              </w:rPr>
            </w:pPr>
            <w:r w:rsidRPr="00D22292">
              <w:rPr>
                <w:rFonts w:cs="Times New Roman"/>
                <w:sz w:val="20"/>
                <w:szCs w:val="20"/>
                <w:lang w:val="fr-CA"/>
              </w:rPr>
              <w:t>Requêtes</w:t>
            </w:r>
          </w:p>
          <w:p w:rsidR="0095096B" w:rsidRPr="00D22292" w:rsidRDefault="0095096B" w:rsidP="0095096B">
            <w:pPr>
              <w:rPr>
                <w:rFonts w:cs="Times New Roman"/>
                <w:sz w:val="20"/>
                <w:szCs w:val="20"/>
                <w:lang w:val="fr-CA"/>
              </w:rPr>
            </w:pPr>
          </w:p>
          <w:p w:rsidR="0095096B" w:rsidRPr="00D22292" w:rsidRDefault="0095096B" w:rsidP="0095096B">
            <w:pPr>
              <w:rPr>
                <w:rFonts w:cs="Times New Roman"/>
                <w:sz w:val="20"/>
                <w:szCs w:val="20"/>
                <w:lang w:val="fr-CA"/>
              </w:rPr>
            </w:pPr>
            <w:r w:rsidRPr="00D22292">
              <w:rPr>
                <w:rFonts w:cs="Times New Roman"/>
                <w:sz w:val="20"/>
                <w:szCs w:val="20"/>
                <w:lang w:val="fr-CA"/>
              </w:rPr>
              <w:t xml:space="preserve">Jugements rendus sur les appels en </w:t>
            </w:r>
          </w:p>
          <w:p w:rsidR="0095096B" w:rsidRPr="00D22292" w:rsidRDefault="0095096B" w:rsidP="0095096B">
            <w:pPr>
              <w:rPr>
                <w:rFonts w:cs="Times New Roman"/>
                <w:sz w:val="20"/>
                <w:szCs w:val="20"/>
                <w:lang w:val="fr-CA"/>
              </w:rPr>
            </w:pPr>
            <w:r w:rsidRPr="00D22292">
              <w:rPr>
                <w:rFonts w:cs="Times New Roman"/>
                <w:sz w:val="20"/>
                <w:szCs w:val="20"/>
                <w:lang w:val="fr-CA"/>
              </w:rPr>
              <w:t>délibéré</w:t>
            </w:r>
          </w:p>
          <w:p w:rsidR="0095096B" w:rsidRPr="00D22292" w:rsidRDefault="0095096B" w:rsidP="0095096B">
            <w:pPr>
              <w:rPr>
                <w:rFonts w:cs="Times New Roman"/>
                <w:sz w:val="20"/>
                <w:szCs w:val="20"/>
                <w:lang w:val="fr-CA"/>
              </w:rPr>
            </w:pPr>
          </w:p>
          <w:p w:rsidR="0095096B" w:rsidRPr="00D22292" w:rsidRDefault="0095096B" w:rsidP="0095096B">
            <w:pPr>
              <w:rPr>
                <w:rFonts w:cs="Times New Roman"/>
                <w:sz w:val="20"/>
                <w:szCs w:val="20"/>
                <w:lang w:val="fr-CA"/>
              </w:rPr>
            </w:pPr>
            <w:r w:rsidRPr="00D22292">
              <w:rPr>
                <w:rFonts w:cs="Times New Roman"/>
                <w:sz w:val="20"/>
                <w:szCs w:val="20"/>
                <w:lang w:val="fr-CA"/>
              </w:rPr>
              <w:t xml:space="preserve">Sommaires de </w:t>
            </w:r>
            <w:r w:rsidR="00C50A5C" w:rsidRPr="00D22292">
              <w:rPr>
                <w:rFonts w:cs="Times New Roman"/>
                <w:sz w:val="20"/>
                <w:szCs w:val="20"/>
                <w:lang w:val="fr-CA"/>
              </w:rPr>
              <w:t>jugements récents</w:t>
            </w:r>
          </w:p>
          <w:p w:rsidR="0095096B" w:rsidRPr="00D22292" w:rsidRDefault="0095096B" w:rsidP="0095096B">
            <w:pPr>
              <w:rPr>
                <w:rFonts w:cs="Times New Roman"/>
                <w:sz w:val="20"/>
                <w:szCs w:val="20"/>
                <w:lang w:val="fr-CA"/>
              </w:rPr>
            </w:pPr>
          </w:p>
          <w:p w:rsidR="00A87207" w:rsidRPr="00D22292" w:rsidRDefault="00A87207" w:rsidP="00EA637F">
            <w:pPr>
              <w:tabs>
                <w:tab w:val="right" w:pos="9360"/>
              </w:tabs>
              <w:rPr>
                <w:rFonts w:cs="Times New Roman"/>
                <w:sz w:val="20"/>
                <w:szCs w:val="20"/>
                <w:lang w:val="fr-CA"/>
              </w:rPr>
            </w:pPr>
          </w:p>
        </w:tc>
      </w:tr>
    </w:tbl>
    <w:p w:rsidR="0095096B" w:rsidRPr="00D22292"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D22292" w:rsidTr="0079724F">
        <w:tc>
          <w:tcPr>
            <w:tcW w:w="9576" w:type="dxa"/>
          </w:tcPr>
          <w:p w:rsidR="0079724F" w:rsidRPr="00D22292" w:rsidRDefault="0079724F" w:rsidP="00215F7C">
            <w:pPr>
              <w:keepNext/>
              <w:tabs>
                <w:tab w:val="right" w:pos="9360"/>
              </w:tabs>
              <w:jc w:val="center"/>
              <w:rPr>
                <w:szCs w:val="24"/>
              </w:rPr>
            </w:pPr>
            <w:r w:rsidRPr="00D22292">
              <w:rPr>
                <w:szCs w:val="24"/>
              </w:rPr>
              <w:t>NOTICE</w:t>
            </w:r>
          </w:p>
          <w:p w:rsidR="0079724F" w:rsidRPr="00D22292" w:rsidRDefault="0079724F" w:rsidP="00215F7C">
            <w:pPr>
              <w:keepNext/>
              <w:tabs>
                <w:tab w:val="right" w:pos="9360"/>
              </w:tabs>
              <w:rPr>
                <w:szCs w:val="24"/>
              </w:rPr>
            </w:pPr>
          </w:p>
          <w:p w:rsidR="0079724F" w:rsidRPr="00D22292" w:rsidRDefault="0079724F" w:rsidP="00215F7C">
            <w:pPr>
              <w:keepNext/>
              <w:tabs>
                <w:tab w:val="right" w:pos="9360"/>
              </w:tabs>
              <w:jc w:val="both"/>
              <w:rPr>
                <w:szCs w:val="24"/>
              </w:rPr>
            </w:pPr>
            <w:r w:rsidRPr="00D22292">
              <w:rPr>
                <w:szCs w:val="24"/>
              </w:rPr>
              <w:t>Case summaries included in the Bulletin are prepared by the Office of the Registrar of the Supreme Court of Canada (Law Branch) for information purposes only.</w:t>
            </w:r>
          </w:p>
          <w:p w:rsidR="0079724F" w:rsidRPr="00D22292" w:rsidRDefault="0079724F" w:rsidP="00215F7C">
            <w:pPr>
              <w:keepNext/>
              <w:tabs>
                <w:tab w:val="right" w:pos="9360"/>
              </w:tabs>
              <w:rPr>
                <w:szCs w:val="24"/>
              </w:rPr>
            </w:pPr>
          </w:p>
          <w:p w:rsidR="0079724F" w:rsidRPr="00D22292" w:rsidRDefault="0079724F" w:rsidP="00215F7C">
            <w:pPr>
              <w:keepNext/>
              <w:tabs>
                <w:tab w:val="right" w:pos="9360"/>
              </w:tabs>
              <w:rPr>
                <w:szCs w:val="24"/>
              </w:rPr>
            </w:pPr>
          </w:p>
          <w:p w:rsidR="0079724F" w:rsidRPr="00D22292" w:rsidRDefault="0079724F" w:rsidP="00215F7C">
            <w:pPr>
              <w:keepNext/>
              <w:tabs>
                <w:tab w:val="right" w:pos="9360"/>
              </w:tabs>
              <w:jc w:val="center"/>
              <w:rPr>
                <w:szCs w:val="24"/>
                <w:lang w:val="fr-CA"/>
              </w:rPr>
            </w:pPr>
            <w:r w:rsidRPr="00D22292">
              <w:rPr>
                <w:szCs w:val="24"/>
                <w:lang w:val="fr-CA"/>
              </w:rPr>
              <w:t>AVIS</w:t>
            </w:r>
          </w:p>
          <w:p w:rsidR="0079724F" w:rsidRPr="00D22292" w:rsidRDefault="0079724F" w:rsidP="00215F7C">
            <w:pPr>
              <w:keepNext/>
              <w:tabs>
                <w:tab w:val="right" w:pos="9360"/>
              </w:tabs>
              <w:rPr>
                <w:szCs w:val="24"/>
                <w:lang w:val="fr-CA"/>
              </w:rPr>
            </w:pPr>
          </w:p>
          <w:p w:rsidR="0079724F" w:rsidRPr="00D22292" w:rsidRDefault="0079724F" w:rsidP="00215F7C">
            <w:pPr>
              <w:keepNext/>
              <w:tabs>
                <w:tab w:val="right" w:pos="9360"/>
              </w:tabs>
              <w:jc w:val="both"/>
              <w:rPr>
                <w:sz w:val="20"/>
                <w:szCs w:val="20"/>
                <w:lang w:val="fr-CA"/>
              </w:rPr>
            </w:pPr>
            <w:r w:rsidRPr="00D22292">
              <w:rPr>
                <w:szCs w:val="24"/>
                <w:lang w:val="fr-CA"/>
              </w:rPr>
              <w:t>Les résumés de dossiers publiés dans le bulletin sont préparés par le Bureau du registraire (Direction générale du droit) uniquement à titre d’information.</w:t>
            </w:r>
          </w:p>
        </w:tc>
      </w:tr>
    </w:tbl>
    <w:p w:rsidR="0095096B" w:rsidRPr="00D22292" w:rsidRDefault="0095096B" w:rsidP="0095096B">
      <w:pPr>
        <w:tabs>
          <w:tab w:val="right" w:pos="9360"/>
        </w:tabs>
        <w:rPr>
          <w:lang w:val="fr-CA"/>
        </w:rPr>
      </w:pPr>
    </w:p>
    <w:p w:rsidR="00C01FCB" w:rsidRPr="00D22292" w:rsidRDefault="00C01FCB" w:rsidP="0095096B">
      <w:pPr>
        <w:tabs>
          <w:tab w:val="right" w:pos="9360"/>
        </w:tabs>
        <w:rPr>
          <w:lang w:val="fr-CA"/>
        </w:rPr>
      </w:pPr>
    </w:p>
    <w:p w:rsidR="00C01FCB" w:rsidRPr="00D22292" w:rsidRDefault="00C01FCB" w:rsidP="0095096B">
      <w:pPr>
        <w:tabs>
          <w:tab w:val="right" w:pos="9360"/>
        </w:tabs>
        <w:rPr>
          <w:lang w:val="fr-CA"/>
        </w:rPr>
      </w:pPr>
    </w:p>
    <w:p w:rsidR="00A87207" w:rsidRPr="00D22292" w:rsidRDefault="00A87207" w:rsidP="0095096B">
      <w:pPr>
        <w:tabs>
          <w:tab w:val="right" w:pos="9360"/>
        </w:tabs>
        <w:rPr>
          <w:lang w:val="fr-CA"/>
        </w:rPr>
        <w:sectPr w:rsidR="00A87207" w:rsidRPr="00D22292"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D22292" w:rsidTr="00245129">
        <w:tc>
          <w:tcPr>
            <w:tcW w:w="4200" w:type="dxa"/>
            <w:shd w:val="clear" w:color="auto" w:fill="auto"/>
            <w:tcMar>
              <w:left w:w="0" w:type="dxa"/>
              <w:right w:w="0" w:type="dxa"/>
            </w:tcMar>
          </w:tcPr>
          <w:p w:rsidR="00A87207" w:rsidRPr="00D22292" w:rsidRDefault="00A87207" w:rsidP="00BA6468">
            <w:pPr>
              <w:rPr>
                <w:rFonts w:eastAsia="Times New Roman" w:cs="Times New Roman"/>
                <w:b/>
                <w:sz w:val="20"/>
                <w:szCs w:val="20"/>
                <w:lang w:eastAsia="en-CA"/>
              </w:rPr>
            </w:pPr>
            <w:r w:rsidRPr="00D22292">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D22292" w:rsidRDefault="00A87207" w:rsidP="002E2327">
            <w:pPr>
              <w:jc w:val="center"/>
              <w:rPr>
                <w:rFonts w:eastAsia="Times New Roman" w:cs="Times New Roman"/>
                <w:b/>
                <w:sz w:val="20"/>
                <w:szCs w:val="20"/>
                <w:lang w:eastAsia="en-CA"/>
              </w:rPr>
            </w:pPr>
          </w:p>
          <w:p w:rsidR="00A87207" w:rsidRPr="00D22292" w:rsidRDefault="00A87207" w:rsidP="002E2327">
            <w:pPr>
              <w:jc w:val="center"/>
              <w:rPr>
                <w:rFonts w:eastAsia="Times New Roman" w:cs="Times New Roman"/>
                <w:b/>
                <w:sz w:val="20"/>
                <w:szCs w:val="20"/>
                <w:lang w:eastAsia="en-CA"/>
              </w:rPr>
            </w:pPr>
          </w:p>
          <w:p w:rsidR="00A87207" w:rsidRPr="00D22292"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D22292" w:rsidRDefault="00A87207" w:rsidP="00A87207">
            <w:pPr>
              <w:rPr>
                <w:rFonts w:eastAsia="Times New Roman" w:cs="Times New Roman"/>
                <w:b/>
                <w:sz w:val="20"/>
                <w:szCs w:val="20"/>
                <w:lang w:val="fr-CA" w:eastAsia="en-CA"/>
              </w:rPr>
            </w:pPr>
            <w:r w:rsidRPr="00D22292">
              <w:rPr>
                <w:rFonts w:eastAsia="Times New Roman" w:cs="Times New Roman"/>
                <w:b/>
                <w:szCs w:val="20"/>
                <w:lang w:val="fr-CA" w:eastAsia="en-CA"/>
              </w:rPr>
              <w:t>DEMANDES D’AUTORISATION D’APPEL DÉPOSÉES</w:t>
            </w:r>
          </w:p>
        </w:tc>
      </w:tr>
    </w:tbl>
    <w:p w:rsidR="00A87207" w:rsidRPr="00D22292"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D22292" w:rsidTr="003B3977">
        <w:tc>
          <w:tcPr>
            <w:tcW w:w="4320" w:type="dxa"/>
            <w:shd w:val="clear" w:color="auto" w:fill="auto"/>
          </w:tcPr>
          <w:p w:rsidR="00D46FF2" w:rsidRPr="00D22292" w:rsidRDefault="00D46FF2" w:rsidP="005F1ED8">
            <w:pPr>
              <w:rPr>
                <w:b/>
                <w:sz w:val="20"/>
                <w:szCs w:val="20"/>
                <w:lang w:val="fr-CA"/>
              </w:rPr>
            </w:pPr>
            <w:r w:rsidRPr="00D22292">
              <w:rPr>
                <w:b/>
                <w:sz w:val="20"/>
                <w:szCs w:val="20"/>
                <w:lang w:val="fr-CA"/>
              </w:rPr>
              <w:t>V. Lorne Humphreys et al.</w:t>
            </w:r>
          </w:p>
          <w:p w:rsidR="00D46FF2" w:rsidRPr="00D22292" w:rsidRDefault="00D46FF2" w:rsidP="005F1ED8">
            <w:pPr>
              <w:rPr>
                <w:sz w:val="20"/>
                <w:szCs w:val="20"/>
                <w:lang w:val="en-US"/>
              </w:rPr>
            </w:pPr>
            <w:r w:rsidRPr="00D22292">
              <w:rPr>
                <w:sz w:val="20"/>
                <w:szCs w:val="20"/>
                <w:lang w:val="fr-CA"/>
              </w:rPr>
              <w:tab/>
            </w:r>
            <w:r w:rsidRPr="00D22292">
              <w:rPr>
                <w:sz w:val="20"/>
                <w:szCs w:val="20"/>
                <w:lang w:val="en-US"/>
              </w:rPr>
              <w:t>Glenn Solomon Q.C.</w:t>
            </w:r>
          </w:p>
          <w:p w:rsidR="00D46FF2" w:rsidRPr="00D22292" w:rsidRDefault="00D46FF2" w:rsidP="005F1ED8">
            <w:pPr>
              <w:rPr>
                <w:sz w:val="20"/>
                <w:szCs w:val="20"/>
                <w:lang w:val="en-US"/>
              </w:rPr>
            </w:pPr>
            <w:r w:rsidRPr="00D22292">
              <w:rPr>
                <w:sz w:val="20"/>
                <w:szCs w:val="20"/>
                <w:lang w:val="en-US"/>
              </w:rPr>
              <w:tab/>
              <w:t xml:space="preserve">Jensen Shawa Solomon Duguid Hawkes </w:t>
            </w:r>
            <w:r w:rsidRPr="00D22292">
              <w:rPr>
                <w:sz w:val="20"/>
                <w:szCs w:val="20"/>
                <w:lang w:val="en-US"/>
              </w:rPr>
              <w:tab/>
              <w:t>LLP</w:t>
            </w:r>
          </w:p>
          <w:p w:rsidR="00D46FF2" w:rsidRPr="00D22292" w:rsidRDefault="00D46FF2" w:rsidP="005F1ED8">
            <w:pPr>
              <w:rPr>
                <w:b/>
                <w:sz w:val="20"/>
                <w:szCs w:val="20"/>
                <w:lang w:val="en-US"/>
              </w:rPr>
            </w:pPr>
          </w:p>
          <w:p w:rsidR="00D46FF2" w:rsidRPr="00D22292" w:rsidRDefault="00D46FF2" w:rsidP="005F1ED8">
            <w:pPr>
              <w:rPr>
                <w:sz w:val="20"/>
                <w:szCs w:val="20"/>
                <w:lang w:val="en-US"/>
              </w:rPr>
            </w:pPr>
            <w:r w:rsidRPr="00D22292">
              <w:rPr>
                <w:sz w:val="20"/>
                <w:szCs w:val="20"/>
                <w:lang w:val="en-US"/>
              </w:rPr>
              <w:tab/>
              <w:t>v. (37626)</w:t>
            </w:r>
          </w:p>
          <w:p w:rsidR="00D46FF2" w:rsidRPr="00D22292" w:rsidRDefault="00D46FF2" w:rsidP="005F1ED8">
            <w:pPr>
              <w:rPr>
                <w:sz w:val="20"/>
                <w:szCs w:val="20"/>
                <w:lang w:val="en-US"/>
              </w:rPr>
            </w:pPr>
          </w:p>
          <w:p w:rsidR="00D46FF2" w:rsidRPr="00D22292" w:rsidRDefault="00D46FF2" w:rsidP="005F1ED8">
            <w:pPr>
              <w:rPr>
                <w:b/>
                <w:sz w:val="20"/>
                <w:szCs w:val="20"/>
                <w:lang w:val="en-US"/>
              </w:rPr>
            </w:pPr>
            <w:r w:rsidRPr="00D22292">
              <w:rPr>
                <w:b/>
                <w:sz w:val="20"/>
                <w:szCs w:val="20"/>
                <w:lang w:val="en-US"/>
              </w:rPr>
              <w:t>Barry Trebilcock</w:t>
            </w:r>
            <w:r w:rsidR="0090159B" w:rsidRPr="00D22292">
              <w:rPr>
                <w:b/>
                <w:sz w:val="20"/>
                <w:szCs w:val="20"/>
                <w:lang w:val="en-US"/>
              </w:rPr>
              <w:t xml:space="preserve"> et al.</w:t>
            </w:r>
            <w:r w:rsidRPr="00D22292">
              <w:rPr>
                <w:b/>
                <w:sz w:val="20"/>
                <w:szCs w:val="20"/>
                <w:lang w:val="en-US"/>
              </w:rPr>
              <w:t xml:space="preserve"> (Alta.)</w:t>
            </w:r>
          </w:p>
          <w:p w:rsidR="00D46FF2" w:rsidRPr="00D22292" w:rsidRDefault="00D46FF2" w:rsidP="005F1ED8">
            <w:pPr>
              <w:rPr>
                <w:sz w:val="20"/>
                <w:szCs w:val="20"/>
                <w:lang w:val="en-US"/>
              </w:rPr>
            </w:pPr>
            <w:r w:rsidRPr="00D22292">
              <w:rPr>
                <w:sz w:val="20"/>
                <w:szCs w:val="20"/>
                <w:lang w:val="en-US"/>
              </w:rPr>
              <w:tab/>
              <w:t>Kenneth F. Slupek</w:t>
            </w:r>
          </w:p>
          <w:p w:rsidR="00D46FF2" w:rsidRPr="00D22292" w:rsidRDefault="00D46FF2" w:rsidP="005F1ED8">
            <w:pPr>
              <w:rPr>
                <w:sz w:val="20"/>
                <w:szCs w:val="20"/>
                <w:lang w:val="en-US"/>
              </w:rPr>
            </w:pPr>
            <w:r w:rsidRPr="00D22292">
              <w:rPr>
                <w:sz w:val="20"/>
                <w:szCs w:val="20"/>
                <w:lang w:val="en-US"/>
              </w:rPr>
              <w:tab/>
              <w:t>Hladun &amp; Company</w:t>
            </w:r>
          </w:p>
          <w:p w:rsidR="00D46FF2" w:rsidRPr="00D22292" w:rsidRDefault="00D46FF2" w:rsidP="005F1ED8">
            <w:pPr>
              <w:rPr>
                <w:sz w:val="20"/>
                <w:szCs w:val="20"/>
                <w:lang w:val="en-US"/>
              </w:rPr>
            </w:pPr>
          </w:p>
          <w:p w:rsidR="00D46FF2" w:rsidRPr="00D22292" w:rsidRDefault="00D46FF2" w:rsidP="00D46FF2">
            <w:pPr>
              <w:rPr>
                <w:b/>
                <w:sz w:val="20"/>
                <w:szCs w:val="20"/>
                <w:lang w:val="fr-CA"/>
              </w:rPr>
            </w:pPr>
            <w:r w:rsidRPr="00D22292">
              <w:rPr>
                <w:sz w:val="20"/>
                <w:szCs w:val="20"/>
                <w:lang w:val="fr-CA"/>
              </w:rPr>
              <w:t>FILING DATE : 16.06.2017</w:t>
            </w:r>
          </w:p>
          <w:p w:rsidR="00C21644" w:rsidRPr="00D22292" w:rsidRDefault="00D22292" w:rsidP="005F1ED8">
            <w:pPr>
              <w:rPr>
                <w:sz w:val="20"/>
                <w:szCs w:val="20"/>
                <w:lang w:val="fr-CA"/>
              </w:rPr>
            </w:pPr>
            <w:r w:rsidRPr="00D22292">
              <w:rPr>
                <w:sz w:val="20"/>
                <w:szCs w:val="20"/>
                <w:lang w:val="fr-CA"/>
              </w:rPr>
              <w:pict>
                <v:rect id="_x0000_i1025" style="width:108pt;height:1pt" o:hrpct="0" o:hralign="center" o:hrstd="t" o:hrnoshade="t" o:hr="t" fillcolor="black [3213]" stroked="f"/>
              </w:pict>
            </w:r>
          </w:p>
          <w:p w:rsidR="00D46FF2" w:rsidRPr="00D22292" w:rsidRDefault="00D46FF2" w:rsidP="005F1ED8">
            <w:pPr>
              <w:rPr>
                <w:sz w:val="20"/>
                <w:szCs w:val="20"/>
              </w:rPr>
            </w:pPr>
          </w:p>
        </w:tc>
        <w:tc>
          <w:tcPr>
            <w:tcW w:w="1181" w:type="dxa"/>
            <w:shd w:val="clear" w:color="auto" w:fill="auto"/>
          </w:tcPr>
          <w:p w:rsidR="00C21644" w:rsidRPr="00D22292" w:rsidRDefault="00C21644" w:rsidP="00242AEE">
            <w:pPr>
              <w:jc w:val="center"/>
              <w:rPr>
                <w:sz w:val="20"/>
                <w:szCs w:val="20"/>
              </w:rPr>
            </w:pPr>
          </w:p>
        </w:tc>
        <w:tc>
          <w:tcPr>
            <w:tcW w:w="4320" w:type="dxa"/>
            <w:shd w:val="clear" w:color="auto" w:fill="auto"/>
          </w:tcPr>
          <w:p w:rsidR="00C21644" w:rsidRPr="00D22292" w:rsidRDefault="00721473" w:rsidP="00D46FF2">
            <w:pPr>
              <w:rPr>
                <w:b/>
                <w:sz w:val="20"/>
                <w:szCs w:val="20"/>
                <w:lang w:val="en-US"/>
              </w:rPr>
            </w:pPr>
            <w:r w:rsidRPr="00D22292">
              <w:rPr>
                <w:b/>
                <w:sz w:val="20"/>
                <w:szCs w:val="20"/>
                <w:lang w:val="en-US"/>
              </w:rPr>
              <w:t>Venese Sinclair</w:t>
            </w:r>
          </w:p>
          <w:p w:rsidR="00721473" w:rsidRPr="00D22292" w:rsidRDefault="00721473" w:rsidP="00D46FF2">
            <w:pPr>
              <w:rPr>
                <w:sz w:val="20"/>
                <w:szCs w:val="20"/>
                <w:lang w:val="en-US"/>
              </w:rPr>
            </w:pPr>
            <w:r w:rsidRPr="00D22292">
              <w:rPr>
                <w:b/>
                <w:sz w:val="20"/>
                <w:szCs w:val="20"/>
                <w:lang w:val="en-US"/>
              </w:rPr>
              <w:tab/>
            </w:r>
            <w:r w:rsidRPr="00D22292">
              <w:rPr>
                <w:sz w:val="20"/>
                <w:szCs w:val="20"/>
                <w:lang w:val="en-US"/>
              </w:rPr>
              <w:t>Najma Jamaldin</w:t>
            </w:r>
          </w:p>
          <w:p w:rsidR="00721473" w:rsidRPr="00D22292" w:rsidRDefault="00721473" w:rsidP="00D46FF2">
            <w:pPr>
              <w:rPr>
                <w:sz w:val="20"/>
                <w:szCs w:val="20"/>
                <w:lang w:val="en-US"/>
              </w:rPr>
            </w:pPr>
          </w:p>
          <w:p w:rsidR="00721473" w:rsidRPr="00D22292" w:rsidRDefault="00721473" w:rsidP="00D46FF2">
            <w:pPr>
              <w:rPr>
                <w:sz w:val="20"/>
                <w:szCs w:val="20"/>
                <w:lang w:val="en-US"/>
              </w:rPr>
            </w:pPr>
            <w:r w:rsidRPr="00D22292">
              <w:rPr>
                <w:sz w:val="20"/>
                <w:szCs w:val="20"/>
                <w:lang w:val="en-US"/>
              </w:rPr>
              <w:tab/>
              <w:t>v. (37625)</w:t>
            </w:r>
          </w:p>
          <w:p w:rsidR="00721473" w:rsidRPr="00D22292" w:rsidRDefault="00721473" w:rsidP="00D46FF2">
            <w:pPr>
              <w:rPr>
                <w:sz w:val="20"/>
                <w:szCs w:val="20"/>
                <w:lang w:val="en-US"/>
              </w:rPr>
            </w:pPr>
          </w:p>
          <w:p w:rsidR="00721473" w:rsidRPr="00D22292" w:rsidRDefault="00721473" w:rsidP="00D46FF2">
            <w:pPr>
              <w:rPr>
                <w:b/>
                <w:sz w:val="20"/>
                <w:szCs w:val="20"/>
                <w:lang w:val="en-US"/>
              </w:rPr>
            </w:pPr>
            <w:r w:rsidRPr="00D22292">
              <w:rPr>
                <w:b/>
                <w:sz w:val="20"/>
                <w:szCs w:val="20"/>
                <w:lang w:val="en-US"/>
              </w:rPr>
              <w:t>Her Majesty the Queen (Ont.)</w:t>
            </w:r>
          </w:p>
          <w:p w:rsidR="00721473" w:rsidRPr="00D22292" w:rsidRDefault="00721473" w:rsidP="00D46FF2">
            <w:pPr>
              <w:rPr>
                <w:sz w:val="20"/>
                <w:szCs w:val="20"/>
                <w:lang w:val="en-US"/>
              </w:rPr>
            </w:pPr>
            <w:r w:rsidRPr="00D22292">
              <w:rPr>
                <w:sz w:val="20"/>
                <w:szCs w:val="20"/>
                <w:lang w:val="en-US"/>
              </w:rPr>
              <w:tab/>
              <w:t>Christopher Walsh</w:t>
            </w:r>
          </w:p>
          <w:p w:rsidR="00721473" w:rsidRPr="00D22292" w:rsidRDefault="00721473" w:rsidP="00D46FF2">
            <w:pPr>
              <w:rPr>
                <w:sz w:val="20"/>
                <w:szCs w:val="20"/>
                <w:lang w:val="en-US"/>
              </w:rPr>
            </w:pPr>
            <w:r w:rsidRPr="00D22292">
              <w:rPr>
                <w:sz w:val="20"/>
                <w:szCs w:val="20"/>
                <w:lang w:val="en-US"/>
              </w:rPr>
              <w:tab/>
              <w:t>Director of Public Prosecutions of Canada</w:t>
            </w:r>
          </w:p>
          <w:p w:rsidR="00721473" w:rsidRPr="00D22292" w:rsidRDefault="00721473" w:rsidP="00D46FF2">
            <w:pPr>
              <w:rPr>
                <w:sz w:val="20"/>
                <w:szCs w:val="20"/>
                <w:lang w:val="en-US"/>
              </w:rPr>
            </w:pPr>
          </w:p>
          <w:p w:rsidR="00721473" w:rsidRPr="00D22292" w:rsidRDefault="00721473" w:rsidP="00D46FF2">
            <w:pPr>
              <w:rPr>
                <w:sz w:val="20"/>
                <w:szCs w:val="20"/>
                <w:lang w:val="en-US"/>
              </w:rPr>
            </w:pPr>
            <w:r w:rsidRPr="00D22292">
              <w:rPr>
                <w:sz w:val="20"/>
                <w:szCs w:val="20"/>
                <w:lang w:val="en-US"/>
              </w:rPr>
              <w:t>FILING DATE: 22.06.2017</w:t>
            </w:r>
          </w:p>
          <w:p w:rsidR="00721473" w:rsidRPr="00D22292" w:rsidRDefault="00D22292" w:rsidP="00D46FF2">
            <w:pPr>
              <w:rPr>
                <w:sz w:val="20"/>
                <w:szCs w:val="20"/>
                <w:lang w:val="fr-CA"/>
              </w:rPr>
            </w:pPr>
            <w:r w:rsidRPr="00D22292">
              <w:rPr>
                <w:sz w:val="20"/>
                <w:szCs w:val="20"/>
                <w:lang w:val="fr-CA"/>
              </w:rPr>
              <w:pict>
                <v:rect id="_x0000_i1026" style="width:108pt;height:1pt" o:hrpct="0" o:hralign="center" o:hrstd="t" o:hrnoshade="t" o:hr="t" fillcolor="black [3213]" stroked="f"/>
              </w:pict>
            </w:r>
          </w:p>
          <w:p w:rsidR="005B42BD" w:rsidRPr="00D22292" w:rsidRDefault="005B42BD" w:rsidP="00D46FF2">
            <w:pPr>
              <w:rPr>
                <w:sz w:val="20"/>
                <w:szCs w:val="20"/>
                <w:lang w:val="en-US"/>
              </w:rPr>
            </w:pPr>
          </w:p>
        </w:tc>
      </w:tr>
      <w:tr w:rsidR="00721473" w:rsidRPr="00D22292" w:rsidTr="003B3977">
        <w:tc>
          <w:tcPr>
            <w:tcW w:w="4320" w:type="dxa"/>
            <w:shd w:val="clear" w:color="auto" w:fill="auto"/>
          </w:tcPr>
          <w:p w:rsidR="00721473" w:rsidRPr="00D22292" w:rsidRDefault="005F2A9C" w:rsidP="005F1ED8">
            <w:pPr>
              <w:rPr>
                <w:b/>
                <w:sz w:val="20"/>
                <w:szCs w:val="20"/>
                <w:lang w:val="en-US"/>
              </w:rPr>
            </w:pPr>
            <w:r w:rsidRPr="00D22292">
              <w:rPr>
                <w:b/>
                <w:sz w:val="20"/>
                <w:szCs w:val="20"/>
                <w:lang w:val="en-US"/>
              </w:rPr>
              <w:t>ExxonMobil Canada Properties</w:t>
            </w:r>
          </w:p>
          <w:p w:rsidR="005F2A9C" w:rsidRPr="00D22292" w:rsidRDefault="005F2A9C" w:rsidP="005F1ED8">
            <w:pPr>
              <w:rPr>
                <w:sz w:val="20"/>
                <w:szCs w:val="20"/>
                <w:lang w:val="en-US"/>
              </w:rPr>
            </w:pPr>
            <w:r w:rsidRPr="00D22292">
              <w:rPr>
                <w:b/>
                <w:sz w:val="20"/>
                <w:szCs w:val="20"/>
                <w:lang w:val="en-US"/>
              </w:rPr>
              <w:tab/>
            </w:r>
            <w:r w:rsidRPr="00D22292">
              <w:rPr>
                <w:sz w:val="20"/>
                <w:szCs w:val="20"/>
                <w:lang w:val="en-US"/>
              </w:rPr>
              <w:t>Stephen F. Penney</w:t>
            </w:r>
          </w:p>
          <w:p w:rsidR="005F2A9C" w:rsidRPr="00D22292" w:rsidRDefault="005F2A9C" w:rsidP="005F1ED8">
            <w:pPr>
              <w:rPr>
                <w:sz w:val="20"/>
                <w:szCs w:val="20"/>
                <w:lang w:val="en-US"/>
              </w:rPr>
            </w:pPr>
            <w:r w:rsidRPr="00D22292">
              <w:rPr>
                <w:sz w:val="20"/>
                <w:szCs w:val="20"/>
                <w:lang w:val="en-US"/>
              </w:rPr>
              <w:tab/>
              <w:t>Stewart McKelvey</w:t>
            </w:r>
          </w:p>
          <w:p w:rsidR="005F2A9C" w:rsidRPr="00D22292" w:rsidRDefault="005F2A9C" w:rsidP="005F1ED8">
            <w:pPr>
              <w:rPr>
                <w:sz w:val="20"/>
                <w:szCs w:val="20"/>
                <w:lang w:val="en-US"/>
              </w:rPr>
            </w:pPr>
          </w:p>
          <w:p w:rsidR="005F2A9C" w:rsidRPr="00D22292" w:rsidRDefault="005F2A9C" w:rsidP="005F1ED8">
            <w:pPr>
              <w:rPr>
                <w:sz w:val="20"/>
                <w:szCs w:val="20"/>
                <w:lang w:val="en-US"/>
              </w:rPr>
            </w:pPr>
            <w:r w:rsidRPr="00D22292">
              <w:rPr>
                <w:sz w:val="20"/>
                <w:szCs w:val="20"/>
                <w:lang w:val="en-US"/>
              </w:rPr>
              <w:tab/>
              <w:t>v. (37628)</w:t>
            </w:r>
          </w:p>
          <w:p w:rsidR="005F2A9C" w:rsidRPr="00D22292" w:rsidRDefault="005F2A9C" w:rsidP="005F1ED8">
            <w:pPr>
              <w:rPr>
                <w:sz w:val="20"/>
                <w:szCs w:val="20"/>
                <w:lang w:val="en-US"/>
              </w:rPr>
            </w:pPr>
          </w:p>
          <w:p w:rsidR="005F2A9C" w:rsidRPr="00D22292" w:rsidRDefault="005F2A9C" w:rsidP="005F1ED8">
            <w:pPr>
              <w:rPr>
                <w:b/>
                <w:sz w:val="20"/>
                <w:szCs w:val="20"/>
                <w:lang w:val="en-US"/>
              </w:rPr>
            </w:pPr>
            <w:r w:rsidRPr="00D22292">
              <w:rPr>
                <w:b/>
                <w:sz w:val="20"/>
                <w:szCs w:val="20"/>
                <w:lang w:val="en-US"/>
              </w:rPr>
              <w:t>Hebron Project Employers’ Association Inc. et al. (N.L.)</w:t>
            </w:r>
          </w:p>
          <w:p w:rsidR="005F2A9C" w:rsidRPr="00D22292" w:rsidRDefault="005F2A9C" w:rsidP="005F1ED8">
            <w:pPr>
              <w:rPr>
                <w:sz w:val="20"/>
                <w:szCs w:val="20"/>
                <w:lang w:val="en-US"/>
              </w:rPr>
            </w:pPr>
            <w:r w:rsidRPr="00D22292">
              <w:rPr>
                <w:sz w:val="20"/>
                <w:szCs w:val="20"/>
                <w:lang w:val="en-US"/>
              </w:rPr>
              <w:tab/>
              <w:t>Darren Stratton</w:t>
            </w:r>
          </w:p>
          <w:p w:rsidR="005F2A9C" w:rsidRPr="00D22292" w:rsidRDefault="005F2A9C" w:rsidP="005F1ED8">
            <w:pPr>
              <w:rPr>
                <w:sz w:val="20"/>
                <w:szCs w:val="20"/>
                <w:lang w:val="en-US"/>
              </w:rPr>
            </w:pPr>
            <w:r w:rsidRPr="00D22292">
              <w:rPr>
                <w:sz w:val="20"/>
                <w:szCs w:val="20"/>
                <w:lang w:val="en-US"/>
              </w:rPr>
              <w:tab/>
              <w:t>McInnes Cooper</w:t>
            </w:r>
          </w:p>
          <w:p w:rsidR="005F2A9C" w:rsidRPr="00D22292" w:rsidRDefault="005F2A9C" w:rsidP="005F1ED8">
            <w:pPr>
              <w:rPr>
                <w:sz w:val="20"/>
                <w:szCs w:val="20"/>
                <w:lang w:val="en-US"/>
              </w:rPr>
            </w:pPr>
          </w:p>
          <w:p w:rsidR="005F2A9C" w:rsidRPr="00D22292" w:rsidRDefault="005F2A9C" w:rsidP="005F1ED8">
            <w:pPr>
              <w:rPr>
                <w:sz w:val="20"/>
                <w:szCs w:val="20"/>
                <w:lang w:val="en-US"/>
              </w:rPr>
            </w:pPr>
            <w:r w:rsidRPr="00D22292">
              <w:rPr>
                <w:sz w:val="20"/>
                <w:szCs w:val="20"/>
                <w:lang w:val="en-US"/>
              </w:rPr>
              <w:t>FILING DATE: 23.06.2017</w:t>
            </w:r>
          </w:p>
          <w:p w:rsidR="005F2A9C" w:rsidRPr="00D22292" w:rsidRDefault="00D22292" w:rsidP="005F1ED8">
            <w:pPr>
              <w:rPr>
                <w:sz w:val="20"/>
                <w:szCs w:val="20"/>
                <w:lang w:val="en-US"/>
              </w:rPr>
            </w:pPr>
            <w:r w:rsidRPr="00D22292">
              <w:rPr>
                <w:sz w:val="20"/>
                <w:szCs w:val="20"/>
                <w:lang w:val="fr-CA"/>
              </w:rPr>
              <w:pict>
                <v:rect id="_x0000_i1027" style="width:108pt;height:1pt" o:hrpct="0" o:hralign="center" o:hrstd="t" o:hrnoshade="t" o:hr="t" fillcolor="black [3213]" stroked="f"/>
              </w:pict>
            </w:r>
          </w:p>
          <w:p w:rsidR="00721473" w:rsidRPr="00D22292" w:rsidRDefault="00721473" w:rsidP="005F1ED8">
            <w:pPr>
              <w:rPr>
                <w:b/>
                <w:sz w:val="20"/>
                <w:szCs w:val="20"/>
                <w:lang w:val="en-US"/>
              </w:rPr>
            </w:pPr>
          </w:p>
        </w:tc>
        <w:tc>
          <w:tcPr>
            <w:tcW w:w="1181" w:type="dxa"/>
            <w:shd w:val="clear" w:color="auto" w:fill="auto"/>
          </w:tcPr>
          <w:p w:rsidR="00721473" w:rsidRPr="00D22292" w:rsidRDefault="00721473" w:rsidP="00242AEE">
            <w:pPr>
              <w:jc w:val="center"/>
              <w:rPr>
                <w:sz w:val="20"/>
                <w:szCs w:val="20"/>
                <w:lang w:val="en-US"/>
              </w:rPr>
            </w:pPr>
          </w:p>
        </w:tc>
        <w:tc>
          <w:tcPr>
            <w:tcW w:w="4320" w:type="dxa"/>
            <w:shd w:val="clear" w:color="auto" w:fill="auto"/>
          </w:tcPr>
          <w:p w:rsidR="0090159B" w:rsidRPr="00D22292" w:rsidRDefault="0090159B" w:rsidP="0090159B">
            <w:pPr>
              <w:rPr>
                <w:b/>
                <w:sz w:val="20"/>
                <w:szCs w:val="20"/>
                <w:lang w:val="en-US"/>
              </w:rPr>
            </w:pPr>
            <w:r w:rsidRPr="00D22292">
              <w:rPr>
                <w:b/>
                <w:sz w:val="20"/>
                <w:szCs w:val="20"/>
                <w:lang w:val="en-US"/>
              </w:rPr>
              <w:t xml:space="preserve">Orphan Well Association et al. </w:t>
            </w:r>
          </w:p>
          <w:p w:rsidR="0090159B" w:rsidRPr="00D22292" w:rsidRDefault="0090159B" w:rsidP="0090159B">
            <w:pPr>
              <w:rPr>
                <w:sz w:val="20"/>
                <w:szCs w:val="20"/>
                <w:lang w:val="en-US"/>
              </w:rPr>
            </w:pPr>
            <w:r w:rsidRPr="00D22292">
              <w:rPr>
                <w:sz w:val="20"/>
                <w:szCs w:val="20"/>
                <w:lang w:val="en-US"/>
              </w:rPr>
              <w:tab/>
              <w:t>Keely R. Cameron</w:t>
            </w:r>
          </w:p>
          <w:p w:rsidR="0090159B" w:rsidRPr="00D22292" w:rsidRDefault="0090159B" w:rsidP="0090159B">
            <w:pPr>
              <w:rPr>
                <w:sz w:val="20"/>
                <w:szCs w:val="20"/>
                <w:lang w:val="en-US"/>
              </w:rPr>
            </w:pPr>
            <w:r w:rsidRPr="00D22292">
              <w:rPr>
                <w:sz w:val="20"/>
                <w:szCs w:val="20"/>
                <w:lang w:val="en-US"/>
              </w:rPr>
              <w:tab/>
              <w:t>Alberta Energy Regulator</w:t>
            </w:r>
          </w:p>
          <w:p w:rsidR="0090159B" w:rsidRPr="00D22292" w:rsidRDefault="0090159B" w:rsidP="0090159B">
            <w:pPr>
              <w:rPr>
                <w:sz w:val="20"/>
                <w:szCs w:val="20"/>
                <w:lang w:val="en-US"/>
              </w:rPr>
            </w:pPr>
          </w:p>
          <w:p w:rsidR="0090159B" w:rsidRPr="00D22292" w:rsidRDefault="0090159B" w:rsidP="0090159B">
            <w:pPr>
              <w:rPr>
                <w:sz w:val="20"/>
                <w:szCs w:val="20"/>
                <w:lang w:val="en-US"/>
              </w:rPr>
            </w:pPr>
            <w:r w:rsidRPr="00D22292">
              <w:rPr>
                <w:sz w:val="20"/>
                <w:szCs w:val="20"/>
                <w:lang w:val="en-US"/>
              </w:rPr>
              <w:tab/>
              <w:t>v. (37627)</w:t>
            </w:r>
          </w:p>
          <w:p w:rsidR="0090159B" w:rsidRPr="00D22292" w:rsidRDefault="0090159B" w:rsidP="0090159B">
            <w:pPr>
              <w:rPr>
                <w:sz w:val="20"/>
                <w:szCs w:val="20"/>
                <w:lang w:val="en-US"/>
              </w:rPr>
            </w:pPr>
          </w:p>
          <w:p w:rsidR="0090159B" w:rsidRPr="00D22292" w:rsidRDefault="0090159B" w:rsidP="0090159B">
            <w:pPr>
              <w:rPr>
                <w:b/>
                <w:sz w:val="20"/>
                <w:szCs w:val="20"/>
                <w:lang w:val="en-US"/>
              </w:rPr>
            </w:pPr>
            <w:r w:rsidRPr="00D22292">
              <w:rPr>
                <w:b/>
                <w:sz w:val="20"/>
                <w:szCs w:val="20"/>
                <w:lang w:val="en-US"/>
              </w:rPr>
              <w:t>Grant Thornton Limited et al. (Alta.)</w:t>
            </w:r>
          </w:p>
          <w:p w:rsidR="0090159B" w:rsidRPr="00D22292" w:rsidRDefault="0090159B" w:rsidP="0090159B">
            <w:pPr>
              <w:rPr>
                <w:sz w:val="20"/>
                <w:szCs w:val="20"/>
                <w:lang w:val="en-US"/>
              </w:rPr>
            </w:pPr>
            <w:r w:rsidRPr="00D22292">
              <w:rPr>
                <w:sz w:val="20"/>
                <w:szCs w:val="20"/>
                <w:lang w:val="en-US"/>
              </w:rPr>
              <w:tab/>
              <w:t>Tom Cumming</w:t>
            </w:r>
          </w:p>
          <w:p w:rsidR="0090159B" w:rsidRPr="00D22292" w:rsidRDefault="0090159B" w:rsidP="0090159B">
            <w:pPr>
              <w:rPr>
                <w:sz w:val="20"/>
                <w:szCs w:val="20"/>
                <w:lang w:val="en-US"/>
              </w:rPr>
            </w:pPr>
            <w:r w:rsidRPr="00D22292">
              <w:rPr>
                <w:sz w:val="20"/>
                <w:szCs w:val="20"/>
                <w:lang w:val="en-US"/>
              </w:rPr>
              <w:tab/>
              <w:t>Gowling WLG (Canada) LLP</w:t>
            </w:r>
          </w:p>
          <w:p w:rsidR="0090159B" w:rsidRPr="00D22292" w:rsidRDefault="0090159B" w:rsidP="0090159B">
            <w:pPr>
              <w:rPr>
                <w:sz w:val="20"/>
                <w:szCs w:val="20"/>
                <w:lang w:val="en-US"/>
              </w:rPr>
            </w:pPr>
          </w:p>
          <w:p w:rsidR="0090159B" w:rsidRPr="00D22292" w:rsidRDefault="0090159B" w:rsidP="0090159B">
            <w:pPr>
              <w:rPr>
                <w:sz w:val="20"/>
                <w:szCs w:val="20"/>
                <w:lang w:val="en-US"/>
              </w:rPr>
            </w:pPr>
            <w:r w:rsidRPr="00D22292">
              <w:rPr>
                <w:sz w:val="20"/>
                <w:szCs w:val="20"/>
                <w:lang w:val="en-US"/>
              </w:rPr>
              <w:t>FILING DATE : 23.06.2017</w:t>
            </w:r>
          </w:p>
          <w:p w:rsidR="00721473" w:rsidRPr="00D22292" w:rsidRDefault="00D22292" w:rsidP="0090159B">
            <w:pPr>
              <w:rPr>
                <w:b/>
                <w:sz w:val="20"/>
                <w:szCs w:val="20"/>
                <w:lang w:val="en-US"/>
              </w:rPr>
            </w:pPr>
            <w:r w:rsidRPr="00D22292">
              <w:rPr>
                <w:sz w:val="20"/>
                <w:szCs w:val="20"/>
                <w:lang w:val="fr-CA"/>
              </w:rPr>
              <w:pict>
                <v:rect id="_x0000_i1028" style="width:108pt;height:1pt" o:hrpct="0" o:hralign="center" o:hrstd="t" o:hrnoshade="t" o:hr="t" fillcolor="black [3213]" stroked="f"/>
              </w:pict>
            </w:r>
          </w:p>
        </w:tc>
      </w:tr>
      <w:tr w:rsidR="00C21644" w:rsidRPr="00D22292" w:rsidTr="003B3977">
        <w:tc>
          <w:tcPr>
            <w:tcW w:w="4320" w:type="dxa"/>
            <w:shd w:val="clear" w:color="auto" w:fill="auto"/>
          </w:tcPr>
          <w:p w:rsidR="00C21644" w:rsidRPr="00D22292" w:rsidRDefault="00C21644" w:rsidP="003B3977">
            <w:pPr>
              <w:rPr>
                <w:sz w:val="20"/>
                <w:szCs w:val="20"/>
                <w:lang w:val="en-US"/>
              </w:rPr>
            </w:pPr>
          </w:p>
        </w:tc>
        <w:tc>
          <w:tcPr>
            <w:tcW w:w="1181" w:type="dxa"/>
            <w:shd w:val="clear" w:color="auto" w:fill="auto"/>
          </w:tcPr>
          <w:p w:rsidR="00C21644" w:rsidRPr="00D22292" w:rsidRDefault="00C21644" w:rsidP="00242AEE">
            <w:pPr>
              <w:jc w:val="center"/>
              <w:rPr>
                <w:sz w:val="20"/>
                <w:szCs w:val="20"/>
                <w:lang w:val="en-US"/>
              </w:rPr>
            </w:pPr>
          </w:p>
        </w:tc>
        <w:tc>
          <w:tcPr>
            <w:tcW w:w="4320" w:type="dxa"/>
            <w:shd w:val="clear" w:color="auto" w:fill="auto"/>
          </w:tcPr>
          <w:p w:rsidR="00C21644" w:rsidRPr="00D22292" w:rsidRDefault="00C21644" w:rsidP="00D46FF2">
            <w:pPr>
              <w:rPr>
                <w:sz w:val="20"/>
                <w:szCs w:val="20"/>
                <w:lang w:val="en-US"/>
              </w:rPr>
            </w:pPr>
          </w:p>
        </w:tc>
      </w:tr>
      <w:tr w:rsidR="00C21644" w:rsidRPr="00D22292" w:rsidTr="003B3977">
        <w:tc>
          <w:tcPr>
            <w:tcW w:w="4320" w:type="dxa"/>
            <w:shd w:val="clear" w:color="auto" w:fill="auto"/>
          </w:tcPr>
          <w:p w:rsidR="00C21644" w:rsidRPr="00D22292" w:rsidRDefault="00C21644" w:rsidP="005F1ED8">
            <w:pPr>
              <w:rPr>
                <w:sz w:val="20"/>
                <w:szCs w:val="20"/>
                <w:lang w:val="en-US"/>
              </w:rPr>
            </w:pPr>
          </w:p>
        </w:tc>
        <w:tc>
          <w:tcPr>
            <w:tcW w:w="1181" w:type="dxa"/>
            <w:shd w:val="clear" w:color="auto" w:fill="auto"/>
          </w:tcPr>
          <w:p w:rsidR="00C21644" w:rsidRPr="00D22292" w:rsidRDefault="00C21644" w:rsidP="00242AEE">
            <w:pPr>
              <w:jc w:val="center"/>
              <w:rPr>
                <w:sz w:val="20"/>
                <w:szCs w:val="20"/>
                <w:lang w:val="en-US"/>
              </w:rPr>
            </w:pPr>
          </w:p>
        </w:tc>
        <w:tc>
          <w:tcPr>
            <w:tcW w:w="4320" w:type="dxa"/>
            <w:shd w:val="clear" w:color="auto" w:fill="auto"/>
          </w:tcPr>
          <w:p w:rsidR="00C21644" w:rsidRPr="00D22292" w:rsidRDefault="00C21644" w:rsidP="005F1ED8">
            <w:pPr>
              <w:rPr>
                <w:sz w:val="20"/>
                <w:szCs w:val="20"/>
                <w:lang w:val="en-US"/>
              </w:rPr>
            </w:pPr>
          </w:p>
        </w:tc>
      </w:tr>
    </w:tbl>
    <w:p w:rsidR="00242AEE" w:rsidRPr="00D22292" w:rsidRDefault="00242AEE" w:rsidP="0095096B">
      <w:pPr>
        <w:tabs>
          <w:tab w:val="right" w:pos="9360"/>
        </w:tabs>
        <w:rPr>
          <w:sz w:val="20"/>
          <w:szCs w:val="20"/>
          <w:lang w:val="en-US"/>
        </w:rPr>
      </w:pPr>
    </w:p>
    <w:p w:rsidR="00C01FCB" w:rsidRPr="00D22292" w:rsidRDefault="00C01FCB" w:rsidP="0095096B">
      <w:pPr>
        <w:tabs>
          <w:tab w:val="right" w:pos="9360"/>
        </w:tabs>
        <w:rPr>
          <w:sz w:val="20"/>
          <w:szCs w:val="20"/>
          <w:lang w:val="en-US"/>
        </w:rPr>
      </w:pPr>
    </w:p>
    <w:p w:rsidR="00C01FCB" w:rsidRPr="00D22292" w:rsidRDefault="00C01FCB" w:rsidP="0095096B">
      <w:pPr>
        <w:tabs>
          <w:tab w:val="right" w:pos="9360"/>
        </w:tabs>
        <w:rPr>
          <w:sz w:val="20"/>
          <w:szCs w:val="20"/>
          <w:lang w:val="en-US"/>
        </w:rPr>
      </w:pPr>
    </w:p>
    <w:p w:rsidR="00242AEE" w:rsidRPr="00D22292" w:rsidRDefault="00242AEE" w:rsidP="0095096B">
      <w:pPr>
        <w:tabs>
          <w:tab w:val="right" w:pos="9360"/>
        </w:tabs>
        <w:rPr>
          <w:sz w:val="20"/>
          <w:szCs w:val="20"/>
          <w:lang w:val="en-US"/>
        </w:rPr>
        <w:sectPr w:rsidR="00242AEE" w:rsidRPr="00D22292" w:rsidSect="00D726AF">
          <w:headerReference w:type="default" r:id="rId11"/>
          <w:footerReference w:type="default" r:id="rId12"/>
          <w:headerReference w:type="first" r:id="rId13"/>
          <w:footerReference w:type="first" r:id="rId14"/>
          <w:pgSz w:w="12240" w:h="15840"/>
          <w:pgMar w:top="720" w:right="965" w:bottom="1080" w:left="1656" w:header="706" w:footer="706" w:gutter="0"/>
          <w:pgNumType w:start="1089"/>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D22292" w:rsidTr="00BA6468">
        <w:trPr>
          <w:trHeight w:val="900"/>
        </w:trPr>
        <w:tc>
          <w:tcPr>
            <w:tcW w:w="4200" w:type="dxa"/>
            <w:tcMar>
              <w:left w:w="0" w:type="dxa"/>
              <w:right w:w="0" w:type="dxa"/>
            </w:tcMar>
          </w:tcPr>
          <w:p w:rsidR="002E2327" w:rsidRPr="00D22292" w:rsidRDefault="002E2327" w:rsidP="002E2327">
            <w:pPr>
              <w:keepNext/>
              <w:keepLines/>
              <w:widowControl w:val="0"/>
              <w:rPr>
                <w:b/>
                <w:szCs w:val="24"/>
                <w:lang w:val="en-US"/>
              </w:rPr>
            </w:pPr>
            <w:r w:rsidRPr="00D22292">
              <w:rPr>
                <w:b/>
                <w:szCs w:val="24"/>
                <w:lang w:val="en-US"/>
              </w:rPr>
              <w:lastRenderedPageBreak/>
              <w:t>APPLICATIONS FOR LEAVE SUBMITTED TO COURT SINCE LAST ISSUE</w:t>
            </w:r>
          </w:p>
        </w:tc>
        <w:tc>
          <w:tcPr>
            <w:tcW w:w="1200" w:type="dxa"/>
            <w:tcMar>
              <w:left w:w="0" w:type="dxa"/>
              <w:right w:w="0" w:type="dxa"/>
            </w:tcMar>
          </w:tcPr>
          <w:p w:rsidR="002E2327" w:rsidRPr="00D22292" w:rsidRDefault="002E2327" w:rsidP="002E2327">
            <w:pPr>
              <w:keepNext/>
              <w:keepLines/>
              <w:widowControl w:val="0"/>
              <w:jc w:val="center"/>
              <w:rPr>
                <w:b/>
                <w:szCs w:val="24"/>
                <w:lang w:val="en-US"/>
              </w:rPr>
            </w:pPr>
          </w:p>
          <w:p w:rsidR="001D0D5F" w:rsidRPr="00D22292" w:rsidRDefault="001D0D5F" w:rsidP="002E2327">
            <w:pPr>
              <w:keepNext/>
              <w:keepLines/>
              <w:widowControl w:val="0"/>
              <w:jc w:val="center"/>
              <w:rPr>
                <w:b/>
                <w:szCs w:val="24"/>
                <w:lang w:val="en-US"/>
              </w:rPr>
            </w:pPr>
          </w:p>
          <w:p w:rsidR="001D0D5F" w:rsidRPr="00D22292" w:rsidRDefault="001D0D5F" w:rsidP="002E2327">
            <w:pPr>
              <w:keepNext/>
              <w:keepLines/>
              <w:widowControl w:val="0"/>
              <w:jc w:val="center"/>
              <w:rPr>
                <w:b/>
                <w:szCs w:val="24"/>
                <w:lang w:val="en-US"/>
              </w:rPr>
            </w:pPr>
          </w:p>
          <w:p w:rsidR="001D0D5F" w:rsidRPr="00D22292" w:rsidRDefault="001D0D5F" w:rsidP="002E2327">
            <w:pPr>
              <w:keepNext/>
              <w:keepLines/>
              <w:widowControl w:val="0"/>
              <w:jc w:val="center"/>
              <w:rPr>
                <w:b/>
                <w:szCs w:val="24"/>
                <w:lang w:val="en-US"/>
              </w:rPr>
            </w:pPr>
          </w:p>
        </w:tc>
        <w:tc>
          <w:tcPr>
            <w:tcW w:w="4080" w:type="dxa"/>
            <w:tcMar>
              <w:left w:w="0" w:type="dxa"/>
              <w:right w:w="0" w:type="dxa"/>
            </w:tcMar>
          </w:tcPr>
          <w:p w:rsidR="002E2327" w:rsidRPr="00D22292" w:rsidRDefault="002E2327" w:rsidP="002E2327">
            <w:pPr>
              <w:keepLines/>
              <w:widowControl w:val="0"/>
              <w:rPr>
                <w:szCs w:val="24"/>
                <w:lang w:val="fr-CA"/>
              </w:rPr>
            </w:pPr>
            <w:r w:rsidRPr="00D22292">
              <w:rPr>
                <w:b/>
                <w:szCs w:val="24"/>
                <w:lang w:val="fr-CA"/>
              </w:rPr>
              <w:t>DEMANDES SOUMISES À LA COUR DEPUIS LA DERNIÈRE PARUTION</w:t>
            </w:r>
          </w:p>
          <w:p w:rsidR="002E2327" w:rsidRPr="00D22292"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D22292" w:rsidRDefault="00DE0C8C" w:rsidP="00DE0C8C">
      <w:pPr>
        <w:widowControl w:val="0"/>
        <w:tabs>
          <w:tab w:val="left" w:pos="1794"/>
        </w:tabs>
        <w:rPr>
          <w:b/>
          <w:sz w:val="20"/>
          <w:szCs w:val="20"/>
          <w:lang w:val="fr-CA"/>
        </w:rPr>
      </w:pPr>
      <w:r w:rsidRPr="00D22292">
        <w:rPr>
          <w:b/>
          <w:sz w:val="20"/>
          <w:szCs w:val="20"/>
          <w:lang w:val="fr-CA"/>
        </w:rPr>
        <w:tab/>
      </w:r>
    </w:p>
    <w:p w:rsidR="00CB3520" w:rsidRPr="00D22292" w:rsidRDefault="00CB3520" w:rsidP="00CB3520">
      <w:pPr>
        <w:widowControl w:val="0"/>
        <w:rPr>
          <w:b/>
          <w:sz w:val="20"/>
          <w:szCs w:val="20"/>
        </w:rPr>
      </w:pPr>
      <w:r w:rsidRPr="00D22292">
        <w:rPr>
          <w:b/>
          <w:sz w:val="20"/>
          <w:szCs w:val="20"/>
        </w:rPr>
        <w:t>J</w:t>
      </w:r>
      <w:r w:rsidR="00EA7175" w:rsidRPr="00D22292">
        <w:rPr>
          <w:b/>
          <w:sz w:val="20"/>
          <w:szCs w:val="20"/>
        </w:rPr>
        <w:t>ULY</w:t>
      </w:r>
      <w:r w:rsidRPr="00D22292">
        <w:rPr>
          <w:b/>
          <w:sz w:val="20"/>
          <w:szCs w:val="20"/>
        </w:rPr>
        <w:t xml:space="preserve"> </w:t>
      </w:r>
      <w:r w:rsidR="00EA7175" w:rsidRPr="00D22292">
        <w:rPr>
          <w:b/>
          <w:sz w:val="20"/>
          <w:szCs w:val="20"/>
        </w:rPr>
        <w:t>4</w:t>
      </w:r>
      <w:r w:rsidRPr="00D22292">
        <w:rPr>
          <w:b/>
          <w:sz w:val="20"/>
          <w:szCs w:val="20"/>
        </w:rPr>
        <w:t>, 201</w:t>
      </w:r>
      <w:r w:rsidR="00E8544A" w:rsidRPr="00D22292">
        <w:rPr>
          <w:b/>
          <w:sz w:val="20"/>
          <w:szCs w:val="20"/>
        </w:rPr>
        <w:t>7</w:t>
      </w:r>
      <w:r w:rsidRPr="00D22292">
        <w:rPr>
          <w:b/>
          <w:sz w:val="20"/>
          <w:szCs w:val="20"/>
        </w:rPr>
        <w:t xml:space="preserve"> / LE </w:t>
      </w:r>
      <w:r w:rsidR="00EA7175" w:rsidRPr="00D22292">
        <w:rPr>
          <w:b/>
          <w:sz w:val="20"/>
          <w:szCs w:val="20"/>
        </w:rPr>
        <w:t>4</w:t>
      </w:r>
      <w:r w:rsidRPr="00D22292">
        <w:rPr>
          <w:b/>
          <w:sz w:val="20"/>
          <w:szCs w:val="20"/>
        </w:rPr>
        <w:t xml:space="preserve"> J</w:t>
      </w:r>
      <w:r w:rsidR="00EA7175" w:rsidRPr="00D22292">
        <w:rPr>
          <w:b/>
          <w:sz w:val="20"/>
          <w:szCs w:val="20"/>
        </w:rPr>
        <w:t>UILLET</w:t>
      </w:r>
      <w:r w:rsidRPr="00D22292">
        <w:rPr>
          <w:b/>
          <w:sz w:val="20"/>
          <w:szCs w:val="20"/>
        </w:rPr>
        <w:t xml:space="preserve"> 201</w:t>
      </w:r>
      <w:r w:rsidR="00E8544A" w:rsidRPr="00D22292">
        <w:rPr>
          <w:b/>
          <w:sz w:val="20"/>
          <w:szCs w:val="20"/>
        </w:rPr>
        <w:t>7</w:t>
      </w:r>
    </w:p>
    <w:p w:rsidR="00CB3520" w:rsidRPr="00D22292" w:rsidRDefault="00CB3520" w:rsidP="00CB3520">
      <w:pPr>
        <w:widowControl w:val="0"/>
        <w:rPr>
          <w:b/>
          <w:sz w:val="20"/>
          <w:szCs w:val="20"/>
        </w:rPr>
      </w:pPr>
    </w:p>
    <w:p w:rsidR="00DE0C8C" w:rsidRPr="00D22292" w:rsidRDefault="00DE0C8C" w:rsidP="00DE0C8C">
      <w:pPr>
        <w:jc w:val="center"/>
        <w:rPr>
          <w:b/>
          <w:bCs/>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254CC1" w:rsidRPr="00D22292" w:rsidTr="005C43E7">
        <w:trPr>
          <w:cantSplit/>
        </w:trPr>
        <w:tc>
          <w:tcPr>
            <w:tcW w:w="508" w:type="dxa"/>
          </w:tcPr>
          <w:p w:rsidR="00254CC1" w:rsidRPr="00D22292" w:rsidRDefault="00254CC1" w:rsidP="005C43E7">
            <w:pPr>
              <w:rPr>
                <w:rFonts w:cs="Times New Roman"/>
                <w:sz w:val="20"/>
                <w:szCs w:val="20"/>
                <w:lang w:val="fr-CA"/>
              </w:rPr>
            </w:pPr>
          </w:p>
        </w:tc>
        <w:tc>
          <w:tcPr>
            <w:tcW w:w="810" w:type="dxa"/>
          </w:tcPr>
          <w:p w:rsidR="00254CC1" w:rsidRPr="00D22292" w:rsidRDefault="00254CC1" w:rsidP="005C43E7">
            <w:pPr>
              <w:rPr>
                <w:rFonts w:cs="Times New Roman"/>
                <w:sz w:val="20"/>
                <w:szCs w:val="20"/>
                <w:lang w:val="fr-CA"/>
              </w:rPr>
            </w:pPr>
          </w:p>
        </w:tc>
        <w:tc>
          <w:tcPr>
            <w:tcW w:w="8258" w:type="dxa"/>
            <w:gridSpan w:val="3"/>
          </w:tcPr>
          <w:p w:rsidR="00254CC1" w:rsidRPr="00D22292" w:rsidRDefault="00254CC1" w:rsidP="00254CC1">
            <w:pPr>
              <w:jc w:val="center"/>
              <w:rPr>
                <w:b/>
                <w:bCs/>
                <w:sz w:val="20"/>
                <w:szCs w:val="20"/>
              </w:rPr>
            </w:pPr>
            <w:r w:rsidRPr="00D22292">
              <w:rPr>
                <w:b/>
                <w:bCs/>
                <w:sz w:val="20"/>
                <w:szCs w:val="20"/>
              </w:rPr>
              <w:t>CORAM:  Chief Justice McLachlin and Côté and Brown JJ.</w:t>
            </w:r>
          </w:p>
          <w:p w:rsidR="00254CC1" w:rsidRPr="00D22292" w:rsidRDefault="00254CC1" w:rsidP="00254CC1">
            <w:pPr>
              <w:jc w:val="center"/>
              <w:rPr>
                <w:sz w:val="20"/>
                <w:szCs w:val="20"/>
                <w:lang w:val="fr-CA"/>
              </w:rPr>
            </w:pPr>
            <w:r w:rsidRPr="00D22292">
              <w:rPr>
                <w:b/>
                <w:bCs/>
                <w:sz w:val="20"/>
                <w:szCs w:val="20"/>
                <w:lang w:val="fr-CA"/>
              </w:rPr>
              <w:t>La juge en chef McLachlin et les juges Côté et Brown</w:t>
            </w:r>
          </w:p>
          <w:p w:rsidR="00254CC1" w:rsidRPr="00D22292" w:rsidRDefault="00254CC1" w:rsidP="005C43E7">
            <w:pPr>
              <w:jc w:val="center"/>
              <w:rPr>
                <w:rFonts w:cs="Times New Roman"/>
                <w:b/>
                <w:sz w:val="20"/>
                <w:szCs w:val="20"/>
                <w:lang w:val="fr-CA"/>
              </w:rPr>
            </w:pPr>
          </w:p>
        </w:tc>
      </w:tr>
      <w:tr w:rsidR="00254CC1" w:rsidRPr="00D22292" w:rsidTr="005C43E7">
        <w:trPr>
          <w:cantSplit/>
        </w:trPr>
        <w:tc>
          <w:tcPr>
            <w:tcW w:w="508" w:type="dxa"/>
          </w:tcPr>
          <w:p w:rsidR="00254CC1" w:rsidRPr="00D22292" w:rsidRDefault="00254CC1" w:rsidP="005C43E7">
            <w:pPr>
              <w:rPr>
                <w:rFonts w:cs="Times New Roman"/>
                <w:sz w:val="20"/>
                <w:szCs w:val="20"/>
              </w:rPr>
            </w:pPr>
            <w:r w:rsidRPr="00D22292">
              <w:rPr>
                <w:rFonts w:cs="Times New Roman"/>
                <w:sz w:val="20"/>
                <w:szCs w:val="20"/>
              </w:rPr>
              <w:t>1.</w:t>
            </w:r>
          </w:p>
        </w:tc>
        <w:tc>
          <w:tcPr>
            <w:tcW w:w="810" w:type="dxa"/>
          </w:tcPr>
          <w:p w:rsidR="00254CC1" w:rsidRPr="00D22292" w:rsidRDefault="00254CC1" w:rsidP="005C43E7">
            <w:pPr>
              <w:rPr>
                <w:rFonts w:cs="Times New Roman"/>
                <w:sz w:val="20"/>
                <w:szCs w:val="20"/>
              </w:rPr>
            </w:pPr>
            <w:r w:rsidRPr="00D22292">
              <w:rPr>
                <w:rFonts w:cs="Times New Roman"/>
                <w:sz w:val="20"/>
                <w:szCs w:val="20"/>
              </w:rPr>
              <w:t>37549</w:t>
            </w:r>
          </w:p>
        </w:tc>
        <w:tc>
          <w:tcPr>
            <w:tcW w:w="4050" w:type="dxa"/>
          </w:tcPr>
          <w:p w:rsidR="00254CC1" w:rsidRPr="00D22292" w:rsidRDefault="00254CC1" w:rsidP="005C43E7">
            <w:pPr>
              <w:pStyle w:val="SCCAppellantInfoAppellantInfo"/>
              <w:rPr>
                <w:sz w:val="20"/>
                <w:szCs w:val="20"/>
              </w:rPr>
            </w:pPr>
            <w:r w:rsidRPr="00D22292">
              <w:rPr>
                <w:sz w:val="20"/>
                <w:szCs w:val="20"/>
              </w:rPr>
              <w:t>852819 Alberta Ltd., operating as Centre South</w:t>
            </w:r>
          </w:p>
          <w:p w:rsidR="00254CC1" w:rsidRPr="00D22292" w:rsidRDefault="00254CC1" w:rsidP="005C43E7">
            <w:pPr>
              <w:pStyle w:val="SCCAppellantInfoAppellantInfo"/>
              <w:rPr>
                <w:sz w:val="20"/>
                <w:szCs w:val="20"/>
              </w:rPr>
            </w:pPr>
            <w:r w:rsidRPr="00D22292">
              <w:rPr>
                <w:sz w:val="20"/>
                <w:szCs w:val="20"/>
              </w:rPr>
              <w:t>(Alta.) (Civil) (By Leave)</w:t>
            </w:r>
          </w:p>
        </w:tc>
        <w:tc>
          <w:tcPr>
            <w:tcW w:w="360" w:type="dxa"/>
          </w:tcPr>
          <w:p w:rsidR="00254CC1" w:rsidRPr="00D22292" w:rsidRDefault="00254CC1" w:rsidP="005C43E7">
            <w:pPr>
              <w:rPr>
                <w:rFonts w:cs="Times New Roman"/>
                <w:sz w:val="20"/>
                <w:szCs w:val="20"/>
              </w:rPr>
            </w:pPr>
            <w:r w:rsidRPr="00D22292">
              <w:rPr>
                <w:rFonts w:cs="Times New Roman"/>
                <w:sz w:val="20"/>
                <w:szCs w:val="20"/>
              </w:rPr>
              <w:t>v.</w:t>
            </w:r>
          </w:p>
        </w:tc>
        <w:tc>
          <w:tcPr>
            <w:tcW w:w="3848" w:type="dxa"/>
          </w:tcPr>
          <w:p w:rsidR="00254CC1" w:rsidRPr="00D22292" w:rsidRDefault="00254CC1" w:rsidP="005C43E7">
            <w:pPr>
              <w:pStyle w:val="SCCAppellantInfoAppellantInfo"/>
              <w:rPr>
                <w:sz w:val="20"/>
                <w:szCs w:val="20"/>
              </w:rPr>
            </w:pPr>
            <w:r w:rsidRPr="00D22292">
              <w:rPr>
                <w:sz w:val="20"/>
                <w:szCs w:val="20"/>
              </w:rPr>
              <w:t>Sovereign General Insurance Company, et al.</w:t>
            </w:r>
          </w:p>
        </w:tc>
      </w:tr>
      <w:tr w:rsidR="00254CC1" w:rsidRPr="00D22292" w:rsidTr="005C43E7">
        <w:trPr>
          <w:cantSplit/>
        </w:trPr>
        <w:tc>
          <w:tcPr>
            <w:tcW w:w="508" w:type="dxa"/>
          </w:tcPr>
          <w:p w:rsidR="00254CC1" w:rsidRPr="00D22292" w:rsidRDefault="00254CC1" w:rsidP="005C43E7">
            <w:pPr>
              <w:rPr>
                <w:rFonts w:cs="Times New Roman"/>
                <w:sz w:val="20"/>
                <w:szCs w:val="20"/>
              </w:rPr>
            </w:pPr>
            <w:r w:rsidRPr="00D22292">
              <w:rPr>
                <w:rFonts w:cs="Times New Roman"/>
                <w:sz w:val="20"/>
                <w:szCs w:val="20"/>
              </w:rPr>
              <w:t>2.</w:t>
            </w:r>
          </w:p>
        </w:tc>
        <w:tc>
          <w:tcPr>
            <w:tcW w:w="810" w:type="dxa"/>
          </w:tcPr>
          <w:p w:rsidR="00254CC1" w:rsidRPr="00D22292" w:rsidRDefault="00254CC1" w:rsidP="005C43E7">
            <w:pPr>
              <w:rPr>
                <w:rFonts w:cs="Times New Roman"/>
                <w:sz w:val="20"/>
                <w:szCs w:val="20"/>
              </w:rPr>
            </w:pPr>
            <w:r w:rsidRPr="00D22292">
              <w:rPr>
                <w:rFonts w:cs="Times New Roman"/>
                <w:sz w:val="20"/>
                <w:szCs w:val="20"/>
              </w:rPr>
              <w:t>37556</w:t>
            </w:r>
          </w:p>
        </w:tc>
        <w:tc>
          <w:tcPr>
            <w:tcW w:w="4050" w:type="dxa"/>
          </w:tcPr>
          <w:p w:rsidR="00254CC1" w:rsidRPr="00D22292" w:rsidRDefault="00254CC1" w:rsidP="005C43E7">
            <w:pPr>
              <w:pStyle w:val="SCCAppellantInfoAppellantInfo"/>
              <w:rPr>
                <w:sz w:val="20"/>
                <w:szCs w:val="20"/>
              </w:rPr>
            </w:pPr>
            <w:r w:rsidRPr="00D22292">
              <w:rPr>
                <w:sz w:val="20"/>
                <w:szCs w:val="20"/>
              </w:rPr>
              <w:t>Nisreen Ahamed Mohamed Nilam</w:t>
            </w:r>
          </w:p>
          <w:p w:rsidR="00254CC1" w:rsidRPr="00D22292" w:rsidRDefault="00254CC1" w:rsidP="005C43E7">
            <w:pPr>
              <w:pStyle w:val="SCCAppellantInfoAppellantInfo"/>
              <w:rPr>
                <w:sz w:val="20"/>
                <w:szCs w:val="20"/>
              </w:rPr>
            </w:pPr>
            <w:r w:rsidRPr="00D22292">
              <w:rPr>
                <w:sz w:val="20"/>
                <w:szCs w:val="20"/>
              </w:rPr>
              <w:t>(F.C.) (Civil) (By Leave)</w:t>
            </w:r>
            <w:r w:rsidRPr="00D22292">
              <w:rPr>
                <w:sz w:val="20"/>
                <w:szCs w:val="20"/>
              </w:rPr>
              <w:br/>
            </w:r>
          </w:p>
        </w:tc>
        <w:tc>
          <w:tcPr>
            <w:tcW w:w="360" w:type="dxa"/>
          </w:tcPr>
          <w:p w:rsidR="00254CC1" w:rsidRPr="00D22292" w:rsidRDefault="00254CC1" w:rsidP="005C43E7">
            <w:pPr>
              <w:rPr>
                <w:rFonts w:cs="Times New Roman"/>
                <w:sz w:val="20"/>
                <w:szCs w:val="20"/>
              </w:rPr>
            </w:pPr>
            <w:r w:rsidRPr="00D22292">
              <w:rPr>
                <w:rFonts w:cs="Times New Roman"/>
                <w:sz w:val="20"/>
                <w:szCs w:val="20"/>
              </w:rPr>
              <w:t>v.</w:t>
            </w:r>
          </w:p>
        </w:tc>
        <w:tc>
          <w:tcPr>
            <w:tcW w:w="3848" w:type="dxa"/>
          </w:tcPr>
          <w:p w:rsidR="00254CC1" w:rsidRPr="00D22292" w:rsidRDefault="00254CC1" w:rsidP="005C43E7">
            <w:pPr>
              <w:pStyle w:val="SCCAppellantInfoAppellantInfo"/>
              <w:rPr>
                <w:sz w:val="20"/>
                <w:szCs w:val="20"/>
              </w:rPr>
            </w:pPr>
            <w:r w:rsidRPr="00D22292">
              <w:rPr>
                <w:sz w:val="20"/>
                <w:szCs w:val="20"/>
              </w:rPr>
              <w:t>Minister of Citizenship and Immigration</w:t>
            </w:r>
          </w:p>
        </w:tc>
      </w:tr>
      <w:tr w:rsidR="00254CC1" w:rsidRPr="00D22292" w:rsidTr="005C43E7">
        <w:trPr>
          <w:cantSplit/>
        </w:trPr>
        <w:tc>
          <w:tcPr>
            <w:tcW w:w="508" w:type="dxa"/>
          </w:tcPr>
          <w:p w:rsidR="00254CC1" w:rsidRPr="00D22292" w:rsidRDefault="00254CC1" w:rsidP="005C43E7">
            <w:pPr>
              <w:rPr>
                <w:rFonts w:cs="Times New Roman"/>
                <w:sz w:val="20"/>
                <w:szCs w:val="20"/>
              </w:rPr>
            </w:pPr>
          </w:p>
        </w:tc>
        <w:tc>
          <w:tcPr>
            <w:tcW w:w="810" w:type="dxa"/>
          </w:tcPr>
          <w:p w:rsidR="00254CC1" w:rsidRPr="00D22292" w:rsidRDefault="00254CC1" w:rsidP="005C43E7">
            <w:pPr>
              <w:rPr>
                <w:rFonts w:cs="Times New Roman"/>
                <w:sz w:val="20"/>
                <w:szCs w:val="20"/>
              </w:rPr>
            </w:pPr>
          </w:p>
        </w:tc>
        <w:tc>
          <w:tcPr>
            <w:tcW w:w="8258" w:type="dxa"/>
            <w:gridSpan w:val="3"/>
          </w:tcPr>
          <w:p w:rsidR="00254CC1" w:rsidRPr="00D22292" w:rsidRDefault="00254CC1" w:rsidP="00254CC1">
            <w:pPr>
              <w:jc w:val="center"/>
              <w:rPr>
                <w:b/>
                <w:bCs/>
                <w:sz w:val="20"/>
                <w:szCs w:val="20"/>
                <w:lang w:val="en-US"/>
              </w:rPr>
            </w:pPr>
            <w:r w:rsidRPr="00D22292">
              <w:rPr>
                <w:b/>
                <w:bCs/>
                <w:sz w:val="20"/>
                <w:szCs w:val="20"/>
              </w:rPr>
              <w:t>CORAM: Abella, Gascon and Rowe JJ.</w:t>
            </w:r>
          </w:p>
          <w:p w:rsidR="00254CC1" w:rsidRPr="00D22292" w:rsidRDefault="00254CC1" w:rsidP="00254CC1">
            <w:pPr>
              <w:jc w:val="center"/>
              <w:rPr>
                <w:b/>
                <w:bCs/>
                <w:sz w:val="20"/>
                <w:szCs w:val="20"/>
                <w:lang w:val="fr-CA"/>
              </w:rPr>
            </w:pPr>
            <w:r w:rsidRPr="00D22292">
              <w:rPr>
                <w:b/>
                <w:bCs/>
                <w:sz w:val="20"/>
                <w:szCs w:val="20"/>
                <w:lang w:val="fr-CA"/>
              </w:rPr>
              <w:t>Les juges Abella, Gascon et Rowe</w:t>
            </w:r>
          </w:p>
          <w:p w:rsidR="00254CC1" w:rsidRPr="00D22292" w:rsidRDefault="00254CC1" w:rsidP="005C43E7">
            <w:pPr>
              <w:rPr>
                <w:rFonts w:cs="Times New Roman"/>
                <w:sz w:val="20"/>
                <w:szCs w:val="20"/>
                <w:lang w:val="fr-CA"/>
              </w:rPr>
            </w:pPr>
          </w:p>
        </w:tc>
      </w:tr>
      <w:tr w:rsidR="00254CC1" w:rsidRPr="00D22292" w:rsidTr="00254CC1">
        <w:trPr>
          <w:cantSplit/>
          <w:trHeight w:val="464"/>
        </w:trPr>
        <w:tc>
          <w:tcPr>
            <w:tcW w:w="508" w:type="dxa"/>
          </w:tcPr>
          <w:p w:rsidR="00254CC1" w:rsidRPr="00D22292" w:rsidRDefault="00254CC1" w:rsidP="005C43E7">
            <w:pPr>
              <w:rPr>
                <w:rFonts w:cs="Times New Roman"/>
                <w:sz w:val="20"/>
                <w:szCs w:val="20"/>
              </w:rPr>
            </w:pPr>
            <w:r w:rsidRPr="00D22292">
              <w:rPr>
                <w:rFonts w:cs="Times New Roman"/>
                <w:sz w:val="20"/>
                <w:szCs w:val="20"/>
              </w:rPr>
              <w:t>3.</w:t>
            </w:r>
          </w:p>
        </w:tc>
        <w:tc>
          <w:tcPr>
            <w:tcW w:w="810" w:type="dxa"/>
          </w:tcPr>
          <w:p w:rsidR="00254CC1" w:rsidRPr="00D22292" w:rsidRDefault="00254CC1" w:rsidP="005C43E7">
            <w:pPr>
              <w:rPr>
                <w:rFonts w:cs="Times New Roman"/>
                <w:sz w:val="20"/>
                <w:szCs w:val="20"/>
              </w:rPr>
            </w:pPr>
            <w:r w:rsidRPr="00D22292">
              <w:rPr>
                <w:rFonts w:cs="Times New Roman"/>
                <w:sz w:val="20"/>
                <w:szCs w:val="20"/>
              </w:rPr>
              <w:t>37555</w:t>
            </w:r>
          </w:p>
        </w:tc>
        <w:tc>
          <w:tcPr>
            <w:tcW w:w="4050" w:type="dxa"/>
          </w:tcPr>
          <w:p w:rsidR="00254CC1" w:rsidRPr="00D22292" w:rsidRDefault="00254CC1" w:rsidP="005C43E7">
            <w:pPr>
              <w:pStyle w:val="SCCAppellantInfoAppellantInfo"/>
              <w:rPr>
                <w:sz w:val="20"/>
                <w:szCs w:val="20"/>
              </w:rPr>
            </w:pPr>
            <w:r w:rsidRPr="00D22292">
              <w:rPr>
                <w:sz w:val="20"/>
                <w:szCs w:val="20"/>
              </w:rPr>
              <w:t>M.J.</w:t>
            </w:r>
          </w:p>
          <w:p w:rsidR="00254CC1" w:rsidRPr="00D22292" w:rsidRDefault="00254CC1" w:rsidP="005C43E7">
            <w:pPr>
              <w:pStyle w:val="SCCAppellantInfoAppellantInfo"/>
              <w:rPr>
                <w:sz w:val="20"/>
                <w:szCs w:val="20"/>
              </w:rPr>
            </w:pPr>
            <w:r w:rsidRPr="00D22292">
              <w:rPr>
                <w:sz w:val="20"/>
                <w:szCs w:val="20"/>
              </w:rPr>
              <w:t>(Que.) (Civil) (By Leave)</w:t>
            </w:r>
            <w:r w:rsidRPr="00D22292">
              <w:rPr>
                <w:sz w:val="20"/>
                <w:szCs w:val="20"/>
              </w:rPr>
              <w:br/>
            </w:r>
          </w:p>
        </w:tc>
        <w:tc>
          <w:tcPr>
            <w:tcW w:w="360" w:type="dxa"/>
          </w:tcPr>
          <w:p w:rsidR="00254CC1" w:rsidRPr="00D22292" w:rsidRDefault="00254CC1" w:rsidP="005C43E7">
            <w:pPr>
              <w:rPr>
                <w:rFonts w:cs="Times New Roman"/>
                <w:sz w:val="20"/>
                <w:szCs w:val="20"/>
              </w:rPr>
            </w:pPr>
            <w:r w:rsidRPr="00D22292">
              <w:rPr>
                <w:rFonts w:cs="Times New Roman"/>
                <w:sz w:val="20"/>
                <w:szCs w:val="20"/>
              </w:rPr>
              <w:t>v.</w:t>
            </w:r>
          </w:p>
        </w:tc>
        <w:tc>
          <w:tcPr>
            <w:tcW w:w="3848" w:type="dxa"/>
          </w:tcPr>
          <w:p w:rsidR="00254CC1" w:rsidRPr="00D22292" w:rsidRDefault="00254CC1" w:rsidP="005C43E7">
            <w:pPr>
              <w:pStyle w:val="SCCAppellantInfoAppellantInfo"/>
              <w:rPr>
                <w:sz w:val="20"/>
                <w:szCs w:val="20"/>
              </w:rPr>
            </w:pPr>
            <w:r w:rsidRPr="00D22292">
              <w:rPr>
                <w:sz w:val="20"/>
                <w:szCs w:val="20"/>
              </w:rPr>
              <w:t>Z.Z.</w:t>
            </w:r>
          </w:p>
        </w:tc>
      </w:tr>
      <w:tr w:rsidR="00254CC1" w:rsidRPr="00D22292" w:rsidTr="005C43E7">
        <w:trPr>
          <w:cantSplit/>
        </w:trPr>
        <w:tc>
          <w:tcPr>
            <w:tcW w:w="508" w:type="dxa"/>
          </w:tcPr>
          <w:p w:rsidR="00254CC1" w:rsidRPr="00D22292" w:rsidRDefault="00254CC1" w:rsidP="005C43E7">
            <w:pPr>
              <w:rPr>
                <w:rFonts w:cs="Times New Roman"/>
                <w:sz w:val="20"/>
                <w:szCs w:val="20"/>
              </w:rPr>
            </w:pPr>
          </w:p>
        </w:tc>
        <w:tc>
          <w:tcPr>
            <w:tcW w:w="810" w:type="dxa"/>
          </w:tcPr>
          <w:p w:rsidR="00254CC1" w:rsidRPr="00D22292" w:rsidRDefault="00254CC1" w:rsidP="005C43E7">
            <w:pPr>
              <w:rPr>
                <w:rFonts w:cs="Times New Roman"/>
                <w:sz w:val="20"/>
                <w:szCs w:val="20"/>
              </w:rPr>
            </w:pPr>
          </w:p>
        </w:tc>
        <w:tc>
          <w:tcPr>
            <w:tcW w:w="8258" w:type="dxa"/>
            <w:gridSpan w:val="3"/>
          </w:tcPr>
          <w:p w:rsidR="00254CC1" w:rsidRPr="00D22292" w:rsidRDefault="00254CC1" w:rsidP="00254CC1">
            <w:pPr>
              <w:jc w:val="center"/>
              <w:rPr>
                <w:b/>
                <w:bCs/>
                <w:sz w:val="20"/>
                <w:szCs w:val="20"/>
                <w:lang w:val="en-US"/>
              </w:rPr>
            </w:pPr>
            <w:r w:rsidRPr="00D22292">
              <w:rPr>
                <w:b/>
                <w:bCs/>
                <w:sz w:val="20"/>
                <w:szCs w:val="20"/>
              </w:rPr>
              <w:t>CORAM: Moldaver, Côté and Rowe JJ.</w:t>
            </w:r>
          </w:p>
          <w:p w:rsidR="00254CC1" w:rsidRPr="00D22292" w:rsidRDefault="00254CC1" w:rsidP="00254CC1">
            <w:pPr>
              <w:jc w:val="center"/>
              <w:rPr>
                <w:b/>
                <w:bCs/>
                <w:sz w:val="20"/>
                <w:szCs w:val="20"/>
                <w:lang w:val="fr-CA"/>
              </w:rPr>
            </w:pPr>
            <w:r w:rsidRPr="00D22292">
              <w:rPr>
                <w:b/>
                <w:bCs/>
                <w:sz w:val="20"/>
                <w:szCs w:val="20"/>
                <w:lang w:val="fr-CA"/>
              </w:rPr>
              <w:t>Les juges Moldaver, Côté et Rowe</w:t>
            </w:r>
          </w:p>
          <w:p w:rsidR="00254CC1" w:rsidRPr="00D22292" w:rsidRDefault="00254CC1" w:rsidP="005C43E7">
            <w:pPr>
              <w:rPr>
                <w:rFonts w:cs="Times New Roman"/>
                <w:sz w:val="20"/>
                <w:szCs w:val="20"/>
                <w:lang w:val="fr-CA"/>
              </w:rPr>
            </w:pPr>
          </w:p>
        </w:tc>
      </w:tr>
      <w:tr w:rsidR="00254CC1" w:rsidRPr="00D22292" w:rsidTr="005C43E7">
        <w:trPr>
          <w:cantSplit/>
        </w:trPr>
        <w:tc>
          <w:tcPr>
            <w:tcW w:w="508" w:type="dxa"/>
          </w:tcPr>
          <w:p w:rsidR="00254CC1" w:rsidRPr="00D22292" w:rsidRDefault="00254CC1" w:rsidP="005C43E7">
            <w:pPr>
              <w:rPr>
                <w:rFonts w:cs="Times New Roman"/>
                <w:sz w:val="20"/>
                <w:szCs w:val="20"/>
              </w:rPr>
            </w:pPr>
            <w:r w:rsidRPr="00D22292">
              <w:rPr>
                <w:rFonts w:cs="Times New Roman"/>
                <w:sz w:val="20"/>
                <w:szCs w:val="20"/>
              </w:rPr>
              <w:t>4.</w:t>
            </w:r>
          </w:p>
        </w:tc>
        <w:tc>
          <w:tcPr>
            <w:tcW w:w="810" w:type="dxa"/>
          </w:tcPr>
          <w:p w:rsidR="00254CC1" w:rsidRPr="00D22292" w:rsidRDefault="00254CC1" w:rsidP="005C43E7">
            <w:pPr>
              <w:rPr>
                <w:rFonts w:cs="Times New Roman"/>
                <w:sz w:val="20"/>
                <w:szCs w:val="20"/>
              </w:rPr>
            </w:pPr>
            <w:r w:rsidRPr="00D22292">
              <w:rPr>
                <w:rFonts w:cs="Times New Roman"/>
                <w:sz w:val="20"/>
                <w:szCs w:val="20"/>
              </w:rPr>
              <w:t>37561</w:t>
            </w:r>
          </w:p>
        </w:tc>
        <w:tc>
          <w:tcPr>
            <w:tcW w:w="4050" w:type="dxa"/>
          </w:tcPr>
          <w:p w:rsidR="00254CC1" w:rsidRPr="00D22292" w:rsidRDefault="00254CC1" w:rsidP="005C43E7">
            <w:pPr>
              <w:pStyle w:val="SCCAppellantInfoAppellantInfo"/>
              <w:rPr>
                <w:sz w:val="20"/>
                <w:szCs w:val="20"/>
              </w:rPr>
            </w:pPr>
            <w:r w:rsidRPr="00D22292">
              <w:rPr>
                <w:sz w:val="20"/>
                <w:szCs w:val="20"/>
              </w:rPr>
              <w:t>Hassan Hojjatian, et al.</w:t>
            </w:r>
          </w:p>
          <w:p w:rsidR="00254CC1" w:rsidRPr="00D22292" w:rsidRDefault="00254CC1" w:rsidP="005C43E7">
            <w:pPr>
              <w:pStyle w:val="SCCAppellantInfoAppellantInfo"/>
              <w:rPr>
                <w:sz w:val="20"/>
                <w:szCs w:val="20"/>
              </w:rPr>
            </w:pPr>
            <w:r w:rsidRPr="00D22292">
              <w:rPr>
                <w:sz w:val="20"/>
                <w:szCs w:val="20"/>
              </w:rPr>
              <w:t>(Ont.) (Civil) (By Leave)</w:t>
            </w:r>
            <w:r w:rsidRPr="00D22292">
              <w:rPr>
                <w:sz w:val="20"/>
                <w:szCs w:val="20"/>
              </w:rPr>
              <w:br/>
            </w:r>
          </w:p>
        </w:tc>
        <w:tc>
          <w:tcPr>
            <w:tcW w:w="360" w:type="dxa"/>
          </w:tcPr>
          <w:p w:rsidR="00254CC1" w:rsidRPr="00D22292" w:rsidRDefault="00254CC1" w:rsidP="005C43E7">
            <w:pPr>
              <w:rPr>
                <w:rFonts w:cs="Times New Roman"/>
                <w:sz w:val="20"/>
                <w:szCs w:val="20"/>
              </w:rPr>
            </w:pPr>
            <w:r w:rsidRPr="00D22292">
              <w:rPr>
                <w:rFonts w:cs="Times New Roman"/>
                <w:sz w:val="20"/>
                <w:szCs w:val="20"/>
              </w:rPr>
              <w:t>v.</w:t>
            </w:r>
          </w:p>
        </w:tc>
        <w:tc>
          <w:tcPr>
            <w:tcW w:w="3848" w:type="dxa"/>
          </w:tcPr>
          <w:p w:rsidR="00254CC1" w:rsidRPr="00D22292" w:rsidRDefault="00254CC1" w:rsidP="005C43E7">
            <w:pPr>
              <w:pStyle w:val="SCCAppellantInfoAppellantInfo"/>
              <w:rPr>
                <w:sz w:val="20"/>
                <w:szCs w:val="20"/>
              </w:rPr>
            </w:pPr>
            <w:r w:rsidRPr="00D22292">
              <w:rPr>
                <w:sz w:val="20"/>
                <w:szCs w:val="20"/>
              </w:rPr>
              <w:t>Toronto-Dominion Bank</w:t>
            </w:r>
          </w:p>
        </w:tc>
      </w:tr>
      <w:tr w:rsidR="00254CC1" w:rsidRPr="00D22292" w:rsidTr="005C43E7">
        <w:trPr>
          <w:cantSplit/>
        </w:trPr>
        <w:tc>
          <w:tcPr>
            <w:tcW w:w="508" w:type="dxa"/>
          </w:tcPr>
          <w:p w:rsidR="00254CC1" w:rsidRPr="00D22292" w:rsidRDefault="00254CC1" w:rsidP="005C43E7">
            <w:pPr>
              <w:rPr>
                <w:rFonts w:cs="Times New Roman"/>
                <w:sz w:val="20"/>
                <w:szCs w:val="20"/>
              </w:rPr>
            </w:pPr>
          </w:p>
        </w:tc>
        <w:tc>
          <w:tcPr>
            <w:tcW w:w="810" w:type="dxa"/>
          </w:tcPr>
          <w:p w:rsidR="00254CC1" w:rsidRPr="00D22292" w:rsidRDefault="00254CC1" w:rsidP="005C43E7">
            <w:pPr>
              <w:rPr>
                <w:rFonts w:cs="Times New Roman"/>
                <w:sz w:val="20"/>
                <w:szCs w:val="20"/>
              </w:rPr>
            </w:pPr>
          </w:p>
        </w:tc>
        <w:tc>
          <w:tcPr>
            <w:tcW w:w="8258" w:type="dxa"/>
            <w:gridSpan w:val="3"/>
          </w:tcPr>
          <w:p w:rsidR="00254CC1" w:rsidRPr="00D22292" w:rsidRDefault="00254CC1" w:rsidP="00254CC1">
            <w:pPr>
              <w:jc w:val="center"/>
              <w:rPr>
                <w:b/>
                <w:bCs/>
                <w:sz w:val="20"/>
                <w:szCs w:val="20"/>
                <w:lang w:val="en-US"/>
              </w:rPr>
            </w:pPr>
            <w:r w:rsidRPr="00D22292">
              <w:rPr>
                <w:b/>
                <w:bCs/>
                <w:sz w:val="20"/>
                <w:szCs w:val="20"/>
              </w:rPr>
              <w:t>CORAM: Moldaver, Karakatsanis and Wagner JJ.</w:t>
            </w:r>
          </w:p>
          <w:p w:rsidR="00254CC1" w:rsidRPr="00D22292" w:rsidRDefault="00254CC1" w:rsidP="00254CC1">
            <w:pPr>
              <w:jc w:val="center"/>
              <w:rPr>
                <w:b/>
                <w:bCs/>
                <w:sz w:val="20"/>
                <w:szCs w:val="20"/>
                <w:lang w:val="fr-CA"/>
              </w:rPr>
            </w:pPr>
            <w:r w:rsidRPr="00D22292">
              <w:rPr>
                <w:b/>
                <w:bCs/>
                <w:sz w:val="20"/>
                <w:szCs w:val="20"/>
                <w:lang w:val="fr-CA"/>
              </w:rPr>
              <w:t>Les juges Moldaver, Karakatsanis et Wagner</w:t>
            </w:r>
          </w:p>
          <w:p w:rsidR="00254CC1" w:rsidRPr="00D22292" w:rsidRDefault="00254CC1" w:rsidP="005C43E7">
            <w:pPr>
              <w:rPr>
                <w:rFonts w:cs="Times New Roman"/>
                <w:sz w:val="20"/>
                <w:szCs w:val="20"/>
                <w:lang w:val="fr-CA"/>
              </w:rPr>
            </w:pPr>
          </w:p>
        </w:tc>
      </w:tr>
      <w:tr w:rsidR="00254CC1" w:rsidRPr="00D22292" w:rsidTr="005C43E7">
        <w:trPr>
          <w:cantSplit/>
        </w:trPr>
        <w:tc>
          <w:tcPr>
            <w:tcW w:w="508" w:type="dxa"/>
          </w:tcPr>
          <w:p w:rsidR="00254CC1" w:rsidRPr="00D22292" w:rsidRDefault="00254CC1" w:rsidP="005C43E7">
            <w:pPr>
              <w:rPr>
                <w:rFonts w:cs="Times New Roman"/>
                <w:sz w:val="20"/>
                <w:szCs w:val="20"/>
              </w:rPr>
            </w:pPr>
            <w:r w:rsidRPr="00D22292">
              <w:rPr>
                <w:rFonts w:cs="Times New Roman"/>
                <w:sz w:val="20"/>
                <w:szCs w:val="20"/>
              </w:rPr>
              <w:t>5.</w:t>
            </w:r>
          </w:p>
        </w:tc>
        <w:tc>
          <w:tcPr>
            <w:tcW w:w="810" w:type="dxa"/>
          </w:tcPr>
          <w:p w:rsidR="00254CC1" w:rsidRPr="00D22292" w:rsidRDefault="00254CC1" w:rsidP="005C43E7">
            <w:pPr>
              <w:rPr>
                <w:rFonts w:cs="Times New Roman"/>
                <w:sz w:val="20"/>
                <w:szCs w:val="20"/>
              </w:rPr>
            </w:pPr>
            <w:r w:rsidRPr="00D22292">
              <w:rPr>
                <w:rFonts w:cs="Times New Roman"/>
                <w:sz w:val="20"/>
                <w:szCs w:val="20"/>
              </w:rPr>
              <w:t>37550</w:t>
            </w:r>
          </w:p>
        </w:tc>
        <w:tc>
          <w:tcPr>
            <w:tcW w:w="4050" w:type="dxa"/>
          </w:tcPr>
          <w:p w:rsidR="00254CC1" w:rsidRPr="00D22292" w:rsidRDefault="00254CC1" w:rsidP="005C43E7">
            <w:pPr>
              <w:pStyle w:val="SCCAppellantInfoAppellantInfo"/>
              <w:rPr>
                <w:sz w:val="20"/>
                <w:szCs w:val="20"/>
              </w:rPr>
            </w:pPr>
            <w:r w:rsidRPr="00D22292">
              <w:rPr>
                <w:sz w:val="20"/>
                <w:szCs w:val="20"/>
              </w:rPr>
              <w:t>David Ernest MacIsaac</w:t>
            </w:r>
          </w:p>
          <w:p w:rsidR="00254CC1" w:rsidRPr="00D22292" w:rsidRDefault="00254CC1" w:rsidP="005C43E7">
            <w:pPr>
              <w:pStyle w:val="SCCAppellantInfoAppellantInfo"/>
              <w:rPr>
                <w:sz w:val="20"/>
                <w:szCs w:val="20"/>
              </w:rPr>
            </w:pPr>
            <w:r w:rsidRPr="00D22292">
              <w:rPr>
                <w:sz w:val="20"/>
                <w:szCs w:val="20"/>
              </w:rPr>
              <w:t>(Ont.) (Criminal) (By Leave)</w:t>
            </w:r>
          </w:p>
        </w:tc>
        <w:tc>
          <w:tcPr>
            <w:tcW w:w="360" w:type="dxa"/>
          </w:tcPr>
          <w:p w:rsidR="00254CC1" w:rsidRPr="00D22292" w:rsidRDefault="00254CC1" w:rsidP="005C43E7">
            <w:pPr>
              <w:rPr>
                <w:rFonts w:cs="Times New Roman"/>
                <w:sz w:val="20"/>
                <w:szCs w:val="20"/>
              </w:rPr>
            </w:pPr>
            <w:r w:rsidRPr="00D22292">
              <w:rPr>
                <w:rFonts w:cs="Times New Roman"/>
                <w:sz w:val="20"/>
                <w:szCs w:val="20"/>
              </w:rPr>
              <w:t>v.</w:t>
            </w:r>
          </w:p>
        </w:tc>
        <w:tc>
          <w:tcPr>
            <w:tcW w:w="3848" w:type="dxa"/>
          </w:tcPr>
          <w:p w:rsidR="00254CC1" w:rsidRPr="00D22292" w:rsidRDefault="00254CC1" w:rsidP="005C43E7">
            <w:pPr>
              <w:pStyle w:val="SCCAppellantInfoAppellantInfo"/>
              <w:rPr>
                <w:sz w:val="20"/>
                <w:szCs w:val="20"/>
              </w:rPr>
            </w:pPr>
            <w:r w:rsidRPr="00D22292">
              <w:rPr>
                <w:sz w:val="20"/>
                <w:szCs w:val="20"/>
              </w:rPr>
              <w:t>Her Majesty the Queen</w:t>
            </w:r>
          </w:p>
        </w:tc>
      </w:tr>
      <w:tr w:rsidR="00254CC1" w:rsidRPr="00D22292" w:rsidTr="005C43E7">
        <w:trPr>
          <w:cantSplit/>
        </w:trPr>
        <w:tc>
          <w:tcPr>
            <w:tcW w:w="508" w:type="dxa"/>
          </w:tcPr>
          <w:p w:rsidR="00254CC1" w:rsidRPr="00D22292" w:rsidRDefault="00254CC1" w:rsidP="005C43E7">
            <w:pPr>
              <w:rPr>
                <w:rFonts w:cs="Times New Roman"/>
                <w:sz w:val="20"/>
                <w:szCs w:val="20"/>
              </w:rPr>
            </w:pPr>
            <w:r w:rsidRPr="00D22292">
              <w:rPr>
                <w:rFonts w:cs="Times New Roman"/>
                <w:sz w:val="20"/>
                <w:szCs w:val="20"/>
              </w:rPr>
              <w:t>6.</w:t>
            </w:r>
          </w:p>
        </w:tc>
        <w:tc>
          <w:tcPr>
            <w:tcW w:w="810" w:type="dxa"/>
          </w:tcPr>
          <w:p w:rsidR="00254CC1" w:rsidRPr="00D22292" w:rsidRDefault="00254CC1" w:rsidP="005C43E7">
            <w:pPr>
              <w:rPr>
                <w:rFonts w:cs="Times New Roman"/>
                <w:sz w:val="20"/>
                <w:szCs w:val="20"/>
              </w:rPr>
            </w:pPr>
            <w:r w:rsidRPr="00D22292">
              <w:rPr>
                <w:rFonts w:cs="Times New Roman"/>
                <w:sz w:val="20"/>
                <w:szCs w:val="20"/>
              </w:rPr>
              <w:t>37529</w:t>
            </w:r>
          </w:p>
        </w:tc>
        <w:tc>
          <w:tcPr>
            <w:tcW w:w="4050" w:type="dxa"/>
          </w:tcPr>
          <w:p w:rsidR="00254CC1" w:rsidRPr="00D22292" w:rsidRDefault="00254CC1" w:rsidP="005C43E7">
            <w:pPr>
              <w:pStyle w:val="SCCAppellantInfoAppellantInfo"/>
              <w:rPr>
                <w:sz w:val="20"/>
                <w:szCs w:val="20"/>
                <w:lang w:val="fr-CA"/>
              </w:rPr>
            </w:pPr>
            <w:r w:rsidRPr="00D22292">
              <w:rPr>
                <w:sz w:val="20"/>
                <w:szCs w:val="20"/>
                <w:lang w:val="fr-CA"/>
              </w:rPr>
              <w:t>Ronald Vincent Morin, et al.</w:t>
            </w:r>
          </w:p>
          <w:p w:rsidR="00254CC1" w:rsidRPr="00D22292" w:rsidRDefault="00254CC1" w:rsidP="005C43E7">
            <w:pPr>
              <w:pStyle w:val="SCCAppellantInfoAppellantInfo"/>
              <w:rPr>
                <w:sz w:val="20"/>
                <w:szCs w:val="20"/>
              </w:rPr>
            </w:pPr>
            <w:r w:rsidRPr="00D22292">
              <w:rPr>
                <w:sz w:val="20"/>
                <w:szCs w:val="20"/>
              </w:rPr>
              <w:t>(Alta.) (Civil) (By Leave)</w:t>
            </w:r>
            <w:r w:rsidRPr="00D22292">
              <w:rPr>
                <w:sz w:val="20"/>
                <w:szCs w:val="20"/>
              </w:rPr>
              <w:br/>
            </w:r>
          </w:p>
        </w:tc>
        <w:tc>
          <w:tcPr>
            <w:tcW w:w="360" w:type="dxa"/>
          </w:tcPr>
          <w:p w:rsidR="00254CC1" w:rsidRPr="00D22292" w:rsidRDefault="00254CC1" w:rsidP="005C43E7">
            <w:pPr>
              <w:rPr>
                <w:rFonts w:cs="Times New Roman"/>
                <w:sz w:val="20"/>
                <w:szCs w:val="20"/>
              </w:rPr>
            </w:pPr>
            <w:r w:rsidRPr="00D22292">
              <w:rPr>
                <w:rFonts w:cs="Times New Roman"/>
                <w:sz w:val="20"/>
                <w:szCs w:val="20"/>
              </w:rPr>
              <w:t>v.</w:t>
            </w:r>
          </w:p>
        </w:tc>
        <w:tc>
          <w:tcPr>
            <w:tcW w:w="3848" w:type="dxa"/>
          </w:tcPr>
          <w:p w:rsidR="00254CC1" w:rsidRPr="00D22292" w:rsidRDefault="00254CC1" w:rsidP="005C43E7">
            <w:pPr>
              <w:pStyle w:val="SCCAppellantInfoAppellantInfo"/>
              <w:rPr>
                <w:sz w:val="20"/>
                <w:szCs w:val="20"/>
                <w:lang w:val="fr-CA"/>
              </w:rPr>
            </w:pPr>
            <w:r w:rsidRPr="00D22292">
              <w:rPr>
                <w:sz w:val="20"/>
                <w:szCs w:val="20"/>
                <w:lang w:val="fr-CA"/>
              </w:rPr>
              <w:t>Alberta Utilities Commission, et al.</w:t>
            </w:r>
          </w:p>
        </w:tc>
      </w:tr>
      <w:tr w:rsidR="00254CC1" w:rsidRPr="00D22292" w:rsidTr="005C43E7">
        <w:trPr>
          <w:cantSplit/>
        </w:trPr>
        <w:tc>
          <w:tcPr>
            <w:tcW w:w="508" w:type="dxa"/>
          </w:tcPr>
          <w:p w:rsidR="00254CC1" w:rsidRPr="00D22292" w:rsidRDefault="00254CC1" w:rsidP="005C43E7">
            <w:pPr>
              <w:rPr>
                <w:rFonts w:cs="Times New Roman"/>
                <w:sz w:val="20"/>
                <w:szCs w:val="20"/>
                <w:lang w:val="fr-CA"/>
              </w:rPr>
            </w:pPr>
          </w:p>
        </w:tc>
        <w:tc>
          <w:tcPr>
            <w:tcW w:w="810" w:type="dxa"/>
          </w:tcPr>
          <w:p w:rsidR="00254CC1" w:rsidRPr="00D22292" w:rsidRDefault="00254CC1" w:rsidP="005C43E7">
            <w:pPr>
              <w:rPr>
                <w:rFonts w:cs="Times New Roman"/>
                <w:sz w:val="20"/>
                <w:szCs w:val="20"/>
                <w:lang w:val="fr-CA"/>
              </w:rPr>
            </w:pPr>
          </w:p>
        </w:tc>
        <w:tc>
          <w:tcPr>
            <w:tcW w:w="4050" w:type="dxa"/>
          </w:tcPr>
          <w:p w:rsidR="00254CC1" w:rsidRPr="00D22292" w:rsidRDefault="00254CC1" w:rsidP="005C43E7">
            <w:pPr>
              <w:pStyle w:val="SCCAppellantInfoSectionTitle"/>
              <w:rPr>
                <w:rFonts w:cs="Times New Roman"/>
                <w:sz w:val="20"/>
                <w:szCs w:val="20"/>
              </w:rPr>
            </w:pPr>
            <w:r w:rsidRPr="00D22292">
              <w:rPr>
                <w:rFonts w:cs="Times New Roman"/>
                <w:sz w:val="20"/>
                <w:szCs w:val="20"/>
              </w:rPr>
              <w:t>MOTION FOR RECONSIDERATION</w:t>
            </w:r>
          </w:p>
          <w:p w:rsidR="00254CC1" w:rsidRPr="00D22292" w:rsidRDefault="00254CC1" w:rsidP="00254CC1"/>
        </w:tc>
        <w:tc>
          <w:tcPr>
            <w:tcW w:w="360" w:type="dxa"/>
          </w:tcPr>
          <w:p w:rsidR="00254CC1" w:rsidRPr="00D22292" w:rsidRDefault="00254CC1" w:rsidP="005C43E7">
            <w:pPr>
              <w:rPr>
                <w:rFonts w:cs="Times New Roman"/>
                <w:sz w:val="20"/>
                <w:szCs w:val="20"/>
              </w:rPr>
            </w:pPr>
          </w:p>
        </w:tc>
        <w:tc>
          <w:tcPr>
            <w:tcW w:w="3848" w:type="dxa"/>
          </w:tcPr>
          <w:p w:rsidR="00254CC1" w:rsidRPr="00D22292" w:rsidRDefault="00254CC1" w:rsidP="005C43E7">
            <w:pPr>
              <w:pStyle w:val="SCCAppellantInfoSectionTitle"/>
              <w:rPr>
                <w:rFonts w:cs="Times New Roman"/>
                <w:sz w:val="20"/>
                <w:szCs w:val="20"/>
              </w:rPr>
            </w:pPr>
            <w:r w:rsidRPr="00D22292">
              <w:rPr>
                <w:rFonts w:cs="Times New Roman"/>
                <w:sz w:val="20"/>
                <w:szCs w:val="20"/>
              </w:rPr>
              <w:t>DEMANDE DE RÉEXAMEN</w:t>
            </w:r>
          </w:p>
        </w:tc>
      </w:tr>
      <w:tr w:rsidR="00254CC1" w:rsidRPr="00D22292" w:rsidTr="005C43E7">
        <w:trPr>
          <w:cantSplit/>
        </w:trPr>
        <w:tc>
          <w:tcPr>
            <w:tcW w:w="508" w:type="dxa"/>
          </w:tcPr>
          <w:p w:rsidR="00254CC1" w:rsidRPr="00D22292" w:rsidRDefault="00254CC1" w:rsidP="005C43E7">
            <w:pPr>
              <w:rPr>
                <w:rFonts w:cs="Times New Roman"/>
                <w:sz w:val="20"/>
                <w:szCs w:val="20"/>
                <w:lang w:val="fr-CA"/>
              </w:rPr>
            </w:pPr>
          </w:p>
        </w:tc>
        <w:tc>
          <w:tcPr>
            <w:tcW w:w="810" w:type="dxa"/>
          </w:tcPr>
          <w:p w:rsidR="00254CC1" w:rsidRPr="00D22292" w:rsidRDefault="00254CC1" w:rsidP="005C43E7">
            <w:pPr>
              <w:rPr>
                <w:rFonts w:cs="Times New Roman"/>
                <w:sz w:val="20"/>
                <w:szCs w:val="20"/>
                <w:lang w:val="fr-CA"/>
              </w:rPr>
            </w:pPr>
          </w:p>
        </w:tc>
        <w:tc>
          <w:tcPr>
            <w:tcW w:w="8258" w:type="dxa"/>
            <w:gridSpan w:val="3"/>
          </w:tcPr>
          <w:p w:rsidR="00254CC1" w:rsidRPr="00D22292" w:rsidRDefault="00254CC1" w:rsidP="00254CC1">
            <w:pPr>
              <w:jc w:val="center"/>
              <w:rPr>
                <w:b/>
                <w:bCs/>
                <w:sz w:val="20"/>
                <w:szCs w:val="20"/>
                <w:lang w:val="en-US"/>
              </w:rPr>
            </w:pPr>
            <w:r w:rsidRPr="00D22292">
              <w:rPr>
                <w:b/>
                <w:bCs/>
                <w:sz w:val="20"/>
                <w:szCs w:val="20"/>
              </w:rPr>
              <w:t>CORAM: Moldaver, Côté and Rowe JJ.</w:t>
            </w:r>
          </w:p>
          <w:p w:rsidR="00254CC1" w:rsidRPr="00D22292" w:rsidRDefault="00254CC1" w:rsidP="00254CC1">
            <w:pPr>
              <w:jc w:val="center"/>
              <w:rPr>
                <w:b/>
                <w:bCs/>
                <w:sz w:val="20"/>
                <w:szCs w:val="20"/>
                <w:lang w:val="fr-CA"/>
              </w:rPr>
            </w:pPr>
            <w:r w:rsidRPr="00D22292">
              <w:rPr>
                <w:b/>
                <w:bCs/>
                <w:sz w:val="20"/>
                <w:szCs w:val="20"/>
                <w:lang w:val="fr-CA"/>
              </w:rPr>
              <w:t>Les juges Moldaver, Côté et Rowe</w:t>
            </w:r>
          </w:p>
          <w:p w:rsidR="00254CC1" w:rsidRPr="00D22292" w:rsidRDefault="00254CC1" w:rsidP="005C43E7">
            <w:pPr>
              <w:rPr>
                <w:rFonts w:cs="Times New Roman"/>
                <w:sz w:val="20"/>
                <w:szCs w:val="20"/>
                <w:lang w:val="fr-CA"/>
              </w:rPr>
            </w:pPr>
          </w:p>
        </w:tc>
      </w:tr>
      <w:tr w:rsidR="00254CC1" w:rsidRPr="00D22292" w:rsidTr="005C43E7">
        <w:trPr>
          <w:cantSplit/>
        </w:trPr>
        <w:tc>
          <w:tcPr>
            <w:tcW w:w="508" w:type="dxa"/>
          </w:tcPr>
          <w:p w:rsidR="00254CC1" w:rsidRPr="00D22292" w:rsidRDefault="00254CC1" w:rsidP="005C43E7">
            <w:pPr>
              <w:rPr>
                <w:rFonts w:cs="Times New Roman"/>
                <w:sz w:val="20"/>
                <w:szCs w:val="20"/>
              </w:rPr>
            </w:pPr>
            <w:r w:rsidRPr="00D22292">
              <w:rPr>
                <w:rFonts w:cs="Times New Roman"/>
                <w:sz w:val="20"/>
                <w:szCs w:val="20"/>
              </w:rPr>
              <w:t>7.</w:t>
            </w:r>
          </w:p>
        </w:tc>
        <w:tc>
          <w:tcPr>
            <w:tcW w:w="810" w:type="dxa"/>
          </w:tcPr>
          <w:p w:rsidR="00254CC1" w:rsidRPr="00D22292" w:rsidRDefault="00254CC1" w:rsidP="005C43E7">
            <w:pPr>
              <w:rPr>
                <w:rFonts w:cs="Times New Roman"/>
                <w:sz w:val="20"/>
                <w:szCs w:val="20"/>
              </w:rPr>
            </w:pPr>
            <w:r w:rsidRPr="00D22292">
              <w:rPr>
                <w:rFonts w:cs="Times New Roman"/>
                <w:sz w:val="20"/>
                <w:szCs w:val="20"/>
              </w:rPr>
              <w:t>37444</w:t>
            </w:r>
          </w:p>
        </w:tc>
        <w:tc>
          <w:tcPr>
            <w:tcW w:w="4050" w:type="dxa"/>
          </w:tcPr>
          <w:p w:rsidR="00254CC1" w:rsidRPr="00D22292" w:rsidRDefault="00254CC1" w:rsidP="005C43E7">
            <w:pPr>
              <w:pStyle w:val="SCCAppellantInfoAppellantInfo"/>
              <w:rPr>
                <w:sz w:val="20"/>
                <w:szCs w:val="20"/>
              </w:rPr>
            </w:pPr>
            <w:r w:rsidRPr="00D22292">
              <w:rPr>
                <w:sz w:val="20"/>
                <w:szCs w:val="20"/>
              </w:rPr>
              <w:t>Hassan Hojjatian, et al.</w:t>
            </w:r>
          </w:p>
          <w:p w:rsidR="00254CC1" w:rsidRPr="00D22292" w:rsidRDefault="00254CC1" w:rsidP="005C43E7">
            <w:pPr>
              <w:pStyle w:val="SCCAppellantInfoAppellantInfo"/>
              <w:rPr>
                <w:sz w:val="20"/>
                <w:szCs w:val="20"/>
              </w:rPr>
            </w:pPr>
            <w:r w:rsidRPr="00D22292">
              <w:rPr>
                <w:sz w:val="20"/>
                <w:szCs w:val="20"/>
              </w:rPr>
              <w:t>(Ont.) (Civil) (By Leave)</w:t>
            </w:r>
          </w:p>
        </w:tc>
        <w:tc>
          <w:tcPr>
            <w:tcW w:w="360" w:type="dxa"/>
          </w:tcPr>
          <w:p w:rsidR="00254CC1" w:rsidRPr="00D22292" w:rsidRDefault="00254CC1" w:rsidP="005C43E7">
            <w:pPr>
              <w:rPr>
                <w:rFonts w:cs="Times New Roman"/>
                <w:sz w:val="20"/>
                <w:szCs w:val="20"/>
              </w:rPr>
            </w:pPr>
            <w:r w:rsidRPr="00D22292">
              <w:rPr>
                <w:rFonts w:cs="Times New Roman"/>
                <w:sz w:val="20"/>
                <w:szCs w:val="20"/>
              </w:rPr>
              <w:t>v.</w:t>
            </w:r>
          </w:p>
        </w:tc>
        <w:tc>
          <w:tcPr>
            <w:tcW w:w="3848" w:type="dxa"/>
          </w:tcPr>
          <w:p w:rsidR="00254CC1" w:rsidRPr="00D22292" w:rsidRDefault="00254CC1" w:rsidP="005C43E7">
            <w:pPr>
              <w:pStyle w:val="SCCAppellantInfoAppellantInfo"/>
              <w:rPr>
                <w:sz w:val="20"/>
                <w:szCs w:val="20"/>
              </w:rPr>
            </w:pPr>
            <w:r w:rsidRPr="00D22292">
              <w:rPr>
                <w:sz w:val="20"/>
                <w:szCs w:val="20"/>
              </w:rPr>
              <w:t>Intact Insurance Company and Axa Insurance</w:t>
            </w:r>
          </w:p>
        </w:tc>
      </w:tr>
    </w:tbl>
    <w:p w:rsidR="00DE0C8C" w:rsidRPr="00D22292" w:rsidRDefault="00DE0C8C" w:rsidP="002E2327">
      <w:pPr>
        <w:widowControl w:val="0"/>
        <w:rPr>
          <w:sz w:val="20"/>
          <w:szCs w:val="20"/>
        </w:rPr>
      </w:pPr>
    </w:p>
    <w:p w:rsidR="00762008" w:rsidRPr="00D22292" w:rsidRDefault="00762008" w:rsidP="002E2327">
      <w:pPr>
        <w:widowControl w:val="0"/>
        <w:rPr>
          <w:sz w:val="20"/>
          <w:szCs w:val="20"/>
          <w:lang w:val="en-US"/>
        </w:rPr>
      </w:pPr>
    </w:p>
    <w:p w:rsidR="002E2327" w:rsidRPr="00D22292" w:rsidRDefault="00D22292" w:rsidP="002E2327">
      <w:pPr>
        <w:widowControl w:val="0"/>
        <w:rPr>
          <w:sz w:val="20"/>
          <w:szCs w:val="20"/>
        </w:rPr>
      </w:pPr>
      <w:r w:rsidRPr="00D22292">
        <w:rPr>
          <w:sz w:val="20"/>
          <w:szCs w:val="20"/>
        </w:rPr>
        <w:pict>
          <v:rect id="_x0000_i1031" style="width:2in;height:1pt" o:hrpct="0" o:hralign="center" o:hrstd="t" o:hrnoshade="t" o:hr="t" fillcolor="black [3213]" stroked="f"/>
        </w:pict>
      </w:r>
    </w:p>
    <w:p w:rsidR="00D94028" w:rsidRPr="00D22292" w:rsidRDefault="00D94028" w:rsidP="002E2327">
      <w:pPr>
        <w:widowControl w:val="0"/>
        <w:rPr>
          <w:sz w:val="20"/>
          <w:szCs w:val="20"/>
        </w:rPr>
      </w:pPr>
    </w:p>
    <w:p w:rsidR="00D94028" w:rsidRPr="00D22292" w:rsidRDefault="00D94028" w:rsidP="002E2327">
      <w:pPr>
        <w:widowControl w:val="0"/>
        <w:rPr>
          <w:sz w:val="20"/>
          <w:szCs w:val="20"/>
        </w:rPr>
      </w:pPr>
    </w:p>
    <w:p w:rsidR="00D94028" w:rsidRPr="00D22292" w:rsidRDefault="00D94028" w:rsidP="002E2327">
      <w:pPr>
        <w:widowControl w:val="0"/>
        <w:rPr>
          <w:sz w:val="20"/>
          <w:szCs w:val="20"/>
        </w:rPr>
      </w:pPr>
    </w:p>
    <w:p w:rsidR="0044776A" w:rsidRPr="00D22292" w:rsidRDefault="0044776A" w:rsidP="002E2327">
      <w:pPr>
        <w:widowControl w:val="0"/>
        <w:spacing w:line="0" w:lineRule="atLeast"/>
        <w:rPr>
          <w:sz w:val="20"/>
          <w:szCs w:val="20"/>
        </w:rPr>
        <w:sectPr w:rsidR="0044776A" w:rsidRPr="00D22292"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D22292" w:rsidTr="00ED7E83">
        <w:tc>
          <w:tcPr>
            <w:tcW w:w="4200" w:type="dxa"/>
            <w:tcMar>
              <w:left w:w="0" w:type="dxa"/>
              <w:right w:w="0" w:type="dxa"/>
            </w:tcMar>
          </w:tcPr>
          <w:p w:rsidR="008D292F" w:rsidRPr="00D22292" w:rsidRDefault="008D292F" w:rsidP="00ED7E83">
            <w:pPr>
              <w:keepNext/>
              <w:keepLines/>
              <w:jc w:val="both"/>
              <w:rPr>
                <w:b/>
                <w:szCs w:val="24"/>
              </w:rPr>
            </w:pPr>
            <w:bookmarkStart w:id="1" w:name="QuickMark_1"/>
            <w:bookmarkEnd w:id="1"/>
            <w:r w:rsidRPr="00D22292">
              <w:rPr>
                <w:b/>
                <w:szCs w:val="24"/>
              </w:rPr>
              <w:lastRenderedPageBreak/>
              <w:t>JUDGMENTS ON APPLICATIONS</w:t>
            </w:r>
          </w:p>
          <w:p w:rsidR="008D292F" w:rsidRPr="00D22292" w:rsidRDefault="008D292F" w:rsidP="00ED7E83">
            <w:pPr>
              <w:keepNext/>
              <w:keepLines/>
              <w:jc w:val="both"/>
              <w:rPr>
                <w:b/>
                <w:szCs w:val="24"/>
              </w:rPr>
            </w:pPr>
            <w:r w:rsidRPr="00D22292">
              <w:rPr>
                <w:b/>
                <w:szCs w:val="24"/>
              </w:rPr>
              <w:t>FOR LEAVE</w:t>
            </w:r>
          </w:p>
        </w:tc>
        <w:tc>
          <w:tcPr>
            <w:tcW w:w="1200" w:type="dxa"/>
            <w:tcMar>
              <w:left w:w="0" w:type="dxa"/>
              <w:right w:w="0" w:type="dxa"/>
            </w:tcMar>
          </w:tcPr>
          <w:p w:rsidR="008D292F" w:rsidRPr="00D22292" w:rsidRDefault="008D292F" w:rsidP="008D292F">
            <w:pPr>
              <w:keepNext/>
              <w:keepLines/>
              <w:jc w:val="center"/>
              <w:rPr>
                <w:b/>
                <w:szCs w:val="24"/>
              </w:rPr>
            </w:pPr>
          </w:p>
          <w:p w:rsidR="008D292F" w:rsidRPr="00D22292" w:rsidRDefault="008D292F" w:rsidP="008D292F">
            <w:pPr>
              <w:keepNext/>
              <w:keepLines/>
              <w:jc w:val="center"/>
              <w:rPr>
                <w:b/>
                <w:szCs w:val="24"/>
              </w:rPr>
            </w:pPr>
          </w:p>
          <w:p w:rsidR="008D292F" w:rsidRPr="00D22292" w:rsidRDefault="008D292F" w:rsidP="008D292F">
            <w:pPr>
              <w:keepNext/>
              <w:keepLines/>
              <w:jc w:val="center"/>
              <w:rPr>
                <w:b/>
                <w:szCs w:val="24"/>
              </w:rPr>
            </w:pPr>
          </w:p>
        </w:tc>
        <w:tc>
          <w:tcPr>
            <w:tcW w:w="4080" w:type="dxa"/>
            <w:tcMar>
              <w:left w:w="0" w:type="dxa"/>
              <w:right w:w="0" w:type="dxa"/>
            </w:tcMar>
          </w:tcPr>
          <w:p w:rsidR="008D292F" w:rsidRPr="00D22292" w:rsidRDefault="008D292F" w:rsidP="00ED7E83">
            <w:pPr>
              <w:keepNext/>
              <w:keepLines/>
              <w:jc w:val="both"/>
              <w:rPr>
                <w:b/>
                <w:szCs w:val="24"/>
                <w:lang w:val="fr-CA"/>
              </w:rPr>
            </w:pPr>
            <w:r w:rsidRPr="00D22292">
              <w:rPr>
                <w:b/>
                <w:szCs w:val="24"/>
                <w:lang w:val="fr-CA"/>
              </w:rPr>
              <w:t>JUGEMENTS RENDUS SUR LES DEMANDES D’AUTORISATION</w:t>
            </w:r>
          </w:p>
        </w:tc>
      </w:tr>
    </w:tbl>
    <w:p w:rsidR="008D292F" w:rsidRPr="00D22292" w:rsidRDefault="008D292F" w:rsidP="008D292F">
      <w:pPr>
        <w:rPr>
          <w:sz w:val="20"/>
          <w:szCs w:val="20"/>
          <w:lang w:val="fr-CA"/>
        </w:rPr>
      </w:pPr>
    </w:p>
    <w:p w:rsidR="000E2959" w:rsidRPr="00D22292" w:rsidRDefault="00681F61" w:rsidP="000E2959">
      <w:pPr>
        <w:rPr>
          <w:b/>
          <w:sz w:val="20"/>
          <w:szCs w:val="20"/>
        </w:rPr>
      </w:pPr>
      <w:r w:rsidRPr="00D22292">
        <w:rPr>
          <w:b/>
          <w:sz w:val="20"/>
          <w:szCs w:val="20"/>
        </w:rPr>
        <w:t>J</w:t>
      </w:r>
      <w:r w:rsidR="00EA7175" w:rsidRPr="00D22292">
        <w:rPr>
          <w:b/>
          <w:sz w:val="20"/>
          <w:szCs w:val="20"/>
        </w:rPr>
        <w:t>ULY 6</w:t>
      </w:r>
      <w:r w:rsidR="000E2959" w:rsidRPr="00D22292">
        <w:rPr>
          <w:b/>
          <w:sz w:val="20"/>
          <w:szCs w:val="20"/>
        </w:rPr>
        <w:t xml:space="preserve">, </w:t>
      </w:r>
      <w:r w:rsidR="0030050B" w:rsidRPr="00D22292">
        <w:rPr>
          <w:b/>
          <w:sz w:val="20"/>
          <w:szCs w:val="20"/>
        </w:rPr>
        <w:t>201</w:t>
      </w:r>
      <w:r w:rsidR="00E8544A" w:rsidRPr="00D22292">
        <w:rPr>
          <w:b/>
          <w:sz w:val="20"/>
          <w:szCs w:val="20"/>
        </w:rPr>
        <w:t>7</w:t>
      </w:r>
      <w:r w:rsidR="000E2959" w:rsidRPr="00D22292">
        <w:rPr>
          <w:b/>
          <w:sz w:val="20"/>
          <w:szCs w:val="20"/>
        </w:rPr>
        <w:t xml:space="preserve"> / LE </w:t>
      </w:r>
      <w:r w:rsidR="00EA7175" w:rsidRPr="00D22292">
        <w:rPr>
          <w:b/>
          <w:sz w:val="20"/>
          <w:szCs w:val="20"/>
        </w:rPr>
        <w:t>6</w:t>
      </w:r>
      <w:r w:rsidR="000E2959" w:rsidRPr="00D22292">
        <w:rPr>
          <w:b/>
          <w:sz w:val="20"/>
          <w:szCs w:val="20"/>
        </w:rPr>
        <w:t xml:space="preserve"> </w:t>
      </w:r>
      <w:r w:rsidRPr="00D22292">
        <w:rPr>
          <w:b/>
          <w:sz w:val="20"/>
          <w:szCs w:val="20"/>
        </w:rPr>
        <w:t>J</w:t>
      </w:r>
      <w:r w:rsidR="00EA7175" w:rsidRPr="00D22292">
        <w:rPr>
          <w:b/>
          <w:sz w:val="20"/>
          <w:szCs w:val="20"/>
        </w:rPr>
        <w:t>UILLET</w:t>
      </w:r>
      <w:r w:rsidR="000E2959" w:rsidRPr="00D22292">
        <w:rPr>
          <w:b/>
          <w:sz w:val="20"/>
          <w:szCs w:val="20"/>
        </w:rPr>
        <w:t xml:space="preserve"> </w:t>
      </w:r>
      <w:r w:rsidR="0030050B" w:rsidRPr="00D22292">
        <w:rPr>
          <w:b/>
          <w:sz w:val="20"/>
          <w:szCs w:val="20"/>
        </w:rPr>
        <w:t>201</w:t>
      </w:r>
      <w:r w:rsidR="00E8544A" w:rsidRPr="00D22292">
        <w:rPr>
          <w:b/>
          <w:sz w:val="20"/>
          <w:szCs w:val="20"/>
        </w:rPr>
        <w:t>7</w:t>
      </w:r>
    </w:p>
    <w:p w:rsidR="00755995" w:rsidRPr="00D22292" w:rsidRDefault="00755995" w:rsidP="00755995">
      <w:pPr>
        <w:ind w:left="360" w:hanging="360"/>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755995" w:rsidRPr="00D22292" w:rsidTr="00721473">
        <w:tc>
          <w:tcPr>
            <w:tcW w:w="543" w:type="pct"/>
          </w:tcPr>
          <w:p w:rsidR="00755995" w:rsidRPr="00D22292" w:rsidRDefault="00755995" w:rsidP="00721473">
            <w:pPr>
              <w:jc w:val="both"/>
              <w:rPr>
                <w:sz w:val="20"/>
                <w:szCs w:val="20"/>
              </w:rPr>
            </w:pPr>
            <w:r w:rsidRPr="00D22292">
              <w:rPr>
                <w:rStyle w:val="SCCFileNumberChar"/>
                <w:sz w:val="20"/>
                <w:szCs w:val="20"/>
              </w:rPr>
              <w:t>37515</w:t>
            </w:r>
          </w:p>
        </w:tc>
        <w:tc>
          <w:tcPr>
            <w:tcW w:w="4457" w:type="pct"/>
            <w:gridSpan w:val="3"/>
          </w:tcPr>
          <w:p w:rsidR="00755995" w:rsidRPr="00D22292" w:rsidRDefault="00755995" w:rsidP="00721473">
            <w:pPr>
              <w:pStyle w:val="SCCLsocParty"/>
              <w:jc w:val="both"/>
              <w:rPr>
                <w:b/>
                <w:sz w:val="20"/>
                <w:szCs w:val="20"/>
                <w:lang w:val="en-CA"/>
              </w:rPr>
            </w:pPr>
            <w:r w:rsidRPr="00D22292">
              <w:rPr>
                <w:b/>
                <w:sz w:val="20"/>
                <w:szCs w:val="20"/>
                <w:lang w:val="en-CA"/>
              </w:rPr>
              <w:t>Her Majesty the Queen v. Roland Colangelo</w:t>
            </w:r>
          </w:p>
          <w:p w:rsidR="00755995" w:rsidRPr="00D22292" w:rsidRDefault="00755995" w:rsidP="00721473">
            <w:pPr>
              <w:jc w:val="both"/>
              <w:rPr>
                <w:sz w:val="20"/>
                <w:szCs w:val="20"/>
              </w:rPr>
            </w:pPr>
            <w:r w:rsidRPr="00D22292">
              <w:rPr>
                <w:sz w:val="20"/>
                <w:szCs w:val="20"/>
              </w:rPr>
              <w:t>(Que.) (Criminal) (By Leave)</w:t>
            </w:r>
          </w:p>
        </w:tc>
      </w:tr>
      <w:tr w:rsidR="001A7A81" w:rsidRPr="00D22292" w:rsidTr="00721473">
        <w:tc>
          <w:tcPr>
            <w:tcW w:w="543" w:type="pct"/>
          </w:tcPr>
          <w:p w:rsidR="001A7A81" w:rsidRPr="00D22292" w:rsidRDefault="001A7A81" w:rsidP="001A7A81">
            <w:pPr>
              <w:jc w:val="both"/>
              <w:rPr>
                <w:rStyle w:val="SCCFileNumberChar"/>
                <w:b w:val="0"/>
                <w:sz w:val="20"/>
                <w:szCs w:val="20"/>
              </w:rPr>
            </w:pPr>
            <w:r w:rsidRPr="00D22292">
              <w:rPr>
                <w:rStyle w:val="SCCFileNumberChar"/>
                <w:b w:val="0"/>
                <w:sz w:val="20"/>
                <w:szCs w:val="20"/>
              </w:rPr>
              <w:t xml:space="preserve">Coram: </w:t>
            </w:r>
          </w:p>
        </w:tc>
        <w:tc>
          <w:tcPr>
            <w:tcW w:w="4457" w:type="pct"/>
            <w:gridSpan w:val="3"/>
          </w:tcPr>
          <w:p w:rsidR="001A7A81" w:rsidRPr="00D22292" w:rsidRDefault="00254CC1" w:rsidP="001A7A81">
            <w:pPr>
              <w:rPr>
                <w:rFonts w:eastAsia="Calibri" w:cs="Times New Roman"/>
                <w:sz w:val="20"/>
                <w:szCs w:val="20"/>
                <w:u w:val="single"/>
              </w:rPr>
            </w:pPr>
            <w:r w:rsidRPr="00D22292">
              <w:rPr>
                <w:rFonts w:eastAsia="Calibri" w:cs="Times New Roman"/>
                <w:sz w:val="20"/>
                <w:szCs w:val="20"/>
                <w:u w:val="single"/>
              </w:rPr>
              <w:t>McLachlin C.J. and Abella, Moldaver, Karakatsanis, Wagner, Gascon, Côté, Brown and Rowe JJ.</w:t>
            </w:r>
          </w:p>
          <w:p w:rsidR="00254CC1" w:rsidRPr="00D22292" w:rsidRDefault="00254CC1" w:rsidP="001A7A81"/>
        </w:tc>
      </w:tr>
      <w:tr w:rsidR="001A7A81" w:rsidRPr="00D22292" w:rsidTr="00721473">
        <w:tc>
          <w:tcPr>
            <w:tcW w:w="5000" w:type="pct"/>
            <w:gridSpan w:val="4"/>
          </w:tcPr>
          <w:p w:rsidR="001A7A81" w:rsidRPr="00D22292" w:rsidRDefault="00254CC1" w:rsidP="001A7A81">
            <w:pPr>
              <w:jc w:val="both"/>
              <w:rPr>
                <w:sz w:val="20"/>
                <w:szCs w:val="20"/>
              </w:rPr>
            </w:pPr>
            <w:r w:rsidRPr="00D22292">
              <w:rPr>
                <w:sz w:val="20"/>
                <w:szCs w:val="20"/>
              </w:rPr>
              <w:t>The application for leave to appeal from the judgment of the</w:t>
            </w:r>
            <w:bookmarkStart w:id="2" w:name="BM_1_"/>
            <w:bookmarkEnd w:id="2"/>
            <w:r w:rsidRPr="00D22292">
              <w:rPr>
                <w:sz w:val="20"/>
                <w:szCs w:val="20"/>
              </w:rPr>
              <w:t xml:space="preserve"> Court of Appeal of Quebec (Montréal), Number 500-10-006102-162, 2017 QCCA 195, dated February 6, 2017, is dismissed.</w:t>
            </w:r>
          </w:p>
          <w:p w:rsidR="001A7A81" w:rsidRPr="00D22292" w:rsidRDefault="001A7A81" w:rsidP="001A7A81">
            <w:pPr>
              <w:jc w:val="both"/>
              <w:rPr>
                <w:sz w:val="20"/>
                <w:szCs w:val="20"/>
              </w:rPr>
            </w:pPr>
          </w:p>
        </w:tc>
      </w:tr>
      <w:tr w:rsidR="001A7A81" w:rsidRPr="00D22292" w:rsidTr="00721473">
        <w:tc>
          <w:tcPr>
            <w:tcW w:w="5000" w:type="pct"/>
            <w:gridSpan w:val="4"/>
          </w:tcPr>
          <w:p w:rsidR="001A7A81" w:rsidRPr="00D22292" w:rsidRDefault="001A7A81" w:rsidP="001A7A81">
            <w:pPr>
              <w:jc w:val="both"/>
              <w:rPr>
                <w:sz w:val="20"/>
                <w:szCs w:val="20"/>
              </w:rPr>
            </w:pPr>
            <w:r w:rsidRPr="00D22292">
              <w:rPr>
                <w:sz w:val="20"/>
                <w:szCs w:val="20"/>
              </w:rPr>
              <w:t xml:space="preserve">Criminal law — Sentencing — Lengthening of sentence on appeal — Stay of sentence — Whether appellate courts have power to permanently stay execution of sentence they impose and, if so, what criteria govern imposition of stay — Whether Court of Appeal erred in ignoring principles enunciated in </w:t>
            </w:r>
            <w:r w:rsidRPr="00D22292">
              <w:rPr>
                <w:i/>
                <w:sz w:val="20"/>
                <w:szCs w:val="20"/>
              </w:rPr>
              <w:t>R. v. Lévesque</w:t>
            </w:r>
            <w:r w:rsidRPr="00D22292">
              <w:rPr>
                <w:sz w:val="20"/>
                <w:szCs w:val="20"/>
              </w:rPr>
              <w:t>, 2000 SCC 47, with regard to admissibility of fresh evidence on appeal from sentence.</w:t>
            </w:r>
          </w:p>
        </w:tc>
      </w:tr>
      <w:tr w:rsidR="001A7A81" w:rsidRPr="00D22292" w:rsidTr="00721473">
        <w:tc>
          <w:tcPr>
            <w:tcW w:w="5000" w:type="pct"/>
            <w:gridSpan w:val="4"/>
          </w:tcPr>
          <w:p w:rsidR="001A7A81" w:rsidRPr="00D22292" w:rsidRDefault="001A7A81" w:rsidP="001A7A81">
            <w:pPr>
              <w:jc w:val="both"/>
              <w:rPr>
                <w:sz w:val="20"/>
                <w:szCs w:val="20"/>
              </w:rPr>
            </w:pPr>
          </w:p>
        </w:tc>
      </w:tr>
      <w:tr w:rsidR="001A7A81" w:rsidRPr="00D22292" w:rsidTr="00721473">
        <w:tc>
          <w:tcPr>
            <w:tcW w:w="5000" w:type="pct"/>
            <w:gridSpan w:val="4"/>
          </w:tcPr>
          <w:p w:rsidR="001A7A81" w:rsidRPr="00D22292" w:rsidRDefault="001A7A81" w:rsidP="001A7A81">
            <w:pPr>
              <w:jc w:val="both"/>
              <w:rPr>
                <w:sz w:val="20"/>
                <w:szCs w:val="20"/>
              </w:rPr>
            </w:pPr>
            <w:r w:rsidRPr="00D22292">
              <w:rPr>
                <w:sz w:val="20"/>
                <w:szCs w:val="20"/>
              </w:rPr>
              <w:t>The Crown is challenging a stay of sentence ordered by the Quebec Court of Appeal. On an appeal from a sentencing decision, the Court of Appeal found that the six</w:t>
            </w:r>
            <w:r w:rsidRPr="00D22292">
              <w:rPr>
                <w:sz w:val="20"/>
                <w:szCs w:val="20"/>
              </w:rPr>
              <w:noBreakHyphen/>
              <w:t>month sentence imposed by the trial judge departed significantly from the range applicable to the facts of the case and that the appropriate sentence was two years less a day. However, the Court of Appeal ordered a stay of the sentence because Mr. Colangelo had already served his six</w:t>
            </w:r>
            <w:r w:rsidRPr="00D22292">
              <w:rPr>
                <w:sz w:val="20"/>
                <w:szCs w:val="20"/>
              </w:rPr>
              <w:noBreakHyphen/>
              <w:t>month sentence, had had problems during his imprisonment and was completely rehabilitated.</w:t>
            </w:r>
          </w:p>
          <w:p w:rsidR="001A7A81" w:rsidRPr="00D22292" w:rsidRDefault="001A7A81" w:rsidP="001A7A81">
            <w:pPr>
              <w:jc w:val="both"/>
              <w:rPr>
                <w:sz w:val="20"/>
                <w:szCs w:val="20"/>
              </w:rPr>
            </w:pPr>
          </w:p>
        </w:tc>
      </w:tr>
      <w:tr w:rsidR="001A7A81" w:rsidRPr="00D22292" w:rsidTr="00721473">
        <w:tblPrEx>
          <w:tblCellMar>
            <w:bottom w:w="0" w:type="dxa"/>
          </w:tblCellMar>
        </w:tblPrEx>
        <w:tc>
          <w:tcPr>
            <w:tcW w:w="2390" w:type="pct"/>
            <w:gridSpan w:val="2"/>
          </w:tcPr>
          <w:p w:rsidR="001A7A81" w:rsidRPr="00D22292" w:rsidRDefault="001A7A81" w:rsidP="001A7A81">
            <w:pPr>
              <w:jc w:val="both"/>
              <w:rPr>
                <w:sz w:val="20"/>
                <w:szCs w:val="20"/>
              </w:rPr>
            </w:pPr>
            <w:r w:rsidRPr="00D22292">
              <w:rPr>
                <w:sz w:val="20"/>
                <w:szCs w:val="20"/>
              </w:rPr>
              <w:t>January 28, 2016</w:t>
            </w:r>
          </w:p>
          <w:p w:rsidR="001A7A81" w:rsidRPr="00D22292" w:rsidRDefault="001A7A81" w:rsidP="001A7A81">
            <w:pPr>
              <w:jc w:val="both"/>
              <w:rPr>
                <w:sz w:val="20"/>
                <w:szCs w:val="20"/>
              </w:rPr>
            </w:pPr>
            <w:r w:rsidRPr="00D22292">
              <w:rPr>
                <w:sz w:val="20"/>
                <w:szCs w:val="20"/>
              </w:rPr>
              <w:t>Court of Québec</w:t>
            </w:r>
          </w:p>
          <w:p w:rsidR="001A7A81" w:rsidRPr="00D22292" w:rsidRDefault="001A7A81" w:rsidP="001A7A81">
            <w:pPr>
              <w:jc w:val="both"/>
              <w:rPr>
                <w:sz w:val="20"/>
                <w:szCs w:val="20"/>
              </w:rPr>
            </w:pPr>
            <w:r w:rsidRPr="00D22292">
              <w:rPr>
                <w:sz w:val="20"/>
                <w:szCs w:val="20"/>
              </w:rPr>
              <w:t>(Judge Boyer)</w:t>
            </w:r>
          </w:p>
          <w:p w:rsidR="001A7A81" w:rsidRPr="00D22292" w:rsidRDefault="001A7A81" w:rsidP="001A7A81">
            <w:pPr>
              <w:jc w:val="both"/>
              <w:rPr>
                <w:sz w:val="20"/>
                <w:szCs w:val="20"/>
              </w:rPr>
            </w:pPr>
            <w:r w:rsidRPr="00D22292">
              <w:rPr>
                <w:sz w:val="20"/>
                <w:szCs w:val="20"/>
              </w:rPr>
              <w:t>2016 QCCQ 19480</w:t>
            </w:r>
          </w:p>
          <w:p w:rsidR="001A7A81" w:rsidRPr="00D22292" w:rsidRDefault="001A7A81" w:rsidP="001A7A81">
            <w:pPr>
              <w:jc w:val="both"/>
              <w:rPr>
                <w:sz w:val="20"/>
                <w:szCs w:val="20"/>
              </w:rPr>
            </w:pPr>
          </w:p>
        </w:tc>
        <w:tc>
          <w:tcPr>
            <w:tcW w:w="270" w:type="pct"/>
          </w:tcPr>
          <w:p w:rsidR="001A7A81" w:rsidRPr="00D22292" w:rsidRDefault="001A7A81" w:rsidP="001A7A81">
            <w:pPr>
              <w:jc w:val="both"/>
              <w:rPr>
                <w:sz w:val="20"/>
                <w:szCs w:val="20"/>
              </w:rPr>
            </w:pPr>
          </w:p>
        </w:tc>
        <w:tc>
          <w:tcPr>
            <w:tcW w:w="2340" w:type="pct"/>
          </w:tcPr>
          <w:p w:rsidR="001A7A81" w:rsidRPr="00D22292" w:rsidRDefault="001A7A81" w:rsidP="001A7A81">
            <w:pPr>
              <w:jc w:val="both"/>
              <w:rPr>
                <w:sz w:val="20"/>
                <w:szCs w:val="20"/>
              </w:rPr>
            </w:pPr>
            <w:r w:rsidRPr="00D22292">
              <w:rPr>
                <w:sz w:val="20"/>
                <w:szCs w:val="20"/>
              </w:rPr>
              <w:t>Sentence imposed: six months of imprisonment</w:t>
            </w:r>
          </w:p>
          <w:p w:rsidR="001A7A81" w:rsidRPr="00D22292" w:rsidRDefault="001A7A81" w:rsidP="001A7A81">
            <w:pPr>
              <w:jc w:val="both"/>
              <w:rPr>
                <w:sz w:val="20"/>
                <w:szCs w:val="20"/>
              </w:rPr>
            </w:pPr>
          </w:p>
        </w:tc>
      </w:tr>
      <w:tr w:rsidR="001A7A81" w:rsidRPr="00D22292" w:rsidTr="00721473">
        <w:tblPrEx>
          <w:tblCellMar>
            <w:bottom w:w="0" w:type="dxa"/>
          </w:tblCellMar>
        </w:tblPrEx>
        <w:tc>
          <w:tcPr>
            <w:tcW w:w="2390" w:type="pct"/>
            <w:gridSpan w:val="2"/>
          </w:tcPr>
          <w:p w:rsidR="001A7A81" w:rsidRPr="00D22292" w:rsidRDefault="001A7A81" w:rsidP="001A7A81">
            <w:pPr>
              <w:jc w:val="both"/>
              <w:rPr>
                <w:sz w:val="20"/>
                <w:szCs w:val="20"/>
              </w:rPr>
            </w:pPr>
            <w:r w:rsidRPr="00D22292">
              <w:rPr>
                <w:sz w:val="20"/>
                <w:szCs w:val="20"/>
              </w:rPr>
              <w:t>February 6, 2017</w:t>
            </w:r>
          </w:p>
          <w:p w:rsidR="001A7A81" w:rsidRPr="00D22292" w:rsidRDefault="001A7A81" w:rsidP="001A7A81">
            <w:pPr>
              <w:jc w:val="both"/>
              <w:rPr>
                <w:sz w:val="20"/>
                <w:szCs w:val="20"/>
              </w:rPr>
            </w:pPr>
            <w:r w:rsidRPr="00D22292">
              <w:rPr>
                <w:sz w:val="20"/>
                <w:szCs w:val="20"/>
              </w:rPr>
              <w:t>Quebec Court of Appeal (Montréal)</w:t>
            </w:r>
          </w:p>
          <w:p w:rsidR="001A7A81" w:rsidRPr="00D22292" w:rsidRDefault="001A7A81" w:rsidP="001A7A81">
            <w:pPr>
              <w:jc w:val="both"/>
              <w:rPr>
                <w:sz w:val="20"/>
                <w:szCs w:val="20"/>
                <w:lang w:val="fr-CA"/>
              </w:rPr>
            </w:pPr>
            <w:r w:rsidRPr="00D22292">
              <w:rPr>
                <w:sz w:val="20"/>
                <w:szCs w:val="20"/>
                <w:lang w:val="fr-CA"/>
              </w:rPr>
              <w:t>(Lévesque, Emond and Prévost JJ.A.)</w:t>
            </w:r>
          </w:p>
          <w:p w:rsidR="001A7A81" w:rsidRPr="00D22292" w:rsidRDefault="00D22292" w:rsidP="001A7A81">
            <w:pPr>
              <w:jc w:val="both"/>
              <w:rPr>
                <w:sz w:val="20"/>
                <w:szCs w:val="20"/>
              </w:rPr>
            </w:pPr>
            <w:hyperlink r:id="rId19" w:history="1">
              <w:r w:rsidR="001A7A81" w:rsidRPr="00D22292">
                <w:rPr>
                  <w:rStyle w:val="Hyperlink"/>
                  <w:sz w:val="20"/>
                  <w:szCs w:val="20"/>
                </w:rPr>
                <w:t>2017 QCCA 195</w:t>
              </w:r>
            </w:hyperlink>
          </w:p>
          <w:p w:rsidR="001A7A81" w:rsidRPr="00D22292" w:rsidRDefault="001A7A81" w:rsidP="001A7A81">
            <w:pPr>
              <w:jc w:val="both"/>
              <w:rPr>
                <w:sz w:val="20"/>
                <w:szCs w:val="20"/>
              </w:rPr>
            </w:pPr>
          </w:p>
        </w:tc>
        <w:tc>
          <w:tcPr>
            <w:tcW w:w="270" w:type="pct"/>
          </w:tcPr>
          <w:p w:rsidR="001A7A81" w:rsidRPr="00D22292" w:rsidRDefault="001A7A81" w:rsidP="001A7A81">
            <w:pPr>
              <w:jc w:val="both"/>
              <w:rPr>
                <w:sz w:val="20"/>
                <w:szCs w:val="20"/>
              </w:rPr>
            </w:pPr>
          </w:p>
        </w:tc>
        <w:tc>
          <w:tcPr>
            <w:tcW w:w="2340" w:type="pct"/>
          </w:tcPr>
          <w:p w:rsidR="001A7A81" w:rsidRPr="00D22292" w:rsidRDefault="001A7A81" w:rsidP="001A7A81">
            <w:pPr>
              <w:jc w:val="both"/>
              <w:rPr>
                <w:sz w:val="20"/>
                <w:szCs w:val="20"/>
              </w:rPr>
            </w:pPr>
            <w:r w:rsidRPr="00D22292">
              <w:rPr>
                <w:sz w:val="20"/>
                <w:szCs w:val="20"/>
              </w:rPr>
              <w:t xml:space="preserve">Appeal allowed: stay of sentence ordered </w:t>
            </w:r>
          </w:p>
          <w:p w:rsidR="001A7A81" w:rsidRPr="00D22292" w:rsidRDefault="001A7A81" w:rsidP="001A7A81">
            <w:pPr>
              <w:jc w:val="both"/>
              <w:rPr>
                <w:sz w:val="20"/>
                <w:szCs w:val="20"/>
              </w:rPr>
            </w:pPr>
          </w:p>
        </w:tc>
      </w:tr>
      <w:tr w:rsidR="001A7A81" w:rsidRPr="00D22292" w:rsidTr="00721473">
        <w:tblPrEx>
          <w:tblCellMar>
            <w:bottom w:w="0" w:type="dxa"/>
          </w:tblCellMar>
        </w:tblPrEx>
        <w:tc>
          <w:tcPr>
            <w:tcW w:w="2390" w:type="pct"/>
            <w:gridSpan w:val="2"/>
          </w:tcPr>
          <w:p w:rsidR="001A7A81" w:rsidRPr="00D22292" w:rsidRDefault="001A7A81" w:rsidP="001A7A81">
            <w:pPr>
              <w:jc w:val="both"/>
              <w:rPr>
                <w:sz w:val="20"/>
                <w:szCs w:val="20"/>
              </w:rPr>
            </w:pPr>
            <w:r w:rsidRPr="00D22292">
              <w:rPr>
                <w:sz w:val="20"/>
                <w:szCs w:val="20"/>
              </w:rPr>
              <w:t>April 7, 2017</w:t>
            </w:r>
          </w:p>
          <w:p w:rsidR="001A7A81" w:rsidRPr="00D22292" w:rsidRDefault="001A7A81" w:rsidP="001A7A81">
            <w:pPr>
              <w:jc w:val="both"/>
              <w:rPr>
                <w:sz w:val="20"/>
                <w:szCs w:val="20"/>
              </w:rPr>
            </w:pPr>
            <w:r w:rsidRPr="00D22292">
              <w:rPr>
                <w:sz w:val="20"/>
                <w:szCs w:val="20"/>
              </w:rPr>
              <w:t>Supreme Court of Canada</w:t>
            </w:r>
          </w:p>
        </w:tc>
        <w:tc>
          <w:tcPr>
            <w:tcW w:w="270" w:type="pct"/>
          </w:tcPr>
          <w:p w:rsidR="001A7A81" w:rsidRPr="00D22292" w:rsidRDefault="001A7A81" w:rsidP="001A7A81">
            <w:pPr>
              <w:jc w:val="both"/>
              <w:rPr>
                <w:sz w:val="20"/>
                <w:szCs w:val="20"/>
              </w:rPr>
            </w:pPr>
          </w:p>
        </w:tc>
        <w:tc>
          <w:tcPr>
            <w:tcW w:w="2340" w:type="pct"/>
          </w:tcPr>
          <w:p w:rsidR="001A7A81" w:rsidRPr="00D22292" w:rsidRDefault="001A7A81" w:rsidP="001A7A81">
            <w:pPr>
              <w:jc w:val="both"/>
              <w:rPr>
                <w:sz w:val="20"/>
                <w:szCs w:val="20"/>
              </w:rPr>
            </w:pPr>
            <w:r w:rsidRPr="00D22292">
              <w:rPr>
                <w:sz w:val="20"/>
                <w:szCs w:val="20"/>
              </w:rPr>
              <w:t>Application for leave to appeal filed</w:t>
            </w:r>
          </w:p>
          <w:p w:rsidR="001A7A81" w:rsidRPr="00D22292" w:rsidRDefault="001A7A81" w:rsidP="001A7A81">
            <w:pPr>
              <w:jc w:val="both"/>
              <w:rPr>
                <w:sz w:val="20"/>
                <w:szCs w:val="20"/>
              </w:rPr>
            </w:pPr>
          </w:p>
        </w:tc>
      </w:tr>
    </w:tbl>
    <w:p w:rsidR="00755995" w:rsidRPr="00D22292" w:rsidRDefault="00D22292" w:rsidP="00755995">
      <w:pPr>
        <w:jc w:val="both"/>
        <w:rPr>
          <w:sz w:val="20"/>
        </w:rPr>
      </w:pPr>
      <w:r w:rsidRPr="00D22292">
        <w:rPr>
          <w:sz w:val="20"/>
          <w:szCs w:val="20"/>
        </w:rPr>
        <w:pict>
          <v:rect id="_x0000_i1034" style="width:2in;height:1pt" o:hrpct="0" o:hralign="center" o:hrstd="t" o:hrnoshade="t" o:hr="t" fillcolor="black" stroked="f"/>
        </w:pict>
      </w:r>
    </w:p>
    <w:p w:rsidR="00755995" w:rsidRPr="00D22292" w:rsidRDefault="00755995" w:rsidP="00755995">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755995" w:rsidRPr="00D22292" w:rsidTr="00721473">
        <w:tc>
          <w:tcPr>
            <w:tcW w:w="543" w:type="pct"/>
          </w:tcPr>
          <w:p w:rsidR="00755995" w:rsidRPr="00D22292" w:rsidRDefault="00755995" w:rsidP="00721473">
            <w:pPr>
              <w:jc w:val="both"/>
              <w:rPr>
                <w:sz w:val="20"/>
                <w:szCs w:val="20"/>
              </w:rPr>
            </w:pPr>
            <w:r w:rsidRPr="00D22292">
              <w:rPr>
                <w:rStyle w:val="SCCFileNumberChar"/>
                <w:sz w:val="20"/>
                <w:szCs w:val="20"/>
              </w:rPr>
              <w:t>37515</w:t>
            </w:r>
          </w:p>
        </w:tc>
        <w:tc>
          <w:tcPr>
            <w:tcW w:w="4457" w:type="pct"/>
            <w:gridSpan w:val="3"/>
          </w:tcPr>
          <w:p w:rsidR="00755995" w:rsidRPr="00D22292" w:rsidRDefault="00755995" w:rsidP="00721473">
            <w:pPr>
              <w:pStyle w:val="SCCLsocParty"/>
              <w:jc w:val="both"/>
              <w:rPr>
                <w:b/>
                <w:sz w:val="20"/>
                <w:szCs w:val="20"/>
              </w:rPr>
            </w:pPr>
            <w:r w:rsidRPr="00D22292">
              <w:rPr>
                <w:b/>
                <w:sz w:val="20"/>
                <w:szCs w:val="20"/>
              </w:rPr>
              <w:t>Sa Majesté la Reine c. Roland Colangelo</w:t>
            </w:r>
          </w:p>
          <w:p w:rsidR="00755995" w:rsidRPr="00D22292" w:rsidRDefault="00755995" w:rsidP="00721473">
            <w:pPr>
              <w:jc w:val="both"/>
              <w:rPr>
                <w:sz w:val="20"/>
                <w:szCs w:val="20"/>
              </w:rPr>
            </w:pPr>
            <w:r w:rsidRPr="00D22292">
              <w:rPr>
                <w:sz w:val="20"/>
                <w:szCs w:val="20"/>
              </w:rPr>
              <w:t>(Qc) (Criminelle) (Autorisation)</w:t>
            </w:r>
          </w:p>
        </w:tc>
      </w:tr>
      <w:tr w:rsidR="000E5E13" w:rsidRPr="00D22292" w:rsidTr="00721473">
        <w:tc>
          <w:tcPr>
            <w:tcW w:w="543" w:type="pct"/>
          </w:tcPr>
          <w:p w:rsidR="000E5E13" w:rsidRPr="00D22292" w:rsidRDefault="000E5E13" w:rsidP="000E5E13">
            <w:pPr>
              <w:jc w:val="both"/>
              <w:rPr>
                <w:rStyle w:val="SCCFileNumberChar"/>
                <w:b w:val="0"/>
                <w:sz w:val="20"/>
                <w:szCs w:val="20"/>
              </w:rPr>
            </w:pPr>
            <w:r w:rsidRPr="00D22292">
              <w:rPr>
                <w:rStyle w:val="SCCFileNumberChar"/>
                <w:b w:val="0"/>
                <w:sz w:val="20"/>
                <w:szCs w:val="20"/>
              </w:rPr>
              <w:t xml:space="preserve">Coram: </w:t>
            </w:r>
          </w:p>
        </w:tc>
        <w:tc>
          <w:tcPr>
            <w:tcW w:w="4457" w:type="pct"/>
            <w:gridSpan w:val="3"/>
          </w:tcPr>
          <w:p w:rsidR="000E5E13" w:rsidRPr="00D22292" w:rsidRDefault="00254CC1" w:rsidP="000E5E13">
            <w:pPr>
              <w:rPr>
                <w:lang w:val="fr-CA"/>
              </w:rPr>
            </w:pPr>
            <w:r w:rsidRPr="00D22292">
              <w:rPr>
                <w:sz w:val="20"/>
                <w:szCs w:val="20"/>
                <w:lang w:val="fr-CA"/>
              </w:rPr>
              <w:t>La juge en chef McLachlin et les juges Abella, Moldaver, Karakatsanis, Wagner, Gascon, Côté, Brown et Rowe</w:t>
            </w:r>
            <w:r w:rsidRPr="00D22292">
              <w:rPr>
                <w:lang w:val="fr-CA"/>
              </w:rPr>
              <w:t xml:space="preserve"> </w:t>
            </w:r>
          </w:p>
          <w:p w:rsidR="00254CC1" w:rsidRPr="00D22292" w:rsidRDefault="00254CC1" w:rsidP="000E5E13">
            <w:pPr>
              <w:rPr>
                <w:lang w:val="fr-CA"/>
              </w:rPr>
            </w:pPr>
          </w:p>
        </w:tc>
      </w:tr>
      <w:tr w:rsidR="000E5E13" w:rsidRPr="00D22292" w:rsidTr="00721473">
        <w:tc>
          <w:tcPr>
            <w:tcW w:w="5000" w:type="pct"/>
            <w:gridSpan w:val="4"/>
          </w:tcPr>
          <w:p w:rsidR="000E5E13" w:rsidRPr="00D22292" w:rsidRDefault="00254CC1" w:rsidP="000E5E13">
            <w:pPr>
              <w:jc w:val="both"/>
              <w:rPr>
                <w:sz w:val="20"/>
                <w:szCs w:val="20"/>
                <w:lang w:val="fr-CA"/>
              </w:rPr>
            </w:pPr>
            <w:r w:rsidRPr="00D22292">
              <w:rPr>
                <w:sz w:val="20"/>
                <w:szCs w:val="20"/>
                <w:lang w:val="fr-CA"/>
              </w:rPr>
              <w:t>La demande d’autorisation d’appel de l’arrêt de la Cour d’appel du Québec (Montréal), numéro 500-10-006102-162, 2017 QCCA 195, daté du 6 février 2017, est rejetée.</w:t>
            </w:r>
          </w:p>
          <w:p w:rsidR="00254CC1" w:rsidRPr="00D22292" w:rsidRDefault="00254CC1" w:rsidP="000E5E13">
            <w:pPr>
              <w:jc w:val="both"/>
              <w:rPr>
                <w:sz w:val="20"/>
                <w:szCs w:val="20"/>
                <w:lang w:val="fr-CA"/>
              </w:rPr>
            </w:pPr>
          </w:p>
        </w:tc>
      </w:tr>
      <w:tr w:rsidR="000E5E13" w:rsidRPr="00D22292" w:rsidTr="00721473">
        <w:tc>
          <w:tcPr>
            <w:tcW w:w="5000" w:type="pct"/>
            <w:gridSpan w:val="4"/>
          </w:tcPr>
          <w:p w:rsidR="000E5E13" w:rsidRPr="00D22292" w:rsidRDefault="000E5E13" w:rsidP="000E5E13">
            <w:pPr>
              <w:jc w:val="both"/>
              <w:rPr>
                <w:sz w:val="20"/>
                <w:szCs w:val="20"/>
                <w:lang w:val="fr-CA"/>
              </w:rPr>
            </w:pPr>
            <w:r w:rsidRPr="00D22292">
              <w:rPr>
                <w:sz w:val="20"/>
                <w:szCs w:val="20"/>
                <w:lang w:val="fr-CA"/>
              </w:rPr>
              <w:t xml:space="preserve">Droit criminel — Détermination de la peine — Prolongation de la peine en appel — Suspension de la peine — Les cours d’appel ont-elles le pouvoir de suspendre de façon permanente l’exécution de la peine qu’elles prononcent et, dans l’affirmative, quels sont les critères régissant l’imposition de cette suspension? — La Cour d’appel a-t-elle erré en faisant abstraction des enseignements de l’arrêt </w:t>
            </w:r>
            <w:r w:rsidRPr="00D22292">
              <w:rPr>
                <w:i/>
                <w:sz w:val="20"/>
                <w:szCs w:val="20"/>
                <w:lang w:val="fr-CA"/>
              </w:rPr>
              <w:t>R. c. Lévesque</w:t>
            </w:r>
            <w:r w:rsidRPr="00D22292">
              <w:rPr>
                <w:sz w:val="20"/>
                <w:szCs w:val="20"/>
                <w:lang w:val="fr-CA"/>
              </w:rPr>
              <w:t>, 2000 CSC 47, quant à l’admissibilité d’éléments de preuve nouveaux en appel d’une peine?</w:t>
            </w:r>
          </w:p>
        </w:tc>
      </w:tr>
      <w:tr w:rsidR="000E5E13" w:rsidRPr="00D22292" w:rsidTr="00721473">
        <w:tc>
          <w:tcPr>
            <w:tcW w:w="5000" w:type="pct"/>
            <w:gridSpan w:val="4"/>
          </w:tcPr>
          <w:p w:rsidR="000E5E13" w:rsidRPr="00D22292" w:rsidRDefault="000E5E13" w:rsidP="000E5E13">
            <w:pPr>
              <w:jc w:val="both"/>
              <w:rPr>
                <w:sz w:val="20"/>
                <w:szCs w:val="20"/>
                <w:lang w:val="fr-CA"/>
              </w:rPr>
            </w:pPr>
          </w:p>
        </w:tc>
      </w:tr>
      <w:tr w:rsidR="000E5E13" w:rsidRPr="00D22292" w:rsidTr="00721473">
        <w:tc>
          <w:tcPr>
            <w:tcW w:w="5000" w:type="pct"/>
            <w:gridSpan w:val="4"/>
          </w:tcPr>
          <w:p w:rsidR="000E5E13" w:rsidRPr="00D22292" w:rsidRDefault="000E5E13" w:rsidP="000E5E13">
            <w:pPr>
              <w:jc w:val="both"/>
              <w:rPr>
                <w:sz w:val="20"/>
                <w:szCs w:val="20"/>
                <w:lang w:val="fr-CA"/>
              </w:rPr>
            </w:pPr>
            <w:r w:rsidRPr="00D22292">
              <w:rPr>
                <w:sz w:val="20"/>
                <w:szCs w:val="20"/>
                <w:lang w:val="fr-CA"/>
              </w:rPr>
              <w:lastRenderedPageBreak/>
              <w:t xml:space="preserve">La couronne conteste une suspension de la peine ordonnée par la Cour d’appel du Québec. Alors en appel d’une décision sur sentence, la Cour d’appel constate que la peine de 6 mois ordonnée par le juge de première instance s’écarte nettement de la fourchette s’appliquant aux faits en l’espèce et elle juge que la peine appropriée est de deux ans moins un jour. Toutefois, la Cour d’appel ordonne la suspension de la peine, puisque M. Colangelo a déjà purgé sa peine de 6 mois, </w:t>
            </w:r>
            <w:r w:rsidRPr="00D22292">
              <w:rPr>
                <w:sz w:val="20"/>
                <w:szCs w:val="20"/>
                <w:lang w:val="fr-FR"/>
              </w:rPr>
              <w:t>qu’il a vécu des difficultés lors de son emprisonnement et qu’il est complètement réhabilité.</w:t>
            </w:r>
          </w:p>
          <w:p w:rsidR="000E5E13" w:rsidRPr="00D22292" w:rsidRDefault="000E5E13" w:rsidP="000E5E13">
            <w:pPr>
              <w:jc w:val="both"/>
              <w:rPr>
                <w:sz w:val="20"/>
                <w:szCs w:val="20"/>
                <w:lang w:val="fr-CA"/>
              </w:rPr>
            </w:pPr>
          </w:p>
        </w:tc>
      </w:tr>
      <w:tr w:rsidR="000E5E13" w:rsidRPr="00D22292" w:rsidTr="00721473">
        <w:tblPrEx>
          <w:tblCellMar>
            <w:bottom w:w="0" w:type="dxa"/>
          </w:tblCellMar>
        </w:tblPrEx>
        <w:tc>
          <w:tcPr>
            <w:tcW w:w="2390" w:type="pct"/>
            <w:gridSpan w:val="2"/>
          </w:tcPr>
          <w:p w:rsidR="000E5E13" w:rsidRPr="00D22292" w:rsidRDefault="000E5E13" w:rsidP="000E5E13">
            <w:pPr>
              <w:jc w:val="both"/>
              <w:rPr>
                <w:sz w:val="20"/>
                <w:szCs w:val="20"/>
                <w:lang w:val="fr-CA"/>
              </w:rPr>
            </w:pPr>
            <w:r w:rsidRPr="00D22292">
              <w:rPr>
                <w:sz w:val="20"/>
                <w:szCs w:val="20"/>
                <w:lang w:val="fr-CA"/>
              </w:rPr>
              <w:t>Le 28 janvier 2016</w:t>
            </w:r>
          </w:p>
          <w:p w:rsidR="000E5E13" w:rsidRPr="00D22292" w:rsidRDefault="000E5E13" w:rsidP="000E5E13">
            <w:pPr>
              <w:jc w:val="both"/>
              <w:rPr>
                <w:sz w:val="20"/>
                <w:szCs w:val="20"/>
                <w:lang w:val="fr-CA"/>
              </w:rPr>
            </w:pPr>
            <w:r w:rsidRPr="00D22292">
              <w:rPr>
                <w:sz w:val="20"/>
                <w:szCs w:val="20"/>
                <w:lang w:val="fr-CA"/>
              </w:rPr>
              <w:t>Cour du Québec</w:t>
            </w:r>
          </w:p>
          <w:p w:rsidR="000E5E13" w:rsidRPr="00D22292" w:rsidRDefault="000E5E13" w:rsidP="000E5E13">
            <w:pPr>
              <w:jc w:val="both"/>
              <w:rPr>
                <w:sz w:val="20"/>
                <w:szCs w:val="20"/>
                <w:lang w:val="fr-CA"/>
              </w:rPr>
            </w:pPr>
            <w:r w:rsidRPr="00D22292">
              <w:rPr>
                <w:sz w:val="20"/>
                <w:szCs w:val="20"/>
                <w:lang w:val="fr-CA"/>
              </w:rPr>
              <w:t>(Le juge Boyer)</w:t>
            </w:r>
          </w:p>
          <w:p w:rsidR="000E5E13" w:rsidRPr="00D22292" w:rsidRDefault="000E5E13" w:rsidP="000E5E13">
            <w:pPr>
              <w:jc w:val="both"/>
              <w:rPr>
                <w:sz w:val="20"/>
                <w:szCs w:val="20"/>
              </w:rPr>
            </w:pPr>
            <w:r w:rsidRPr="00D22292">
              <w:rPr>
                <w:sz w:val="20"/>
                <w:szCs w:val="20"/>
              </w:rPr>
              <w:t>2016 QCCQ 19480</w:t>
            </w:r>
          </w:p>
          <w:p w:rsidR="000E5E13" w:rsidRPr="00D22292" w:rsidRDefault="000E5E13" w:rsidP="000E5E13">
            <w:pPr>
              <w:jc w:val="both"/>
              <w:rPr>
                <w:sz w:val="20"/>
                <w:szCs w:val="20"/>
              </w:rPr>
            </w:pPr>
          </w:p>
        </w:tc>
        <w:tc>
          <w:tcPr>
            <w:tcW w:w="270" w:type="pct"/>
          </w:tcPr>
          <w:p w:rsidR="000E5E13" w:rsidRPr="00D22292" w:rsidRDefault="000E5E13" w:rsidP="000E5E13">
            <w:pPr>
              <w:jc w:val="both"/>
              <w:rPr>
                <w:sz w:val="20"/>
                <w:szCs w:val="20"/>
              </w:rPr>
            </w:pPr>
          </w:p>
        </w:tc>
        <w:tc>
          <w:tcPr>
            <w:tcW w:w="2340" w:type="pct"/>
          </w:tcPr>
          <w:p w:rsidR="000E5E13" w:rsidRPr="00D22292" w:rsidRDefault="000E5E13" w:rsidP="000E5E13">
            <w:pPr>
              <w:jc w:val="both"/>
              <w:rPr>
                <w:sz w:val="20"/>
                <w:szCs w:val="20"/>
              </w:rPr>
            </w:pPr>
            <w:r w:rsidRPr="00D22292">
              <w:rPr>
                <w:sz w:val="20"/>
                <w:szCs w:val="20"/>
              </w:rPr>
              <w:t>Peine ordonnée : 6 mois d’emprisonnement</w:t>
            </w:r>
          </w:p>
          <w:p w:rsidR="000E5E13" w:rsidRPr="00D22292" w:rsidRDefault="000E5E13" w:rsidP="000E5E13">
            <w:pPr>
              <w:jc w:val="both"/>
              <w:rPr>
                <w:sz w:val="20"/>
                <w:szCs w:val="20"/>
              </w:rPr>
            </w:pPr>
          </w:p>
        </w:tc>
      </w:tr>
      <w:tr w:rsidR="000E5E13" w:rsidRPr="00D22292" w:rsidTr="00721473">
        <w:tblPrEx>
          <w:tblCellMar>
            <w:bottom w:w="0" w:type="dxa"/>
          </w:tblCellMar>
        </w:tblPrEx>
        <w:tc>
          <w:tcPr>
            <w:tcW w:w="2390" w:type="pct"/>
            <w:gridSpan w:val="2"/>
          </w:tcPr>
          <w:p w:rsidR="000E5E13" w:rsidRPr="00D22292" w:rsidRDefault="000E5E13" w:rsidP="000E5E13">
            <w:pPr>
              <w:jc w:val="both"/>
              <w:rPr>
                <w:sz w:val="20"/>
                <w:szCs w:val="20"/>
                <w:lang w:val="fr-CA"/>
              </w:rPr>
            </w:pPr>
            <w:r w:rsidRPr="00D22292">
              <w:rPr>
                <w:sz w:val="20"/>
                <w:szCs w:val="20"/>
                <w:lang w:val="fr-CA"/>
              </w:rPr>
              <w:t>Le 6 février 2017</w:t>
            </w:r>
          </w:p>
          <w:p w:rsidR="000E5E13" w:rsidRPr="00D22292" w:rsidRDefault="000E5E13" w:rsidP="000E5E13">
            <w:pPr>
              <w:jc w:val="both"/>
              <w:rPr>
                <w:sz w:val="20"/>
                <w:szCs w:val="20"/>
                <w:lang w:val="fr-CA"/>
              </w:rPr>
            </w:pPr>
            <w:r w:rsidRPr="00D22292">
              <w:rPr>
                <w:sz w:val="20"/>
                <w:szCs w:val="20"/>
                <w:lang w:val="fr-CA"/>
              </w:rPr>
              <w:t>Cour d’appel du Québec (Montréal)</w:t>
            </w:r>
          </w:p>
          <w:p w:rsidR="000E5E13" w:rsidRPr="00D22292" w:rsidRDefault="000E5E13" w:rsidP="000E5E13">
            <w:pPr>
              <w:jc w:val="both"/>
              <w:rPr>
                <w:sz w:val="20"/>
                <w:szCs w:val="20"/>
                <w:lang w:val="fr-CA"/>
              </w:rPr>
            </w:pPr>
            <w:r w:rsidRPr="00D22292">
              <w:rPr>
                <w:sz w:val="20"/>
                <w:szCs w:val="20"/>
                <w:lang w:val="fr-CA"/>
              </w:rPr>
              <w:t>(Les juges Lévesque, Emond et Prévost)</w:t>
            </w:r>
          </w:p>
          <w:p w:rsidR="000E5E13" w:rsidRPr="00D22292" w:rsidRDefault="00D22292" w:rsidP="000E5E13">
            <w:pPr>
              <w:jc w:val="both"/>
              <w:rPr>
                <w:sz w:val="20"/>
                <w:szCs w:val="20"/>
                <w:lang w:val="fr-FR"/>
              </w:rPr>
            </w:pPr>
            <w:hyperlink r:id="rId20" w:history="1">
              <w:r w:rsidR="000E5E13" w:rsidRPr="00D22292">
                <w:rPr>
                  <w:rStyle w:val="Hyperlink"/>
                  <w:sz w:val="20"/>
                  <w:szCs w:val="20"/>
                  <w:lang w:val="fr-FR"/>
                </w:rPr>
                <w:t>2017 QCCA 195</w:t>
              </w:r>
            </w:hyperlink>
          </w:p>
          <w:p w:rsidR="000E5E13" w:rsidRPr="00D22292" w:rsidRDefault="000E5E13" w:rsidP="000E5E13">
            <w:pPr>
              <w:jc w:val="both"/>
              <w:rPr>
                <w:sz w:val="20"/>
                <w:szCs w:val="20"/>
              </w:rPr>
            </w:pPr>
          </w:p>
        </w:tc>
        <w:tc>
          <w:tcPr>
            <w:tcW w:w="270" w:type="pct"/>
          </w:tcPr>
          <w:p w:rsidR="000E5E13" w:rsidRPr="00D22292" w:rsidRDefault="000E5E13" w:rsidP="000E5E13">
            <w:pPr>
              <w:jc w:val="both"/>
              <w:rPr>
                <w:sz w:val="20"/>
                <w:szCs w:val="20"/>
              </w:rPr>
            </w:pPr>
          </w:p>
        </w:tc>
        <w:tc>
          <w:tcPr>
            <w:tcW w:w="2340" w:type="pct"/>
          </w:tcPr>
          <w:p w:rsidR="000E5E13" w:rsidRPr="00D22292" w:rsidRDefault="000E5E13" w:rsidP="000E5E13">
            <w:pPr>
              <w:jc w:val="both"/>
              <w:rPr>
                <w:sz w:val="20"/>
                <w:szCs w:val="20"/>
                <w:lang w:val="fr-CA"/>
              </w:rPr>
            </w:pPr>
            <w:r w:rsidRPr="00D22292">
              <w:rPr>
                <w:sz w:val="20"/>
                <w:szCs w:val="20"/>
                <w:lang w:val="fr-CA"/>
              </w:rPr>
              <w:t xml:space="preserve">Appel accueilli; Suspension de la peine ordonnée </w:t>
            </w:r>
          </w:p>
          <w:p w:rsidR="000E5E13" w:rsidRPr="00D22292" w:rsidRDefault="000E5E13" w:rsidP="000E5E13">
            <w:pPr>
              <w:jc w:val="both"/>
              <w:rPr>
                <w:sz w:val="20"/>
                <w:szCs w:val="20"/>
                <w:lang w:val="fr-CA"/>
              </w:rPr>
            </w:pPr>
          </w:p>
        </w:tc>
      </w:tr>
      <w:tr w:rsidR="000E5E13" w:rsidRPr="00D22292" w:rsidTr="00721473">
        <w:tblPrEx>
          <w:tblCellMar>
            <w:bottom w:w="0" w:type="dxa"/>
          </w:tblCellMar>
        </w:tblPrEx>
        <w:tc>
          <w:tcPr>
            <w:tcW w:w="2390" w:type="pct"/>
            <w:gridSpan w:val="2"/>
          </w:tcPr>
          <w:p w:rsidR="000E5E13" w:rsidRPr="00D22292" w:rsidRDefault="000E5E13" w:rsidP="000E5E13">
            <w:pPr>
              <w:jc w:val="both"/>
              <w:rPr>
                <w:sz w:val="20"/>
                <w:szCs w:val="20"/>
                <w:lang w:val="fr-CA"/>
              </w:rPr>
            </w:pPr>
            <w:r w:rsidRPr="00D22292">
              <w:rPr>
                <w:sz w:val="20"/>
                <w:szCs w:val="20"/>
                <w:lang w:val="fr-CA"/>
              </w:rPr>
              <w:t>Le 7 avril 2017</w:t>
            </w:r>
          </w:p>
          <w:p w:rsidR="000E5E13" w:rsidRPr="00D22292" w:rsidRDefault="000E5E13" w:rsidP="000E5E13">
            <w:pPr>
              <w:jc w:val="both"/>
              <w:rPr>
                <w:sz w:val="20"/>
                <w:szCs w:val="20"/>
                <w:lang w:val="fr-CA"/>
              </w:rPr>
            </w:pPr>
            <w:r w:rsidRPr="00D22292">
              <w:rPr>
                <w:sz w:val="20"/>
                <w:szCs w:val="20"/>
                <w:lang w:val="fr-CA"/>
              </w:rPr>
              <w:t>Cour suprême du Canada</w:t>
            </w:r>
          </w:p>
        </w:tc>
        <w:tc>
          <w:tcPr>
            <w:tcW w:w="270" w:type="pct"/>
          </w:tcPr>
          <w:p w:rsidR="000E5E13" w:rsidRPr="00D22292" w:rsidRDefault="000E5E13" w:rsidP="000E5E13">
            <w:pPr>
              <w:jc w:val="both"/>
              <w:rPr>
                <w:sz w:val="20"/>
                <w:szCs w:val="20"/>
                <w:lang w:val="fr-CA"/>
              </w:rPr>
            </w:pPr>
          </w:p>
        </w:tc>
        <w:tc>
          <w:tcPr>
            <w:tcW w:w="2340" w:type="pct"/>
          </w:tcPr>
          <w:p w:rsidR="000E5E13" w:rsidRPr="00D22292" w:rsidRDefault="000E5E13" w:rsidP="000E5E13">
            <w:pPr>
              <w:jc w:val="both"/>
              <w:rPr>
                <w:sz w:val="20"/>
                <w:szCs w:val="20"/>
              </w:rPr>
            </w:pPr>
            <w:r w:rsidRPr="00D22292">
              <w:rPr>
                <w:sz w:val="20"/>
                <w:szCs w:val="20"/>
              </w:rPr>
              <w:t>Demande d’autorisation d’appel déposée</w:t>
            </w:r>
          </w:p>
          <w:p w:rsidR="000E5E13" w:rsidRPr="00D22292" w:rsidRDefault="000E5E13" w:rsidP="000E5E13">
            <w:pPr>
              <w:jc w:val="both"/>
              <w:rPr>
                <w:sz w:val="20"/>
                <w:szCs w:val="20"/>
              </w:rPr>
            </w:pPr>
          </w:p>
        </w:tc>
      </w:tr>
    </w:tbl>
    <w:p w:rsidR="00755995" w:rsidRPr="00D22292" w:rsidRDefault="00D22292" w:rsidP="00755995">
      <w:pPr>
        <w:jc w:val="both"/>
        <w:rPr>
          <w:sz w:val="20"/>
          <w:szCs w:val="20"/>
        </w:rPr>
      </w:pPr>
      <w:r w:rsidRPr="00D22292">
        <w:rPr>
          <w:sz w:val="20"/>
          <w:szCs w:val="20"/>
        </w:rPr>
        <w:pict>
          <v:rect id="_x0000_i1035" style="width:2in;height:1pt" o:hrpct="0" o:hralign="center" o:hrstd="t" o:hrnoshade="t" o:hr="t" fillcolor="black" stroked="f"/>
        </w:pict>
      </w:r>
    </w:p>
    <w:p w:rsidR="00755995" w:rsidRPr="00D22292" w:rsidRDefault="00755995" w:rsidP="00755995">
      <w:pPr>
        <w:ind w:left="360" w:hanging="360"/>
        <w:jc w:val="both"/>
        <w:rPr>
          <w:sz w:val="20"/>
          <w:szCs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755995" w:rsidRPr="00D22292" w:rsidTr="00721473">
        <w:tc>
          <w:tcPr>
            <w:tcW w:w="543" w:type="pct"/>
          </w:tcPr>
          <w:p w:rsidR="00755995" w:rsidRPr="00D22292" w:rsidRDefault="00755995" w:rsidP="00721473">
            <w:pPr>
              <w:jc w:val="both"/>
              <w:rPr>
                <w:sz w:val="20"/>
                <w:szCs w:val="20"/>
              </w:rPr>
            </w:pPr>
            <w:r w:rsidRPr="00D22292">
              <w:rPr>
                <w:rStyle w:val="SCCFileNumberChar"/>
                <w:sz w:val="20"/>
                <w:szCs w:val="20"/>
              </w:rPr>
              <w:t>37521</w:t>
            </w:r>
          </w:p>
        </w:tc>
        <w:tc>
          <w:tcPr>
            <w:tcW w:w="4457" w:type="pct"/>
            <w:gridSpan w:val="3"/>
          </w:tcPr>
          <w:p w:rsidR="00755995" w:rsidRPr="00D22292" w:rsidRDefault="008F309C" w:rsidP="00721473">
            <w:pPr>
              <w:jc w:val="both"/>
              <w:rPr>
                <w:sz w:val="20"/>
                <w:szCs w:val="20"/>
              </w:rPr>
            </w:pPr>
            <w:r w:rsidRPr="00D22292">
              <w:rPr>
                <w:rFonts w:eastAsia="Calibri" w:cs="Times New Roman"/>
                <w:b/>
                <w:sz w:val="20"/>
                <w:szCs w:val="20"/>
                <w:lang w:val="en-US"/>
              </w:rPr>
              <w:t xml:space="preserve">Yana Badamshin v. Option Consommateurs and Louis-Alexandre Leclaire - and - Panasonic Corporation of North America, Panasonic Canada Inc., Panasonic Corporation, Sanyo North America Corporation, Sanyo Electric Co., Ltd., Kemet Corporation, Kemet Electronics Corporation, Elna Co., Ltd., Elna America Inc., Nippon Chemi-Con Corporation, United Chemi-Con Corporation, Taiyo Yuden Co., Ltd., Taiyo Yuden (U.S.A.) Inc., AVX Corporation, TDK Corporation, TDK-EPC Corporation, TDK-EPC Corporation of Canada, TDK U.S.A. Corporation, Rohm Co. Ltd., Rohm Semiconductor U.S.A., LLC, Hitachi Chemical Co., Ltd., Hitachi AIC Incorporated, Hitachi Chemical Company America, Ltd., Nichicon Corporation, Nichicon (America) Corporation, NEC Tokin Corporation, NEC Tokin America Inc., Matsuo Electric Co., Ltd., Matsuo Electronics of America, Inc., Rubycon Corporation, Rubycon America Inc., Vishay Intertechnology, Inc., NEC Corporation, NEC Canada Inc., Samsung Electro-Mechanics and Samsung Electro-Mechanics America, Inc </w:t>
            </w:r>
            <w:r w:rsidR="00755995" w:rsidRPr="00D22292">
              <w:rPr>
                <w:sz w:val="20"/>
                <w:szCs w:val="20"/>
              </w:rPr>
              <w:t>(Que.) (Civil) (By Leave)</w:t>
            </w:r>
          </w:p>
        </w:tc>
      </w:tr>
      <w:tr w:rsidR="00B10409" w:rsidRPr="00D22292" w:rsidTr="00721473">
        <w:tc>
          <w:tcPr>
            <w:tcW w:w="543" w:type="pct"/>
          </w:tcPr>
          <w:p w:rsidR="00B10409" w:rsidRPr="00D22292" w:rsidRDefault="00B10409" w:rsidP="00B10409">
            <w:pPr>
              <w:jc w:val="both"/>
              <w:rPr>
                <w:rStyle w:val="SCCFileNumberChar"/>
                <w:b w:val="0"/>
                <w:sz w:val="20"/>
                <w:szCs w:val="20"/>
              </w:rPr>
            </w:pPr>
            <w:r w:rsidRPr="00D22292">
              <w:rPr>
                <w:rStyle w:val="SCCFileNumberChar"/>
                <w:b w:val="0"/>
                <w:sz w:val="20"/>
                <w:szCs w:val="20"/>
              </w:rPr>
              <w:t xml:space="preserve">Coram: </w:t>
            </w:r>
          </w:p>
        </w:tc>
        <w:tc>
          <w:tcPr>
            <w:tcW w:w="4457" w:type="pct"/>
            <w:gridSpan w:val="3"/>
          </w:tcPr>
          <w:p w:rsidR="00B10409" w:rsidRPr="00D22292" w:rsidRDefault="008F309C" w:rsidP="00B10409">
            <w:pPr>
              <w:rPr>
                <w:sz w:val="20"/>
                <w:szCs w:val="20"/>
                <w:u w:val="single"/>
              </w:rPr>
            </w:pPr>
            <w:r w:rsidRPr="00D22292">
              <w:rPr>
                <w:sz w:val="20"/>
                <w:szCs w:val="20"/>
                <w:u w:val="single"/>
              </w:rPr>
              <w:t>McLachlin C.J. and Abella, Moldaver, Karakatsanis, Wagner, Gascon, Brown and Rowe JJ.</w:t>
            </w:r>
          </w:p>
          <w:p w:rsidR="008F309C" w:rsidRPr="00D22292" w:rsidRDefault="008F309C" w:rsidP="00B10409"/>
        </w:tc>
      </w:tr>
      <w:tr w:rsidR="00B10409" w:rsidRPr="00D22292" w:rsidTr="00721473">
        <w:tc>
          <w:tcPr>
            <w:tcW w:w="5000" w:type="pct"/>
            <w:gridSpan w:val="4"/>
          </w:tcPr>
          <w:p w:rsidR="00B10409" w:rsidRPr="00D22292" w:rsidRDefault="008F309C" w:rsidP="00B10409">
            <w:pPr>
              <w:jc w:val="both"/>
              <w:rPr>
                <w:sz w:val="20"/>
                <w:szCs w:val="20"/>
              </w:rPr>
            </w:pPr>
            <w:r w:rsidRPr="00D22292">
              <w:rPr>
                <w:sz w:val="20"/>
                <w:szCs w:val="20"/>
              </w:rPr>
              <w:t>The application for leave to appeal from the judgment of the Court of Appeal of Quebec (Montréal), Number 500-09-025854-167, 2017 QCCA 95, dated January 27, 2017, is dismissed.</w:t>
            </w:r>
          </w:p>
          <w:p w:rsidR="008F309C" w:rsidRPr="00D22292" w:rsidRDefault="008F309C" w:rsidP="00B10409">
            <w:pPr>
              <w:jc w:val="both"/>
              <w:rPr>
                <w:sz w:val="20"/>
                <w:szCs w:val="20"/>
              </w:rPr>
            </w:pPr>
          </w:p>
        </w:tc>
      </w:tr>
      <w:tr w:rsidR="00B10409" w:rsidRPr="00D22292" w:rsidTr="00721473">
        <w:tc>
          <w:tcPr>
            <w:tcW w:w="5000" w:type="pct"/>
            <w:gridSpan w:val="4"/>
          </w:tcPr>
          <w:p w:rsidR="00B10409" w:rsidRPr="00D22292" w:rsidRDefault="00B10409" w:rsidP="00B10409">
            <w:pPr>
              <w:jc w:val="both"/>
              <w:rPr>
                <w:sz w:val="20"/>
                <w:szCs w:val="20"/>
              </w:rPr>
            </w:pPr>
            <w:r w:rsidRPr="00D22292">
              <w:rPr>
                <w:sz w:val="20"/>
                <w:szCs w:val="20"/>
              </w:rPr>
              <w:t xml:space="preserve">Civil procedure — Class action — Case management — Four parallel class actions filed — Applicant’s class action suspended for </w:t>
            </w:r>
            <w:r w:rsidRPr="00D22292">
              <w:rPr>
                <w:i/>
                <w:sz w:val="20"/>
                <w:szCs w:val="20"/>
              </w:rPr>
              <w:t>lis pendens</w:t>
            </w:r>
            <w:r w:rsidRPr="00D22292">
              <w:rPr>
                <w:sz w:val="20"/>
                <w:szCs w:val="20"/>
              </w:rPr>
              <w:t xml:space="preserve"> — Did the Court of Appeal state an incomplete standard of review and incorrectly apply that standard? — What is the correct level of discretion afforded to the motion judge in the seminal case </w:t>
            </w:r>
            <w:r w:rsidRPr="00D22292">
              <w:rPr>
                <w:i/>
                <w:sz w:val="20"/>
                <w:szCs w:val="20"/>
              </w:rPr>
              <w:t>Schmidt c. Johnson &amp; Johnson Inc.</w:t>
            </w:r>
            <w:r w:rsidRPr="00D22292">
              <w:rPr>
                <w:sz w:val="20"/>
                <w:szCs w:val="20"/>
              </w:rPr>
              <w:t>,</w:t>
            </w:r>
            <w:r w:rsidRPr="00D22292">
              <w:rPr>
                <w:i/>
                <w:sz w:val="20"/>
                <w:szCs w:val="20"/>
              </w:rPr>
              <w:t xml:space="preserve"> </w:t>
            </w:r>
            <w:r w:rsidRPr="00D22292">
              <w:rPr>
                <w:sz w:val="20"/>
                <w:szCs w:val="20"/>
              </w:rPr>
              <w:t xml:space="preserve">2012 QCCA 2132? — Can a Canadian law firm represent a class action plaintiff in more than one province? — How much deference must the motion judge afford to the strategy of the plaintiff and his attorney in controlling the progress of the file?  </w:t>
            </w:r>
          </w:p>
        </w:tc>
      </w:tr>
      <w:tr w:rsidR="00B10409" w:rsidRPr="00D22292" w:rsidTr="00721473">
        <w:tc>
          <w:tcPr>
            <w:tcW w:w="5000" w:type="pct"/>
            <w:gridSpan w:val="4"/>
          </w:tcPr>
          <w:p w:rsidR="00B10409" w:rsidRPr="00D22292" w:rsidRDefault="00B10409" w:rsidP="00B10409">
            <w:pPr>
              <w:jc w:val="both"/>
              <w:rPr>
                <w:sz w:val="20"/>
                <w:szCs w:val="20"/>
              </w:rPr>
            </w:pPr>
          </w:p>
        </w:tc>
      </w:tr>
      <w:tr w:rsidR="00B10409" w:rsidRPr="00D22292" w:rsidTr="00721473">
        <w:tc>
          <w:tcPr>
            <w:tcW w:w="5000" w:type="pct"/>
            <w:gridSpan w:val="4"/>
          </w:tcPr>
          <w:p w:rsidR="00B10409" w:rsidRPr="00D22292" w:rsidRDefault="00B10409" w:rsidP="00B10409">
            <w:pPr>
              <w:jc w:val="both"/>
              <w:rPr>
                <w:sz w:val="20"/>
                <w:szCs w:val="20"/>
              </w:rPr>
            </w:pPr>
            <w:r w:rsidRPr="00D22292">
              <w:rPr>
                <w:sz w:val="20"/>
                <w:szCs w:val="20"/>
              </w:rPr>
              <w:t xml:space="preserve">Four parallel class actions were filed, including the actions of both parties. On motion, the trial judge stayed three of them on the ground of </w:t>
            </w:r>
            <w:r w:rsidRPr="00D22292">
              <w:rPr>
                <w:i/>
                <w:sz w:val="20"/>
                <w:szCs w:val="20"/>
              </w:rPr>
              <w:t>lis pendens</w:t>
            </w:r>
            <w:r w:rsidRPr="00D22292">
              <w:rPr>
                <w:sz w:val="20"/>
                <w:szCs w:val="20"/>
              </w:rPr>
              <w:t xml:space="preserve">. The applicant was the first to file the class action. Therefore, she claimed she should be </w:t>
            </w:r>
            <w:r w:rsidRPr="00D22292">
              <w:rPr>
                <w:sz w:val="20"/>
                <w:szCs w:val="20"/>
                <w:lang w:val="en"/>
              </w:rPr>
              <w:t xml:space="preserve">given priority to proceed first, in accordance with the Quebec </w:t>
            </w:r>
            <w:r w:rsidRPr="00D22292">
              <w:rPr>
                <w:rFonts w:cs="Times New Roman"/>
                <w:sz w:val="20"/>
                <w:szCs w:val="20"/>
                <w:lang w:val="en"/>
              </w:rPr>
              <w:t>“</w:t>
            </w:r>
            <w:r w:rsidRPr="00D22292">
              <w:rPr>
                <w:rStyle w:val="solext0"/>
                <w:sz w:val="20"/>
                <w:szCs w:val="20"/>
                <w:lang w:val="en"/>
              </w:rPr>
              <w:t>First to file</w:t>
            </w:r>
            <w:r w:rsidRPr="00D22292">
              <w:rPr>
                <w:rFonts w:cs="Times New Roman"/>
                <w:sz w:val="20"/>
                <w:szCs w:val="20"/>
                <w:lang w:val="en"/>
              </w:rPr>
              <w:t>”</w:t>
            </w:r>
            <w:r w:rsidRPr="00D22292">
              <w:rPr>
                <w:sz w:val="20"/>
                <w:szCs w:val="20"/>
                <w:lang w:val="en"/>
              </w:rPr>
              <w:t xml:space="preserve"> rule between competing motions to authorize the bringing of a </w:t>
            </w:r>
            <w:r w:rsidRPr="00D22292">
              <w:rPr>
                <w:rStyle w:val="solext2"/>
                <w:sz w:val="20"/>
                <w:szCs w:val="20"/>
                <w:lang w:val="en"/>
              </w:rPr>
              <w:t>class action</w:t>
            </w:r>
            <w:r w:rsidRPr="00D22292">
              <w:rPr>
                <w:sz w:val="20"/>
                <w:szCs w:val="20"/>
                <w:lang w:val="en"/>
              </w:rPr>
              <w:t xml:space="preserve">. The respondent opposed this claim, stating that the applicant’s action is not in the putative class members’ best interests. </w:t>
            </w:r>
          </w:p>
          <w:p w:rsidR="00B10409" w:rsidRPr="00D22292" w:rsidRDefault="00B10409" w:rsidP="00B10409">
            <w:pPr>
              <w:jc w:val="both"/>
              <w:rPr>
                <w:sz w:val="20"/>
                <w:szCs w:val="20"/>
              </w:rPr>
            </w:pPr>
          </w:p>
        </w:tc>
      </w:tr>
      <w:tr w:rsidR="00B10409" w:rsidRPr="00D22292" w:rsidTr="00721473">
        <w:tblPrEx>
          <w:tblCellMar>
            <w:bottom w:w="0" w:type="dxa"/>
          </w:tblCellMar>
        </w:tblPrEx>
        <w:tc>
          <w:tcPr>
            <w:tcW w:w="2390" w:type="pct"/>
            <w:gridSpan w:val="2"/>
          </w:tcPr>
          <w:p w:rsidR="00B10409" w:rsidRPr="00D22292" w:rsidRDefault="00B10409" w:rsidP="00B10409">
            <w:pPr>
              <w:jc w:val="both"/>
              <w:rPr>
                <w:sz w:val="20"/>
                <w:szCs w:val="20"/>
              </w:rPr>
            </w:pPr>
            <w:r w:rsidRPr="00D22292">
              <w:rPr>
                <w:sz w:val="20"/>
                <w:szCs w:val="20"/>
              </w:rPr>
              <w:lastRenderedPageBreak/>
              <w:t>December 22, 2015</w:t>
            </w:r>
          </w:p>
          <w:p w:rsidR="00B10409" w:rsidRPr="00D22292" w:rsidRDefault="00B10409" w:rsidP="00B10409">
            <w:pPr>
              <w:jc w:val="both"/>
              <w:rPr>
                <w:sz w:val="20"/>
                <w:szCs w:val="20"/>
              </w:rPr>
            </w:pPr>
            <w:r w:rsidRPr="00D22292">
              <w:rPr>
                <w:sz w:val="20"/>
                <w:szCs w:val="20"/>
              </w:rPr>
              <w:t>Superior Court of Quebec</w:t>
            </w:r>
          </w:p>
          <w:p w:rsidR="00B10409" w:rsidRPr="00D22292" w:rsidRDefault="00B10409" w:rsidP="00B10409">
            <w:pPr>
              <w:jc w:val="both"/>
              <w:rPr>
                <w:sz w:val="20"/>
                <w:szCs w:val="20"/>
              </w:rPr>
            </w:pPr>
            <w:r w:rsidRPr="00D22292">
              <w:rPr>
                <w:sz w:val="20"/>
                <w:szCs w:val="20"/>
              </w:rPr>
              <w:t>(Déziel J.)</w:t>
            </w:r>
          </w:p>
          <w:p w:rsidR="00B10409" w:rsidRPr="00D22292" w:rsidRDefault="00D22292" w:rsidP="00B10409">
            <w:pPr>
              <w:jc w:val="both"/>
              <w:rPr>
                <w:sz w:val="20"/>
                <w:szCs w:val="20"/>
              </w:rPr>
            </w:pPr>
            <w:hyperlink r:id="rId21" w:history="1">
              <w:r w:rsidR="00B10409" w:rsidRPr="00D22292">
                <w:rPr>
                  <w:rStyle w:val="Hyperlink"/>
                  <w:sz w:val="20"/>
                  <w:szCs w:val="20"/>
                </w:rPr>
                <w:t>2015 QCCS 6554</w:t>
              </w:r>
            </w:hyperlink>
          </w:p>
          <w:p w:rsidR="00B10409" w:rsidRPr="00D22292" w:rsidRDefault="00B10409" w:rsidP="00B10409">
            <w:pPr>
              <w:jc w:val="both"/>
              <w:rPr>
                <w:sz w:val="20"/>
                <w:szCs w:val="20"/>
              </w:rPr>
            </w:pPr>
          </w:p>
        </w:tc>
        <w:tc>
          <w:tcPr>
            <w:tcW w:w="270" w:type="pct"/>
          </w:tcPr>
          <w:p w:rsidR="00B10409" w:rsidRPr="00D22292" w:rsidRDefault="00B10409" w:rsidP="00B10409">
            <w:pPr>
              <w:jc w:val="both"/>
              <w:rPr>
                <w:sz w:val="20"/>
                <w:szCs w:val="20"/>
              </w:rPr>
            </w:pPr>
          </w:p>
        </w:tc>
        <w:tc>
          <w:tcPr>
            <w:tcW w:w="2340" w:type="pct"/>
          </w:tcPr>
          <w:p w:rsidR="00B10409" w:rsidRPr="00D22292" w:rsidRDefault="00B10409" w:rsidP="00B10409">
            <w:pPr>
              <w:jc w:val="both"/>
              <w:rPr>
                <w:sz w:val="20"/>
                <w:szCs w:val="20"/>
              </w:rPr>
            </w:pPr>
            <w:r w:rsidRPr="00D22292">
              <w:rPr>
                <w:sz w:val="20"/>
                <w:szCs w:val="20"/>
              </w:rPr>
              <w:t xml:space="preserve">Applicant’s file suspended; Respondent’s action to proceed </w:t>
            </w:r>
          </w:p>
        </w:tc>
      </w:tr>
      <w:tr w:rsidR="00B10409" w:rsidRPr="00D22292" w:rsidTr="00721473">
        <w:tblPrEx>
          <w:tblCellMar>
            <w:bottom w:w="0" w:type="dxa"/>
          </w:tblCellMar>
        </w:tblPrEx>
        <w:tc>
          <w:tcPr>
            <w:tcW w:w="2390" w:type="pct"/>
            <w:gridSpan w:val="2"/>
          </w:tcPr>
          <w:p w:rsidR="00B10409" w:rsidRPr="00D22292" w:rsidRDefault="00B10409" w:rsidP="00B10409">
            <w:pPr>
              <w:jc w:val="both"/>
              <w:rPr>
                <w:sz w:val="20"/>
                <w:szCs w:val="20"/>
              </w:rPr>
            </w:pPr>
            <w:r w:rsidRPr="00D22292">
              <w:rPr>
                <w:sz w:val="20"/>
                <w:szCs w:val="20"/>
              </w:rPr>
              <w:t>January 27, 2017</w:t>
            </w:r>
          </w:p>
          <w:p w:rsidR="00B10409" w:rsidRPr="00D22292" w:rsidRDefault="00B10409" w:rsidP="00B10409">
            <w:pPr>
              <w:jc w:val="both"/>
              <w:rPr>
                <w:sz w:val="20"/>
                <w:szCs w:val="20"/>
              </w:rPr>
            </w:pPr>
            <w:r w:rsidRPr="00D22292">
              <w:rPr>
                <w:sz w:val="20"/>
                <w:szCs w:val="20"/>
              </w:rPr>
              <w:t>Court of Appeal of Quebec (Montréal)</w:t>
            </w:r>
          </w:p>
          <w:p w:rsidR="00B10409" w:rsidRPr="00D22292" w:rsidRDefault="00B10409" w:rsidP="00B10409">
            <w:pPr>
              <w:jc w:val="both"/>
              <w:rPr>
                <w:sz w:val="20"/>
                <w:szCs w:val="20"/>
                <w:lang w:val="fr-CA"/>
              </w:rPr>
            </w:pPr>
            <w:r w:rsidRPr="00D22292">
              <w:rPr>
                <w:sz w:val="20"/>
                <w:szCs w:val="20"/>
                <w:lang w:val="fr-CA"/>
              </w:rPr>
              <w:t>(Lévesque, Emond et Prévost, JJ.A.)</w:t>
            </w:r>
          </w:p>
          <w:p w:rsidR="00B10409" w:rsidRPr="00D22292" w:rsidRDefault="00D22292" w:rsidP="00B10409">
            <w:pPr>
              <w:jc w:val="both"/>
              <w:rPr>
                <w:sz w:val="20"/>
                <w:szCs w:val="20"/>
                <w:lang w:val="fr-CA"/>
              </w:rPr>
            </w:pPr>
            <w:hyperlink r:id="rId22" w:history="1">
              <w:r w:rsidR="00B10409" w:rsidRPr="00D22292">
                <w:rPr>
                  <w:rStyle w:val="Hyperlink"/>
                  <w:sz w:val="20"/>
                  <w:szCs w:val="20"/>
                  <w:lang w:val="fr-CA"/>
                </w:rPr>
                <w:t>2017 QCCA 95</w:t>
              </w:r>
            </w:hyperlink>
            <w:r w:rsidR="00B10409" w:rsidRPr="00D22292">
              <w:rPr>
                <w:sz w:val="20"/>
                <w:szCs w:val="20"/>
                <w:lang w:val="fr-CA"/>
              </w:rPr>
              <w:t xml:space="preserve"> </w:t>
            </w:r>
          </w:p>
          <w:p w:rsidR="00B10409" w:rsidRPr="00D22292" w:rsidRDefault="00B10409" w:rsidP="00B10409">
            <w:pPr>
              <w:jc w:val="both"/>
              <w:rPr>
                <w:sz w:val="20"/>
                <w:szCs w:val="20"/>
                <w:lang w:val="fr-CA"/>
              </w:rPr>
            </w:pPr>
          </w:p>
        </w:tc>
        <w:tc>
          <w:tcPr>
            <w:tcW w:w="270" w:type="pct"/>
          </w:tcPr>
          <w:p w:rsidR="00B10409" w:rsidRPr="00D22292" w:rsidRDefault="00B10409" w:rsidP="00B10409">
            <w:pPr>
              <w:jc w:val="both"/>
              <w:rPr>
                <w:sz w:val="20"/>
                <w:szCs w:val="20"/>
                <w:lang w:val="fr-CA"/>
              </w:rPr>
            </w:pPr>
          </w:p>
        </w:tc>
        <w:tc>
          <w:tcPr>
            <w:tcW w:w="2340" w:type="pct"/>
          </w:tcPr>
          <w:p w:rsidR="00B10409" w:rsidRPr="00D22292" w:rsidRDefault="00B10409" w:rsidP="00B10409">
            <w:pPr>
              <w:jc w:val="both"/>
              <w:rPr>
                <w:sz w:val="20"/>
                <w:szCs w:val="20"/>
              </w:rPr>
            </w:pPr>
            <w:r w:rsidRPr="00D22292">
              <w:rPr>
                <w:sz w:val="20"/>
                <w:szCs w:val="20"/>
              </w:rPr>
              <w:t xml:space="preserve">Appeal dismissed </w:t>
            </w:r>
          </w:p>
          <w:p w:rsidR="00B10409" w:rsidRPr="00D22292" w:rsidRDefault="00B10409" w:rsidP="00B10409">
            <w:pPr>
              <w:jc w:val="both"/>
              <w:rPr>
                <w:sz w:val="20"/>
                <w:szCs w:val="20"/>
              </w:rPr>
            </w:pPr>
          </w:p>
        </w:tc>
      </w:tr>
      <w:tr w:rsidR="00B10409" w:rsidRPr="00D22292" w:rsidTr="00721473">
        <w:tblPrEx>
          <w:tblCellMar>
            <w:bottom w:w="0" w:type="dxa"/>
          </w:tblCellMar>
        </w:tblPrEx>
        <w:tc>
          <w:tcPr>
            <w:tcW w:w="2390" w:type="pct"/>
            <w:gridSpan w:val="2"/>
          </w:tcPr>
          <w:p w:rsidR="00B10409" w:rsidRPr="00D22292" w:rsidRDefault="00B10409" w:rsidP="00B10409">
            <w:pPr>
              <w:jc w:val="both"/>
              <w:rPr>
                <w:sz w:val="20"/>
                <w:szCs w:val="20"/>
              </w:rPr>
            </w:pPr>
            <w:r w:rsidRPr="00D22292">
              <w:rPr>
                <w:sz w:val="20"/>
                <w:szCs w:val="20"/>
              </w:rPr>
              <w:t>March 28, 2017</w:t>
            </w:r>
          </w:p>
          <w:p w:rsidR="00B10409" w:rsidRPr="00D22292" w:rsidRDefault="00B10409" w:rsidP="00B10409">
            <w:pPr>
              <w:jc w:val="both"/>
              <w:rPr>
                <w:sz w:val="20"/>
                <w:szCs w:val="20"/>
              </w:rPr>
            </w:pPr>
            <w:r w:rsidRPr="00D22292">
              <w:rPr>
                <w:sz w:val="20"/>
                <w:szCs w:val="20"/>
              </w:rPr>
              <w:t>Supreme Court of Canada</w:t>
            </w:r>
          </w:p>
        </w:tc>
        <w:tc>
          <w:tcPr>
            <w:tcW w:w="270" w:type="pct"/>
          </w:tcPr>
          <w:p w:rsidR="00B10409" w:rsidRPr="00D22292" w:rsidRDefault="00B10409" w:rsidP="00B10409">
            <w:pPr>
              <w:jc w:val="both"/>
              <w:rPr>
                <w:sz w:val="20"/>
                <w:szCs w:val="20"/>
              </w:rPr>
            </w:pPr>
          </w:p>
        </w:tc>
        <w:tc>
          <w:tcPr>
            <w:tcW w:w="2340" w:type="pct"/>
          </w:tcPr>
          <w:p w:rsidR="00B10409" w:rsidRPr="00D22292" w:rsidRDefault="00B10409" w:rsidP="00B10409">
            <w:pPr>
              <w:jc w:val="both"/>
              <w:rPr>
                <w:sz w:val="20"/>
                <w:szCs w:val="20"/>
              </w:rPr>
            </w:pPr>
            <w:r w:rsidRPr="00D22292">
              <w:rPr>
                <w:sz w:val="20"/>
                <w:szCs w:val="20"/>
              </w:rPr>
              <w:t>Application for leave to appeal filed</w:t>
            </w:r>
          </w:p>
          <w:p w:rsidR="00B10409" w:rsidRPr="00D22292" w:rsidRDefault="00B10409" w:rsidP="00B10409">
            <w:pPr>
              <w:jc w:val="both"/>
              <w:rPr>
                <w:sz w:val="20"/>
                <w:szCs w:val="20"/>
              </w:rPr>
            </w:pPr>
          </w:p>
        </w:tc>
      </w:tr>
    </w:tbl>
    <w:p w:rsidR="00755995" w:rsidRPr="00D22292" w:rsidRDefault="00D22292" w:rsidP="00755995">
      <w:pPr>
        <w:jc w:val="both"/>
        <w:rPr>
          <w:sz w:val="20"/>
        </w:rPr>
      </w:pPr>
      <w:r w:rsidRPr="00D22292">
        <w:rPr>
          <w:sz w:val="20"/>
          <w:szCs w:val="20"/>
        </w:rPr>
        <w:pict>
          <v:rect id="_x0000_i1036" style="width:2in;height:1pt" o:hrpct="0" o:hralign="center" o:hrstd="t" o:hrnoshade="t" o:hr="t" fillcolor="black" stroked="f"/>
        </w:pict>
      </w:r>
    </w:p>
    <w:p w:rsidR="00755995" w:rsidRPr="00D22292" w:rsidRDefault="00755995" w:rsidP="00755995">
      <w:pPr>
        <w:jc w:val="both"/>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755995" w:rsidRPr="00D22292" w:rsidTr="00721473">
        <w:trPr>
          <w:gridAfter w:val="1"/>
          <w:wAfter w:w="48" w:type="pct"/>
        </w:trPr>
        <w:tc>
          <w:tcPr>
            <w:tcW w:w="538" w:type="pct"/>
          </w:tcPr>
          <w:p w:rsidR="00755995" w:rsidRPr="00D22292" w:rsidRDefault="00755995" w:rsidP="00721473">
            <w:pPr>
              <w:jc w:val="both"/>
              <w:rPr>
                <w:sz w:val="20"/>
                <w:szCs w:val="20"/>
                <w:lang w:val="fr-CA"/>
              </w:rPr>
            </w:pPr>
            <w:r w:rsidRPr="00D22292">
              <w:rPr>
                <w:rStyle w:val="SCCFileNumberChar"/>
                <w:sz w:val="20"/>
                <w:szCs w:val="20"/>
                <w:lang w:val="fr-CA"/>
              </w:rPr>
              <w:t>37521</w:t>
            </w:r>
          </w:p>
        </w:tc>
        <w:tc>
          <w:tcPr>
            <w:tcW w:w="4414" w:type="pct"/>
            <w:gridSpan w:val="3"/>
          </w:tcPr>
          <w:p w:rsidR="00755995" w:rsidRPr="00D22292" w:rsidRDefault="008F309C" w:rsidP="00721473">
            <w:pPr>
              <w:jc w:val="both"/>
              <w:rPr>
                <w:sz w:val="20"/>
                <w:szCs w:val="20"/>
                <w:lang w:val="fr-CA"/>
              </w:rPr>
            </w:pPr>
            <w:r w:rsidRPr="00D22292">
              <w:rPr>
                <w:rFonts w:eastAsia="Calibri" w:cs="Times New Roman"/>
                <w:b/>
                <w:sz w:val="20"/>
                <w:szCs w:val="20"/>
                <w:lang w:val="en-US"/>
              </w:rPr>
              <w:t xml:space="preserve">Yana Badamshin c. Option Consommateurs et Louis-Alexandre Leclaire - et - Panasonic Corporation of North America, Panasonic Canada Inc., Panasonic Corporation, Sanyo North America Corporation, Sanyo Electric Co., Ltd., Kemet Corporation, Kemet Electronics Corporation, Elna Co., Ltd., Elna America Inc., Nippon Chemi-Con Corporation, United Chemi-Con Corporation, Taiyo Yuden Co., Ltd., Taiyo Yuden (U.S.A.) Inc., AVX Corporation, TDK Corporation, TDK-EPC Corporation, TDK-EPC Corporation of Canada, TDK U.S.A. Corporation, Rohm Co. Ltd., Rohm Semiconductor U.S.A., LLC, Hitachi Chemical Co., Ltd., Hitachi AIC Incorporated, Hitachi Chemical Company America, Ltd., Nichicon Corporation, Nichicon (America) Corporation, NEC Tokin Corporation, NEC Tokin America Inc., Matsuo Electric Co., Ltd., Matsuo Electronics of America, Inc., Rubycon Corporation, Rubycon America Inc., Vishay Intertechnology, Inc., NEC Corporation, NEC Canada Inc., Samsung Electro-Mechanics et Samsung Electro-Mechanics America, Inc. </w:t>
            </w:r>
            <w:r w:rsidR="00755995" w:rsidRPr="00D22292">
              <w:rPr>
                <w:sz w:val="20"/>
                <w:szCs w:val="20"/>
                <w:lang w:val="fr-CA"/>
              </w:rPr>
              <w:t>(Qué.) (Civile) (Sur autorisation)</w:t>
            </w:r>
          </w:p>
        </w:tc>
      </w:tr>
      <w:tr w:rsidR="00F92AD7" w:rsidRPr="00D22292" w:rsidTr="00721473">
        <w:trPr>
          <w:gridAfter w:val="1"/>
          <w:wAfter w:w="48" w:type="pct"/>
        </w:trPr>
        <w:tc>
          <w:tcPr>
            <w:tcW w:w="538" w:type="pct"/>
          </w:tcPr>
          <w:p w:rsidR="00F92AD7" w:rsidRPr="00D22292" w:rsidRDefault="00F92AD7" w:rsidP="00F92AD7">
            <w:pPr>
              <w:jc w:val="both"/>
              <w:rPr>
                <w:rStyle w:val="SCCFileNumberChar"/>
                <w:b w:val="0"/>
                <w:sz w:val="20"/>
                <w:szCs w:val="20"/>
              </w:rPr>
            </w:pPr>
            <w:r w:rsidRPr="00D22292">
              <w:rPr>
                <w:rStyle w:val="SCCFileNumberChar"/>
                <w:b w:val="0"/>
                <w:sz w:val="20"/>
                <w:szCs w:val="20"/>
              </w:rPr>
              <w:t xml:space="preserve">Coram: </w:t>
            </w:r>
          </w:p>
        </w:tc>
        <w:tc>
          <w:tcPr>
            <w:tcW w:w="4414" w:type="pct"/>
            <w:gridSpan w:val="3"/>
          </w:tcPr>
          <w:p w:rsidR="00F92AD7" w:rsidRPr="00D22292" w:rsidRDefault="008F309C" w:rsidP="00F92AD7">
            <w:pPr>
              <w:rPr>
                <w:rFonts w:eastAsia="Calibri" w:cs="Times New Roman"/>
                <w:sz w:val="20"/>
                <w:szCs w:val="20"/>
                <w:u w:val="single"/>
                <w:lang w:val="fr-CA"/>
              </w:rPr>
            </w:pPr>
            <w:r w:rsidRPr="00D22292">
              <w:rPr>
                <w:rFonts w:eastAsia="Calibri" w:cs="Times New Roman"/>
                <w:sz w:val="20"/>
                <w:szCs w:val="20"/>
                <w:u w:val="single"/>
                <w:lang w:val="fr-CA"/>
              </w:rPr>
              <w:t xml:space="preserve">La juge en chef McLachlin et les juges Abella, Moldaver, Karakatsanis, Wagner, Gascon, Brown et Rowe </w:t>
            </w:r>
          </w:p>
          <w:p w:rsidR="008F309C" w:rsidRPr="00D22292" w:rsidRDefault="008F309C" w:rsidP="00F92AD7">
            <w:pPr>
              <w:rPr>
                <w:lang w:val="fr-CA"/>
              </w:rPr>
            </w:pPr>
          </w:p>
        </w:tc>
      </w:tr>
      <w:tr w:rsidR="00F92AD7" w:rsidRPr="00D22292" w:rsidTr="00721473">
        <w:trPr>
          <w:gridAfter w:val="1"/>
          <w:wAfter w:w="48" w:type="pct"/>
        </w:trPr>
        <w:tc>
          <w:tcPr>
            <w:tcW w:w="4952" w:type="pct"/>
            <w:gridSpan w:val="4"/>
          </w:tcPr>
          <w:p w:rsidR="00F92AD7" w:rsidRPr="00D22292" w:rsidRDefault="008F309C" w:rsidP="00F92AD7">
            <w:pPr>
              <w:jc w:val="both"/>
              <w:rPr>
                <w:sz w:val="20"/>
                <w:szCs w:val="20"/>
                <w:lang w:val="fr-CA"/>
              </w:rPr>
            </w:pPr>
            <w:r w:rsidRPr="00D22292">
              <w:rPr>
                <w:sz w:val="20"/>
                <w:szCs w:val="20"/>
                <w:lang w:val="fr-CA"/>
              </w:rPr>
              <w:t xml:space="preserve">La demande d’autorisation d’appel de l’arrêt de la </w:t>
            </w:r>
            <w:r w:rsidRPr="00D22292">
              <w:rPr>
                <w:sz w:val="20"/>
                <w:szCs w:val="20"/>
                <w:lang w:val="fr-FR"/>
              </w:rPr>
              <w:t>Cour d’appel du Québec (Montréal)</w:t>
            </w:r>
            <w:r w:rsidRPr="00D22292">
              <w:rPr>
                <w:sz w:val="20"/>
                <w:szCs w:val="20"/>
                <w:lang w:val="fr-CA"/>
              </w:rPr>
              <w:t xml:space="preserve">, numéro </w:t>
            </w:r>
            <w:r w:rsidRPr="00D22292">
              <w:rPr>
                <w:sz w:val="20"/>
                <w:szCs w:val="20"/>
                <w:lang w:val="fr-FR"/>
              </w:rPr>
              <w:t>500-09-025854-167</w:t>
            </w:r>
            <w:r w:rsidRPr="00D22292">
              <w:rPr>
                <w:sz w:val="20"/>
                <w:szCs w:val="20"/>
                <w:lang w:val="fr-CA"/>
              </w:rPr>
              <w:t xml:space="preserve">, </w:t>
            </w:r>
            <w:r w:rsidRPr="00D22292">
              <w:rPr>
                <w:sz w:val="20"/>
                <w:szCs w:val="20"/>
                <w:lang w:val="fr-FR"/>
              </w:rPr>
              <w:t xml:space="preserve">2017 QCCA 95, </w:t>
            </w:r>
            <w:r w:rsidRPr="00D22292">
              <w:rPr>
                <w:sz w:val="20"/>
                <w:szCs w:val="20"/>
                <w:lang w:val="fr-CA"/>
              </w:rPr>
              <w:t xml:space="preserve">daté du </w:t>
            </w:r>
            <w:r w:rsidRPr="00D22292">
              <w:rPr>
                <w:sz w:val="20"/>
                <w:szCs w:val="20"/>
                <w:lang w:val="fr-FR"/>
              </w:rPr>
              <w:t>27 janvier 2017</w:t>
            </w:r>
            <w:r w:rsidRPr="00D22292">
              <w:rPr>
                <w:sz w:val="20"/>
                <w:szCs w:val="20"/>
                <w:lang w:val="fr-CA"/>
              </w:rPr>
              <w:t>, est rejetée.</w:t>
            </w:r>
          </w:p>
          <w:p w:rsidR="008F309C" w:rsidRPr="00D22292" w:rsidRDefault="008F309C" w:rsidP="00F92AD7">
            <w:pPr>
              <w:jc w:val="both"/>
              <w:rPr>
                <w:sz w:val="20"/>
                <w:szCs w:val="20"/>
                <w:lang w:val="fr-CA"/>
              </w:rPr>
            </w:pPr>
          </w:p>
        </w:tc>
      </w:tr>
      <w:tr w:rsidR="00F92AD7" w:rsidRPr="00D22292" w:rsidTr="00721473">
        <w:trPr>
          <w:gridAfter w:val="1"/>
          <w:wAfter w:w="48" w:type="pct"/>
        </w:trPr>
        <w:tc>
          <w:tcPr>
            <w:tcW w:w="4952" w:type="pct"/>
            <w:gridSpan w:val="4"/>
          </w:tcPr>
          <w:p w:rsidR="00F92AD7" w:rsidRPr="00D22292" w:rsidRDefault="00F92AD7" w:rsidP="00F92AD7">
            <w:pPr>
              <w:jc w:val="both"/>
              <w:rPr>
                <w:sz w:val="20"/>
                <w:szCs w:val="20"/>
                <w:lang w:val="fr-CA"/>
              </w:rPr>
            </w:pPr>
            <w:r w:rsidRPr="00D22292">
              <w:rPr>
                <w:sz w:val="20"/>
                <w:szCs w:val="20"/>
                <w:lang w:val="fr-CA"/>
              </w:rPr>
              <w:t xml:space="preserve">Procédure civile — Action collective — Gestion de l’instance — Quatre actions collectives parallèles ont été déposées — L’action collective de la demanderesse a été suspendue pour cause de litispendance — La Cour d’appel a-t-elle énoncé une norme de contrôle incomplète et a-t-elle mal appliqué cette norme? — Quel est le degré approprié du pouvoir discrétionnaire accordé au juge de première instance dans l’arrêt de principe </w:t>
            </w:r>
            <w:r w:rsidRPr="00D22292">
              <w:rPr>
                <w:i/>
                <w:sz w:val="20"/>
                <w:szCs w:val="20"/>
                <w:lang w:val="fr-CA"/>
              </w:rPr>
              <w:t>Schmidt c. Johnson &amp; Johnson Inc.</w:t>
            </w:r>
            <w:r w:rsidRPr="00D22292">
              <w:rPr>
                <w:sz w:val="20"/>
                <w:szCs w:val="20"/>
                <w:lang w:val="fr-CA"/>
              </w:rPr>
              <w:t>,</w:t>
            </w:r>
            <w:r w:rsidRPr="00D22292">
              <w:rPr>
                <w:i/>
                <w:sz w:val="20"/>
                <w:szCs w:val="20"/>
                <w:lang w:val="fr-CA"/>
              </w:rPr>
              <w:t xml:space="preserve"> </w:t>
            </w:r>
            <w:r w:rsidRPr="00D22292">
              <w:rPr>
                <w:sz w:val="20"/>
                <w:szCs w:val="20"/>
                <w:lang w:val="fr-CA"/>
              </w:rPr>
              <w:t xml:space="preserve">2012 QCCA 2132? — Un cabinet d’avocats canadien peut-il représenter un demandeur dans une action collective dans plus d’une province? — Jusqu’à quel point le juge de première instance doit-il faire preuve de retenue à l’égard de la stratégie du demandeur et de son avocat dans le contrôle de l’évolution du dossier?  </w:t>
            </w:r>
          </w:p>
        </w:tc>
      </w:tr>
      <w:tr w:rsidR="00F92AD7" w:rsidRPr="00D22292" w:rsidTr="00721473">
        <w:trPr>
          <w:gridAfter w:val="1"/>
          <w:wAfter w:w="48" w:type="pct"/>
        </w:trPr>
        <w:tc>
          <w:tcPr>
            <w:tcW w:w="4952" w:type="pct"/>
            <w:gridSpan w:val="4"/>
          </w:tcPr>
          <w:p w:rsidR="00F92AD7" w:rsidRPr="00D22292" w:rsidRDefault="00F92AD7" w:rsidP="00F92AD7">
            <w:pPr>
              <w:jc w:val="both"/>
              <w:rPr>
                <w:sz w:val="20"/>
                <w:szCs w:val="20"/>
                <w:lang w:val="fr-CA"/>
              </w:rPr>
            </w:pPr>
          </w:p>
        </w:tc>
      </w:tr>
      <w:tr w:rsidR="00F92AD7" w:rsidRPr="00D22292" w:rsidTr="00721473">
        <w:trPr>
          <w:gridAfter w:val="1"/>
          <w:wAfter w:w="48" w:type="pct"/>
        </w:trPr>
        <w:tc>
          <w:tcPr>
            <w:tcW w:w="4952" w:type="pct"/>
            <w:gridSpan w:val="4"/>
          </w:tcPr>
          <w:p w:rsidR="00F92AD7" w:rsidRPr="00D22292" w:rsidRDefault="00F92AD7" w:rsidP="00F92AD7">
            <w:pPr>
              <w:jc w:val="both"/>
              <w:rPr>
                <w:sz w:val="20"/>
                <w:szCs w:val="20"/>
                <w:lang w:val="fr-CA"/>
              </w:rPr>
            </w:pPr>
            <w:r w:rsidRPr="00D22292">
              <w:rPr>
                <w:sz w:val="20"/>
                <w:szCs w:val="20"/>
                <w:lang w:val="fr-CA"/>
              </w:rPr>
              <w:t xml:space="preserve">Quatre actions collectives parallèles ont été déposées, y compris les actions des deux parties. Sur requête, le juge de première instance a ordonné la suspension de trois d’entre elles pour cause de litispendance. La demanderesse a été la première à déposer une action collective. Elle a donc plaidé qu’il fallait donner priorité à son action, conformément à la règle québécoise dite du « premier à déposer » entre requêtes concurrentes pour autoriser l’introduction d’une action collective. L’intimée s’est opposée à cette demande, affirmant que l’action de la demanderesse n’était pas dans l’intérêt supérieur des membres putatifs  du groupe. </w:t>
            </w:r>
          </w:p>
          <w:p w:rsidR="00F92AD7" w:rsidRPr="00D22292" w:rsidRDefault="00F92AD7" w:rsidP="00F92AD7">
            <w:pPr>
              <w:jc w:val="both"/>
              <w:rPr>
                <w:sz w:val="20"/>
                <w:szCs w:val="20"/>
                <w:lang w:val="fr-CA"/>
              </w:rPr>
            </w:pPr>
          </w:p>
        </w:tc>
      </w:tr>
      <w:tr w:rsidR="00F92AD7" w:rsidRPr="00D22292" w:rsidTr="00721473">
        <w:tblPrEx>
          <w:tblCellMar>
            <w:bottom w:w="0" w:type="dxa"/>
          </w:tblCellMar>
        </w:tblPrEx>
        <w:tc>
          <w:tcPr>
            <w:tcW w:w="2367" w:type="pct"/>
            <w:gridSpan w:val="2"/>
          </w:tcPr>
          <w:p w:rsidR="00F92AD7" w:rsidRPr="00D22292" w:rsidRDefault="00F92AD7" w:rsidP="00F92AD7">
            <w:pPr>
              <w:jc w:val="both"/>
              <w:rPr>
                <w:sz w:val="20"/>
                <w:szCs w:val="20"/>
                <w:lang w:val="fr-CA"/>
              </w:rPr>
            </w:pPr>
            <w:r w:rsidRPr="00D22292">
              <w:rPr>
                <w:sz w:val="20"/>
                <w:szCs w:val="20"/>
                <w:lang w:val="fr-CA"/>
              </w:rPr>
              <w:t>22 décembre 2015</w:t>
            </w:r>
          </w:p>
          <w:p w:rsidR="00F92AD7" w:rsidRPr="00D22292" w:rsidRDefault="00F92AD7" w:rsidP="00F92AD7">
            <w:pPr>
              <w:jc w:val="both"/>
              <w:rPr>
                <w:sz w:val="20"/>
                <w:szCs w:val="20"/>
                <w:lang w:val="fr-CA"/>
              </w:rPr>
            </w:pPr>
            <w:r w:rsidRPr="00D22292">
              <w:rPr>
                <w:sz w:val="20"/>
                <w:szCs w:val="20"/>
                <w:lang w:val="fr-CA"/>
              </w:rPr>
              <w:t>Cour supérieure du Québec</w:t>
            </w:r>
          </w:p>
          <w:p w:rsidR="00F92AD7" w:rsidRPr="00D22292" w:rsidRDefault="00F92AD7" w:rsidP="00F92AD7">
            <w:pPr>
              <w:jc w:val="both"/>
              <w:rPr>
                <w:sz w:val="20"/>
                <w:szCs w:val="20"/>
                <w:lang w:val="fr-CA"/>
              </w:rPr>
            </w:pPr>
            <w:r w:rsidRPr="00D22292">
              <w:rPr>
                <w:sz w:val="20"/>
                <w:szCs w:val="20"/>
                <w:lang w:val="fr-CA"/>
              </w:rPr>
              <w:t>(Juge Déziel)</w:t>
            </w:r>
          </w:p>
          <w:p w:rsidR="00F92AD7" w:rsidRPr="00D22292" w:rsidRDefault="00D22292" w:rsidP="00F92AD7">
            <w:pPr>
              <w:jc w:val="both"/>
              <w:rPr>
                <w:sz w:val="20"/>
                <w:szCs w:val="20"/>
                <w:lang w:val="fr-CA"/>
              </w:rPr>
            </w:pPr>
            <w:hyperlink r:id="rId23" w:history="1">
              <w:r w:rsidR="00F92AD7" w:rsidRPr="00D22292">
                <w:rPr>
                  <w:rStyle w:val="Hyperlink"/>
                  <w:sz w:val="20"/>
                  <w:szCs w:val="20"/>
                  <w:lang w:val="fr-CA"/>
                </w:rPr>
                <w:t>2015 QCCS 6554</w:t>
              </w:r>
            </w:hyperlink>
          </w:p>
          <w:p w:rsidR="00F92AD7" w:rsidRPr="00D22292" w:rsidRDefault="00F92AD7" w:rsidP="00F92AD7">
            <w:pPr>
              <w:jc w:val="both"/>
              <w:rPr>
                <w:sz w:val="20"/>
                <w:szCs w:val="20"/>
                <w:lang w:val="fr-CA"/>
              </w:rPr>
            </w:pPr>
          </w:p>
        </w:tc>
        <w:tc>
          <w:tcPr>
            <w:tcW w:w="267" w:type="pct"/>
          </w:tcPr>
          <w:p w:rsidR="00F92AD7" w:rsidRPr="00D22292" w:rsidRDefault="00F92AD7" w:rsidP="00F92AD7">
            <w:pPr>
              <w:jc w:val="both"/>
              <w:rPr>
                <w:sz w:val="20"/>
                <w:szCs w:val="20"/>
                <w:lang w:val="fr-CA"/>
              </w:rPr>
            </w:pPr>
          </w:p>
        </w:tc>
        <w:tc>
          <w:tcPr>
            <w:tcW w:w="2366" w:type="pct"/>
            <w:gridSpan w:val="2"/>
          </w:tcPr>
          <w:p w:rsidR="00F92AD7" w:rsidRPr="00D22292" w:rsidRDefault="00F92AD7" w:rsidP="00F92AD7">
            <w:pPr>
              <w:jc w:val="both"/>
              <w:rPr>
                <w:sz w:val="20"/>
                <w:szCs w:val="20"/>
                <w:lang w:val="fr-CA"/>
              </w:rPr>
            </w:pPr>
            <w:r w:rsidRPr="00D22292">
              <w:rPr>
                <w:sz w:val="20"/>
                <w:szCs w:val="20"/>
                <w:lang w:val="fr-CA"/>
              </w:rPr>
              <w:t xml:space="preserve">Jugement ordonnant la suspension du dossier de la demanderesse et autorisant l’action de l’intimée à aller de l’avant </w:t>
            </w:r>
          </w:p>
        </w:tc>
      </w:tr>
      <w:tr w:rsidR="00F92AD7" w:rsidRPr="00D22292" w:rsidTr="00721473">
        <w:tblPrEx>
          <w:tblCellMar>
            <w:bottom w:w="0" w:type="dxa"/>
          </w:tblCellMar>
        </w:tblPrEx>
        <w:tc>
          <w:tcPr>
            <w:tcW w:w="2367" w:type="pct"/>
            <w:gridSpan w:val="2"/>
          </w:tcPr>
          <w:p w:rsidR="008F309C" w:rsidRPr="00D22292" w:rsidRDefault="008F309C" w:rsidP="00F92AD7">
            <w:pPr>
              <w:jc w:val="both"/>
              <w:rPr>
                <w:sz w:val="20"/>
                <w:szCs w:val="20"/>
                <w:lang w:val="fr-CA"/>
              </w:rPr>
            </w:pPr>
          </w:p>
          <w:p w:rsidR="00F92AD7" w:rsidRPr="00D22292" w:rsidRDefault="00F92AD7" w:rsidP="00F92AD7">
            <w:pPr>
              <w:jc w:val="both"/>
              <w:rPr>
                <w:sz w:val="20"/>
                <w:szCs w:val="20"/>
                <w:lang w:val="fr-CA"/>
              </w:rPr>
            </w:pPr>
            <w:r w:rsidRPr="00D22292">
              <w:rPr>
                <w:sz w:val="20"/>
                <w:szCs w:val="20"/>
                <w:lang w:val="fr-CA"/>
              </w:rPr>
              <w:lastRenderedPageBreak/>
              <w:t>27 janvier 2017</w:t>
            </w:r>
          </w:p>
          <w:p w:rsidR="00F92AD7" w:rsidRPr="00D22292" w:rsidRDefault="00F92AD7" w:rsidP="00F92AD7">
            <w:pPr>
              <w:jc w:val="both"/>
              <w:rPr>
                <w:sz w:val="20"/>
                <w:szCs w:val="20"/>
                <w:lang w:val="fr-CA"/>
              </w:rPr>
            </w:pPr>
            <w:r w:rsidRPr="00D22292">
              <w:rPr>
                <w:sz w:val="20"/>
                <w:szCs w:val="20"/>
                <w:lang w:val="fr-CA"/>
              </w:rPr>
              <w:t>Cour d’appel du Québec (Montréal)</w:t>
            </w:r>
          </w:p>
          <w:p w:rsidR="00F92AD7" w:rsidRPr="00D22292" w:rsidRDefault="00F92AD7" w:rsidP="00F92AD7">
            <w:pPr>
              <w:jc w:val="both"/>
              <w:rPr>
                <w:sz w:val="20"/>
                <w:szCs w:val="20"/>
                <w:lang w:val="fr-CA"/>
              </w:rPr>
            </w:pPr>
            <w:r w:rsidRPr="00D22292">
              <w:rPr>
                <w:sz w:val="20"/>
                <w:szCs w:val="20"/>
                <w:lang w:val="fr-CA"/>
              </w:rPr>
              <w:t>(Juges Lévesque, Emond et Prévost)</w:t>
            </w:r>
          </w:p>
          <w:p w:rsidR="00F92AD7" w:rsidRPr="00D22292" w:rsidRDefault="00D22292" w:rsidP="00F92AD7">
            <w:pPr>
              <w:jc w:val="both"/>
              <w:rPr>
                <w:sz w:val="20"/>
                <w:szCs w:val="20"/>
                <w:lang w:val="fr-CA"/>
              </w:rPr>
            </w:pPr>
            <w:hyperlink r:id="rId24" w:history="1">
              <w:r w:rsidR="00F92AD7" w:rsidRPr="00D22292">
                <w:rPr>
                  <w:rStyle w:val="Hyperlink"/>
                  <w:sz w:val="20"/>
                  <w:szCs w:val="20"/>
                  <w:lang w:val="fr-CA"/>
                </w:rPr>
                <w:t>2017 QCCA 95</w:t>
              </w:r>
            </w:hyperlink>
            <w:r w:rsidR="00F92AD7" w:rsidRPr="00D22292">
              <w:rPr>
                <w:sz w:val="20"/>
                <w:szCs w:val="20"/>
                <w:lang w:val="fr-CA"/>
              </w:rPr>
              <w:t xml:space="preserve"> </w:t>
            </w:r>
          </w:p>
          <w:p w:rsidR="00F92AD7" w:rsidRPr="00D22292" w:rsidRDefault="00F92AD7" w:rsidP="00F92AD7">
            <w:pPr>
              <w:jc w:val="both"/>
              <w:rPr>
                <w:sz w:val="20"/>
                <w:szCs w:val="20"/>
                <w:lang w:val="fr-CA"/>
              </w:rPr>
            </w:pPr>
          </w:p>
        </w:tc>
        <w:tc>
          <w:tcPr>
            <w:tcW w:w="267" w:type="pct"/>
          </w:tcPr>
          <w:p w:rsidR="00F92AD7" w:rsidRPr="00D22292" w:rsidRDefault="00F92AD7" w:rsidP="00F92AD7">
            <w:pPr>
              <w:jc w:val="both"/>
              <w:rPr>
                <w:sz w:val="20"/>
                <w:szCs w:val="20"/>
                <w:lang w:val="fr-CA"/>
              </w:rPr>
            </w:pPr>
          </w:p>
        </w:tc>
        <w:tc>
          <w:tcPr>
            <w:tcW w:w="2366" w:type="pct"/>
            <w:gridSpan w:val="2"/>
          </w:tcPr>
          <w:p w:rsidR="008F309C" w:rsidRPr="00D22292" w:rsidRDefault="008F309C" w:rsidP="00F92AD7">
            <w:pPr>
              <w:jc w:val="both"/>
              <w:rPr>
                <w:sz w:val="20"/>
                <w:szCs w:val="20"/>
                <w:lang w:val="fr-CA"/>
              </w:rPr>
            </w:pPr>
          </w:p>
          <w:p w:rsidR="00F92AD7" w:rsidRPr="00D22292" w:rsidRDefault="00F92AD7" w:rsidP="00F92AD7">
            <w:pPr>
              <w:jc w:val="both"/>
              <w:rPr>
                <w:sz w:val="20"/>
                <w:szCs w:val="20"/>
                <w:lang w:val="fr-CA"/>
              </w:rPr>
            </w:pPr>
            <w:r w:rsidRPr="00D22292">
              <w:rPr>
                <w:sz w:val="20"/>
                <w:szCs w:val="20"/>
                <w:lang w:val="fr-CA"/>
              </w:rPr>
              <w:lastRenderedPageBreak/>
              <w:t>Rejet de l’appel</w:t>
            </w:r>
          </w:p>
          <w:p w:rsidR="00F92AD7" w:rsidRPr="00D22292" w:rsidRDefault="00F92AD7" w:rsidP="00F92AD7">
            <w:pPr>
              <w:jc w:val="both"/>
              <w:rPr>
                <w:sz w:val="20"/>
                <w:szCs w:val="20"/>
                <w:lang w:val="fr-CA"/>
              </w:rPr>
            </w:pPr>
          </w:p>
        </w:tc>
      </w:tr>
      <w:tr w:rsidR="00F92AD7" w:rsidRPr="00D22292" w:rsidTr="00721473">
        <w:tblPrEx>
          <w:tblCellMar>
            <w:bottom w:w="0" w:type="dxa"/>
          </w:tblCellMar>
        </w:tblPrEx>
        <w:tc>
          <w:tcPr>
            <w:tcW w:w="2367" w:type="pct"/>
            <w:gridSpan w:val="2"/>
          </w:tcPr>
          <w:p w:rsidR="00F92AD7" w:rsidRPr="00D22292" w:rsidRDefault="00F92AD7" w:rsidP="00F92AD7">
            <w:pPr>
              <w:jc w:val="both"/>
              <w:rPr>
                <w:sz w:val="20"/>
                <w:szCs w:val="20"/>
                <w:lang w:val="fr-CA"/>
              </w:rPr>
            </w:pPr>
            <w:r w:rsidRPr="00D22292">
              <w:rPr>
                <w:sz w:val="20"/>
                <w:szCs w:val="20"/>
                <w:lang w:val="fr-CA"/>
              </w:rPr>
              <w:lastRenderedPageBreak/>
              <w:t>28 mars 2017</w:t>
            </w:r>
          </w:p>
          <w:p w:rsidR="00F92AD7" w:rsidRPr="00D22292" w:rsidRDefault="00F92AD7" w:rsidP="00F92AD7">
            <w:pPr>
              <w:jc w:val="both"/>
              <w:rPr>
                <w:sz w:val="20"/>
                <w:szCs w:val="20"/>
                <w:lang w:val="fr-CA"/>
              </w:rPr>
            </w:pPr>
            <w:r w:rsidRPr="00D22292">
              <w:rPr>
                <w:sz w:val="20"/>
                <w:szCs w:val="20"/>
                <w:lang w:val="fr-CA"/>
              </w:rPr>
              <w:t>Cour suprême du Canada</w:t>
            </w:r>
          </w:p>
        </w:tc>
        <w:tc>
          <w:tcPr>
            <w:tcW w:w="267" w:type="pct"/>
          </w:tcPr>
          <w:p w:rsidR="00F92AD7" w:rsidRPr="00D22292" w:rsidRDefault="00F92AD7" w:rsidP="00F92AD7">
            <w:pPr>
              <w:jc w:val="both"/>
              <w:rPr>
                <w:sz w:val="20"/>
                <w:szCs w:val="20"/>
                <w:lang w:val="fr-CA"/>
              </w:rPr>
            </w:pPr>
          </w:p>
        </w:tc>
        <w:tc>
          <w:tcPr>
            <w:tcW w:w="2366" w:type="pct"/>
            <w:gridSpan w:val="2"/>
          </w:tcPr>
          <w:p w:rsidR="00F92AD7" w:rsidRPr="00D22292" w:rsidRDefault="00F92AD7" w:rsidP="00F92AD7">
            <w:pPr>
              <w:jc w:val="both"/>
              <w:rPr>
                <w:sz w:val="20"/>
                <w:szCs w:val="20"/>
                <w:lang w:val="fr-CA"/>
              </w:rPr>
            </w:pPr>
            <w:r w:rsidRPr="00D22292">
              <w:rPr>
                <w:sz w:val="20"/>
                <w:szCs w:val="20"/>
                <w:lang w:val="fr-CA"/>
              </w:rPr>
              <w:t>Dépôt de la demande d’autorisation d’appel</w:t>
            </w:r>
          </w:p>
          <w:p w:rsidR="00F92AD7" w:rsidRPr="00D22292" w:rsidRDefault="00F92AD7" w:rsidP="00F92AD7">
            <w:pPr>
              <w:jc w:val="both"/>
              <w:rPr>
                <w:sz w:val="20"/>
                <w:szCs w:val="20"/>
                <w:lang w:val="fr-CA"/>
              </w:rPr>
            </w:pPr>
          </w:p>
        </w:tc>
      </w:tr>
    </w:tbl>
    <w:p w:rsidR="00755995" w:rsidRPr="00D22292" w:rsidRDefault="00D22292" w:rsidP="00755995">
      <w:pPr>
        <w:jc w:val="both"/>
        <w:rPr>
          <w:sz w:val="20"/>
          <w:szCs w:val="20"/>
          <w:lang w:val="fr-CA"/>
        </w:rPr>
      </w:pPr>
      <w:r w:rsidRPr="00D22292">
        <w:rPr>
          <w:sz w:val="20"/>
          <w:szCs w:val="20"/>
        </w:rPr>
        <w:pict>
          <v:rect id="_x0000_i1037" style="width:2in;height:1pt" o:hrpct="0" o:hralign="center" o:hrstd="t" o:hrnoshade="t" o:hr="t" fillcolor="black" stroked="f"/>
        </w:pict>
      </w:r>
    </w:p>
    <w:p w:rsidR="00755995" w:rsidRPr="00D22292" w:rsidRDefault="00755995" w:rsidP="00755995">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5995" w:rsidRPr="00D22292" w:rsidTr="00721473">
        <w:tc>
          <w:tcPr>
            <w:tcW w:w="543" w:type="pct"/>
          </w:tcPr>
          <w:p w:rsidR="00755995" w:rsidRPr="00D22292" w:rsidRDefault="00755995" w:rsidP="00721473">
            <w:pPr>
              <w:jc w:val="both"/>
              <w:rPr>
                <w:sz w:val="20"/>
                <w:szCs w:val="20"/>
              </w:rPr>
            </w:pPr>
            <w:r w:rsidRPr="00D22292">
              <w:rPr>
                <w:rStyle w:val="SCCFileNumberChar"/>
                <w:sz w:val="20"/>
                <w:szCs w:val="20"/>
              </w:rPr>
              <w:t>37303</w:t>
            </w:r>
          </w:p>
        </w:tc>
        <w:tc>
          <w:tcPr>
            <w:tcW w:w="4457" w:type="pct"/>
            <w:gridSpan w:val="3"/>
          </w:tcPr>
          <w:p w:rsidR="00755995" w:rsidRPr="00D22292" w:rsidRDefault="00755995" w:rsidP="00721473">
            <w:pPr>
              <w:pStyle w:val="SCCLsocParty"/>
              <w:jc w:val="both"/>
              <w:rPr>
                <w:b/>
                <w:sz w:val="20"/>
                <w:szCs w:val="20"/>
                <w:lang w:val="en-CA"/>
              </w:rPr>
            </w:pPr>
            <w:r w:rsidRPr="00D22292">
              <w:rPr>
                <w:b/>
                <w:sz w:val="20"/>
                <w:szCs w:val="20"/>
                <w:lang w:val="en-CA"/>
              </w:rPr>
              <w:t>Denis Gagnon v. Bell Mobility Inc.</w:t>
            </w:r>
          </w:p>
          <w:p w:rsidR="00755995" w:rsidRPr="00D22292" w:rsidRDefault="00755995" w:rsidP="00721473">
            <w:pPr>
              <w:jc w:val="both"/>
              <w:rPr>
                <w:sz w:val="20"/>
                <w:szCs w:val="20"/>
              </w:rPr>
            </w:pPr>
            <w:r w:rsidRPr="00D22292">
              <w:rPr>
                <w:sz w:val="20"/>
                <w:szCs w:val="20"/>
              </w:rPr>
              <w:t>(Que.) (Civil) (By Leave)</w:t>
            </w:r>
          </w:p>
        </w:tc>
      </w:tr>
      <w:tr w:rsidR="00B10409" w:rsidRPr="00D22292" w:rsidTr="00721473">
        <w:tc>
          <w:tcPr>
            <w:tcW w:w="543" w:type="pct"/>
          </w:tcPr>
          <w:p w:rsidR="00B10409" w:rsidRPr="00D22292" w:rsidRDefault="00B10409" w:rsidP="00B10409">
            <w:pPr>
              <w:jc w:val="both"/>
              <w:rPr>
                <w:rStyle w:val="SCCFileNumberChar"/>
                <w:b w:val="0"/>
                <w:sz w:val="20"/>
                <w:szCs w:val="20"/>
              </w:rPr>
            </w:pPr>
            <w:r w:rsidRPr="00D22292">
              <w:rPr>
                <w:rStyle w:val="SCCFileNumberChar"/>
                <w:b w:val="0"/>
                <w:sz w:val="20"/>
                <w:szCs w:val="20"/>
              </w:rPr>
              <w:t xml:space="preserve">Coram: </w:t>
            </w:r>
          </w:p>
        </w:tc>
        <w:tc>
          <w:tcPr>
            <w:tcW w:w="4457" w:type="pct"/>
            <w:gridSpan w:val="3"/>
          </w:tcPr>
          <w:p w:rsidR="00B10409" w:rsidRPr="00D22292" w:rsidRDefault="008F5017" w:rsidP="00B10409">
            <w:pPr>
              <w:rPr>
                <w:rFonts w:eastAsia="Calibri" w:cs="Times New Roman"/>
                <w:sz w:val="20"/>
                <w:szCs w:val="20"/>
                <w:u w:val="single"/>
              </w:rPr>
            </w:pPr>
            <w:r w:rsidRPr="00D22292">
              <w:rPr>
                <w:rFonts w:eastAsia="Calibri" w:cs="Times New Roman"/>
                <w:sz w:val="20"/>
                <w:szCs w:val="20"/>
                <w:u w:val="single"/>
              </w:rPr>
              <w:t>McLachlin C.J. and Abella, Moldaver, Karakatsanis, Wagner, Gascon, Côté, Brown and Rowe JJ.</w:t>
            </w:r>
          </w:p>
          <w:p w:rsidR="00914665" w:rsidRPr="00D22292" w:rsidRDefault="00914665" w:rsidP="00B10409"/>
        </w:tc>
      </w:tr>
      <w:tr w:rsidR="00B10409" w:rsidRPr="00D22292" w:rsidTr="00721473">
        <w:tc>
          <w:tcPr>
            <w:tcW w:w="5000" w:type="pct"/>
            <w:gridSpan w:val="4"/>
          </w:tcPr>
          <w:p w:rsidR="00B10409" w:rsidRPr="00D22292" w:rsidRDefault="00914665" w:rsidP="00B10409">
            <w:pPr>
              <w:jc w:val="both"/>
              <w:rPr>
                <w:sz w:val="20"/>
                <w:szCs w:val="20"/>
              </w:rPr>
            </w:pPr>
            <w:r w:rsidRPr="00D22292">
              <w:rPr>
                <w:sz w:val="20"/>
                <w:szCs w:val="20"/>
              </w:rPr>
              <w:t xml:space="preserve">The application for leave to appeal from the judgment of the Court of Appeal of Quebec (Montréal), Numbers 500-09-024748-147 and 500-09-024747-149, 2016 QCCA 1496, dated September 20, 2016, is dismissed with costs. </w:t>
            </w:r>
          </w:p>
          <w:p w:rsidR="00914665" w:rsidRPr="00D22292" w:rsidRDefault="00914665" w:rsidP="00B10409">
            <w:pPr>
              <w:jc w:val="both"/>
              <w:rPr>
                <w:sz w:val="20"/>
                <w:szCs w:val="20"/>
              </w:rPr>
            </w:pPr>
          </w:p>
        </w:tc>
      </w:tr>
      <w:tr w:rsidR="00B10409" w:rsidRPr="00D22292" w:rsidTr="00721473">
        <w:tc>
          <w:tcPr>
            <w:tcW w:w="5000" w:type="pct"/>
            <w:gridSpan w:val="4"/>
          </w:tcPr>
          <w:p w:rsidR="00B10409" w:rsidRPr="00D22292" w:rsidRDefault="00B10409" w:rsidP="00B10409">
            <w:pPr>
              <w:jc w:val="both"/>
              <w:rPr>
                <w:sz w:val="20"/>
                <w:szCs w:val="20"/>
              </w:rPr>
            </w:pPr>
            <w:r w:rsidRPr="00D22292">
              <w:rPr>
                <w:sz w:val="20"/>
                <w:szCs w:val="20"/>
              </w:rPr>
              <w:t xml:space="preserve">Contract ‒ Contract for services ‒ Early cancellation fee clause ‒ Abusive clause ‒ Right of unilateral resiliation ‒ Injury suffered by service provider ‒ Whether majority of Court of Appeal erred in law in characterizing entirety of average discount on devices as actual injury suffered by respondent under contract for services of successive performance ‒ Whether Court of Appeal erred in holding that class members had not waived right of unilateral resiliation provided for in art. 2125 C.C.Q. ‒ Whether Court of Appeal erred in reversing trial judge’s conclusion that early cancellation fee clause not abusive ‒ </w:t>
            </w:r>
            <w:r w:rsidRPr="00D22292">
              <w:rPr>
                <w:i/>
                <w:sz w:val="20"/>
                <w:szCs w:val="20"/>
              </w:rPr>
              <w:t>Civil Code of Québec</w:t>
            </w:r>
            <w:r w:rsidRPr="00D22292">
              <w:rPr>
                <w:sz w:val="20"/>
                <w:szCs w:val="20"/>
              </w:rPr>
              <w:t>,</w:t>
            </w:r>
            <w:r w:rsidRPr="00D22292">
              <w:rPr>
                <w:i/>
                <w:sz w:val="20"/>
                <w:szCs w:val="20"/>
              </w:rPr>
              <w:t xml:space="preserve"> </w:t>
            </w:r>
            <w:r w:rsidRPr="00D22292">
              <w:rPr>
                <w:sz w:val="20"/>
                <w:szCs w:val="20"/>
              </w:rPr>
              <w:t>arts. 2125, 2129 and 1437.</w:t>
            </w:r>
          </w:p>
        </w:tc>
      </w:tr>
      <w:tr w:rsidR="00B10409" w:rsidRPr="00D22292" w:rsidTr="00721473">
        <w:tc>
          <w:tcPr>
            <w:tcW w:w="5000" w:type="pct"/>
            <w:gridSpan w:val="4"/>
          </w:tcPr>
          <w:p w:rsidR="00B10409" w:rsidRPr="00D22292" w:rsidRDefault="00B10409" w:rsidP="00B10409">
            <w:pPr>
              <w:jc w:val="both"/>
              <w:rPr>
                <w:sz w:val="20"/>
                <w:szCs w:val="20"/>
              </w:rPr>
            </w:pPr>
          </w:p>
        </w:tc>
      </w:tr>
      <w:tr w:rsidR="00B10409" w:rsidRPr="00D22292" w:rsidTr="00721473">
        <w:tc>
          <w:tcPr>
            <w:tcW w:w="5000" w:type="pct"/>
            <w:gridSpan w:val="4"/>
          </w:tcPr>
          <w:p w:rsidR="00B10409" w:rsidRPr="00D22292" w:rsidRDefault="00B10409" w:rsidP="00B10409">
            <w:pPr>
              <w:jc w:val="both"/>
              <w:rPr>
                <w:sz w:val="20"/>
                <w:szCs w:val="20"/>
              </w:rPr>
            </w:pPr>
            <w:r w:rsidRPr="00D22292">
              <w:rPr>
                <w:sz w:val="20"/>
                <w:szCs w:val="20"/>
              </w:rPr>
              <w:t>The applicant Denis Gagnon instituted a class action against the respondent Bell Mobility Inc., seeking reimbursement of early cancellation fees charged after he cancelled his cellular telephone service contract before the end of the specified term, as well as punitive damages.</w:t>
            </w:r>
          </w:p>
          <w:p w:rsidR="00B10409" w:rsidRPr="00D22292" w:rsidRDefault="00B10409" w:rsidP="00B10409">
            <w:pPr>
              <w:jc w:val="both"/>
              <w:rPr>
                <w:sz w:val="20"/>
                <w:szCs w:val="20"/>
              </w:rPr>
            </w:pPr>
          </w:p>
        </w:tc>
      </w:tr>
      <w:tr w:rsidR="00B10409" w:rsidRPr="00D22292" w:rsidTr="00721473">
        <w:tc>
          <w:tcPr>
            <w:tcW w:w="2427" w:type="pct"/>
            <w:gridSpan w:val="2"/>
          </w:tcPr>
          <w:p w:rsidR="00B10409" w:rsidRPr="00D22292" w:rsidRDefault="00B10409" w:rsidP="00B10409">
            <w:pPr>
              <w:jc w:val="both"/>
              <w:rPr>
                <w:sz w:val="20"/>
                <w:szCs w:val="20"/>
              </w:rPr>
            </w:pPr>
            <w:r w:rsidRPr="00D22292">
              <w:rPr>
                <w:sz w:val="20"/>
                <w:szCs w:val="20"/>
              </w:rPr>
              <w:t>September 3, 2014</w:t>
            </w:r>
          </w:p>
          <w:p w:rsidR="00B10409" w:rsidRPr="00D22292" w:rsidRDefault="00B10409" w:rsidP="00B10409">
            <w:pPr>
              <w:jc w:val="both"/>
              <w:rPr>
                <w:sz w:val="20"/>
                <w:szCs w:val="20"/>
              </w:rPr>
            </w:pPr>
            <w:r w:rsidRPr="00D22292">
              <w:rPr>
                <w:sz w:val="20"/>
                <w:szCs w:val="20"/>
              </w:rPr>
              <w:t>Quebec Superior Court</w:t>
            </w:r>
          </w:p>
          <w:p w:rsidR="00B10409" w:rsidRPr="00D22292" w:rsidRDefault="00B10409" w:rsidP="00B10409">
            <w:pPr>
              <w:jc w:val="both"/>
              <w:rPr>
                <w:sz w:val="20"/>
                <w:szCs w:val="20"/>
              </w:rPr>
            </w:pPr>
            <w:r w:rsidRPr="00D22292">
              <w:rPr>
                <w:sz w:val="20"/>
                <w:szCs w:val="20"/>
              </w:rPr>
              <w:t>(Nantel J.)</w:t>
            </w:r>
          </w:p>
          <w:p w:rsidR="00B10409" w:rsidRPr="00D22292" w:rsidRDefault="00D22292" w:rsidP="00B10409">
            <w:pPr>
              <w:jc w:val="both"/>
              <w:rPr>
                <w:sz w:val="20"/>
                <w:szCs w:val="20"/>
              </w:rPr>
            </w:pPr>
            <w:hyperlink r:id="rId25" w:history="1">
              <w:r w:rsidR="00B10409" w:rsidRPr="00D22292">
                <w:rPr>
                  <w:rStyle w:val="Hyperlink"/>
                  <w:sz w:val="20"/>
                  <w:szCs w:val="20"/>
                </w:rPr>
                <w:t>2014 QCCS 4236</w:t>
              </w:r>
            </w:hyperlink>
          </w:p>
          <w:p w:rsidR="00B10409" w:rsidRPr="00D22292" w:rsidRDefault="00B10409" w:rsidP="00B10409">
            <w:pPr>
              <w:jc w:val="both"/>
              <w:rPr>
                <w:sz w:val="20"/>
                <w:szCs w:val="20"/>
              </w:rPr>
            </w:pPr>
          </w:p>
        </w:tc>
        <w:tc>
          <w:tcPr>
            <w:tcW w:w="243" w:type="pct"/>
          </w:tcPr>
          <w:p w:rsidR="00B10409" w:rsidRPr="00D22292" w:rsidRDefault="00B10409" w:rsidP="00B10409">
            <w:pPr>
              <w:jc w:val="both"/>
              <w:rPr>
                <w:sz w:val="20"/>
                <w:szCs w:val="20"/>
              </w:rPr>
            </w:pPr>
          </w:p>
        </w:tc>
        <w:tc>
          <w:tcPr>
            <w:tcW w:w="2330" w:type="pct"/>
          </w:tcPr>
          <w:p w:rsidR="00B10409" w:rsidRPr="00D22292" w:rsidRDefault="00B10409" w:rsidP="00B10409">
            <w:pPr>
              <w:jc w:val="both"/>
              <w:rPr>
                <w:sz w:val="20"/>
                <w:szCs w:val="20"/>
              </w:rPr>
            </w:pPr>
            <w:r w:rsidRPr="00D22292">
              <w:rPr>
                <w:sz w:val="20"/>
                <w:szCs w:val="20"/>
              </w:rPr>
              <w:t>Class action allowed in part</w:t>
            </w:r>
          </w:p>
          <w:p w:rsidR="00B10409" w:rsidRPr="00D22292" w:rsidRDefault="00B10409" w:rsidP="00B10409">
            <w:pPr>
              <w:jc w:val="both"/>
              <w:rPr>
                <w:sz w:val="20"/>
                <w:szCs w:val="20"/>
              </w:rPr>
            </w:pPr>
          </w:p>
        </w:tc>
      </w:tr>
      <w:tr w:rsidR="00B10409" w:rsidRPr="00D22292" w:rsidTr="00721473">
        <w:tc>
          <w:tcPr>
            <w:tcW w:w="2427" w:type="pct"/>
            <w:gridSpan w:val="2"/>
          </w:tcPr>
          <w:p w:rsidR="00B10409" w:rsidRPr="00D22292" w:rsidRDefault="00B10409" w:rsidP="00B10409">
            <w:pPr>
              <w:jc w:val="both"/>
              <w:rPr>
                <w:sz w:val="20"/>
                <w:szCs w:val="20"/>
              </w:rPr>
            </w:pPr>
            <w:r w:rsidRPr="00D22292">
              <w:rPr>
                <w:sz w:val="20"/>
                <w:szCs w:val="20"/>
              </w:rPr>
              <w:t>November 20, 2016</w:t>
            </w:r>
          </w:p>
          <w:p w:rsidR="00B10409" w:rsidRPr="00D22292" w:rsidRDefault="00B10409" w:rsidP="00B10409">
            <w:pPr>
              <w:jc w:val="both"/>
              <w:rPr>
                <w:sz w:val="20"/>
                <w:szCs w:val="20"/>
              </w:rPr>
            </w:pPr>
            <w:r w:rsidRPr="00D22292">
              <w:rPr>
                <w:sz w:val="20"/>
                <w:szCs w:val="20"/>
              </w:rPr>
              <w:t>Quebec Court of Appeal (Montréal)</w:t>
            </w:r>
          </w:p>
          <w:p w:rsidR="00B10409" w:rsidRPr="00D22292" w:rsidRDefault="00B10409" w:rsidP="00B10409">
            <w:pPr>
              <w:jc w:val="both"/>
              <w:rPr>
                <w:sz w:val="20"/>
                <w:szCs w:val="20"/>
              </w:rPr>
            </w:pPr>
            <w:r w:rsidRPr="00D22292">
              <w:rPr>
                <w:sz w:val="20"/>
                <w:szCs w:val="20"/>
              </w:rPr>
              <w:t>(Vézina, Kasirer and Bélanger JJ.A.)</w:t>
            </w:r>
          </w:p>
          <w:p w:rsidR="00B10409" w:rsidRPr="00D22292" w:rsidRDefault="00D22292" w:rsidP="00B10409">
            <w:pPr>
              <w:jc w:val="both"/>
              <w:rPr>
                <w:sz w:val="20"/>
                <w:szCs w:val="20"/>
              </w:rPr>
            </w:pPr>
            <w:hyperlink r:id="rId26" w:history="1">
              <w:r w:rsidR="00B10409" w:rsidRPr="00D22292">
                <w:rPr>
                  <w:rStyle w:val="Hyperlink"/>
                  <w:sz w:val="20"/>
                  <w:szCs w:val="20"/>
                </w:rPr>
                <w:t>2016 QCCA 1496</w:t>
              </w:r>
            </w:hyperlink>
          </w:p>
          <w:p w:rsidR="00B10409" w:rsidRPr="00D22292" w:rsidRDefault="00B10409" w:rsidP="00B10409">
            <w:pPr>
              <w:jc w:val="both"/>
              <w:rPr>
                <w:sz w:val="20"/>
                <w:szCs w:val="20"/>
              </w:rPr>
            </w:pPr>
          </w:p>
        </w:tc>
        <w:tc>
          <w:tcPr>
            <w:tcW w:w="243" w:type="pct"/>
          </w:tcPr>
          <w:p w:rsidR="00B10409" w:rsidRPr="00D22292" w:rsidRDefault="00B10409" w:rsidP="00B10409">
            <w:pPr>
              <w:jc w:val="both"/>
              <w:rPr>
                <w:sz w:val="20"/>
                <w:szCs w:val="20"/>
              </w:rPr>
            </w:pPr>
          </w:p>
        </w:tc>
        <w:tc>
          <w:tcPr>
            <w:tcW w:w="2330" w:type="pct"/>
          </w:tcPr>
          <w:p w:rsidR="00B10409" w:rsidRPr="00D22292" w:rsidRDefault="00B10409" w:rsidP="00B10409">
            <w:pPr>
              <w:jc w:val="both"/>
              <w:rPr>
                <w:sz w:val="20"/>
                <w:szCs w:val="20"/>
              </w:rPr>
            </w:pPr>
            <w:r w:rsidRPr="00D22292">
              <w:rPr>
                <w:sz w:val="20"/>
                <w:szCs w:val="20"/>
              </w:rPr>
              <w:t xml:space="preserve">Appeals dismissed </w:t>
            </w:r>
          </w:p>
        </w:tc>
      </w:tr>
      <w:tr w:rsidR="00B10409" w:rsidRPr="00D22292" w:rsidTr="00721473">
        <w:tc>
          <w:tcPr>
            <w:tcW w:w="2427" w:type="pct"/>
            <w:gridSpan w:val="2"/>
          </w:tcPr>
          <w:p w:rsidR="00B10409" w:rsidRPr="00D22292" w:rsidRDefault="00B10409" w:rsidP="00B10409">
            <w:pPr>
              <w:jc w:val="both"/>
              <w:rPr>
                <w:sz w:val="20"/>
                <w:szCs w:val="20"/>
              </w:rPr>
            </w:pPr>
            <w:r w:rsidRPr="00D22292">
              <w:rPr>
                <w:sz w:val="20"/>
                <w:szCs w:val="20"/>
              </w:rPr>
              <w:t>November 21, 2016</w:t>
            </w:r>
          </w:p>
          <w:p w:rsidR="00B10409" w:rsidRPr="00D22292" w:rsidRDefault="00B10409" w:rsidP="00B10409">
            <w:pPr>
              <w:jc w:val="both"/>
              <w:rPr>
                <w:sz w:val="20"/>
                <w:szCs w:val="20"/>
              </w:rPr>
            </w:pPr>
            <w:r w:rsidRPr="00D22292">
              <w:rPr>
                <w:sz w:val="20"/>
                <w:szCs w:val="20"/>
              </w:rPr>
              <w:t>Supreme Court of Canada</w:t>
            </w:r>
          </w:p>
          <w:p w:rsidR="00B10409" w:rsidRPr="00D22292" w:rsidRDefault="00B10409" w:rsidP="00B10409">
            <w:pPr>
              <w:jc w:val="both"/>
              <w:rPr>
                <w:sz w:val="20"/>
                <w:szCs w:val="20"/>
              </w:rPr>
            </w:pPr>
          </w:p>
        </w:tc>
        <w:tc>
          <w:tcPr>
            <w:tcW w:w="243" w:type="pct"/>
          </w:tcPr>
          <w:p w:rsidR="00B10409" w:rsidRPr="00D22292" w:rsidRDefault="00B10409" w:rsidP="00B10409">
            <w:pPr>
              <w:jc w:val="both"/>
              <w:rPr>
                <w:sz w:val="20"/>
                <w:szCs w:val="20"/>
              </w:rPr>
            </w:pPr>
          </w:p>
        </w:tc>
        <w:tc>
          <w:tcPr>
            <w:tcW w:w="2330" w:type="pct"/>
          </w:tcPr>
          <w:p w:rsidR="00B10409" w:rsidRPr="00D22292" w:rsidRDefault="00B10409" w:rsidP="00B10409">
            <w:pPr>
              <w:jc w:val="both"/>
              <w:rPr>
                <w:sz w:val="20"/>
                <w:szCs w:val="20"/>
              </w:rPr>
            </w:pPr>
            <w:r w:rsidRPr="00D22292">
              <w:rPr>
                <w:sz w:val="20"/>
                <w:szCs w:val="20"/>
              </w:rPr>
              <w:t>Application for leave to appeal filed</w:t>
            </w:r>
          </w:p>
          <w:p w:rsidR="00B10409" w:rsidRPr="00D22292" w:rsidRDefault="00B10409" w:rsidP="00B10409">
            <w:pPr>
              <w:jc w:val="both"/>
              <w:rPr>
                <w:sz w:val="20"/>
                <w:szCs w:val="20"/>
              </w:rPr>
            </w:pPr>
          </w:p>
          <w:p w:rsidR="00B10409" w:rsidRPr="00D22292" w:rsidRDefault="00B10409" w:rsidP="00B10409">
            <w:pPr>
              <w:jc w:val="both"/>
              <w:rPr>
                <w:sz w:val="20"/>
                <w:szCs w:val="20"/>
              </w:rPr>
            </w:pPr>
          </w:p>
        </w:tc>
      </w:tr>
      <w:tr w:rsidR="00B10409" w:rsidRPr="00D22292" w:rsidTr="00721473">
        <w:tc>
          <w:tcPr>
            <w:tcW w:w="2427" w:type="pct"/>
            <w:gridSpan w:val="2"/>
          </w:tcPr>
          <w:p w:rsidR="00B10409" w:rsidRPr="00D22292" w:rsidRDefault="00B10409" w:rsidP="00B10409">
            <w:pPr>
              <w:jc w:val="both"/>
              <w:rPr>
                <w:sz w:val="20"/>
                <w:szCs w:val="20"/>
              </w:rPr>
            </w:pPr>
            <w:r w:rsidRPr="00D22292">
              <w:rPr>
                <w:sz w:val="20"/>
                <w:szCs w:val="20"/>
              </w:rPr>
              <w:t>January 6, 2017</w:t>
            </w:r>
          </w:p>
          <w:p w:rsidR="00B10409" w:rsidRPr="00D22292" w:rsidRDefault="00B10409" w:rsidP="00B10409">
            <w:pPr>
              <w:jc w:val="both"/>
              <w:rPr>
                <w:sz w:val="20"/>
                <w:szCs w:val="20"/>
              </w:rPr>
            </w:pPr>
            <w:r w:rsidRPr="00D22292">
              <w:rPr>
                <w:sz w:val="20"/>
                <w:szCs w:val="20"/>
              </w:rPr>
              <w:t>Supreme Court of Canada</w:t>
            </w:r>
          </w:p>
        </w:tc>
        <w:tc>
          <w:tcPr>
            <w:tcW w:w="243" w:type="pct"/>
          </w:tcPr>
          <w:p w:rsidR="00B10409" w:rsidRPr="00D22292" w:rsidRDefault="00B10409" w:rsidP="00B10409">
            <w:pPr>
              <w:jc w:val="both"/>
              <w:rPr>
                <w:sz w:val="20"/>
                <w:szCs w:val="20"/>
              </w:rPr>
            </w:pPr>
          </w:p>
        </w:tc>
        <w:tc>
          <w:tcPr>
            <w:tcW w:w="2330" w:type="pct"/>
          </w:tcPr>
          <w:p w:rsidR="00B10409" w:rsidRPr="00D22292" w:rsidRDefault="00B10409" w:rsidP="00B10409">
            <w:pPr>
              <w:jc w:val="both"/>
              <w:rPr>
                <w:sz w:val="20"/>
                <w:szCs w:val="20"/>
              </w:rPr>
            </w:pPr>
            <w:r w:rsidRPr="00D22292">
              <w:rPr>
                <w:sz w:val="20"/>
                <w:szCs w:val="20"/>
              </w:rPr>
              <w:t>Application for leave to cross</w:t>
            </w:r>
            <w:r w:rsidRPr="00D22292">
              <w:rPr>
                <w:sz w:val="20"/>
                <w:szCs w:val="20"/>
              </w:rPr>
              <w:noBreakHyphen/>
              <w:t>appeal filed</w:t>
            </w:r>
          </w:p>
          <w:p w:rsidR="00B10409" w:rsidRPr="00D22292" w:rsidRDefault="00B10409" w:rsidP="00B10409">
            <w:pPr>
              <w:jc w:val="both"/>
              <w:rPr>
                <w:sz w:val="20"/>
                <w:szCs w:val="20"/>
              </w:rPr>
            </w:pPr>
          </w:p>
        </w:tc>
      </w:tr>
    </w:tbl>
    <w:p w:rsidR="00755995" w:rsidRPr="00D22292" w:rsidRDefault="00D22292" w:rsidP="00755995">
      <w:pPr>
        <w:jc w:val="both"/>
        <w:rPr>
          <w:sz w:val="20"/>
        </w:rPr>
      </w:pPr>
      <w:r w:rsidRPr="00D22292">
        <w:rPr>
          <w:sz w:val="20"/>
          <w:szCs w:val="20"/>
        </w:rPr>
        <w:pict>
          <v:rect id="_x0000_i1038" style="width:2in;height:1pt" o:hrpct="0" o:hralign="center" o:hrstd="t" o:hrnoshade="t" o:hr="t" fillcolor="black" stroked="f"/>
        </w:pict>
      </w:r>
    </w:p>
    <w:p w:rsidR="00755995" w:rsidRPr="00D22292" w:rsidRDefault="00755995" w:rsidP="00755995">
      <w:pPr>
        <w:jc w:val="both"/>
        <w:rPr>
          <w:sz w:val="20"/>
          <w:szCs w:val="20"/>
        </w:rPr>
      </w:pPr>
    </w:p>
    <w:p w:rsidR="00914665" w:rsidRPr="00D22292" w:rsidRDefault="00914665">
      <w:r w:rsidRPr="00D2229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5995" w:rsidRPr="00D22292" w:rsidTr="00721473">
        <w:tc>
          <w:tcPr>
            <w:tcW w:w="543" w:type="pct"/>
          </w:tcPr>
          <w:p w:rsidR="00755995" w:rsidRPr="00D22292" w:rsidRDefault="00755995" w:rsidP="00721473">
            <w:pPr>
              <w:jc w:val="both"/>
              <w:rPr>
                <w:sz w:val="20"/>
                <w:szCs w:val="20"/>
              </w:rPr>
            </w:pPr>
            <w:r w:rsidRPr="00D22292">
              <w:rPr>
                <w:rStyle w:val="SCCFileNumberChar"/>
                <w:sz w:val="20"/>
                <w:szCs w:val="20"/>
              </w:rPr>
              <w:lastRenderedPageBreak/>
              <w:t>37303</w:t>
            </w:r>
          </w:p>
        </w:tc>
        <w:tc>
          <w:tcPr>
            <w:tcW w:w="4457" w:type="pct"/>
            <w:gridSpan w:val="3"/>
          </w:tcPr>
          <w:p w:rsidR="00755995" w:rsidRPr="00D22292" w:rsidRDefault="00755995" w:rsidP="00721473">
            <w:pPr>
              <w:pStyle w:val="SCCLsocParty"/>
              <w:jc w:val="both"/>
              <w:rPr>
                <w:b/>
                <w:sz w:val="20"/>
                <w:szCs w:val="20"/>
              </w:rPr>
            </w:pPr>
            <w:r w:rsidRPr="00D22292">
              <w:rPr>
                <w:b/>
                <w:sz w:val="20"/>
                <w:szCs w:val="20"/>
              </w:rPr>
              <w:t>Denis Gagnon c. Bell Mobilité inc.</w:t>
            </w:r>
          </w:p>
          <w:p w:rsidR="00755995" w:rsidRPr="00D22292" w:rsidRDefault="00755995" w:rsidP="00721473">
            <w:pPr>
              <w:jc w:val="both"/>
              <w:rPr>
                <w:sz w:val="20"/>
                <w:szCs w:val="20"/>
              </w:rPr>
            </w:pPr>
            <w:r w:rsidRPr="00D22292">
              <w:rPr>
                <w:sz w:val="20"/>
                <w:szCs w:val="20"/>
              </w:rPr>
              <w:t>(Qc) (Civile) (Autorisation)</w:t>
            </w:r>
          </w:p>
        </w:tc>
      </w:tr>
      <w:tr w:rsidR="00F92AD7" w:rsidRPr="00D22292" w:rsidTr="00721473">
        <w:tc>
          <w:tcPr>
            <w:tcW w:w="543" w:type="pct"/>
          </w:tcPr>
          <w:p w:rsidR="00F92AD7" w:rsidRPr="00D22292" w:rsidRDefault="00F92AD7" w:rsidP="00F92AD7">
            <w:pPr>
              <w:jc w:val="both"/>
              <w:rPr>
                <w:rStyle w:val="SCCFileNumberChar"/>
                <w:b w:val="0"/>
                <w:sz w:val="20"/>
                <w:szCs w:val="20"/>
              </w:rPr>
            </w:pPr>
            <w:r w:rsidRPr="00D22292">
              <w:rPr>
                <w:rStyle w:val="SCCFileNumberChar"/>
                <w:b w:val="0"/>
                <w:sz w:val="20"/>
                <w:szCs w:val="20"/>
              </w:rPr>
              <w:t xml:space="preserve">Coram: </w:t>
            </w:r>
          </w:p>
        </w:tc>
        <w:tc>
          <w:tcPr>
            <w:tcW w:w="4457" w:type="pct"/>
            <w:gridSpan w:val="3"/>
          </w:tcPr>
          <w:p w:rsidR="00F92AD7" w:rsidRPr="00D22292" w:rsidRDefault="00914665" w:rsidP="00F92AD7">
            <w:pPr>
              <w:rPr>
                <w:lang w:val="fr-CA"/>
              </w:rPr>
            </w:pPr>
            <w:r w:rsidRPr="00D22292">
              <w:rPr>
                <w:rFonts w:eastAsia="Calibri" w:cs="Times New Roman"/>
                <w:sz w:val="20"/>
                <w:szCs w:val="20"/>
                <w:u w:val="single"/>
                <w:lang w:val="fr-CA"/>
              </w:rPr>
              <w:t xml:space="preserve">La juge en chef McLachlin et les juges Abella, Moldaver, Karakatsanis, Wagner, Gascon, Côté, Brown et Rowe </w:t>
            </w:r>
          </w:p>
        </w:tc>
      </w:tr>
      <w:tr w:rsidR="00F92AD7" w:rsidRPr="00D22292" w:rsidTr="00721473">
        <w:tc>
          <w:tcPr>
            <w:tcW w:w="5000" w:type="pct"/>
            <w:gridSpan w:val="4"/>
          </w:tcPr>
          <w:p w:rsidR="00F92AD7" w:rsidRPr="00D22292" w:rsidRDefault="00914665" w:rsidP="00F92AD7">
            <w:pPr>
              <w:jc w:val="both"/>
              <w:rPr>
                <w:sz w:val="20"/>
                <w:szCs w:val="20"/>
                <w:lang w:val="fr-CA"/>
              </w:rPr>
            </w:pPr>
            <w:r w:rsidRPr="00D22292">
              <w:rPr>
                <w:sz w:val="20"/>
                <w:szCs w:val="20"/>
                <w:lang w:val="fr-CA"/>
              </w:rPr>
              <w:t xml:space="preserve">La demande d’autorisation d’appel de l’arrêt de la Cour d’appel du Québec (Montréal), numéros 500-09-024748-147 et 500-09-024747-149, 2016 QCCA 1496, daté du 20 septembre 2016, est rejetée avec dépens.  </w:t>
            </w:r>
          </w:p>
          <w:p w:rsidR="00914665" w:rsidRPr="00D22292" w:rsidRDefault="00914665" w:rsidP="00F92AD7">
            <w:pPr>
              <w:jc w:val="both"/>
              <w:rPr>
                <w:sz w:val="20"/>
                <w:szCs w:val="20"/>
                <w:lang w:val="fr-CA"/>
              </w:rPr>
            </w:pPr>
          </w:p>
        </w:tc>
      </w:tr>
      <w:tr w:rsidR="00F92AD7" w:rsidRPr="00D22292" w:rsidTr="00721473">
        <w:tc>
          <w:tcPr>
            <w:tcW w:w="5000" w:type="pct"/>
            <w:gridSpan w:val="4"/>
          </w:tcPr>
          <w:p w:rsidR="00F92AD7" w:rsidRPr="00D22292" w:rsidRDefault="00F92AD7" w:rsidP="00F92AD7">
            <w:pPr>
              <w:jc w:val="both"/>
              <w:rPr>
                <w:sz w:val="20"/>
                <w:szCs w:val="20"/>
              </w:rPr>
            </w:pPr>
            <w:r w:rsidRPr="00D22292">
              <w:rPr>
                <w:sz w:val="20"/>
                <w:szCs w:val="20"/>
                <w:lang w:val="fr-CA"/>
              </w:rPr>
              <w:t xml:space="preserve">Contrat ‒ Contrat de service ‒ Clause de frais de résiliation anticipée ‒ Clause abusive ‒ Droit de résiliation unilatérale ‒ Préjudice subi par le fournisseur de service ‒ Les juges majoritaires de la Cour d’appel ont-ils erré en droit en qualifiant l’entièreté du rabais moyen sur les appareils de préjudice réel subi par l’intimée dans le cadre d’un contrat de service à exécution successive ? ‒ La Cour d’appel a-t-elle erré en jugeant que les membres du groupe n’avaient pas renoncé à la faculté de résiliation unilatérale de l’article 2125 CCQ ? ‒ La Cour d’appel a-t-elle erré en infirmant la conclusion de la juge de première instance à l’effet que la clause de frais de résiliation anticipée n’était pas abusive ? </w:t>
            </w:r>
            <w:r w:rsidRPr="00D22292">
              <w:rPr>
                <w:sz w:val="20"/>
                <w:szCs w:val="20"/>
              </w:rPr>
              <w:t xml:space="preserve">‒ </w:t>
            </w:r>
            <w:r w:rsidRPr="00D22292">
              <w:rPr>
                <w:i/>
                <w:sz w:val="20"/>
                <w:szCs w:val="20"/>
              </w:rPr>
              <w:t xml:space="preserve">Code civil du Québec, </w:t>
            </w:r>
            <w:r w:rsidRPr="00D22292">
              <w:rPr>
                <w:sz w:val="20"/>
                <w:szCs w:val="20"/>
              </w:rPr>
              <w:t>art. 2125, 2129 et 1437.</w:t>
            </w:r>
          </w:p>
        </w:tc>
      </w:tr>
      <w:tr w:rsidR="00F92AD7" w:rsidRPr="00D22292" w:rsidTr="00721473">
        <w:tc>
          <w:tcPr>
            <w:tcW w:w="5000" w:type="pct"/>
            <w:gridSpan w:val="4"/>
          </w:tcPr>
          <w:p w:rsidR="00F92AD7" w:rsidRPr="00D22292" w:rsidRDefault="00F92AD7" w:rsidP="00F92AD7">
            <w:pPr>
              <w:jc w:val="both"/>
              <w:rPr>
                <w:sz w:val="20"/>
                <w:szCs w:val="20"/>
              </w:rPr>
            </w:pPr>
          </w:p>
        </w:tc>
      </w:tr>
      <w:tr w:rsidR="00F92AD7" w:rsidRPr="00D22292" w:rsidTr="00721473">
        <w:tc>
          <w:tcPr>
            <w:tcW w:w="5000" w:type="pct"/>
            <w:gridSpan w:val="4"/>
          </w:tcPr>
          <w:p w:rsidR="00F92AD7" w:rsidRPr="00D22292" w:rsidRDefault="00F92AD7" w:rsidP="00F92AD7">
            <w:pPr>
              <w:jc w:val="both"/>
              <w:rPr>
                <w:sz w:val="20"/>
                <w:szCs w:val="20"/>
                <w:lang w:val="fr-CA"/>
              </w:rPr>
            </w:pPr>
            <w:r w:rsidRPr="00D22292">
              <w:rPr>
                <w:sz w:val="20"/>
                <w:szCs w:val="20"/>
                <w:lang w:val="fr-CA"/>
              </w:rPr>
              <w:t>Le demandeur, Monsieur Denis Gagnon a intenté un recours collectif contre l’intimée, Bell Mobilité inc., afin d’obtenir le remboursement de frais de résiliation anticipée facturés des suites de la résiliation de son contrat de services de téléphonie cellulaire avant la fin du terme prévu ainsi que des dommages punitifs.</w:t>
            </w:r>
          </w:p>
          <w:p w:rsidR="00F92AD7" w:rsidRPr="00D22292" w:rsidRDefault="00F92AD7" w:rsidP="00F92AD7">
            <w:pPr>
              <w:jc w:val="both"/>
              <w:rPr>
                <w:sz w:val="20"/>
                <w:szCs w:val="20"/>
                <w:lang w:val="fr-CA"/>
              </w:rPr>
            </w:pPr>
          </w:p>
        </w:tc>
      </w:tr>
      <w:tr w:rsidR="00F92AD7" w:rsidRPr="00D22292" w:rsidTr="00721473">
        <w:tc>
          <w:tcPr>
            <w:tcW w:w="2427" w:type="pct"/>
            <w:gridSpan w:val="2"/>
          </w:tcPr>
          <w:p w:rsidR="00F92AD7" w:rsidRPr="00D22292" w:rsidRDefault="00F92AD7" w:rsidP="00F92AD7">
            <w:pPr>
              <w:jc w:val="both"/>
              <w:rPr>
                <w:sz w:val="20"/>
                <w:szCs w:val="20"/>
                <w:lang w:val="fr-CA"/>
              </w:rPr>
            </w:pPr>
            <w:r w:rsidRPr="00D22292">
              <w:rPr>
                <w:sz w:val="20"/>
                <w:szCs w:val="20"/>
                <w:lang w:val="fr-CA"/>
              </w:rPr>
              <w:t>Le 3 septembre 2014</w:t>
            </w:r>
          </w:p>
          <w:p w:rsidR="00F92AD7" w:rsidRPr="00D22292" w:rsidRDefault="00F92AD7" w:rsidP="00F92AD7">
            <w:pPr>
              <w:jc w:val="both"/>
              <w:rPr>
                <w:sz w:val="20"/>
                <w:szCs w:val="20"/>
                <w:lang w:val="fr-CA"/>
              </w:rPr>
            </w:pPr>
            <w:r w:rsidRPr="00D22292">
              <w:rPr>
                <w:sz w:val="20"/>
                <w:szCs w:val="20"/>
                <w:lang w:val="fr-CA"/>
              </w:rPr>
              <w:t>Cour supérieure du Québec</w:t>
            </w:r>
          </w:p>
          <w:p w:rsidR="00F92AD7" w:rsidRPr="00D22292" w:rsidRDefault="00F92AD7" w:rsidP="00F92AD7">
            <w:pPr>
              <w:jc w:val="both"/>
              <w:rPr>
                <w:sz w:val="20"/>
                <w:szCs w:val="20"/>
              </w:rPr>
            </w:pPr>
            <w:r w:rsidRPr="00D22292">
              <w:rPr>
                <w:sz w:val="20"/>
                <w:szCs w:val="20"/>
              </w:rPr>
              <w:t>(La juge Nantel)</w:t>
            </w:r>
          </w:p>
          <w:p w:rsidR="00F92AD7" w:rsidRPr="00D22292" w:rsidRDefault="00D22292" w:rsidP="00F92AD7">
            <w:pPr>
              <w:jc w:val="both"/>
              <w:rPr>
                <w:sz w:val="20"/>
                <w:szCs w:val="20"/>
              </w:rPr>
            </w:pPr>
            <w:hyperlink r:id="rId27" w:history="1">
              <w:r w:rsidR="00F92AD7" w:rsidRPr="00D22292">
                <w:rPr>
                  <w:rStyle w:val="Hyperlink"/>
                  <w:sz w:val="20"/>
                  <w:szCs w:val="20"/>
                </w:rPr>
                <w:t>2014 QCCS 4236</w:t>
              </w:r>
            </w:hyperlink>
          </w:p>
          <w:p w:rsidR="00F92AD7" w:rsidRPr="00D22292" w:rsidRDefault="00F92AD7" w:rsidP="00F92AD7">
            <w:pPr>
              <w:jc w:val="both"/>
              <w:rPr>
                <w:sz w:val="20"/>
                <w:szCs w:val="20"/>
                <w:lang w:val="en-US"/>
              </w:rPr>
            </w:pPr>
          </w:p>
        </w:tc>
        <w:tc>
          <w:tcPr>
            <w:tcW w:w="243" w:type="pct"/>
          </w:tcPr>
          <w:p w:rsidR="00F92AD7" w:rsidRPr="00D22292" w:rsidRDefault="00F92AD7" w:rsidP="00F92AD7">
            <w:pPr>
              <w:jc w:val="both"/>
              <w:rPr>
                <w:sz w:val="20"/>
                <w:szCs w:val="20"/>
                <w:lang w:val="en-US"/>
              </w:rPr>
            </w:pPr>
          </w:p>
        </w:tc>
        <w:tc>
          <w:tcPr>
            <w:tcW w:w="2330" w:type="pct"/>
          </w:tcPr>
          <w:p w:rsidR="00F92AD7" w:rsidRPr="00D22292" w:rsidRDefault="00F92AD7" w:rsidP="00F92AD7">
            <w:pPr>
              <w:jc w:val="both"/>
              <w:rPr>
                <w:sz w:val="20"/>
                <w:szCs w:val="20"/>
                <w:lang w:val="fr-CA"/>
              </w:rPr>
            </w:pPr>
            <w:r w:rsidRPr="00D22292">
              <w:rPr>
                <w:sz w:val="20"/>
                <w:szCs w:val="20"/>
                <w:lang w:val="fr-CA"/>
              </w:rPr>
              <w:t>Recours collectif accueilli en partie.</w:t>
            </w:r>
          </w:p>
          <w:p w:rsidR="00F92AD7" w:rsidRPr="00D22292" w:rsidRDefault="00F92AD7" w:rsidP="00F92AD7">
            <w:pPr>
              <w:jc w:val="both"/>
              <w:rPr>
                <w:sz w:val="20"/>
                <w:szCs w:val="20"/>
                <w:lang w:val="fr-CA"/>
              </w:rPr>
            </w:pPr>
          </w:p>
        </w:tc>
      </w:tr>
      <w:tr w:rsidR="00F92AD7" w:rsidRPr="00D22292" w:rsidTr="00721473">
        <w:tc>
          <w:tcPr>
            <w:tcW w:w="2427" w:type="pct"/>
            <w:gridSpan w:val="2"/>
          </w:tcPr>
          <w:p w:rsidR="00F92AD7" w:rsidRPr="00D22292" w:rsidRDefault="00F92AD7" w:rsidP="00F92AD7">
            <w:pPr>
              <w:jc w:val="both"/>
              <w:rPr>
                <w:sz w:val="20"/>
                <w:szCs w:val="20"/>
                <w:lang w:val="fr-CA"/>
              </w:rPr>
            </w:pPr>
            <w:r w:rsidRPr="00D22292">
              <w:rPr>
                <w:sz w:val="20"/>
                <w:szCs w:val="20"/>
                <w:lang w:val="fr-CA"/>
              </w:rPr>
              <w:t>Le 20 novembre 2016</w:t>
            </w:r>
          </w:p>
          <w:p w:rsidR="00F92AD7" w:rsidRPr="00D22292" w:rsidRDefault="00F92AD7" w:rsidP="00F92AD7">
            <w:pPr>
              <w:jc w:val="both"/>
              <w:rPr>
                <w:sz w:val="20"/>
                <w:szCs w:val="20"/>
                <w:lang w:val="fr-CA"/>
              </w:rPr>
            </w:pPr>
            <w:r w:rsidRPr="00D22292">
              <w:rPr>
                <w:sz w:val="20"/>
                <w:szCs w:val="20"/>
                <w:lang w:val="fr-CA"/>
              </w:rPr>
              <w:t>Cour d’appel du Québec (Montréal)</w:t>
            </w:r>
          </w:p>
          <w:p w:rsidR="00F92AD7" w:rsidRPr="00D22292" w:rsidRDefault="00F92AD7" w:rsidP="00F92AD7">
            <w:pPr>
              <w:jc w:val="both"/>
              <w:rPr>
                <w:sz w:val="20"/>
                <w:szCs w:val="20"/>
                <w:lang w:val="fr-CA"/>
              </w:rPr>
            </w:pPr>
            <w:r w:rsidRPr="00D22292">
              <w:rPr>
                <w:sz w:val="20"/>
                <w:szCs w:val="20"/>
                <w:lang w:val="fr-CA"/>
              </w:rPr>
              <w:t>(Les juges Vézina, Kasirer et Bélanger)</w:t>
            </w:r>
          </w:p>
          <w:p w:rsidR="00F92AD7" w:rsidRPr="00D22292" w:rsidRDefault="00D22292" w:rsidP="00F92AD7">
            <w:pPr>
              <w:jc w:val="both"/>
              <w:rPr>
                <w:sz w:val="20"/>
                <w:szCs w:val="20"/>
              </w:rPr>
            </w:pPr>
            <w:hyperlink r:id="rId28" w:history="1">
              <w:r w:rsidR="00F92AD7" w:rsidRPr="00D22292">
                <w:rPr>
                  <w:rStyle w:val="Hyperlink"/>
                  <w:sz w:val="20"/>
                  <w:szCs w:val="20"/>
                </w:rPr>
                <w:t>2016 QCCA 1496</w:t>
              </w:r>
            </w:hyperlink>
          </w:p>
          <w:p w:rsidR="00F92AD7" w:rsidRPr="00D22292" w:rsidRDefault="00F92AD7" w:rsidP="00F92AD7">
            <w:pPr>
              <w:jc w:val="both"/>
              <w:rPr>
                <w:sz w:val="20"/>
                <w:szCs w:val="20"/>
                <w:lang w:val="fr-FR"/>
              </w:rPr>
            </w:pPr>
          </w:p>
        </w:tc>
        <w:tc>
          <w:tcPr>
            <w:tcW w:w="243" w:type="pct"/>
          </w:tcPr>
          <w:p w:rsidR="00F92AD7" w:rsidRPr="00D22292" w:rsidRDefault="00F92AD7" w:rsidP="00F92AD7">
            <w:pPr>
              <w:jc w:val="both"/>
              <w:rPr>
                <w:sz w:val="20"/>
                <w:szCs w:val="20"/>
                <w:lang w:val="fr-FR"/>
              </w:rPr>
            </w:pPr>
          </w:p>
        </w:tc>
        <w:tc>
          <w:tcPr>
            <w:tcW w:w="2330" w:type="pct"/>
          </w:tcPr>
          <w:p w:rsidR="00F92AD7" w:rsidRPr="00D22292" w:rsidRDefault="00F92AD7" w:rsidP="00F92AD7">
            <w:pPr>
              <w:jc w:val="both"/>
              <w:rPr>
                <w:sz w:val="20"/>
                <w:szCs w:val="20"/>
              </w:rPr>
            </w:pPr>
            <w:r w:rsidRPr="00D22292">
              <w:rPr>
                <w:sz w:val="20"/>
                <w:szCs w:val="20"/>
              </w:rPr>
              <w:t xml:space="preserve">Appels rejetés. </w:t>
            </w:r>
          </w:p>
        </w:tc>
      </w:tr>
      <w:tr w:rsidR="00F92AD7" w:rsidRPr="00D22292" w:rsidTr="00721473">
        <w:tc>
          <w:tcPr>
            <w:tcW w:w="2427" w:type="pct"/>
            <w:gridSpan w:val="2"/>
          </w:tcPr>
          <w:p w:rsidR="00F92AD7" w:rsidRPr="00D22292" w:rsidRDefault="00F92AD7" w:rsidP="00F92AD7">
            <w:pPr>
              <w:jc w:val="both"/>
              <w:rPr>
                <w:sz w:val="20"/>
                <w:szCs w:val="20"/>
                <w:lang w:val="fr-CA"/>
              </w:rPr>
            </w:pPr>
            <w:r w:rsidRPr="00D22292">
              <w:rPr>
                <w:sz w:val="20"/>
                <w:szCs w:val="20"/>
                <w:lang w:val="fr-CA"/>
              </w:rPr>
              <w:t>Le 21 novembre 2016</w:t>
            </w:r>
          </w:p>
          <w:p w:rsidR="00F92AD7" w:rsidRPr="00D22292" w:rsidRDefault="00F92AD7" w:rsidP="00F92AD7">
            <w:pPr>
              <w:jc w:val="both"/>
              <w:rPr>
                <w:sz w:val="20"/>
                <w:szCs w:val="20"/>
                <w:lang w:val="fr-CA"/>
              </w:rPr>
            </w:pPr>
            <w:r w:rsidRPr="00D22292">
              <w:rPr>
                <w:sz w:val="20"/>
                <w:szCs w:val="20"/>
                <w:lang w:val="fr-CA"/>
              </w:rPr>
              <w:t>Cour suprême du Canada</w:t>
            </w:r>
          </w:p>
          <w:p w:rsidR="00F92AD7" w:rsidRPr="00D22292" w:rsidRDefault="00F92AD7" w:rsidP="00F92AD7">
            <w:pPr>
              <w:jc w:val="both"/>
              <w:rPr>
                <w:sz w:val="20"/>
                <w:szCs w:val="20"/>
                <w:lang w:val="fr-FR"/>
              </w:rPr>
            </w:pPr>
          </w:p>
        </w:tc>
        <w:tc>
          <w:tcPr>
            <w:tcW w:w="243" w:type="pct"/>
          </w:tcPr>
          <w:p w:rsidR="00F92AD7" w:rsidRPr="00D22292" w:rsidRDefault="00F92AD7" w:rsidP="00F92AD7">
            <w:pPr>
              <w:jc w:val="both"/>
              <w:rPr>
                <w:sz w:val="20"/>
                <w:szCs w:val="20"/>
                <w:lang w:val="fr-FR"/>
              </w:rPr>
            </w:pPr>
          </w:p>
        </w:tc>
        <w:tc>
          <w:tcPr>
            <w:tcW w:w="2330" w:type="pct"/>
          </w:tcPr>
          <w:p w:rsidR="00F92AD7" w:rsidRPr="00D22292" w:rsidRDefault="00F92AD7" w:rsidP="00F92AD7">
            <w:pPr>
              <w:jc w:val="both"/>
              <w:rPr>
                <w:sz w:val="20"/>
                <w:szCs w:val="20"/>
              </w:rPr>
            </w:pPr>
            <w:r w:rsidRPr="00D22292">
              <w:rPr>
                <w:sz w:val="20"/>
                <w:szCs w:val="20"/>
              </w:rPr>
              <w:t>Demande d'autorisation d'appel déposée.</w:t>
            </w:r>
          </w:p>
          <w:p w:rsidR="00F92AD7" w:rsidRPr="00D22292" w:rsidRDefault="00F92AD7" w:rsidP="00F92AD7">
            <w:pPr>
              <w:jc w:val="both"/>
              <w:rPr>
                <w:sz w:val="20"/>
                <w:szCs w:val="20"/>
              </w:rPr>
            </w:pPr>
          </w:p>
        </w:tc>
      </w:tr>
      <w:tr w:rsidR="00F92AD7" w:rsidRPr="00D22292" w:rsidTr="00721473">
        <w:tc>
          <w:tcPr>
            <w:tcW w:w="2427" w:type="pct"/>
            <w:gridSpan w:val="2"/>
          </w:tcPr>
          <w:p w:rsidR="00F92AD7" w:rsidRPr="00D22292" w:rsidRDefault="00F92AD7" w:rsidP="00F92AD7">
            <w:pPr>
              <w:jc w:val="both"/>
              <w:rPr>
                <w:sz w:val="20"/>
                <w:szCs w:val="20"/>
                <w:lang w:val="fr-CA"/>
              </w:rPr>
            </w:pPr>
            <w:r w:rsidRPr="00D22292">
              <w:rPr>
                <w:sz w:val="20"/>
                <w:szCs w:val="20"/>
                <w:lang w:val="fr-CA"/>
              </w:rPr>
              <w:t>Le 6 janvier 2017</w:t>
            </w:r>
          </w:p>
          <w:p w:rsidR="00F92AD7" w:rsidRPr="00D22292" w:rsidRDefault="00F92AD7" w:rsidP="00F92AD7">
            <w:pPr>
              <w:jc w:val="both"/>
              <w:rPr>
                <w:sz w:val="20"/>
                <w:szCs w:val="20"/>
                <w:lang w:val="fr-CA"/>
              </w:rPr>
            </w:pPr>
            <w:r w:rsidRPr="00D22292">
              <w:rPr>
                <w:sz w:val="20"/>
                <w:szCs w:val="20"/>
                <w:lang w:val="fr-CA"/>
              </w:rPr>
              <w:t>Cour suprême du Canada</w:t>
            </w:r>
          </w:p>
        </w:tc>
        <w:tc>
          <w:tcPr>
            <w:tcW w:w="243" w:type="pct"/>
          </w:tcPr>
          <w:p w:rsidR="00F92AD7" w:rsidRPr="00D22292" w:rsidRDefault="00F92AD7" w:rsidP="00F92AD7">
            <w:pPr>
              <w:jc w:val="both"/>
              <w:rPr>
                <w:sz w:val="20"/>
                <w:szCs w:val="20"/>
                <w:lang w:val="fr-FR"/>
              </w:rPr>
            </w:pPr>
          </w:p>
        </w:tc>
        <w:tc>
          <w:tcPr>
            <w:tcW w:w="2330" w:type="pct"/>
          </w:tcPr>
          <w:p w:rsidR="00F92AD7" w:rsidRPr="00D22292" w:rsidRDefault="00F92AD7" w:rsidP="00F92AD7">
            <w:pPr>
              <w:jc w:val="both"/>
              <w:rPr>
                <w:sz w:val="20"/>
                <w:szCs w:val="20"/>
                <w:lang w:val="fr-CA"/>
              </w:rPr>
            </w:pPr>
            <w:r w:rsidRPr="00D22292">
              <w:rPr>
                <w:sz w:val="20"/>
                <w:szCs w:val="20"/>
                <w:lang w:val="fr-CA"/>
              </w:rPr>
              <w:t>Demande d'autorisation d'appel incident déposée.</w:t>
            </w:r>
          </w:p>
          <w:p w:rsidR="00F92AD7" w:rsidRPr="00D22292" w:rsidRDefault="00F92AD7" w:rsidP="00F92AD7">
            <w:pPr>
              <w:jc w:val="both"/>
              <w:rPr>
                <w:sz w:val="20"/>
                <w:szCs w:val="20"/>
                <w:lang w:val="fr-CA"/>
              </w:rPr>
            </w:pPr>
          </w:p>
        </w:tc>
      </w:tr>
    </w:tbl>
    <w:p w:rsidR="00755995" w:rsidRPr="00D22292" w:rsidRDefault="00D22292" w:rsidP="00755995">
      <w:pPr>
        <w:jc w:val="both"/>
        <w:rPr>
          <w:sz w:val="20"/>
          <w:szCs w:val="20"/>
          <w:lang w:val="fr-CA"/>
        </w:rPr>
      </w:pPr>
      <w:r w:rsidRPr="00D22292">
        <w:rPr>
          <w:sz w:val="20"/>
          <w:szCs w:val="20"/>
        </w:rPr>
        <w:pict>
          <v:rect id="_x0000_i1039" style="width:2in;height:1pt" o:hrpct="0" o:hralign="center" o:hrstd="t" o:hrnoshade="t" o:hr="t" fillcolor="black" stroked="f"/>
        </w:pict>
      </w:r>
    </w:p>
    <w:p w:rsidR="00755995" w:rsidRPr="00D22292" w:rsidRDefault="00755995" w:rsidP="00755995">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5995" w:rsidRPr="00D22292" w:rsidTr="00721473">
        <w:tc>
          <w:tcPr>
            <w:tcW w:w="543" w:type="pct"/>
          </w:tcPr>
          <w:p w:rsidR="00755995" w:rsidRPr="00D22292" w:rsidRDefault="00755995" w:rsidP="00721473">
            <w:pPr>
              <w:jc w:val="both"/>
              <w:rPr>
                <w:sz w:val="20"/>
                <w:szCs w:val="20"/>
              </w:rPr>
            </w:pPr>
            <w:r w:rsidRPr="00D22292">
              <w:rPr>
                <w:rStyle w:val="SCCFileNumberChar"/>
                <w:sz w:val="20"/>
                <w:szCs w:val="20"/>
              </w:rPr>
              <w:t>37301</w:t>
            </w:r>
          </w:p>
        </w:tc>
        <w:tc>
          <w:tcPr>
            <w:tcW w:w="4457" w:type="pct"/>
            <w:gridSpan w:val="3"/>
          </w:tcPr>
          <w:p w:rsidR="00755995" w:rsidRPr="00D22292" w:rsidRDefault="00755995" w:rsidP="00721473">
            <w:pPr>
              <w:pStyle w:val="SCCLsocParty"/>
              <w:jc w:val="both"/>
              <w:rPr>
                <w:b/>
                <w:sz w:val="20"/>
                <w:szCs w:val="20"/>
                <w:lang w:val="en-CA"/>
              </w:rPr>
            </w:pPr>
            <w:r w:rsidRPr="00D22292">
              <w:rPr>
                <w:b/>
                <w:sz w:val="20"/>
                <w:szCs w:val="20"/>
                <w:lang w:val="en-CA"/>
              </w:rPr>
              <w:t>Rogers Communications Partnership, also carrying on business as Rogers Wireless Partnership v. Mario Brière</w:t>
            </w:r>
          </w:p>
          <w:p w:rsidR="00755995" w:rsidRPr="00D22292" w:rsidRDefault="00755995" w:rsidP="00721473">
            <w:pPr>
              <w:jc w:val="both"/>
              <w:rPr>
                <w:sz w:val="20"/>
                <w:szCs w:val="20"/>
              </w:rPr>
            </w:pPr>
            <w:r w:rsidRPr="00D22292">
              <w:rPr>
                <w:sz w:val="20"/>
                <w:szCs w:val="20"/>
              </w:rPr>
              <w:t>(Que.) (Civil) (By Leave)</w:t>
            </w:r>
          </w:p>
        </w:tc>
      </w:tr>
      <w:tr w:rsidR="00B10409" w:rsidRPr="00D22292" w:rsidTr="00721473">
        <w:tc>
          <w:tcPr>
            <w:tcW w:w="543" w:type="pct"/>
          </w:tcPr>
          <w:p w:rsidR="00B10409" w:rsidRPr="00D22292" w:rsidRDefault="00B10409" w:rsidP="00B10409">
            <w:pPr>
              <w:jc w:val="both"/>
              <w:rPr>
                <w:rStyle w:val="SCCFileNumberChar"/>
                <w:b w:val="0"/>
                <w:sz w:val="20"/>
                <w:szCs w:val="20"/>
              </w:rPr>
            </w:pPr>
            <w:r w:rsidRPr="00D22292">
              <w:rPr>
                <w:rStyle w:val="SCCFileNumberChar"/>
                <w:b w:val="0"/>
                <w:sz w:val="20"/>
                <w:szCs w:val="20"/>
              </w:rPr>
              <w:t xml:space="preserve">Coram: </w:t>
            </w:r>
          </w:p>
        </w:tc>
        <w:tc>
          <w:tcPr>
            <w:tcW w:w="4457" w:type="pct"/>
            <w:gridSpan w:val="3"/>
          </w:tcPr>
          <w:p w:rsidR="00B10409" w:rsidRPr="00D22292" w:rsidRDefault="00914665" w:rsidP="00B10409">
            <w:pPr>
              <w:rPr>
                <w:rFonts w:eastAsia="Calibri" w:cs="Times New Roman"/>
                <w:sz w:val="20"/>
                <w:szCs w:val="20"/>
                <w:u w:val="single"/>
              </w:rPr>
            </w:pPr>
            <w:r w:rsidRPr="00D22292">
              <w:rPr>
                <w:rFonts w:eastAsia="Calibri" w:cs="Times New Roman"/>
                <w:sz w:val="20"/>
                <w:szCs w:val="20"/>
                <w:u w:val="single"/>
              </w:rPr>
              <w:t>McLachlin C.J. and Abella, Moldaver, Karakatsanis, Wagner, Gascon, Côté, Brown and Rowe JJ.</w:t>
            </w:r>
          </w:p>
          <w:p w:rsidR="00914665" w:rsidRPr="00D22292" w:rsidRDefault="00914665" w:rsidP="00B10409"/>
        </w:tc>
      </w:tr>
      <w:tr w:rsidR="00B10409" w:rsidRPr="00D22292" w:rsidTr="00721473">
        <w:tc>
          <w:tcPr>
            <w:tcW w:w="5000" w:type="pct"/>
            <w:gridSpan w:val="4"/>
          </w:tcPr>
          <w:p w:rsidR="00B10409" w:rsidRPr="00D22292" w:rsidRDefault="00914665" w:rsidP="00B10409">
            <w:pPr>
              <w:pStyle w:val="SCCBanSummary"/>
              <w:rPr>
                <w:rFonts w:eastAsiaTheme="minorHAnsi" w:cstheme="minorBidi"/>
                <w:smallCaps w:val="0"/>
                <w:sz w:val="20"/>
                <w:szCs w:val="20"/>
              </w:rPr>
            </w:pPr>
            <w:r w:rsidRPr="00D22292">
              <w:rPr>
                <w:rFonts w:eastAsiaTheme="minorHAnsi" w:cstheme="minorBidi"/>
                <w:smallCaps w:val="0"/>
                <w:sz w:val="20"/>
                <w:szCs w:val="20"/>
              </w:rPr>
              <w:t xml:space="preserve">The application for leave to appeal from the judgment of the Court of Appeal of Quebec (Montréal), Number 500-09-024972-150, 2016 QCCA 1497, dated September 20, 2016, is dismissed with costs. </w:t>
            </w:r>
          </w:p>
          <w:p w:rsidR="00914665" w:rsidRPr="00D22292" w:rsidRDefault="00914665" w:rsidP="00914665"/>
        </w:tc>
      </w:tr>
      <w:tr w:rsidR="00B10409" w:rsidRPr="00D22292" w:rsidTr="00721473">
        <w:tc>
          <w:tcPr>
            <w:tcW w:w="5000" w:type="pct"/>
            <w:gridSpan w:val="4"/>
          </w:tcPr>
          <w:p w:rsidR="00B10409" w:rsidRPr="00D22292" w:rsidRDefault="00B10409" w:rsidP="00B10409">
            <w:pPr>
              <w:pStyle w:val="SCCBanSummary"/>
              <w:rPr>
                <w:sz w:val="20"/>
                <w:szCs w:val="20"/>
              </w:rPr>
            </w:pPr>
            <w:r w:rsidRPr="00D22292">
              <w:rPr>
                <w:sz w:val="20"/>
                <w:szCs w:val="20"/>
              </w:rPr>
              <w:t>(Sealing Order)</w:t>
            </w:r>
          </w:p>
          <w:p w:rsidR="00B10409" w:rsidRPr="00D22292" w:rsidRDefault="00B10409" w:rsidP="00B10409">
            <w:pPr>
              <w:jc w:val="both"/>
              <w:rPr>
                <w:sz w:val="20"/>
                <w:szCs w:val="20"/>
              </w:rPr>
            </w:pPr>
          </w:p>
          <w:p w:rsidR="00B10409" w:rsidRPr="00D22292" w:rsidRDefault="00B10409" w:rsidP="00B10409">
            <w:pPr>
              <w:jc w:val="both"/>
              <w:rPr>
                <w:sz w:val="20"/>
                <w:szCs w:val="20"/>
              </w:rPr>
            </w:pPr>
            <w:r w:rsidRPr="00D22292">
              <w:rPr>
                <w:sz w:val="20"/>
                <w:szCs w:val="20"/>
              </w:rPr>
              <w:t xml:space="preserve">Contract ‒ Contract for services ‒ Early cancellation fee clause ‒ Abusive clause ‒ Right of unilateral resiliation ‒ Injury suffered by service provider ‒ Whether </w:t>
            </w:r>
            <w:r w:rsidRPr="00D22292">
              <w:rPr>
                <w:i/>
                <w:sz w:val="20"/>
                <w:szCs w:val="20"/>
              </w:rPr>
              <w:t>res judicata</w:t>
            </w:r>
            <w:r w:rsidRPr="00D22292">
              <w:rPr>
                <w:sz w:val="20"/>
                <w:szCs w:val="20"/>
              </w:rPr>
              <w:t xml:space="preserve"> rule, whose “purpose is one of public interest which is to protect </w:t>
            </w:r>
            <w:r w:rsidRPr="00D22292">
              <w:rPr>
                <w:sz w:val="20"/>
                <w:szCs w:val="20"/>
              </w:rPr>
              <w:lastRenderedPageBreak/>
              <w:t>the security and stability of social relationships” (</w:t>
            </w:r>
            <w:r w:rsidRPr="00D22292">
              <w:rPr>
                <w:i/>
                <w:sz w:val="20"/>
                <w:szCs w:val="20"/>
              </w:rPr>
              <w:t>Rocois Construction Inc. v. Québec Ready Mix Inc</w:t>
            </w:r>
            <w:r w:rsidRPr="00D22292">
              <w:rPr>
                <w:sz w:val="20"/>
                <w:szCs w:val="20"/>
              </w:rPr>
              <w:t xml:space="preserve">., [1990] 2 S.C.R. 440), prohibits questioning interlocutory decisions that determine substantive issues ‒ In particular, whether judge hearing merits of class action is bound by legal framework established by authorizing judge and by that judge’s determination that argument of applicant is unfounded in law ‒ Whether judge hearing merits of class action is precluded from reintroducing </w:t>
            </w:r>
            <w:r w:rsidRPr="00D22292">
              <w:rPr>
                <w:i/>
                <w:sz w:val="20"/>
                <w:szCs w:val="20"/>
              </w:rPr>
              <w:t>ex officio</w:t>
            </w:r>
            <w:r w:rsidRPr="00D22292">
              <w:rPr>
                <w:sz w:val="20"/>
                <w:szCs w:val="20"/>
              </w:rPr>
              <w:t xml:space="preserve">, without any request for amendment, common issue rejected at authorization stage on ground that argument was unfounded in law ‒ </w:t>
            </w:r>
            <w:r w:rsidRPr="00D22292">
              <w:rPr>
                <w:i/>
                <w:sz w:val="20"/>
                <w:szCs w:val="20"/>
              </w:rPr>
              <w:t>Civil Code of Québec</w:t>
            </w:r>
            <w:r w:rsidRPr="00D22292">
              <w:rPr>
                <w:sz w:val="20"/>
                <w:szCs w:val="20"/>
              </w:rPr>
              <w:t>,</w:t>
            </w:r>
            <w:r w:rsidRPr="00D22292">
              <w:rPr>
                <w:i/>
                <w:sz w:val="20"/>
                <w:szCs w:val="20"/>
              </w:rPr>
              <w:t xml:space="preserve"> </w:t>
            </w:r>
            <w:r w:rsidRPr="00D22292">
              <w:rPr>
                <w:sz w:val="20"/>
                <w:szCs w:val="20"/>
              </w:rPr>
              <w:t>arts. 2125, 2129 and 1437.</w:t>
            </w:r>
          </w:p>
        </w:tc>
      </w:tr>
      <w:tr w:rsidR="00B10409" w:rsidRPr="00D22292" w:rsidTr="00721473">
        <w:tc>
          <w:tcPr>
            <w:tcW w:w="5000" w:type="pct"/>
            <w:gridSpan w:val="4"/>
          </w:tcPr>
          <w:p w:rsidR="00B10409" w:rsidRPr="00D22292" w:rsidRDefault="00B10409" w:rsidP="00B10409">
            <w:pPr>
              <w:jc w:val="both"/>
              <w:rPr>
                <w:sz w:val="20"/>
                <w:szCs w:val="20"/>
              </w:rPr>
            </w:pPr>
          </w:p>
        </w:tc>
      </w:tr>
      <w:tr w:rsidR="00B10409" w:rsidRPr="00D22292" w:rsidTr="00721473">
        <w:tc>
          <w:tcPr>
            <w:tcW w:w="5000" w:type="pct"/>
            <w:gridSpan w:val="4"/>
          </w:tcPr>
          <w:p w:rsidR="00B10409" w:rsidRPr="00D22292" w:rsidRDefault="00B10409" w:rsidP="00B10409">
            <w:pPr>
              <w:jc w:val="both"/>
              <w:rPr>
                <w:sz w:val="20"/>
                <w:szCs w:val="20"/>
              </w:rPr>
            </w:pPr>
            <w:r w:rsidRPr="00D22292">
              <w:rPr>
                <w:sz w:val="20"/>
                <w:szCs w:val="20"/>
              </w:rPr>
              <w:t>The respondent Mario Brière instituted a class action against the applicant Rogers Communications Partnership, seeking reimbursement of early cancellation fees charged after he cancelled his cellular telephone service contract before the end of the specified term, as well as punitive damages.</w:t>
            </w:r>
          </w:p>
          <w:p w:rsidR="00B10409" w:rsidRPr="00D22292" w:rsidRDefault="00B10409" w:rsidP="00B10409">
            <w:pPr>
              <w:jc w:val="both"/>
              <w:rPr>
                <w:sz w:val="20"/>
                <w:szCs w:val="20"/>
              </w:rPr>
            </w:pPr>
          </w:p>
        </w:tc>
      </w:tr>
      <w:tr w:rsidR="00B10409" w:rsidRPr="00D22292" w:rsidTr="00721473">
        <w:tc>
          <w:tcPr>
            <w:tcW w:w="2427" w:type="pct"/>
            <w:gridSpan w:val="2"/>
          </w:tcPr>
          <w:p w:rsidR="00B10409" w:rsidRPr="00D22292" w:rsidRDefault="00B10409" w:rsidP="00B10409">
            <w:pPr>
              <w:jc w:val="both"/>
              <w:rPr>
                <w:sz w:val="20"/>
                <w:szCs w:val="20"/>
              </w:rPr>
            </w:pPr>
            <w:r w:rsidRPr="00D22292">
              <w:rPr>
                <w:sz w:val="20"/>
                <w:szCs w:val="20"/>
              </w:rPr>
              <w:t>December 5, 2014</w:t>
            </w:r>
          </w:p>
          <w:p w:rsidR="00B10409" w:rsidRPr="00D22292" w:rsidRDefault="00B10409" w:rsidP="00B10409">
            <w:pPr>
              <w:jc w:val="both"/>
              <w:rPr>
                <w:sz w:val="20"/>
                <w:szCs w:val="20"/>
              </w:rPr>
            </w:pPr>
            <w:r w:rsidRPr="00D22292">
              <w:rPr>
                <w:sz w:val="20"/>
                <w:szCs w:val="20"/>
              </w:rPr>
              <w:t>Quebec Superior Court</w:t>
            </w:r>
          </w:p>
          <w:p w:rsidR="00B10409" w:rsidRPr="00D22292" w:rsidRDefault="00B10409" w:rsidP="00B10409">
            <w:pPr>
              <w:jc w:val="both"/>
              <w:rPr>
                <w:sz w:val="20"/>
                <w:szCs w:val="20"/>
              </w:rPr>
            </w:pPr>
            <w:r w:rsidRPr="00D22292">
              <w:rPr>
                <w:sz w:val="20"/>
                <w:szCs w:val="20"/>
              </w:rPr>
              <w:t>(Nollet J.)</w:t>
            </w:r>
          </w:p>
          <w:p w:rsidR="00B10409" w:rsidRPr="00D22292" w:rsidRDefault="00D22292" w:rsidP="00B10409">
            <w:pPr>
              <w:jc w:val="both"/>
              <w:rPr>
                <w:sz w:val="20"/>
                <w:szCs w:val="20"/>
              </w:rPr>
            </w:pPr>
            <w:hyperlink r:id="rId29" w:history="1">
              <w:r w:rsidR="00B10409" w:rsidRPr="00D22292">
                <w:rPr>
                  <w:rStyle w:val="Hyperlink"/>
                  <w:sz w:val="20"/>
                  <w:szCs w:val="20"/>
                </w:rPr>
                <w:t>2014 QCCS 5917</w:t>
              </w:r>
            </w:hyperlink>
          </w:p>
          <w:p w:rsidR="00B10409" w:rsidRPr="00D22292" w:rsidRDefault="00B10409" w:rsidP="00B10409">
            <w:pPr>
              <w:jc w:val="both"/>
              <w:rPr>
                <w:sz w:val="20"/>
                <w:szCs w:val="20"/>
              </w:rPr>
            </w:pPr>
          </w:p>
        </w:tc>
        <w:tc>
          <w:tcPr>
            <w:tcW w:w="243" w:type="pct"/>
          </w:tcPr>
          <w:p w:rsidR="00B10409" w:rsidRPr="00D22292" w:rsidRDefault="00B10409" w:rsidP="00B10409">
            <w:pPr>
              <w:jc w:val="both"/>
              <w:rPr>
                <w:sz w:val="20"/>
                <w:szCs w:val="20"/>
              </w:rPr>
            </w:pPr>
          </w:p>
        </w:tc>
        <w:tc>
          <w:tcPr>
            <w:tcW w:w="2330" w:type="pct"/>
          </w:tcPr>
          <w:p w:rsidR="00B10409" w:rsidRPr="00D22292" w:rsidRDefault="00B10409" w:rsidP="00B10409">
            <w:pPr>
              <w:jc w:val="both"/>
              <w:rPr>
                <w:sz w:val="20"/>
                <w:szCs w:val="20"/>
              </w:rPr>
            </w:pPr>
            <w:r w:rsidRPr="00D22292">
              <w:rPr>
                <w:sz w:val="20"/>
                <w:szCs w:val="20"/>
              </w:rPr>
              <w:t>Class action allowed in part</w:t>
            </w:r>
          </w:p>
          <w:p w:rsidR="00B10409" w:rsidRPr="00D22292" w:rsidRDefault="00B10409" w:rsidP="00B10409">
            <w:pPr>
              <w:jc w:val="both"/>
              <w:rPr>
                <w:sz w:val="20"/>
                <w:szCs w:val="20"/>
              </w:rPr>
            </w:pPr>
          </w:p>
        </w:tc>
      </w:tr>
      <w:tr w:rsidR="00B10409" w:rsidRPr="00D22292" w:rsidTr="00721473">
        <w:tc>
          <w:tcPr>
            <w:tcW w:w="2427" w:type="pct"/>
            <w:gridSpan w:val="2"/>
          </w:tcPr>
          <w:p w:rsidR="00B10409" w:rsidRPr="00D22292" w:rsidRDefault="00B10409" w:rsidP="00B10409">
            <w:pPr>
              <w:jc w:val="both"/>
              <w:rPr>
                <w:sz w:val="20"/>
                <w:szCs w:val="20"/>
              </w:rPr>
            </w:pPr>
            <w:r w:rsidRPr="00D22292">
              <w:rPr>
                <w:sz w:val="20"/>
                <w:szCs w:val="20"/>
              </w:rPr>
              <w:t>September 20, 2016</w:t>
            </w:r>
          </w:p>
          <w:p w:rsidR="00B10409" w:rsidRPr="00D22292" w:rsidRDefault="00B10409" w:rsidP="00B10409">
            <w:pPr>
              <w:jc w:val="both"/>
              <w:rPr>
                <w:sz w:val="20"/>
                <w:szCs w:val="20"/>
              </w:rPr>
            </w:pPr>
            <w:r w:rsidRPr="00D22292">
              <w:rPr>
                <w:sz w:val="20"/>
                <w:szCs w:val="20"/>
              </w:rPr>
              <w:t>Quebec Court of Appeal (Montréal)</w:t>
            </w:r>
          </w:p>
          <w:p w:rsidR="00B10409" w:rsidRPr="00D22292" w:rsidRDefault="00B10409" w:rsidP="00B10409">
            <w:pPr>
              <w:jc w:val="both"/>
              <w:rPr>
                <w:sz w:val="20"/>
                <w:szCs w:val="20"/>
              </w:rPr>
            </w:pPr>
            <w:r w:rsidRPr="00D22292">
              <w:rPr>
                <w:sz w:val="20"/>
                <w:szCs w:val="20"/>
              </w:rPr>
              <w:t>(Vézina, Kasirer and Bélanger JJ.A.)</w:t>
            </w:r>
          </w:p>
          <w:p w:rsidR="00B10409" w:rsidRPr="00D22292" w:rsidRDefault="00D22292" w:rsidP="00B10409">
            <w:pPr>
              <w:jc w:val="both"/>
              <w:rPr>
                <w:sz w:val="20"/>
                <w:szCs w:val="20"/>
              </w:rPr>
            </w:pPr>
            <w:hyperlink r:id="rId30" w:history="1">
              <w:r w:rsidR="00B10409" w:rsidRPr="00D22292">
                <w:rPr>
                  <w:rStyle w:val="Hyperlink"/>
                  <w:sz w:val="20"/>
                  <w:szCs w:val="20"/>
                </w:rPr>
                <w:t>2016 QCCA 1497</w:t>
              </w:r>
            </w:hyperlink>
          </w:p>
          <w:p w:rsidR="00B10409" w:rsidRPr="00D22292" w:rsidRDefault="00B10409" w:rsidP="00B10409">
            <w:pPr>
              <w:jc w:val="both"/>
              <w:rPr>
                <w:sz w:val="20"/>
                <w:szCs w:val="20"/>
              </w:rPr>
            </w:pPr>
          </w:p>
        </w:tc>
        <w:tc>
          <w:tcPr>
            <w:tcW w:w="243" w:type="pct"/>
          </w:tcPr>
          <w:p w:rsidR="00B10409" w:rsidRPr="00D22292" w:rsidRDefault="00B10409" w:rsidP="00B10409">
            <w:pPr>
              <w:jc w:val="both"/>
              <w:rPr>
                <w:sz w:val="20"/>
                <w:szCs w:val="20"/>
              </w:rPr>
            </w:pPr>
          </w:p>
        </w:tc>
        <w:tc>
          <w:tcPr>
            <w:tcW w:w="2330" w:type="pct"/>
          </w:tcPr>
          <w:p w:rsidR="00B10409" w:rsidRPr="00D22292" w:rsidRDefault="00B10409" w:rsidP="00B10409">
            <w:pPr>
              <w:jc w:val="both"/>
              <w:rPr>
                <w:sz w:val="20"/>
                <w:szCs w:val="20"/>
              </w:rPr>
            </w:pPr>
            <w:r w:rsidRPr="00D22292">
              <w:rPr>
                <w:sz w:val="20"/>
                <w:szCs w:val="20"/>
              </w:rPr>
              <w:t>Appeal dismissed</w:t>
            </w:r>
          </w:p>
          <w:p w:rsidR="00B10409" w:rsidRPr="00D22292" w:rsidRDefault="00B10409" w:rsidP="00B10409">
            <w:pPr>
              <w:jc w:val="both"/>
              <w:rPr>
                <w:sz w:val="20"/>
                <w:szCs w:val="20"/>
              </w:rPr>
            </w:pPr>
          </w:p>
        </w:tc>
      </w:tr>
      <w:tr w:rsidR="00B10409" w:rsidRPr="00D22292" w:rsidTr="00721473">
        <w:tc>
          <w:tcPr>
            <w:tcW w:w="2427" w:type="pct"/>
            <w:gridSpan w:val="2"/>
          </w:tcPr>
          <w:p w:rsidR="00B10409" w:rsidRPr="00D22292" w:rsidRDefault="00B10409" w:rsidP="00B10409">
            <w:pPr>
              <w:jc w:val="both"/>
              <w:rPr>
                <w:sz w:val="20"/>
                <w:szCs w:val="20"/>
              </w:rPr>
            </w:pPr>
            <w:r w:rsidRPr="00D22292">
              <w:rPr>
                <w:sz w:val="20"/>
                <w:szCs w:val="20"/>
              </w:rPr>
              <w:t>November 21, 2016</w:t>
            </w:r>
          </w:p>
          <w:p w:rsidR="00B10409" w:rsidRPr="00D22292" w:rsidRDefault="00B10409" w:rsidP="00B10409">
            <w:pPr>
              <w:jc w:val="both"/>
              <w:rPr>
                <w:sz w:val="20"/>
                <w:szCs w:val="20"/>
              </w:rPr>
            </w:pPr>
            <w:r w:rsidRPr="00D22292">
              <w:rPr>
                <w:sz w:val="20"/>
                <w:szCs w:val="20"/>
              </w:rPr>
              <w:t>Supreme Court of Canada</w:t>
            </w:r>
          </w:p>
        </w:tc>
        <w:tc>
          <w:tcPr>
            <w:tcW w:w="243" w:type="pct"/>
          </w:tcPr>
          <w:p w:rsidR="00B10409" w:rsidRPr="00D22292" w:rsidRDefault="00B10409" w:rsidP="00B10409">
            <w:pPr>
              <w:jc w:val="both"/>
              <w:rPr>
                <w:sz w:val="20"/>
                <w:szCs w:val="20"/>
              </w:rPr>
            </w:pPr>
          </w:p>
        </w:tc>
        <w:tc>
          <w:tcPr>
            <w:tcW w:w="2330" w:type="pct"/>
          </w:tcPr>
          <w:p w:rsidR="00B10409" w:rsidRPr="00D22292" w:rsidRDefault="00B10409" w:rsidP="00B10409">
            <w:pPr>
              <w:jc w:val="both"/>
              <w:rPr>
                <w:sz w:val="20"/>
                <w:szCs w:val="20"/>
              </w:rPr>
            </w:pPr>
            <w:r w:rsidRPr="00D22292">
              <w:rPr>
                <w:sz w:val="20"/>
                <w:szCs w:val="20"/>
              </w:rPr>
              <w:t>Application for leave to appeal filed</w:t>
            </w:r>
          </w:p>
          <w:p w:rsidR="00B10409" w:rsidRPr="00D22292" w:rsidRDefault="00B10409" w:rsidP="00B10409">
            <w:pPr>
              <w:jc w:val="both"/>
              <w:rPr>
                <w:sz w:val="20"/>
                <w:szCs w:val="20"/>
              </w:rPr>
            </w:pPr>
          </w:p>
        </w:tc>
      </w:tr>
    </w:tbl>
    <w:p w:rsidR="00755995" w:rsidRPr="00D22292" w:rsidRDefault="00D22292" w:rsidP="00755995">
      <w:pPr>
        <w:jc w:val="both"/>
        <w:rPr>
          <w:sz w:val="20"/>
        </w:rPr>
      </w:pPr>
      <w:r w:rsidRPr="00D22292">
        <w:rPr>
          <w:sz w:val="20"/>
          <w:szCs w:val="20"/>
        </w:rPr>
        <w:pict>
          <v:rect id="_x0000_i1040" style="width:2in;height:1pt" o:hrpct="0" o:hralign="center" o:hrstd="t" o:hrnoshade="t" o:hr="t" fillcolor="black" stroked="f"/>
        </w:pict>
      </w:r>
    </w:p>
    <w:p w:rsidR="00755995" w:rsidRPr="00D22292" w:rsidRDefault="00755995" w:rsidP="00755995">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5995" w:rsidRPr="00D22292" w:rsidTr="00721473">
        <w:tc>
          <w:tcPr>
            <w:tcW w:w="543" w:type="pct"/>
          </w:tcPr>
          <w:p w:rsidR="00755995" w:rsidRPr="00D22292" w:rsidRDefault="00755995" w:rsidP="00721473">
            <w:pPr>
              <w:jc w:val="both"/>
              <w:rPr>
                <w:sz w:val="20"/>
                <w:szCs w:val="20"/>
              </w:rPr>
            </w:pPr>
            <w:r w:rsidRPr="00D22292">
              <w:rPr>
                <w:rStyle w:val="SCCFileNumberChar"/>
                <w:sz w:val="20"/>
                <w:szCs w:val="20"/>
              </w:rPr>
              <w:t>37301</w:t>
            </w:r>
          </w:p>
        </w:tc>
        <w:tc>
          <w:tcPr>
            <w:tcW w:w="4457" w:type="pct"/>
            <w:gridSpan w:val="3"/>
          </w:tcPr>
          <w:p w:rsidR="00755995" w:rsidRPr="00D22292" w:rsidRDefault="00755995" w:rsidP="00721473">
            <w:pPr>
              <w:pStyle w:val="SCCLsocParty"/>
              <w:jc w:val="both"/>
              <w:rPr>
                <w:b/>
                <w:sz w:val="20"/>
                <w:szCs w:val="20"/>
              </w:rPr>
            </w:pPr>
            <w:r w:rsidRPr="00D22292">
              <w:rPr>
                <w:b/>
                <w:sz w:val="20"/>
                <w:szCs w:val="20"/>
              </w:rPr>
              <w:t>Rogers Communications s.e.n.c., faisant également affaire sous la raison sociale Rogers Sans-fil s.e.n.c. c. Mario Brière</w:t>
            </w:r>
          </w:p>
          <w:p w:rsidR="00755995" w:rsidRPr="00D22292" w:rsidRDefault="00755995" w:rsidP="00721473">
            <w:pPr>
              <w:jc w:val="both"/>
              <w:rPr>
                <w:sz w:val="20"/>
                <w:szCs w:val="20"/>
              </w:rPr>
            </w:pPr>
            <w:r w:rsidRPr="00D22292">
              <w:rPr>
                <w:sz w:val="20"/>
                <w:szCs w:val="20"/>
              </w:rPr>
              <w:t>(Qc) (Civile) (Autorisation)</w:t>
            </w:r>
          </w:p>
        </w:tc>
      </w:tr>
      <w:tr w:rsidR="00F92AD7" w:rsidRPr="00D22292" w:rsidTr="00721473">
        <w:tc>
          <w:tcPr>
            <w:tcW w:w="543" w:type="pct"/>
          </w:tcPr>
          <w:p w:rsidR="00F92AD7" w:rsidRPr="00D22292" w:rsidRDefault="00F92AD7" w:rsidP="00F92AD7">
            <w:pPr>
              <w:jc w:val="both"/>
              <w:rPr>
                <w:rStyle w:val="SCCFileNumberChar"/>
                <w:b w:val="0"/>
                <w:sz w:val="20"/>
                <w:szCs w:val="20"/>
              </w:rPr>
            </w:pPr>
            <w:r w:rsidRPr="00D22292">
              <w:rPr>
                <w:rStyle w:val="SCCFileNumberChar"/>
                <w:b w:val="0"/>
                <w:sz w:val="20"/>
                <w:szCs w:val="20"/>
              </w:rPr>
              <w:t xml:space="preserve">Coram: </w:t>
            </w:r>
          </w:p>
        </w:tc>
        <w:tc>
          <w:tcPr>
            <w:tcW w:w="4457" w:type="pct"/>
            <w:gridSpan w:val="3"/>
          </w:tcPr>
          <w:p w:rsidR="00F92AD7" w:rsidRPr="00D22292" w:rsidRDefault="00914665" w:rsidP="00F92AD7">
            <w:pPr>
              <w:rPr>
                <w:rFonts w:eastAsia="Calibri" w:cs="Times New Roman"/>
                <w:sz w:val="20"/>
                <w:szCs w:val="20"/>
                <w:u w:val="single"/>
                <w:lang w:val="fr-CA"/>
              </w:rPr>
            </w:pPr>
            <w:r w:rsidRPr="00D22292">
              <w:rPr>
                <w:rFonts w:eastAsia="Calibri" w:cs="Times New Roman"/>
                <w:sz w:val="20"/>
                <w:szCs w:val="20"/>
                <w:u w:val="single"/>
                <w:lang w:val="fr-CA"/>
              </w:rPr>
              <w:t xml:space="preserve">La juge en chef McLachlin et les juges Abella, Moldaver, Karakatsanis, Wagner, Gascon, Côté, Brown et Rowe </w:t>
            </w:r>
          </w:p>
          <w:p w:rsidR="00914665" w:rsidRPr="00D22292" w:rsidRDefault="00914665" w:rsidP="00F92AD7">
            <w:pPr>
              <w:rPr>
                <w:lang w:val="fr-CA"/>
              </w:rPr>
            </w:pPr>
          </w:p>
        </w:tc>
      </w:tr>
      <w:tr w:rsidR="00F92AD7" w:rsidRPr="00D22292" w:rsidTr="00721473">
        <w:tc>
          <w:tcPr>
            <w:tcW w:w="5000" w:type="pct"/>
            <w:gridSpan w:val="4"/>
          </w:tcPr>
          <w:p w:rsidR="00F92AD7" w:rsidRPr="00D22292" w:rsidRDefault="00914665" w:rsidP="00F92AD7">
            <w:pPr>
              <w:pStyle w:val="SCCBanSummary"/>
              <w:rPr>
                <w:rFonts w:eastAsiaTheme="minorHAnsi" w:cstheme="minorBidi"/>
                <w:smallCaps w:val="0"/>
                <w:sz w:val="20"/>
                <w:szCs w:val="20"/>
                <w:lang w:val="fr-CA"/>
              </w:rPr>
            </w:pPr>
            <w:r w:rsidRPr="00D22292">
              <w:rPr>
                <w:rFonts w:eastAsiaTheme="minorHAnsi" w:cstheme="minorBidi"/>
                <w:smallCaps w:val="0"/>
                <w:sz w:val="20"/>
                <w:szCs w:val="20"/>
                <w:lang w:val="fr-CA"/>
              </w:rPr>
              <w:t>La demande d’autorisation d’appel de l’arrêt de la Cour d’appel du Québec (Montréal), numéro 500-09-024972-150, 2016 QCCA 1497, daté du 20 septembre 2016, est rejetée avec dépens.</w:t>
            </w:r>
          </w:p>
          <w:p w:rsidR="00914665" w:rsidRPr="00D22292" w:rsidRDefault="00914665" w:rsidP="00914665">
            <w:pPr>
              <w:rPr>
                <w:lang w:val="fr-CA"/>
              </w:rPr>
            </w:pPr>
          </w:p>
        </w:tc>
      </w:tr>
      <w:tr w:rsidR="00F92AD7" w:rsidRPr="00D22292" w:rsidTr="00721473">
        <w:tc>
          <w:tcPr>
            <w:tcW w:w="5000" w:type="pct"/>
            <w:gridSpan w:val="4"/>
          </w:tcPr>
          <w:p w:rsidR="00F92AD7" w:rsidRPr="00D22292" w:rsidRDefault="00F92AD7" w:rsidP="00F92AD7">
            <w:pPr>
              <w:pStyle w:val="SCCBanSummary"/>
              <w:rPr>
                <w:sz w:val="20"/>
                <w:szCs w:val="20"/>
                <w:lang w:val="fr-CA"/>
              </w:rPr>
            </w:pPr>
            <w:r w:rsidRPr="00D22292">
              <w:rPr>
                <w:sz w:val="20"/>
                <w:szCs w:val="20"/>
                <w:lang w:val="fr-CA"/>
              </w:rPr>
              <w:t>(Ordonnance de mise sous scellés)</w:t>
            </w:r>
          </w:p>
          <w:p w:rsidR="00F92AD7" w:rsidRPr="00D22292" w:rsidRDefault="00F92AD7" w:rsidP="00F92AD7">
            <w:pPr>
              <w:jc w:val="both"/>
              <w:rPr>
                <w:sz w:val="20"/>
                <w:szCs w:val="20"/>
                <w:lang w:val="fr-CA"/>
              </w:rPr>
            </w:pPr>
          </w:p>
          <w:p w:rsidR="00F92AD7" w:rsidRPr="00D22292" w:rsidRDefault="00F92AD7" w:rsidP="00F92AD7">
            <w:pPr>
              <w:jc w:val="both"/>
              <w:rPr>
                <w:sz w:val="20"/>
                <w:szCs w:val="20"/>
              </w:rPr>
            </w:pPr>
            <w:r w:rsidRPr="00D22292">
              <w:rPr>
                <w:sz w:val="20"/>
                <w:szCs w:val="20"/>
                <w:lang w:val="fr-CA"/>
              </w:rPr>
              <w:t>Contrat ‒ Contrat de service ‒ Clause de frais de résiliation anticipée ‒ Clause abusive ‒ Droit de résiliation unilatérale ‒ Préjudice subi par le fournisseur de service ‒ La règle d’autorité de la chose jugée, qui réalise « un objectif d’intérêt public de protection de la sécurité et de la stabilité des rapports sociaux » (</w:t>
            </w:r>
            <w:r w:rsidRPr="00D22292">
              <w:rPr>
                <w:i/>
                <w:sz w:val="20"/>
                <w:szCs w:val="20"/>
                <w:lang w:val="fr-CA"/>
              </w:rPr>
              <w:t>Rocois Construction inc. c. Québec Ready Mix Inc</w:t>
            </w:r>
            <w:r w:rsidRPr="00D22292">
              <w:rPr>
                <w:sz w:val="20"/>
                <w:szCs w:val="20"/>
                <w:lang w:val="fr-CA"/>
              </w:rPr>
              <w:t xml:space="preserve">., [1990] 2 R.C.S. 440), interdit-elle de remettre en question les décisions interlocutoires qui tranchent des questions de fond? ‒ Plus particulièrement, le juge siégeant au mérite d’une action collective est-il lié pas le cadre juridique établi par le juge autorisateur et par sa détermination qu’une prétention du demandeur n’est pas fondée en droit? ‒ Le juge qui entend l’action collective au fond est-il forclos de réintroduire d’office, en l’absence de toute demande d’amendement, une question commune rejetée au stade de l’autorisation au motif que la prétention n’était pas fondée en droit? </w:t>
            </w:r>
            <w:r w:rsidRPr="00D22292">
              <w:rPr>
                <w:sz w:val="20"/>
                <w:szCs w:val="20"/>
              </w:rPr>
              <w:t xml:space="preserve">‒ </w:t>
            </w:r>
            <w:r w:rsidRPr="00D22292">
              <w:rPr>
                <w:i/>
                <w:sz w:val="20"/>
                <w:szCs w:val="20"/>
              </w:rPr>
              <w:t>Code civil du Québec</w:t>
            </w:r>
            <w:r w:rsidRPr="00D22292">
              <w:rPr>
                <w:sz w:val="20"/>
                <w:szCs w:val="20"/>
              </w:rPr>
              <w:t>,</w:t>
            </w:r>
            <w:r w:rsidRPr="00D22292">
              <w:rPr>
                <w:i/>
                <w:sz w:val="20"/>
                <w:szCs w:val="20"/>
              </w:rPr>
              <w:t xml:space="preserve"> </w:t>
            </w:r>
            <w:r w:rsidRPr="00D22292">
              <w:rPr>
                <w:sz w:val="20"/>
                <w:szCs w:val="20"/>
              </w:rPr>
              <w:t>art. 2125, 2129 et 1437.</w:t>
            </w:r>
          </w:p>
        </w:tc>
      </w:tr>
      <w:tr w:rsidR="00F92AD7" w:rsidRPr="00D22292" w:rsidTr="00721473">
        <w:tc>
          <w:tcPr>
            <w:tcW w:w="5000" w:type="pct"/>
            <w:gridSpan w:val="4"/>
          </w:tcPr>
          <w:p w:rsidR="00F92AD7" w:rsidRPr="00D22292" w:rsidRDefault="00F92AD7" w:rsidP="00F92AD7">
            <w:pPr>
              <w:jc w:val="both"/>
              <w:rPr>
                <w:sz w:val="20"/>
                <w:szCs w:val="20"/>
              </w:rPr>
            </w:pPr>
          </w:p>
        </w:tc>
      </w:tr>
      <w:tr w:rsidR="00F92AD7" w:rsidRPr="00D22292" w:rsidTr="00721473">
        <w:tc>
          <w:tcPr>
            <w:tcW w:w="5000" w:type="pct"/>
            <w:gridSpan w:val="4"/>
          </w:tcPr>
          <w:p w:rsidR="00F92AD7" w:rsidRPr="00D22292" w:rsidRDefault="00F92AD7" w:rsidP="00F92AD7">
            <w:pPr>
              <w:jc w:val="both"/>
              <w:rPr>
                <w:sz w:val="20"/>
                <w:szCs w:val="20"/>
                <w:lang w:val="fr-CA"/>
              </w:rPr>
            </w:pPr>
            <w:r w:rsidRPr="00D22292">
              <w:rPr>
                <w:sz w:val="20"/>
                <w:szCs w:val="20"/>
                <w:lang w:val="fr-CA"/>
              </w:rPr>
              <w:t>L’intimé, Monsieur Mario Brière a intenté un recours collectif contre la demanderesse, Rogers Communications s.e.n.c., afin d’obtenir le remboursement de frais de résiliation anticipée facturés des suites de la résiliation de son contrat de services de téléphonie cellulaire avant la fin du terme prévu ainsi que des dommages punitifs.</w:t>
            </w:r>
          </w:p>
          <w:p w:rsidR="00F92AD7" w:rsidRPr="00D22292" w:rsidRDefault="00F92AD7" w:rsidP="00F92AD7">
            <w:pPr>
              <w:jc w:val="both"/>
              <w:rPr>
                <w:sz w:val="20"/>
                <w:szCs w:val="20"/>
                <w:lang w:val="fr-CA"/>
              </w:rPr>
            </w:pPr>
          </w:p>
        </w:tc>
      </w:tr>
      <w:tr w:rsidR="00F92AD7" w:rsidRPr="00D22292" w:rsidTr="00721473">
        <w:tc>
          <w:tcPr>
            <w:tcW w:w="2427" w:type="pct"/>
            <w:gridSpan w:val="2"/>
          </w:tcPr>
          <w:p w:rsidR="00F92AD7" w:rsidRPr="00D22292" w:rsidRDefault="00F92AD7" w:rsidP="00F92AD7">
            <w:pPr>
              <w:jc w:val="both"/>
              <w:rPr>
                <w:sz w:val="20"/>
                <w:szCs w:val="20"/>
                <w:lang w:val="fr-CA"/>
              </w:rPr>
            </w:pPr>
            <w:r w:rsidRPr="00D22292">
              <w:rPr>
                <w:sz w:val="20"/>
                <w:szCs w:val="20"/>
                <w:lang w:val="fr-CA"/>
              </w:rPr>
              <w:lastRenderedPageBreak/>
              <w:t>Le 5 décembre 2014</w:t>
            </w:r>
          </w:p>
          <w:p w:rsidR="00F92AD7" w:rsidRPr="00D22292" w:rsidRDefault="00F92AD7" w:rsidP="00F92AD7">
            <w:pPr>
              <w:jc w:val="both"/>
              <w:rPr>
                <w:sz w:val="20"/>
                <w:szCs w:val="20"/>
                <w:lang w:val="fr-CA"/>
              </w:rPr>
            </w:pPr>
            <w:r w:rsidRPr="00D22292">
              <w:rPr>
                <w:sz w:val="20"/>
                <w:szCs w:val="20"/>
                <w:lang w:val="fr-CA"/>
              </w:rPr>
              <w:t>Cour supérieure du Québec</w:t>
            </w:r>
          </w:p>
          <w:p w:rsidR="00F92AD7" w:rsidRPr="00D22292" w:rsidRDefault="00F92AD7" w:rsidP="00F92AD7">
            <w:pPr>
              <w:jc w:val="both"/>
              <w:rPr>
                <w:sz w:val="20"/>
                <w:szCs w:val="20"/>
              </w:rPr>
            </w:pPr>
            <w:r w:rsidRPr="00D22292">
              <w:rPr>
                <w:sz w:val="20"/>
                <w:szCs w:val="20"/>
              </w:rPr>
              <w:t>(Le juge Nollet)</w:t>
            </w:r>
          </w:p>
          <w:p w:rsidR="00F92AD7" w:rsidRPr="00D22292" w:rsidRDefault="00D22292" w:rsidP="00F92AD7">
            <w:pPr>
              <w:jc w:val="both"/>
              <w:rPr>
                <w:sz w:val="20"/>
                <w:szCs w:val="20"/>
              </w:rPr>
            </w:pPr>
            <w:hyperlink r:id="rId31" w:history="1">
              <w:r w:rsidR="00F92AD7" w:rsidRPr="00D22292">
                <w:rPr>
                  <w:rStyle w:val="Hyperlink"/>
                  <w:sz w:val="20"/>
                  <w:szCs w:val="20"/>
                </w:rPr>
                <w:t>2014 QCCS 5917</w:t>
              </w:r>
            </w:hyperlink>
          </w:p>
          <w:p w:rsidR="00F92AD7" w:rsidRPr="00D22292" w:rsidRDefault="00F92AD7" w:rsidP="00F92AD7">
            <w:pPr>
              <w:jc w:val="both"/>
              <w:rPr>
                <w:sz w:val="20"/>
                <w:szCs w:val="20"/>
                <w:lang w:val="fr-FR"/>
              </w:rPr>
            </w:pPr>
          </w:p>
        </w:tc>
        <w:tc>
          <w:tcPr>
            <w:tcW w:w="243" w:type="pct"/>
          </w:tcPr>
          <w:p w:rsidR="00F92AD7" w:rsidRPr="00D22292" w:rsidRDefault="00F92AD7" w:rsidP="00F92AD7">
            <w:pPr>
              <w:jc w:val="both"/>
              <w:rPr>
                <w:sz w:val="20"/>
                <w:szCs w:val="20"/>
                <w:lang w:val="fr-FR"/>
              </w:rPr>
            </w:pPr>
          </w:p>
        </w:tc>
        <w:tc>
          <w:tcPr>
            <w:tcW w:w="2330" w:type="pct"/>
          </w:tcPr>
          <w:p w:rsidR="00F92AD7" w:rsidRPr="00D22292" w:rsidRDefault="00F92AD7" w:rsidP="00F92AD7">
            <w:pPr>
              <w:jc w:val="both"/>
              <w:rPr>
                <w:sz w:val="20"/>
                <w:szCs w:val="20"/>
                <w:lang w:val="fr-CA"/>
              </w:rPr>
            </w:pPr>
            <w:r w:rsidRPr="00D22292">
              <w:rPr>
                <w:sz w:val="20"/>
                <w:szCs w:val="20"/>
                <w:lang w:val="fr-CA"/>
              </w:rPr>
              <w:t>Recours collectif accueilli en partie.</w:t>
            </w:r>
          </w:p>
          <w:p w:rsidR="00F92AD7" w:rsidRPr="00D22292" w:rsidRDefault="00F92AD7" w:rsidP="00F92AD7">
            <w:pPr>
              <w:jc w:val="both"/>
              <w:rPr>
                <w:sz w:val="20"/>
                <w:szCs w:val="20"/>
                <w:lang w:val="fr-CA"/>
              </w:rPr>
            </w:pPr>
          </w:p>
        </w:tc>
      </w:tr>
      <w:tr w:rsidR="00F92AD7" w:rsidRPr="00D22292" w:rsidTr="00721473">
        <w:tc>
          <w:tcPr>
            <w:tcW w:w="2427" w:type="pct"/>
            <w:gridSpan w:val="2"/>
          </w:tcPr>
          <w:p w:rsidR="00F92AD7" w:rsidRPr="00D22292" w:rsidRDefault="00F92AD7" w:rsidP="00F92AD7">
            <w:pPr>
              <w:jc w:val="both"/>
              <w:rPr>
                <w:sz w:val="20"/>
                <w:szCs w:val="20"/>
                <w:lang w:val="fr-CA"/>
              </w:rPr>
            </w:pPr>
            <w:r w:rsidRPr="00D22292">
              <w:rPr>
                <w:sz w:val="20"/>
                <w:szCs w:val="20"/>
                <w:lang w:val="fr-CA"/>
              </w:rPr>
              <w:t>Le 20 septembre 2016</w:t>
            </w:r>
          </w:p>
          <w:p w:rsidR="00F92AD7" w:rsidRPr="00D22292" w:rsidRDefault="00F92AD7" w:rsidP="00F92AD7">
            <w:pPr>
              <w:jc w:val="both"/>
              <w:rPr>
                <w:sz w:val="20"/>
                <w:szCs w:val="20"/>
                <w:lang w:val="fr-CA"/>
              </w:rPr>
            </w:pPr>
            <w:r w:rsidRPr="00D22292">
              <w:rPr>
                <w:sz w:val="20"/>
                <w:szCs w:val="20"/>
                <w:lang w:val="fr-CA"/>
              </w:rPr>
              <w:t>Cour d’appel du Québec (Montréal)</w:t>
            </w:r>
          </w:p>
          <w:p w:rsidR="00F92AD7" w:rsidRPr="00D22292" w:rsidRDefault="00F92AD7" w:rsidP="00F92AD7">
            <w:pPr>
              <w:jc w:val="both"/>
              <w:rPr>
                <w:sz w:val="20"/>
                <w:szCs w:val="20"/>
                <w:lang w:val="fr-CA"/>
              </w:rPr>
            </w:pPr>
            <w:r w:rsidRPr="00D22292">
              <w:rPr>
                <w:sz w:val="20"/>
                <w:szCs w:val="20"/>
                <w:lang w:val="fr-CA"/>
              </w:rPr>
              <w:t>(Les juges Vézina, Kasirer et Bélanger)</w:t>
            </w:r>
          </w:p>
          <w:p w:rsidR="00F92AD7" w:rsidRPr="00D22292" w:rsidRDefault="00D22292" w:rsidP="00F92AD7">
            <w:pPr>
              <w:jc w:val="both"/>
              <w:rPr>
                <w:sz w:val="20"/>
                <w:szCs w:val="20"/>
              </w:rPr>
            </w:pPr>
            <w:hyperlink r:id="rId32" w:history="1">
              <w:r w:rsidR="00F92AD7" w:rsidRPr="00D22292">
                <w:rPr>
                  <w:rStyle w:val="Hyperlink"/>
                  <w:sz w:val="20"/>
                  <w:szCs w:val="20"/>
                </w:rPr>
                <w:t>2016 QCCA 1497</w:t>
              </w:r>
            </w:hyperlink>
          </w:p>
          <w:p w:rsidR="00F92AD7" w:rsidRPr="00D22292" w:rsidRDefault="00F92AD7" w:rsidP="00F92AD7">
            <w:pPr>
              <w:jc w:val="both"/>
              <w:rPr>
                <w:sz w:val="20"/>
                <w:szCs w:val="20"/>
                <w:lang w:val="fr-FR"/>
              </w:rPr>
            </w:pPr>
          </w:p>
        </w:tc>
        <w:tc>
          <w:tcPr>
            <w:tcW w:w="243" w:type="pct"/>
          </w:tcPr>
          <w:p w:rsidR="00F92AD7" w:rsidRPr="00D22292" w:rsidRDefault="00F92AD7" w:rsidP="00F92AD7">
            <w:pPr>
              <w:jc w:val="both"/>
              <w:rPr>
                <w:sz w:val="20"/>
                <w:szCs w:val="20"/>
                <w:lang w:val="fr-FR"/>
              </w:rPr>
            </w:pPr>
          </w:p>
        </w:tc>
        <w:tc>
          <w:tcPr>
            <w:tcW w:w="2330" w:type="pct"/>
          </w:tcPr>
          <w:p w:rsidR="00F92AD7" w:rsidRPr="00D22292" w:rsidRDefault="00F92AD7" w:rsidP="00F92AD7">
            <w:pPr>
              <w:jc w:val="both"/>
              <w:rPr>
                <w:sz w:val="20"/>
                <w:szCs w:val="20"/>
              </w:rPr>
            </w:pPr>
            <w:r w:rsidRPr="00D22292">
              <w:rPr>
                <w:sz w:val="20"/>
                <w:szCs w:val="20"/>
              </w:rPr>
              <w:t>Appel rejeté.</w:t>
            </w:r>
          </w:p>
          <w:p w:rsidR="00F92AD7" w:rsidRPr="00D22292" w:rsidRDefault="00F92AD7" w:rsidP="00F92AD7">
            <w:pPr>
              <w:jc w:val="both"/>
              <w:rPr>
                <w:sz w:val="20"/>
                <w:szCs w:val="20"/>
              </w:rPr>
            </w:pPr>
          </w:p>
        </w:tc>
      </w:tr>
      <w:tr w:rsidR="00F92AD7" w:rsidRPr="00D22292" w:rsidTr="00721473">
        <w:tc>
          <w:tcPr>
            <w:tcW w:w="2427" w:type="pct"/>
            <w:gridSpan w:val="2"/>
          </w:tcPr>
          <w:p w:rsidR="00F92AD7" w:rsidRPr="00D22292" w:rsidRDefault="00F92AD7" w:rsidP="00F92AD7">
            <w:pPr>
              <w:jc w:val="both"/>
              <w:rPr>
                <w:sz w:val="20"/>
                <w:szCs w:val="20"/>
                <w:lang w:val="fr-CA"/>
              </w:rPr>
            </w:pPr>
            <w:r w:rsidRPr="00D22292">
              <w:rPr>
                <w:sz w:val="20"/>
                <w:szCs w:val="20"/>
                <w:lang w:val="fr-CA"/>
              </w:rPr>
              <w:t>Le 21 novembre 2016</w:t>
            </w:r>
          </w:p>
          <w:p w:rsidR="00F92AD7" w:rsidRPr="00D22292" w:rsidRDefault="00F92AD7" w:rsidP="00F92AD7">
            <w:pPr>
              <w:jc w:val="both"/>
              <w:rPr>
                <w:sz w:val="20"/>
                <w:szCs w:val="20"/>
                <w:lang w:val="fr-FR"/>
              </w:rPr>
            </w:pPr>
            <w:r w:rsidRPr="00D22292">
              <w:rPr>
                <w:sz w:val="20"/>
                <w:szCs w:val="20"/>
                <w:lang w:val="fr-CA"/>
              </w:rPr>
              <w:t>Cour suprême du Canada</w:t>
            </w:r>
          </w:p>
        </w:tc>
        <w:tc>
          <w:tcPr>
            <w:tcW w:w="243" w:type="pct"/>
          </w:tcPr>
          <w:p w:rsidR="00F92AD7" w:rsidRPr="00D22292" w:rsidRDefault="00F92AD7" w:rsidP="00F92AD7">
            <w:pPr>
              <w:jc w:val="both"/>
              <w:rPr>
                <w:sz w:val="20"/>
                <w:szCs w:val="20"/>
                <w:lang w:val="fr-FR"/>
              </w:rPr>
            </w:pPr>
          </w:p>
        </w:tc>
        <w:tc>
          <w:tcPr>
            <w:tcW w:w="2330" w:type="pct"/>
          </w:tcPr>
          <w:p w:rsidR="00F92AD7" w:rsidRPr="00D22292" w:rsidRDefault="00F92AD7" w:rsidP="00F92AD7">
            <w:pPr>
              <w:jc w:val="both"/>
              <w:rPr>
                <w:sz w:val="20"/>
                <w:szCs w:val="20"/>
              </w:rPr>
            </w:pPr>
            <w:r w:rsidRPr="00D22292">
              <w:rPr>
                <w:sz w:val="20"/>
                <w:szCs w:val="20"/>
              </w:rPr>
              <w:t>Demande d'autorisation d'appel déposée.</w:t>
            </w:r>
          </w:p>
          <w:p w:rsidR="00F92AD7" w:rsidRPr="00D22292" w:rsidRDefault="00F92AD7" w:rsidP="00F92AD7">
            <w:pPr>
              <w:jc w:val="both"/>
              <w:rPr>
                <w:sz w:val="20"/>
                <w:szCs w:val="20"/>
              </w:rPr>
            </w:pPr>
          </w:p>
        </w:tc>
      </w:tr>
    </w:tbl>
    <w:p w:rsidR="00755995" w:rsidRPr="00D22292" w:rsidRDefault="00D22292" w:rsidP="00755995">
      <w:pPr>
        <w:jc w:val="both"/>
        <w:rPr>
          <w:sz w:val="20"/>
          <w:szCs w:val="20"/>
        </w:rPr>
      </w:pPr>
      <w:r w:rsidRPr="00D22292">
        <w:rPr>
          <w:sz w:val="20"/>
          <w:szCs w:val="20"/>
        </w:rPr>
        <w:pict>
          <v:rect id="_x0000_i1041" style="width:2in;height:1pt" o:hrpct="0" o:hralign="center" o:hrstd="t" o:hrnoshade="t" o:hr="t" fillcolor="black" stroked="f"/>
        </w:pict>
      </w:r>
    </w:p>
    <w:p w:rsidR="00755995" w:rsidRPr="00D22292" w:rsidRDefault="00755995" w:rsidP="00755995">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5995" w:rsidRPr="00D22292" w:rsidTr="00721473">
        <w:tc>
          <w:tcPr>
            <w:tcW w:w="543" w:type="pct"/>
          </w:tcPr>
          <w:p w:rsidR="00755995" w:rsidRPr="00D22292" w:rsidRDefault="00755995" w:rsidP="00721473">
            <w:pPr>
              <w:jc w:val="both"/>
              <w:rPr>
                <w:sz w:val="20"/>
                <w:szCs w:val="20"/>
              </w:rPr>
            </w:pPr>
            <w:r w:rsidRPr="00D22292">
              <w:rPr>
                <w:rStyle w:val="SCCFileNumberChar"/>
                <w:sz w:val="20"/>
                <w:szCs w:val="20"/>
              </w:rPr>
              <w:t>37451</w:t>
            </w:r>
          </w:p>
        </w:tc>
        <w:tc>
          <w:tcPr>
            <w:tcW w:w="4457" w:type="pct"/>
            <w:gridSpan w:val="3"/>
          </w:tcPr>
          <w:p w:rsidR="00755995" w:rsidRPr="00D22292" w:rsidRDefault="00755995" w:rsidP="00721473">
            <w:pPr>
              <w:pStyle w:val="SCCLsocParty"/>
              <w:jc w:val="both"/>
              <w:rPr>
                <w:b/>
                <w:sz w:val="20"/>
                <w:szCs w:val="20"/>
                <w:lang w:val="en-US"/>
              </w:rPr>
            </w:pPr>
            <w:r w:rsidRPr="00D22292">
              <w:rPr>
                <w:b/>
                <w:sz w:val="20"/>
                <w:szCs w:val="20"/>
                <w:lang w:val="en-US"/>
              </w:rPr>
              <w:t>Leo-Progress Enterprises Inc. v. Mariner Foods Limited</w:t>
            </w:r>
          </w:p>
          <w:p w:rsidR="00755995" w:rsidRPr="00D22292" w:rsidRDefault="00755995" w:rsidP="00721473">
            <w:pPr>
              <w:jc w:val="both"/>
              <w:rPr>
                <w:sz w:val="20"/>
                <w:szCs w:val="20"/>
              </w:rPr>
            </w:pPr>
            <w:r w:rsidRPr="00D22292">
              <w:rPr>
                <w:sz w:val="20"/>
                <w:szCs w:val="20"/>
              </w:rPr>
              <w:t>(Ont.) (Civil) (By Leave)</w:t>
            </w:r>
          </w:p>
        </w:tc>
      </w:tr>
      <w:tr w:rsidR="00B10409" w:rsidRPr="00D22292" w:rsidTr="00721473">
        <w:tc>
          <w:tcPr>
            <w:tcW w:w="543" w:type="pct"/>
          </w:tcPr>
          <w:p w:rsidR="00B10409" w:rsidRPr="00D22292" w:rsidRDefault="00B10409" w:rsidP="00B10409">
            <w:pPr>
              <w:jc w:val="both"/>
              <w:rPr>
                <w:rStyle w:val="SCCFileNumberChar"/>
                <w:b w:val="0"/>
                <w:sz w:val="20"/>
                <w:szCs w:val="20"/>
              </w:rPr>
            </w:pPr>
            <w:r w:rsidRPr="00D22292">
              <w:rPr>
                <w:rStyle w:val="SCCFileNumberChar"/>
                <w:b w:val="0"/>
                <w:sz w:val="20"/>
                <w:szCs w:val="20"/>
              </w:rPr>
              <w:t xml:space="preserve">Coram: </w:t>
            </w:r>
          </w:p>
        </w:tc>
        <w:tc>
          <w:tcPr>
            <w:tcW w:w="4457" w:type="pct"/>
            <w:gridSpan w:val="3"/>
          </w:tcPr>
          <w:p w:rsidR="00B10409" w:rsidRPr="00D22292" w:rsidRDefault="003B0E28" w:rsidP="00B10409">
            <w:pPr>
              <w:rPr>
                <w:rFonts w:eastAsia="Calibri" w:cs="Times New Roman"/>
                <w:sz w:val="20"/>
                <w:szCs w:val="20"/>
                <w:u w:val="single"/>
              </w:rPr>
            </w:pPr>
            <w:r w:rsidRPr="00D22292">
              <w:rPr>
                <w:rFonts w:eastAsia="Calibri" w:cs="Times New Roman"/>
                <w:sz w:val="20"/>
                <w:szCs w:val="20"/>
                <w:u w:val="single"/>
              </w:rPr>
              <w:t>McLachlin C.J. and Abella, Moldaver, Karakatsanis, Wagner, Gascon, Côté, Brown and Rowe JJ.</w:t>
            </w:r>
          </w:p>
          <w:p w:rsidR="003B0E28" w:rsidRPr="00D22292" w:rsidRDefault="003B0E28" w:rsidP="00B10409"/>
        </w:tc>
      </w:tr>
      <w:tr w:rsidR="00B10409" w:rsidRPr="00D22292" w:rsidTr="00721473">
        <w:tc>
          <w:tcPr>
            <w:tcW w:w="5000" w:type="pct"/>
            <w:gridSpan w:val="4"/>
          </w:tcPr>
          <w:p w:rsidR="00B10409" w:rsidRPr="00D22292" w:rsidRDefault="003B0E28" w:rsidP="00B10409">
            <w:pPr>
              <w:jc w:val="both"/>
              <w:rPr>
                <w:rFonts w:eastAsiaTheme="minorEastAsia" w:cs="Times New Roman"/>
                <w:iCs/>
                <w:sz w:val="20"/>
                <w:szCs w:val="20"/>
                <w:lang w:val="en-US" w:eastAsia="en-CA"/>
              </w:rPr>
            </w:pPr>
            <w:r w:rsidRPr="00D22292">
              <w:rPr>
                <w:sz w:val="20"/>
                <w:szCs w:val="20"/>
              </w:rPr>
              <w:t xml:space="preserve">The application for leave to appeal from the judgment of the Court of Appeal for Ontario, Number C61380, 2017 ONCA 7, dated December 23, 2016, </w:t>
            </w:r>
            <w:r w:rsidRPr="00D22292">
              <w:rPr>
                <w:rFonts w:eastAsiaTheme="minorEastAsia" w:cs="Times New Roman"/>
                <w:sz w:val="20"/>
                <w:szCs w:val="20"/>
                <w:lang w:val="en-US" w:eastAsia="en-CA"/>
              </w:rPr>
              <w:t xml:space="preserve">is dismissed with costs to the respondent in accordance with the Tariff of fees and disbursements set out in Schedule B of the </w:t>
            </w:r>
            <w:r w:rsidRPr="00D22292">
              <w:rPr>
                <w:rFonts w:eastAsiaTheme="minorEastAsia" w:cs="Times New Roman"/>
                <w:i/>
                <w:iCs/>
                <w:sz w:val="20"/>
                <w:szCs w:val="20"/>
                <w:lang w:val="en-US" w:eastAsia="en-CA"/>
              </w:rPr>
              <w:t>Rules of the Supreme Court of Canada</w:t>
            </w:r>
            <w:r w:rsidRPr="00D22292">
              <w:rPr>
                <w:rFonts w:eastAsiaTheme="minorEastAsia" w:cs="Times New Roman"/>
                <w:iCs/>
                <w:sz w:val="20"/>
                <w:szCs w:val="20"/>
                <w:lang w:val="en-US" w:eastAsia="en-CA"/>
              </w:rPr>
              <w:t>.</w:t>
            </w:r>
          </w:p>
          <w:p w:rsidR="003B0E28" w:rsidRPr="00D22292" w:rsidRDefault="003B0E28" w:rsidP="00B10409">
            <w:pPr>
              <w:jc w:val="both"/>
              <w:rPr>
                <w:sz w:val="20"/>
                <w:szCs w:val="20"/>
              </w:rPr>
            </w:pPr>
          </w:p>
        </w:tc>
      </w:tr>
      <w:tr w:rsidR="00B10409" w:rsidRPr="00D22292" w:rsidTr="00721473">
        <w:tc>
          <w:tcPr>
            <w:tcW w:w="5000" w:type="pct"/>
            <w:gridSpan w:val="4"/>
          </w:tcPr>
          <w:p w:rsidR="00B10409" w:rsidRPr="00D22292" w:rsidRDefault="00B10409" w:rsidP="00B10409">
            <w:pPr>
              <w:jc w:val="both"/>
              <w:rPr>
                <w:sz w:val="20"/>
                <w:szCs w:val="20"/>
              </w:rPr>
            </w:pPr>
            <w:r w:rsidRPr="00D22292">
              <w:rPr>
                <w:sz w:val="20"/>
                <w:szCs w:val="20"/>
              </w:rPr>
              <w:t>Bankruptcy and Insolvency – Insurance – Evidence – Effect of i</w:t>
            </w:r>
            <w:r w:rsidRPr="00D22292">
              <w:rPr>
                <w:color w:val="2A2828"/>
                <w:w w:val="105"/>
                <w:sz w:val="20"/>
                <w:szCs w:val="20"/>
              </w:rPr>
              <w:t xml:space="preserve">nsured’s assignment into administration and subsequent entry into liquidation on a </w:t>
            </w:r>
            <w:r w:rsidRPr="00D22292">
              <w:rPr>
                <w:sz w:val="20"/>
                <w:szCs w:val="20"/>
              </w:rPr>
              <w:t xml:space="preserve">credit insurer’s </w:t>
            </w:r>
            <w:r w:rsidRPr="00D22292">
              <w:rPr>
                <w:color w:val="2A2828"/>
                <w:w w:val="105"/>
                <w:sz w:val="20"/>
                <w:szCs w:val="20"/>
              </w:rPr>
              <w:t>interest</w:t>
            </w:r>
            <w:r w:rsidRPr="00D22292">
              <w:rPr>
                <w:color w:val="2A2828"/>
                <w:spacing w:val="-5"/>
                <w:w w:val="105"/>
                <w:sz w:val="20"/>
                <w:szCs w:val="20"/>
              </w:rPr>
              <w:t xml:space="preserve"> in the insured’s right of action </w:t>
            </w:r>
            <w:r w:rsidRPr="00D22292">
              <w:rPr>
                <w:color w:val="2A2828"/>
                <w:w w:val="105"/>
                <w:sz w:val="20"/>
                <w:szCs w:val="20"/>
              </w:rPr>
              <w:t>for breach of contract – Whether relevant</w:t>
            </w:r>
            <w:r w:rsidRPr="00D22292">
              <w:rPr>
                <w:color w:val="2A2828"/>
                <w:spacing w:val="-1"/>
                <w:w w:val="105"/>
                <w:sz w:val="20"/>
                <w:szCs w:val="20"/>
              </w:rPr>
              <w:t xml:space="preserve"> </w:t>
            </w:r>
            <w:r w:rsidRPr="00D22292">
              <w:rPr>
                <w:color w:val="2A2828"/>
                <w:w w:val="105"/>
                <w:sz w:val="20"/>
                <w:szCs w:val="20"/>
              </w:rPr>
              <w:t>law</w:t>
            </w:r>
            <w:r w:rsidRPr="00D22292">
              <w:rPr>
                <w:color w:val="2A2828"/>
                <w:spacing w:val="-11"/>
                <w:w w:val="105"/>
                <w:sz w:val="20"/>
                <w:szCs w:val="20"/>
              </w:rPr>
              <w:t xml:space="preserve"> </w:t>
            </w:r>
            <w:r w:rsidRPr="00D22292">
              <w:rPr>
                <w:color w:val="2A2828"/>
                <w:w w:val="105"/>
                <w:sz w:val="20"/>
                <w:szCs w:val="20"/>
              </w:rPr>
              <w:t>is</w:t>
            </w:r>
            <w:r w:rsidRPr="00D22292">
              <w:rPr>
                <w:color w:val="2A2828"/>
                <w:spacing w:val="-7"/>
                <w:w w:val="105"/>
                <w:sz w:val="20"/>
                <w:szCs w:val="20"/>
              </w:rPr>
              <w:t xml:space="preserve"> </w:t>
            </w:r>
            <w:r w:rsidRPr="00D22292">
              <w:rPr>
                <w:color w:val="2A2828"/>
                <w:w w:val="105"/>
                <w:sz w:val="20"/>
                <w:szCs w:val="20"/>
              </w:rPr>
              <w:t>unsettled</w:t>
            </w:r>
            <w:r w:rsidRPr="00D22292">
              <w:rPr>
                <w:color w:val="2A2828"/>
                <w:spacing w:val="-3"/>
                <w:w w:val="105"/>
                <w:sz w:val="20"/>
                <w:szCs w:val="20"/>
              </w:rPr>
              <w:t xml:space="preserve"> </w:t>
            </w:r>
            <w:r w:rsidRPr="00D22292">
              <w:rPr>
                <w:color w:val="2A2828"/>
                <w:w w:val="105"/>
                <w:sz w:val="20"/>
                <w:szCs w:val="20"/>
              </w:rPr>
              <w:t>– Sufficiency of</w:t>
            </w:r>
            <w:r w:rsidRPr="00D22292">
              <w:rPr>
                <w:color w:val="2A2828"/>
                <w:spacing w:val="1"/>
                <w:w w:val="105"/>
                <w:sz w:val="20"/>
                <w:szCs w:val="20"/>
              </w:rPr>
              <w:t xml:space="preserve"> </w:t>
            </w:r>
            <w:r w:rsidRPr="00D22292">
              <w:rPr>
                <w:color w:val="2A2828"/>
                <w:w w:val="105"/>
                <w:sz w:val="20"/>
                <w:szCs w:val="20"/>
              </w:rPr>
              <w:t>evidence of subrogation</w:t>
            </w:r>
            <w:r w:rsidRPr="00D22292">
              <w:rPr>
                <w:color w:val="2A2828"/>
                <w:spacing w:val="-6"/>
                <w:w w:val="105"/>
                <w:sz w:val="20"/>
                <w:szCs w:val="20"/>
              </w:rPr>
              <w:t xml:space="preserve"> </w:t>
            </w:r>
            <w:r w:rsidRPr="00D22292">
              <w:rPr>
                <w:color w:val="2A2828"/>
                <w:w w:val="105"/>
                <w:sz w:val="20"/>
                <w:szCs w:val="20"/>
              </w:rPr>
              <w:t>– Whether fresh</w:t>
            </w:r>
            <w:r w:rsidRPr="00D22292">
              <w:rPr>
                <w:color w:val="2A2828"/>
                <w:spacing w:val="-3"/>
                <w:w w:val="105"/>
                <w:sz w:val="20"/>
                <w:szCs w:val="20"/>
              </w:rPr>
              <w:t xml:space="preserve"> </w:t>
            </w:r>
            <w:r w:rsidRPr="00D22292">
              <w:rPr>
                <w:color w:val="2A2828"/>
                <w:w w:val="105"/>
                <w:sz w:val="20"/>
                <w:szCs w:val="20"/>
              </w:rPr>
              <w:t>evidence</w:t>
            </w:r>
            <w:r w:rsidRPr="00D22292">
              <w:rPr>
                <w:color w:val="2A2828"/>
                <w:spacing w:val="-9"/>
                <w:w w:val="105"/>
                <w:sz w:val="20"/>
                <w:szCs w:val="20"/>
              </w:rPr>
              <w:t xml:space="preserve"> </w:t>
            </w:r>
            <w:r w:rsidRPr="00D22292">
              <w:rPr>
                <w:color w:val="2A2828"/>
                <w:w w:val="105"/>
                <w:sz w:val="20"/>
                <w:szCs w:val="20"/>
              </w:rPr>
              <w:t>was</w:t>
            </w:r>
            <w:r w:rsidRPr="00D22292">
              <w:rPr>
                <w:color w:val="2A2828"/>
                <w:spacing w:val="-14"/>
                <w:w w:val="105"/>
                <w:sz w:val="20"/>
                <w:szCs w:val="20"/>
              </w:rPr>
              <w:t xml:space="preserve"> </w:t>
            </w:r>
            <w:r w:rsidRPr="00D22292">
              <w:rPr>
                <w:color w:val="2A2828"/>
                <w:w w:val="105"/>
                <w:sz w:val="20"/>
                <w:szCs w:val="20"/>
              </w:rPr>
              <w:t>capable</w:t>
            </w:r>
            <w:r w:rsidRPr="00D22292">
              <w:rPr>
                <w:color w:val="2A2828"/>
                <w:spacing w:val="1"/>
                <w:w w:val="105"/>
                <w:sz w:val="20"/>
                <w:szCs w:val="20"/>
              </w:rPr>
              <w:t xml:space="preserve"> </w:t>
            </w:r>
            <w:r w:rsidRPr="00D22292">
              <w:rPr>
                <w:color w:val="2A2828"/>
                <w:w w:val="105"/>
                <w:sz w:val="20"/>
                <w:szCs w:val="20"/>
              </w:rPr>
              <w:t>of</w:t>
            </w:r>
            <w:r w:rsidRPr="00D22292">
              <w:rPr>
                <w:color w:val="2A2828"/>
                <w:spacing w:val="-11"/>
                <w:w w:val="105"/>
                <w:sz w:val="20"/>
                <w:szCs w:val="20"/>
              </w:rPr>
              <w:t xml:space="preserve"> </w:t>
            </w:r>
            <w:r w:rsidRPr="00D22292">
              <w:rPr>
                <w:color w:val="2A2828"/>
                <w:w w:val="105"/>
                <w:sz w:val="20"/>
                <w:szCs w:val="20"/>
              </w:rPr>
              <w:t>affecting</w:t>
            </w:r>
            <w:r w:rsidRPr="00D22292">
              <w:rPr>
                <w:color w:val="2A2828"/>
                <w:spacing w:val="-9"/>
                <w:w w:val="105"/>
                <w:sz w:val="20"/>
                <w:szCs w:val="20"/>
              </w:rPr>
              <w:t xml:space="preserve"> </w:t>
            </w:r>
            <w:r w:rsidRPr="00D22292">
              <w:rPr>
                <w:color w:val="2A2828"/>
                <w:w w:val="105"/>
                <w:sz w:val="20"/>
                <w:szCs w:val="20"/>
              </w:rPr>
              <w:t>outcome</w:t>
            </w:r>
            <w:r w:rsidRPr="00D22292">
              <w:rPr>
                <w:color w:val="2A2828"/>
                <w:spacing w:val="-13"/>
                <w:w w:val="105"/>
                <w:sz w:val="20"/>
                <w:szCs w:val="20"/>
              </w:rPr>
              <w:t xml:space="preserve"> </w:t>
            </w:r>
            <w:r w:rsidRPr="00D22292">
              <w:rPr>
                <w:color w:val="2A2828"/>
                <w:w w:val="105"/>
                <w:sz w:val="20"/>
                <w:szCs w:val="20"/>
              </w:rPr>
              <w:t>of</w:t>
            </w:r>
            <w:r w:rsidRPr="00D22292">
              <w:rPr>
                <w:color w:val="2A2828"/>
                <w:spacing w:val="-15"/>
                <w:w w:val="105"/>
                <w:sz w:val="20"/>
                <w:szCs w:val="20"/>
              </w:rPr>
              <w:t xml:space="preserve"> </w:t>
            </w:r>
            <w:r w:rsidRPr="00D22292">
              <w:rPr>
                <w:color w:val="2A2828"/>
                <w:w w:val="105"/>
                <w:sz w:val="20"/>
                <w:szCs w:val="20"/>
              </w:rPr>
              <w:t>appeal</w:t>
            </w:r>
            <w:r w:rsidRPr="00D22292">
              <w:rPr>
                <w:color w:val="2A2828"/>
                <w:spacing w:val="-1"/>
                <w:w w:val="105"/>
                <w:sz w:val="20"/>
                <w:szCs w:val="20"/>
              </w:rPr>
              <w:t xml:space="preserve"> </w:t>
            </w:r>
            <w:r w:rsidRPr="00D22292">
              <w:rPr>
                <w:color w:val="2A2828"/>
                <w:w w:val="105"/>
                <w:sz w:val="20"/>
                <w:szCs w:val="20"/>
              </w:rPr>
              <w:t>– Whether Court of Appeal erred by not</w:t>
            </w:r>
            <w:r w:rsidRPr="00D22292">
              <w:rPr>
                <w:color w:val="2A2828"/>
                <w:spacing w:val="4"/>
                <w:w w:val="105"/>
                <w:sz w:val="20"/>
                <w:szCs w:val="20"/>
              </w:rPr>
              <w:t xml:space="preserve"> </w:t>
            </w:r>
            <w:r w:rsidRPr="00D22292">
              <w:rPr>
                <w:color w:val="2A2828"/>
                <w:w w:val="105"/>
                <w:sz w:val="20"/>
                <w:szCs w:val="20"/>
              </w:rPr>
              <w:t>requiring</w:t>
            </w:r>
            <w:r w:rsidRPr="00D22292">
              <w:rPr>
                <w:color w:val="2A2828"/>
                <w:spacing w:val="-6"/>
                <w:w w:val="105"/>
                <w:sz w:val="20"/>
                <w:szCs w:val="20"/>
              </w:rPr>
              <w:t xml:space="preserve"> </w:t>
            </w:r>
            <w:r w:rsidRPr="00D22292">
              <w:rPr>
                <w:color w:val="2A2828"/>
                <w:w w:val="105"/>
                <w:sz w:val="20"/>
                <w:szCs w:val="20"/>
              </w:rPr>
              <w:t>proof that</w:t>
            </w:r>
            <w:r w:rsidRPr="00D22292">
              <w:rPr>
                <w:color w:val="2A2828"/>
                <w:spacing w:val="-9"/>
                <w:w w:val="105"/>
                <w:sz w:val="20"/>
                <w:szCs w:val="20"/>
              </w:rPr>
              <w:t xml:space="preserve"> </w:t>
            </w:r>
            <w:r w:rsidRPr="00D22292">
              <w:rPr>
                <w:color w:val="2A2828"/>
                <w:w w:val="105"/>
                <w:sz w:val="20"/>
                <w:szCs w:val="20"/>
              </w:rPr>
              <w:t>Receiver</w:t>
            </w:r>
            <w:r w:rsidRPr="00D22292">
              <w:rPr>
                <w:color w:val="2A2828"/>
                <w:spacing w:val="8"/>
                <w:w w:val="105"/>
                <w:sz w:val="20"/>
                <w:szCs w:val="20"/>
              </w:rPr>
              <w:t xml:space="preserve"> </w:t>
            </w:r>
            <w:r w:rsidRPr="00D22292">
              <w:rPr>
                <w:color w:val="2A2828"/>
                <w:w w:val="105"/>
                <w:sz w:val="20"/>
                <w:szCs w:val="20"/>
              </w:rPr>
              <w:t>was</w:t>
            </w:r>
            <w:r w:rsidRPr="00D22292">
              <w:rPr>
                <w:color w:val="2A2828"/>
                <w:spacing w:val="-5"/>
                <w:w w:val="105"/>
                <w:sz w:val="20"/>
                <w:szCs w:val="20"/>
              </w:rPr>
              <w:t xml:space="preserve"> </w:t>
            </w:r>
            <w:r w:rsidRPr="00D22292">
              <w:rPr>
                <w:color w:val="2A2828"/>
                <w:w w:val="105"/>
                <w:sz w:val="20"/>
                <w:szCs w:val="20"/>
              </w:rPr>
              <w:t>notified</w:t>
            </w:r>
            <w:r w:rsidRPr="00D22292">
              <w:rPr>
                <w:color w:val="2A2828"/>
                <w:spacing w:val="12"/>
                <w:w w:val="105"/>
                <w:sz w:val="20"/>
                <w:szCs w:val="20"/>
              </w:rPr>
              <w:t xml:space="preserve"> </w:t>
            </w:r>
            <w:r w:rsidRPr="00D22292">
              <w:rPr>
                <w:color w:val="2A2828"/>
                <w:w w:val="105"/>
                <w:sz w:val="20"/>
                <w:szCs w:val="20"/>
              </w:rPr>
              <w:t>of</w:t>
            </w:r>
            <w:r w:rsidRPr="00D22292">
              <w:rPr>
                <w:color w:val="2A2828"/>
                <w:spacing w:val="-15"/>
                <w:w w:val="105"/>
                <w:sz w:val="20"/>
                <w:szCs w:val="20"/>
              </w:rPr>
              <w:t xml:space="preserve"> </w:t>
            </w:r>
            <w:r w:rsidRPr="00D22292">
              <w:rPr>
                <w:color w:val="2A2828"/>
                <w:w w:val="105"/>
                <w:sz w:val="20"/>
                <w:szCs w:val="20"/>
              </w:rPr>
              <w:t>action</w:t>
            </w:r>
            <w:r w:rsidRPr="00D22292">
              <w:rPr>
                <w:color w:val="2A2828"/>
                <w:spacing w:val="-9"/>
                <w:w w:val="105"/>
                <w:sz w:val="20"/>
                <w:szCs w:val="20"/>
              </w:rPr>
              <w:t xml:space="preserve"> </w:t>
            </w:r>
            <w:r w:rsidRPr="00D22292">
              <w:rPr>
                <w:color w:val="2A2828"/>
                <w:w w:val="105"/>
                <w:sz w:val="20"/>
                <w:szCs w:val="20"/>
              </w:rPr>
              <w:t>and</w:t>
            </w:r>
            <w:r w:rsidRPr="00D22292">
              <w:rPr>
                <w:color w:val="2A2828"/>
                <w:spacing w:val="-4"/>
                <w:w w:val="105"/>
                <w:sz w:val="20"/>
                <w:szCs w:val="20"/>
              </w:rPr>
              <w:t xml:space="preserve"> </w:t>
            </w:r>
            <w:r w:rsidRPr="00D22292">
              <w:rPr>
                <w:color w:val="2A2828"/>
                <w:w w:val="105"/>
                <w:sz w:val="20"/>
                <w:szCs w:val="20"/>
              </w:rPr>
              <w:t>approved</w:t>
            </w:r>
            <w:r w:rsidRPr="00D22292">
              <w:rPr>
                <w:color w:val="2A2828"/>
                <w:spacing w:val="8"/>
                <w:w w:val="105"/>
                <w:sz w:val="20"/>
                <w:szCs w:val="20"/>
              </w:rPr>
              <w:t xml:space="preserve"> </w:t>
            </w:r>
            <w:r w:rsidRPr="00D22292">
              <w:rPr>
                <w:color w:val="2A2828"/>
                <w:w w:val="105"/>
                <w:sz w:val="20"/>
                <w:szCs w:val="20"/>
              </w:rPr>
              <w:t>or</w:t>
            </w:r>
            <w:r w:rsidRPr="00D22292">
              <w:rPr>
                <w:color w:val="2A2828"/>
                <w:spacing w:val="-13"/>
                <w:w w:val="105"/>
                <w:sz w:val="20"/>
                <w:szCs w:val="20"/>
              </w:rPr>
              <w:t xml:space="preserve"> </w:t>
            </w:r>
            <w:r w:rsidRPr="00D22292">
              <w:rPr>
                <w:color w:val="2A2828"/>
                <w:w w:val="105"/>
                <w:sz w:val="20"/>
                <w:szCs w:val="20"/>
              </w:rPr>
              <w:t>confirmed</w:t>
            </w:r>
            <w:r w:rsidRPr="00D22292">
              <w:rPr>
                <w:color w:val="2A2828"/>
                <w:spacing w:val="9"/>
                <w:w w:val="105"/>
                <w:sz w:val="20"/>
                <w:szCs w:val="20"/>
              </w:rPr>
              <w:t xml:space="preserve"> of </w:t>
            </w:r>
            <w:r w:rsidRPr="00D22292">
              <w:rPr>
                <w:color w:val="2A2828"/>
                <w:w w:val="105"/>
                <w:sz w:val="20"/>
                <w:szCs w:val="20"/>
              </w:rPr>
              <w:t>assignment</w:t>
            </w:r>
            <w:r w:rsidRPr="00D22292">
              <w:rPr>
                <w:color w:val="2A2828"/>
                <w:spacing w:val="4"/>
                <w:w w:val="105"/>
                <w:sz w:val="20"/>
                <w:szCs w:val="20"/>
              </w:rPr>
              <w:t xml:space="preserve"> of right of action</w:t>
            </w:r>
            <w:r w:rsidRPr="00D22292">
              <w:rPr>
                <w:color w:val="2A2828"/>
                <w:w w:val="105"/>
                <w:sz w:val="20"/>
                <w:szCs w:val="20"/>
              </w:rPr>
              <w:t>?</w:t>
            </w:r>
          </w:p>
        </w:tc>
      </w:tr>
      <w:tr w:rsidR="00B10409" w:rsidRPr="00D22292" w:rsidTr="00721473">
        <w:tc>
          <w:tcPr>
            <w:tcW w:w="5000" w:type="pct"/>
            <w:gridSpan w:val="4"/>
          </w:tcPr>
          <w:p w:rsidR="00B10409" w:rsidRPr="00D22292" w:rsidRDefault="00B10409" w:rsidP="00B10409">
            <w:pPr>
              <w:jc w:val="both"/>
              <w:rPr>
                <w:sz w:val="20"/>
                <w:szCs w:val="20"/>
              </w:rPr>
            </w:pPr>
          </w:p>
        </w:tc>
      </w:tr>
      <w:tr w:rsidR="00B10409" w:rsidRPr="00D22292" w:rsidTr="00721473">
        <w:tc>
          <w:tcPr>
            <w:tcW w:w="5000" w:type="pct"/>
            <w:gridSpan w:val="4"/>
          </w:tcPr>
          <w:p w:rsidR="00B10409" w:rsidRPr="00D22292" w:rsidRDefault="00B10409" w:rsidP="00B10409">
            <w:pPr>
              <w:jc w:val="both"/>
              <w:rPr>
                <w:sz w:val="20"/>
                <w:szCs w:val="20"/>
              </w:rPr>
            </w:pPr>
            <w:r w:rsidRPr="00D22292">
              <w:rPr>
                <w:sz w:val="20"/>
                <w:szCs w:val="20"/>
              </w:rPr>
              <w:t xml:space="preserve">Mariner Foods Limited supplied salmon to Leo-Progress Enterprises Inc. In 2013, Leo-Progress Enterprises Inc. failed to pay some of Mariner Foods Limited’s invoices. Mariner Foods Limited went into receivership. An action was commenced against Leo-Progress Enterprises Inc. for breach of contract. Mariner Foods Limited was the named plaintiff. The trial judge awarded damages. After trial, Mariner Foods Limited entered into liquidation. Leo Progress Enterprises Inc. appealed and applied to admit fresh evidence that Mariner Foods Limited was under administration after the date of the statement of claim and in liquidation after the date of the trial judgment. </w:t>
            </w:r>
            <w:r w:rsidRPr="00D22292">
              <w:rPr>
                <w:noProof/>
                <w:sz w:val="20"/>
                <w:szCs w:val="20"/>
                <w:lang w:val="en-US"/>
              </w:rPr>
              <mc:AlternateContent>
                <mc:Choice Requires="wpg">
                  <w:drawing>
                    <wp:anchor distT="0" distB="0" distL="114300" distR="114300" simplePos="0" relativeHeight="251662336" behindDoc="0" locked="0" layoutInCell="1" allowOverlap="1" wp14:anchorId="3BB16726" wp14:editId="1FCEF200">
                      <wp:simplePos x="0" y="0"/>
                      <wp:positionH relativeFrom="page">
                        <wp:posOffset>608330</wp:posOffset>
                      </wp:positionH>
                      <wp:positionV relativeFrom="page">
                        <wp:posOffset>9985375</wp:posOffset>
                      </wp:positionV>
                      <wp:extent cx="4105910" cy="1270"/>
                      <wp:effectExtent l="8255" t="12700" r="10160" b="5080"/>
                      <wp:wrapNone/>
                      <wp:docPr id="8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5910" cy="1270"/>
                                <a:chOff x="958" y="15725"/>
                                <a:chExt cx="6466" cy="2"/>
                              </a:xfrm>
                            </wpg:grpSpPr>
                            <wps:wsp>
                              <wps:cNvPr id="88" name="Freeform 85"/>
                              <wps:cNvSpPr>
                                <a:spLocks/>
                              </wps:cNvSpPr>
                              <wps:spPr bwMode="auto">
                                <a:xfrm>
                                  <a:off x="958" y="15725"/>
                                  <a:ext cx="6466" cy="2"/>
                                </a:xfrm>
                                <a:custGeom>
                                  <a:avLst/>
                                  <a:gdLst>
                                    <a:gd name="T0" fmla="+- 0 958 958"/>
                                    <a:gd name="T1" fmla="*/ T0 w 6466"/>
                                    <a:gd name="T2" fmla="+- 0 7423 958"/>
                                    <a:gd name="T3" fmla="*/ T2 w 6466"/>
                                  </a:gdLst>
                                  <a:ahLst/>
                                  <a:cxnLst>
                                    <a:cxn ang="0">
                                      <a:pos x="T1" y="0"/>
                                    </a:cxn>
                                    <a:cxn ang="0">
                                      <a:pos x="T3" y="0"/>
                                    </a:cxn>
                                  </a:cxnLst>
                                  <a:rect l="0" t="0" r="r" b="b"/>
                                  <a:pathLst>
                                    <a:path w="6466">
                                      <a:moveTo>
                                        <a:pt x="0" y="0"/>
                                      </a:moveTo>
                                      <a:lnTo>
                                        <a:pt x="6465" y="0"/>
                                      </a:lnTo>
                                    </a:path>
                                  </a:pathLst>
                                </a:custGeom>
                                <a:noFill/>
                                <a:ln w="4572">
                                  <a:solidFill>
                                    <a:srgbClr val="B8B8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09FCF" id="Group 84" o:spid="_x0000_s1026" style="position:absolute;margin-left:47.9pt;margin-top:786.25pt;width:323.3pt;height:.1pt;z-index:251662336;mso-position-horizontal-relative:page;mso-position-vertical-relative:page" coordorigin="958,15725" coordsize="6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">
                      <v:shape id="Freeform 85" o:spid="_x0000_s1027" style="position:absolute;left:958;top:15725;width:6466;height:2;visibility:visible;mso-wrap-style:square;v-text-anchor:top" coordsize="6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4UcEA&#10;AADbAAAADwAAAGRycy9kb3ducmV2LnhtbERP3WrCMBS+F/YO4Qy803QVVDpjGaMDb1Zm9QHOmrO2&#10;LDmpSdTu7ZeLwS4/vv9dOVkjbuTD4FjB0zIDQdw6PXCn4Hx6W2xBhIis0TgmBT8UoNw/zHZYaHfn&#10;I92a2IkUwqFABX2MYyFlaHuyGJZuJE7cl/MWY4K+k9rjPYVbI/MsW0uLA6eGHkd67an9bq5WQVUZ&#10;t+Lh4j4279VnXfuLyeu1UvPH6eUZRKQp/ov/3AetYJvGpi/p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zuFHBAAAA2wAAAA8AAAAAAAAAAAAAAAAAmAIAAGRycy9kb3du&#10;cmV2LnhtbFBLBQYAAAAABAAEAPUAAACGAwAAAAA=&#10;" path="m,l6465,e" filled="f" strokecolor="#b8b8b8" strokeweight=".36pt">
                        <v:path arrowok="t" o:connecttype="custom" o:connectlocs="0,0;6465,0" o:connectangles="0,0"/>
                      </v:shape>
                      <w10:wrap anchorx="page" anchory="page"/>
                    </v:group>
                  </w:pict>
                </mc:Fallback>
              </mc:AlternateContent>
            </w:r>
            <w:r w:rsidRPr="00D22292">
              <w:rPr>
                <w:sz w:val="20"/>
                <w:szCs w:val="20"/>
              </w:rPr>
              <w:t>The Court of Appeal found that the action for breach of contract was a subrogated claim brought by Mariner Foods Limited’s credit insurer and dismissed the appeal.</w:t>
            </w:r>
          </w:p>
          <w:p w:rsidR="00B10409" w:rsidRPr="00D22292" w:rsidRDefault="00B10409" w:rsidP="00B10409">
            <w:pPr>
              <w:jc w:val="both"/>
              <w:rPr>
                <w:sz w:val="20"/>
                <w:szCs w:val="20"/>
              </w:rPr>
            </w:pPr>
          </w:p>
        </w:tc>
      </w:tr>
      <w:tr w:rsidR="00B10409" w:rsidRPr="00D22292" w:rsidTr="00721473">
        <w:tc>
          <w:tcPr>
            <w:tcW w:w="2427" w:type="pct"/>
            <w:gridSpan w:val="2"/>
          </w:tcPr>
          <w:p w:rsidR="00B10409" w:rsidRPr="00D22292" w:rsidRDefault="00B10409" w:rsidP="00B10409">
            <w:pPr>
              <w:jc w:val="both"/>
              <w:rPr>
                <w:sz w:val="20"/>
                <w:szCs w:val="20"/>
              </w:rPr>
            </w:pPr>
            <w:r w:rsidRPr="00D22292">
              <w:rPr>
                <w:sz w:val="20"/>
                <w:szCs w:val="20"/>
              </w:rPr>
              <w:t>November 6, 2015</w:t>
            </w:r>
          </w:p>
          <w:p w:rsidR="00B10409" w:rsidRPr="00D22292" w:rsidRDefault="00B10409" w:rsidP="00B10409">
            <w:pPr>
              <w:jc w:val="both"/>
              <w:rPr>
                <w:sz w:val="20"/>
                <w:szCs w:val="20"/>
              </w:rPr>
            </w:pPr>
            <w:r w:rsidRPr="00D22292">
              <w:rPr>
                <w:sz w:val="20"/>
                <w:szCs w:val="20"/>
              </w:rPr>
              <w:t>Ontario Superior Court of Justice</w:t>
            </w:r>
          </w:p>
          <w:p w:rsidR="00B10409" w:rsidRPr="00D22292" w:rsidRDefault="00B10409" w:rsidP="00B10409">
            <w:pPr>
              <w:jc w:val="both"/>
              <w:rPr>
                <w:sz w:val="20"/>
                <w:szCs w:val="20"/>
              </w:rPr>
            </w:pPr>
            <w:r w:rsidRPr="00D22292">
              <w:rPr>
                <w:sz w:val="20"/>
                <w:szCs w:val="20"/>
              </w:rPr>
              <w:t xml:space="preserve">(Stewart J.) </w:t>
            </w:r>
          </w:p>
          <w:p w:rsidR="00B10409" w:rsidRPr="00D22292" w:rsidRDefault="00B10409" w:rsidP="00B10409">
            <w:pPr>
              <w:jc w:val="both"/>
              <w:rPr>
                <w:sz w:val="20"/>
                <w:szCs w:val="20"/>
              </w:rPr>
            </w:pPr>
            <w:r w:rsidRPr="00D22292">
              <w:rPr>
                <w:sz w:val="20"/>
                <w:szCs w:val="20"/>
              </w:rPr>
              <w:t>2015 ONSC 6819 (Unreported)</w:t>
            </w:r>
          </w:p>
          <w:p w:rsidR="00B10409" w:rsidRPr="00D22292" w:rsidRDefault="00B10409" w:rsidP="00B10409">
            <w:pPr>
              <w:jc w:val="both"/>
              <w:rPr>
                <w:sz w:val="20"/>
                <w:szCs w:val="20"/>
              </w:rPr>
            </w:pPr>
          </w:p>
        </w:tc>
        <w:tc>
          <w:tcPr>
            <w:tcW w:w="243" w:type="pct"/>
          </w:tcPr>
          <w:p w:rsidR="00B10409" w:rsidRPr="00D22292" w:rsidRDefault="00B10409" w:rsidP="00B10409">
            <w:pPr>
              <w:jc w:val="both"/>
              <w:rPr>
                <w:sz w:val="20"/>
                <w:szCs w:val="20"/>
              </w:rPr>
            </w:pPr>
          </w:p>
        </w:tc>
        <w:tc>
          <w:tcPr>
            <w:tcW w:w="2330" w:type="pct"/>
          </w:tcPr>
          <w:p w:rsidR="00B10409" w:rsidRPr="00D22292" w:rsidRDefault="00B10409" w:rsidP="00B10409">
            <w:pPr>
              <w:jc w:val="both"/>
              <w:rPr>
                <w:sz w:val="20"/>
                <w:szCs w:val="20"/>
              </w:rPr>
            </w:pPr>
            <w:r w:rsidRPr="00D22292">
              <w:rPr>
                <w:sz w:val="20"/>
                <w:szCs w:val="20"/>
              </w:rPr>
              <w:t>Judgment awarding damages for breach of contract to Mariner Foods Limited</w:t>
            </w:r>
          </w:p>
          <w:p w:rsidR="00B10409" w:rsidRPr="00D22292" w:rsidRDefault="00B10409" w:rsidP="00B10409">
            <w:pPr>
              <w:jc w:val="both"/>
              <w:rPr>
                <w:sz w:val="20"/>
                <w:szCs w:val="20"/>
              </w:rPr>
            </w:pPr>
          </w:p>
        </w:tc>
      </w:tr>
      <w:tr w:rsidR="00B10409" w:rsidRPr="00D22292" w:rsidTr="00721473">
        <w:tc>
          <w:tcPr>
            <w:tcW w:w="2427" w:type="pct"/>
            <w:gridSpan w:val="2"/>
          </w:tcPr>
          <w:p w:rsidR="00B10409" w:rsidRPr="00D22292" w:rsidRDefault="00B10409" w:rsidP="00B10409">
            <w:pPr>
              <w:jc w:val="both"/>
              <w:rPr>
                <w:sz w:val="20"/>
                <w:szCs w:val="20"/>
              </w:rPr>
            </w:pPr>
            <w:r w:rsidRPr="00D22292">
              <w:rPr>
                <w:sz w:val="20"/>
                <w:szCs w:val="20"/>
              </w:rPr>
              <w:t>January 5, 2017</w:t>
            </w:r>
          </w:p>
          <w:p w:rsidR="00B10409" w:rsidRPr="00D22292" w:rsidRDefault="00B10409" w:rsidP="00B10409">
            <w:pPr>
              <w:jc w:val="both"/>
              <w:rPr>
                <w:sz w:val="20"/>
                <w:szCs w:val="20"/>
              </w:rPr>
            </w:pPr>
            <w:r w:rsidRPr="00D22292">
              <w:rPr>
                <w:sz w:val="20"/>
                <w:szCs w:val="20"/>
              </w:rPr>
              <w:t>Court of Appeal for Ontario</w:t>
            </w:r>
          </w:p>
          <w:p w:rsidR="00B10409" w:rsidRPr="00D22292" w:rsidRDefault="00B10409" w:rsidP="00B10409">
            <w:pPr>
              <w:jc w:val="both"/>
              <w:rPr>
                <w:sz w:val="20"/>
                <w:szCs w:val="20"/>
              </w:rPr>
            </w:pPr>
            <w:r w:rsidRPr="00D22292">
              <w:rPr>
                <w:sz w:val="20"/>
                <w:szCs w:val="20"/>
              </w:rPr>
              <w:t>(Sharpe, Lauwers, Miller JJ.A.)</w:t>
            </w:r>
          </w:p>
          <w:p w:rsidR="00B10409" w:rsidRPr="00D22292" w:rsidRDefault="00B10409" w:rsidP="00B10409">
            <w:pPr>
              <w:jc w:val="both"/>
              <w:rPr>
                <w:sz w:val="20"/>
                <w:szCs w:val="20"/>
              </w:rPr>
            </w:pPr>
            <w:r w:rsidRPr="00D22292">
              <w:rPr>
                <w:sz w:val="20"/>
                <w:szCs w:val="20"/>
              </w:rPr>
              <w:t xml:space="preserve">C61380; </w:t>
            </w:r>
            <w:hyperlink r:id="rId33" w:history="1">
              <w:r w:rsidRPr="00D22292">
                <w:rPr>
                  <w:rStyle w:val="Hyperlink"/>
                  <w:sz w:val="20"/>
                  <w:szCs w:val="20"/>
                </w:rPr>
                <w:t>2017 ONCA 7</w:t>
              </w:r>
            </w:hyperlink>
          </w:p>
          <w:p w:rsidR="00B10409" w:rsidRPr="00D22292" w:rsidRDefault="00B10409" w:rsidP="00B10409">
            <w:pPr>
              <w:jc w:val="both"/>
              <w:rPr>
                <w:sz w:val="20"/>
                <w:szCs w:val="20"/>
              </w:rPr>
            </w:pPr>
          </w:p>
        </w:tc>
        <w:tc>
          <w:tcPr>
            <w:tcW w:w="243" w:type="pct"/>
          </w:tcPr>
          <w:p w:rsidR="00B10409" w:rsidRPr="00D22292" w:rsidRDefault="00B10409" w:rsidP="00B10409">
            <w:pPr>
              <w:jc w:val="both"/>
              <w:rPr>
                <w:sz w:val="20"/>
                <w:szCs w:val="20"/>
              </w:rPr>
            </w:pPr>
          </w:p>
        </w:tc>
        <w:tc>
          <w:tcPr>
            <w:tcW w:w="2330" w:type="pct"/>
          </w:tcPr>
          <w:p w:rsidR="00B10409" w:rsidRPr="00D22292" w:rsidRDefault="00B10409" w:rsidP="00B10409">
            <w:pPr>
              <w:jc w:val="both"/>
              <w:rPr>
                <w:sz w:val="20"/>
                <w:szCs w:val="20"/>
              </w:rPr>
            </w:pPr>
            <w:r w:rsidRPr="00D22292">
              <w:rPr>
                <w:sz w:val="20"/>
                <w:szCs w:val="20"/>
              </w:rPr>
              <w:t>Motion to adduce fresh evidence dismissed; Appeal dismissed</w:t>
            </w:r>
          </w:p>
          <w:p w:rsidR="00B10409" w:rsidRPr="00D22292" w:rsidRDefault="00B10409" w:rsidP="00B10409">
            <w:pPr>
              <w:jc w:val="both"/>
              <w:rPr>
                <w:sz w:val="20"/>
                <w:szCs w:val="20"/>
              </w:rPr>
            </w:pPr>
          </w:p>
        </w:tc>
      </w:tr>
      <w:tr w:rsidR="00B10409" w:rsidRPr="00D22292" w:rsidTr="00721473">
        <w:tc>
          <w:tcPr>
            <w:tcW w:w="2427" w:type="pct"/>
            <w:gridSpan w:val="2"/>
          </w:tcPr>
          <w:p w:rsidR="00B10409" w:rsidRPr="00D22292" w:rsidRDefault="00B10409" w:rsidP="00B10409">
            <w:pPr>
              <w:jc w:val="both"/>
              <w:rPr>
                <w:sz w:val="20"/>
                <w:szCs w:val="20"/>
              </w:rPr>
            </w:pPr>
            <w:r w:rsidRPr="00D22292">
              <w:rPr>
                <w:sz w:val="20"/>
                <w:szCs w:val="20"/>
              </w:rPr>
              <w:t>February 15, 2017</w:t>
            </w:r>
          </w:p>
          <w:p w:rsidR="00B10409" w:rsidRPr="00D22292" w:rsidRDefault="00B10409" w:rsidP="00B10409">
            <w:pPr>
              <w:jc w:val="both"/>
              <w:rPr>
                <w:sz w:val="20"/>
                <w:szCs w:val="20"/>
              </w:rPr>
            </w:pPr>
            <w:r w:rsidRPr="00D22292">
              <w:rPr>
                <w:sz w:val="20"/>
                <w:szCs w:val="20"/>
              </w:rPr>
              <w:lastRenderedPageBreak/>
              <w:t>Supreme Court of Canada</w:t>
            </w:r>
          </w:p>
        </w:tc>
        <w:tc>
          <w:tcPr>
            <w:tcW w:w="243" w:type="pct"/>
          </w:tcPr>
          <w:p w:rsidR="00B10409" w:rsidRPr="00D22292" w:rsidRDefault="00B10409" w:rsidP="00B10409">
            <w:pPr>
              <w:jc w:val="both"/>
              <w:rPr>
                <w:sz w:val="20"/>
                <w:szCs w:val="20"/>
              </w:rPr>
            </w:pPr>
          </w:p>
        </w:tc>
        <w:tc>
          <w:tcPr>
            <w:tcW w:w="2330" w:type="pct"/>
          </w:tcPr>
          <w:p w:rsidR="00B10409" w:rsidRPr="00D22292" w:rsidRDefault="00B10409" w:rsidP="00B10409">
            <w:pPr>
              <w:jc w:val="both"/>
              <w:rPr>
                <w:sz w:val="20"/>
                <w:szCs w:val="20"/>
              </w:rPr>
            </w:pPr>
            <w:r w:rsidRPr="00D22292">
              <w:rPr>
                <w:sz w:val="20"/>
                <w:szCs w:val="20"/>
              </w:rPr>
              <w:t>Application for leave to appeal filed</w:t>
            </w:r>
          </w:p>
          <w:p w:rsidR="00B10409" w:rsidRPr="00D22292" w:rsidRDefault="00B10409" w:rsidP="00B10409">
            <w:pPr>
              <w:jc w:val="both"/>
              <w:rPr>
                <w:sz w:val="20"/>
                <w:szCs w:val="20"/>
              </w:rPr>
            </w:pPr>
          </w:p>
        </w:tc>
      </w:tr>
    </w:tbl>
    <w:p w:rsidR="00755995" w:rsidRPr="00D22292" w:rsidRDefault="00D22292" w:rsidP="00755995">
      <w:pPr>
        <w:jc w:val="both"/>
        <w:rPr>
          <w:sz w:val="20"/>
          <w:szCs w:val="20"/>
        </w:rPr>
      </w:pPr>
      <w:r w:rsidRPr="00D22292">
        <w:rPr>
          <w:sz w:val="20"/>
          <w:szCs w:val="20"/>
        </w:rPr>
        <w:lastRenderedPageBreak/>
        <w:pict>
          <v:rect id="_x0000_i1042" style="width:2in;height:1pt" o:hrpct="0" o:hralign="center" o:hrstd="t" o:hrnoshade="t" o:hr="t" fillcolor="black" stroked="f"/>
        </w:pict>
      </w:r>
    </w:p>
    <w:p w:rsidR="00755995" w:rsidRPr="00D22292" w:rsidRDefault="00755995" w:rsidP="00755995">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5995" w:rsidRPr="00D22292" w:rsidTr="00721473">
        <w:tc>
          <w:tcPr>
            <w:tcW w:w="543" w:type="pct"/>
          </w:tcPr>
          <w:p w:rsidR="00755995" w:rsidRPr="00D22292" w:rsidRDefault="00755995" w:rsidP="00721473">
            <w:pPr>
              <w:jc w:val="both"/>
              <w:rPr>
                <w:sz w:val="20"/>
                <w:szCs w:val="20"/>
                <w:lang w:val="fr-CA"/>
              </w:rPr>
            </w:pPr>
            <w:r w:rsidRPr="00D22292">
              <w:rPr>
                <w:rStyle w:val="SCCFileNumberChar"/>
                <w:sz w:val="20"/>
                <w:szCs w:val="20"/>
                <w:lang w:val="fr-CA"/>
              </w:rPr>
              <w:t>37451</w:t>
            </w:r>
          </w:p>
        </w:tc>
        <w:tc>
          <w:tcPr>
            <w:tcW w:w="4457" w:type="pct"/>
            <w:gridSpan w:val="3"/>
          </w:tcPr>
          <w:p w:rsidR="00755995" w:rsidRPr="00D22292" w:rsidRDefault="00755995" w:rsidP="00721473">
            <w:pPr>
              <w:pStyle w:val="SCCLsocParty"/>
              <w:jc w:val="both"/>
              <w:rPr>
                <w:b/>
                <w:sz w:val="20"/>
                <w:szCs w:val="20"/>
                <w:lang w:val="en-US"/>
              </w:rPr>
            </w:pPr>
            <w:r w:rsidRPr="00D22292">
              <w:rPr>
                <w:b/>
                <w:sz w:val="20"/>
                <w:szCs w:val="20"/>
                <w:lang w:val="en-US"/>
              </w:rPr>
              <w:t>Leo-Progress Enterprises Inc. c. Mariner Foods Limited</w:t>
            </w:r>
          </w:p>
          <w:p w:rsidR="00755995" w:rsidRPr="00D22292" w:rsidRDefault="00755995" w:rsidP="00721473">
            <w:pPr>
              <w:jc w:val="both"/>
              <w:rPr>
                <w:sz w:val="20"/>
                <w:szCs w:val="20"/>
                <w:lang w:val="fr-CA"/>
              </w:rPr>
            </w:pPr>
            <w:r w:rsidRPr="00D22292">
              <w:rPr>
                <w:sz w:val="20"/>
                <w:szCs w:val="20"/>
                <w:lang w:val="fr-CA"/>
              </w:rPr>
              <w:t>(Ont.) (Civile) (Sur autorisation)</w:t>
            </w:r>
          </w:p>
        </w:tc>
      </w:tr>
      <w:tr w:rsidR="00F92AD7" w:rsidRPr="00D22292" w:rsidTr="00721473">
        <w:tc>
          <w:tcPr>
            <w:tcW w:w="543" w:type="pct"/>
          </w:tcPr>
          <w:p w:rsidR="00F92AD7" w:rsidRPr="00D22292" w:rsidRDefault="00F92AD7" w:rsidP="00F92AD7">
            <w:pPr>
              <w:jc w:val="both"/>
              <w:rPr>
                <w:rStyle w:val="SCCFileNumberChar"/>
                <w:b w:val="0"/>
                <w:sz w:val="20"/>
                <w:szCs w:val="20"/>
              </w:rPr>
            </w:pPr>
            <w:r w:rsidRPr="00D22292">
              <w:rPr>
                <w:rStyle w:val="SCCFileNumberChar"/>
                <w:b w:val="0"/>
                <w:sz w:val="20"/>
                <w:szCs w:val="20"/>
              </w:rPr>
              <w:t xml:space="preserve">Coram: </w:t>
            </w:r>
          </w:p>
        </w:tc>
        <w:tc>
          <w:tcPr>
            <w:tcW w:w="4457" w:type="pct"/>
            <w:gridSpan w:val="3"/>
          </w:tcPr>
          <w:p w:rsidR="00F92AD7" w:rsidRPr="00D22292" w:rsidRDefault="003B0E28" w:rsidP="00F92AD7">
            <w:pPr>
              <w:rPr>
                <w:lang w:val="fr-CA"/>
              </w:rPr>
            </w:pPr>
            <w:r w:rsidRPr="00D22292">
              <w:rPr>
                <w:rFonts w:eastAsia="Calibri" w:cs="Times New Roman"/>
                <w:sz w:val="20"/>
                <w:szCs w:val="20"/>
                <w:u w:val="single"/>
                <w:lang w:val="fr-CA"/>
              </w:rPr>
              <w:t xml:space="preserve">La juge en chef McLachlin et les juges Abella, Moldaver, Karakatsanis, Wagner, Gascon, Côté, Brown et Rowe </w:t>
            </w:r>
          </w:p>
        </w:tc>
      </w:tr>
      <w:tr w:rsidR="00F92AD7" w:rsidRPr="00D22292" w:rsidTr="00721473">
        <w:tc>
          <w:tcPr>
            <w:tcW w:w="5000" w:type="pct"/>
            <w:gridSpan w:val="4"/>
          </w:tcPr>
          <w:p w:rsidR="00F92AD7" w:rsidRPr="00D22292" w:rsidRDefault="003B0E28" w:rsidP="00F92AD7">
            <w:pPr>
              <w:jc w:val="both"/>
              <w:rPr>
                <w:sz w:val="20"/>
                <w:szCs w:val="20"/>
                <w:lang w:val="fr-CA"/>
              </w:rPr>
            </w:pPr>
            <w:r w:rsidRPr="00D22292">
              <w:rPr>
                <w:sz w:val="20"/>
                <w:szCs w:val="20"/>
                <w:lang w:val="fr-CA"/>
              </w:rPr>
              <w:t xml:space="preserve">La demande d’autorisation d’appel de l’arrêt de la Cour d’appel de l’Ontario, numéro C61380, 2017 ONCA 7, daté du 23 décembre 2016, est rejetée avec dépens en faveur de l’intimée conformément au tarif des honoraires et débours établi à l’Annexe B des </w:t>
            </w:r>
            <w:r w:rsidRPr="00D22292">
              <w:rPr>
                <w:i/>
                <w:iCs/>
                <w:sz w:val="20"/>
                <w:szCs w:val="20"/>
                <w:lang w:val="fr-CA"/>
              </w:rPr>
              <w:t>Règles de la Cour suprême du Canada</w:t>
            </w:r>
            <w:r w:rsidRPr="00D22292">
              <w:rPr>
                <w:sz w:val="20"/>
                <w:szCs w:val="20"/>
                <w:lang w:val="fr-CA"/>
              </w:rPr>
              <w:t>.</w:t>
            </w:r>
          </w:p>
          <w:p w:rsidR="003B0E28" w:rsidRPr="00D22292" w:rsidRDefault="003B0E28" w:rsidP="00F92AD7">
            <w:pPr>
              <w:jc w:val="both"/>
              <w:rPr>
                <w:sz w:val="20"/>
                <w:szCs w:val="20"/>
                <w:lang w:val="fr-CA"/>
              </w:rPr>
            </w:pPr>
          </w:p>
        </w:tc>
      </w:tr>
      <w:tr w:rsidR="00F92AD7" w:rsidRPr="00D22292" w:rsidTr="00721473">
        <w:tc>
          <w:tcPr>
            <w:tcW w:w="5000" w:type="pct"/>
            <w:gridSpan w:val="4"/>
          </w:tcPr>
          <w:p w:rsidR="00F92AD7" w:rsidRPr="00D22292" w:rsidRDefault="00F92AD7" w:rsidP="00F92AD7">
            <w:pPr>
              <w:jc w:val="both"/>
              <w:rPr>
                <w:sz w:val="20"/>
                <w:szCs w:val="20"/>
                <w:lang w:val="fr-CA"/>
              </w:rPr>
            </w:pPr>
            <w:r w:rsidRPr="00D22292">
              <w:rPr>
                <w:sz w:val="20"/>
                <w:szCs w:val="20"/>
                <w:lang w:val="fr-CA"/>
              </w:rPr>
              <w:t>Faillite et insolvabilité – Assurance – Preuve – Effet de la cession sous administration et de la liquidation subséquente de l’assuré sur l’intérêt d’un assureur-crédit à l’égard du droit d’action pour violation de contrat</w:t>
            </w:r>
            <w:r w:rsidRPr="00D22292">
              <w:rPr>
                <w:color w:val="2A2828"/>
                <w:w w:val="105"/>
                <w:sz w:val="20"/>
                <w:szCs w:val="20"/>
                <w:lang w:val="fr-CA"/>
              </w:rPr>
              <w:t xml:space="preserve"> – La règle de droit pertinente est-elle incertaine?</w:t>
            </w:r>
            <w:r w:rsidRPr="00D22292">
              <w:rPr>
                <w:color w:val="2A2828"/>
                <w:spacing w:val="-3"/>
                <w:w w:val="105"/>
                <w:sz w:val="20"/>
                <w:szCs w:val="20"/>
                <w:lang w:val="fr-CA"/>
              </w:rPr>
              <w:t xml:space="preserve"> </w:t>
            </w:r>
            <w:r w:rsidRPr="00D22292">
              <w:rPr>
                <w:color w:val="2A2828"/>
                <w:w w:val="105"/>
                <w:sz w:val="20"/>
                <w:szCs w:val="20"/>
                <w:lang w:val="fr-CA"/>
              </w:rPr>
              <w:t>– Suffisance de la preuve de subrogation</w:t>
            </w:r>
            <w:r w:rsidRPr="00D22292">
              <w:rPr>
                <w:color w:val="2A2828"/>
                <w:spacing w:val="-6"/>
                <w:w w:val="105"/>
                <w:sz w:val="20"/>
                <w:szCs w:val="20"/>
                <w:lang w:val="fr-CA"/>
              </w:rPr>
              <w:t xml:space="preserve"> </w:t>
            </w:r>
            <w:r w:rsidRPr="00D22292">
              <w:rPr>
                <w:color w:val="2A2828"/>
                <w:w w:val="105"/>
                <w:sz w:val="20"/>
                <w:szCs w:val="20"/>
                <w:lang w:val="fr-CA"/>
              </w:rPr>
              <w:t>– Les nouveaux éléments de preuve sont-ils susceptibles d’avoir une incidence sur l’issue de l’appel?</w:t>
            </w:r>
            <w:r w:rsidRPr="00D22292">
              <w:rPr>
                <w:color w:val="2A2828"/>
                <w:spacing w:val="-3"/>
                <w:w w:val="105"/>
                <w:sz w:val="20"/>
                <w:szCs w:val="20"/>
                <w:lang w:val="fr-CA"/>
              </w:rPr>
              <w:t xml:space="preserve"> </w:t>
            </w:r>
            <w:r w:rsidRPr="00D22292">
              <w:rPr>
                <w:color w:val="2A2828"/>
                <w:w w:val="105"/>
                <w:sz w:val="20"/>
                <w:szCs w:val="20"/>
                <w:lang w:val="fr-CA"/>
              </w:rPr>
              <w:t>– La Cour d’appel a-t-elle eu tort de ne pas exiger la preuve que le séquestre avait été avisé de l’action et qu’il avait approuvé ou confirmé la cession du droit d’action?</w:t>
            </w:r>
          </w:p>
        </w:tc>
      </w:tr>
      <w:tr w:rsidR="00F92AD7" w:rsidRPr="00D22292" w:rsidTr="00721473">
        <w:tc>
          <w:tcPr>
            <w:tcW w:w="5000" w:type="pct"/>
            <w:gridSpan w:val="4"/>
          </w:tcPr>
          <w:p w:rsidR="00F92AD7" w:rsidRPr="00D22292" w:rsidRDefault="00F92AD7" w:rsidP="00F92AD7">
            <w:pPr>
              <w:jc w:val="both"/>
              <w:rPr>
                <w:sz w:val="20"/>
                <w:szCs w:val="20"/>
                <w:lang w:val="fr-CA"/>
              </w:rPr>
            </w:pPr>
          </w:p>
        </w:tc>
      </w:tr>
      <w:tr w:rsidR="00F92AD7" w:rsidRPr="00D22292" w:rsidTr="00721473">
        <w:tc>
          <w:tcPr>
            <w:tcW w:w="5000" w:type="pct"/>
            <w:gridSpan w:val="4"/>
          </w:tcPr>
          <w:p w:rsidR="00F92AD7" w:rsidRPr="00D22292" w:rsidRDefault="00F92AD7" w:rsidP="00F92AD7">
            <w:pPr>
              <w:jc w:val="both"/>
              <w:rPr>
                <w:sz w:val="20"/>
                <w:szCs w:val="20"/>
                <w:lang w:val="fr-CA"/>
              </w:rPr>
            </w:pPr>
            <w:r w:rsidRPr="00D22292">
              <w:rPr>
                <w:sz w:val="20"/>
                <w:szCs w:val="20"/>
                <w:lang w:val="fr-CA"/>
              </w:rPr>
              <w:t xml:space="preserve">Mariner Foods Limited approvisionnait en saumon Leo-Progress Enterprises Inc. En 2013, Leo-Progress Enterprises Inc. a omis d’acquitter certaines factures de Mariner Foods Limited. Mariner Foods Limited a été mise sous séquestre. Une action a été intentée contre Leo-Progress Enterprises Inc. pour violation de contrat. Mariner Foods Limited a été nommée demanderesse. La juge de première instance a accordé des dommages-intérêts. Après le procès, Mariner Foods Limited a été liquidée. Leo Progress Enterprises Inc. a interjeté appel et a demandé que soit admis un nouvel élément de preuve établissant que Mariner Foods Limited était sous séquestre après la date de la déclaration et en liquidation après la date du jugement de première instance. </w:t>
            </w:r>
            <w:r w:rsidRPr="00D22292">
              <w:rPr>
                <w:noProof/>
                <w:sz w:val="20"/>
                <w:szCs w:val="20"/>
                <w:lang w:val="en-US"/>
              </w:rPr>
              <mc:AlternateContent>
                <mc:Choice Requires="wpg">
                  <w:drawing>
                    <wp:anchor distT="0" distB="0" distL="114300" distR="114300" simplePos="0" relativeHeight="251664384" behindDoc="0" locked="0" layoutInCell="1" allowOverlap="1" wp14:anchorId="31EF7F68" wp14:editId="4BF79504">
                      <wp:simplePos x="0" y="0"/>
                      <wp:positionH relativeFrom="page">
                        <wp:posOffset>608330</wp:posOffset>
                      </wp:positionH>
                      <wp:positionV relativeFrom="page">
                        <wp:posOffset>9985375</wp:posOffset>
                      </wp:positionV>
                      <wp:extent cx="4105910" cy="1270"/>
                      <wp:effectExtent l="8255" t="12700" r="10160" b="5080"/>
                      <wp:wrapNone/>
                      <wp:docPr id="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5910" cy="1270"/>
                                <a:chOff x="958" y="15725"/>
                                <a:chExt cx="6466" cy="2"/>
                              </a:xfrm>
                            </wpg:grpSpPr>
                            <wps:wsp>
                              <wps:cNvPr id="3" name="Freeform 85"/>
                              <wps:cNvSpPr>
                                <a:spLocks/>
                              </wps:cNvSpPr>
                              <wps:spPr bwMode="auto">
                                <a:xfrm>
                                  <a:off x="958" y="15725"/>
                                  <a:ext cx="6466" cy="2"/>
                                </a:xfrm>
                                <a:custGeom>
                                  <a:avLst/>
                                  <a:gdLst>
                                    <a:gd name="T0" fmla="+- 0 958 958"/>
                                    <a:gd name="T1" fmla="*/ T0 w 6466"/>
                                    <a:gd name="T2" fmla="+- 0 7423 958"/>
                                    <a:gd name="T3" fmla="*/ T2 w 6466"/>
                                  </a:gdLst>
                                  <a:ahLst/>
                                  <a:cxnLst>
                                    <a:cxn ang="0">
                                      <a:pos x="T1" y="0"/>
                                    </a:cxn>
                                    <a:cxn ang="0">
                                      <a:pos x="T3" y="0"/>
                                    </a:cxn>
                                  </a:cxnLst>
                                  <a:rect l="0" t="0" r="r" b="b"/>
                                  <a:pathLst>
                                    <a:path w="6466">
                                      <a:moveTo>
                                        <a:pt x="0" y="0"/>
                                      </a:moveTo>
                                      <a:lnTo>
                                        <a:pt x="6465" y="0"/>
                                      </a:lnTo>
                                    </a:path>
                                  </a:pathLst>
                                </a:custGeom>
                                <a:noFill/>
                                <a:ln w="4572">
                                  <a:solidFill>
                                    <a:srgbClr val="B8B8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BFCC1" id="Group 84" o:spid="_x0000_s1026" style="position:absolute;margin-left:47.9pt;margin-top:786.25pt;width:323.3pt;height:.1pt;z-index:251664384;mso-position-horizontal-relative:page;mso-position-vertical-relative:page" coordorigin="958,15725" coordsize="6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">
                      <v:shape id="Freeform 85" o:spid="_x0000_s1027" style="position:absolute;left:958;top:15725;width:6466;height:2;visibility:visible;mso-wrap-style:square;v-text-anchor:top" coordsize="6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OnsIA&#10;AADaAAAADwAAAGRycy9kb3ducmV2LnhtbESP0WoCMRRE3wv+Q7iCbzVbBSurUYqs0BeXVv2A6+a6&#10;u5jcrEmq69+bQqGPw8ycYZbr3hpxIx9axwrexhkI4srplmsFx8P2dQ4iRGSNxjEpeFCA9WrwssRc&#10;uzt/020fa5EgHHJU0MTY5VKGqiGLYew64uSdnbcYk/S11B7vCW6NnGTZTFpsOS002NGmoeqy/7EK&#10;isK4KbdX9/W+K05l6a9mUs6UGg37jwWISH38D/+1P7WCKfxeST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g6ewgAAANoAAAAPAAAAAAAAAAAAAAAAAJgCAABkcnMvZG93&#10;bnJldi54bWxQSwUGAAAAAAQABAD1AAAAhwMAAAAA&#10;" path="m,l6465,e" filled="f" strokecolor="#b8b8b8" strokeweight=".36pt">
                        <v:path arrowok="t" o:connecttype="custom" o:connectlocs="0,0;6465,0" o:connectangles="0,0"/>
                      </v:shape>
                      <w10:wrap anchorx="page" anchory="page"/>
                    </v:group>
                  </w:pict>
                </mc:Fallback>
              </mc:AlternateContent>
            </w:r>
            <w:r w:rsidRPr="00D22292">
              <w:rPr>
                <w:noProof/>
                <w:sz w:val="20"/>
                <w:szCs w:val="20"/>
                <w:lang w:val="fr-CA" w:eastAsia="fr-CA"/>
              </w:rPr>
              <w:t>La Cour d’appel a conclu que l’action pour violation de contrat était un recours par subrogation introduit par l’assureur-crédit de</w:t>
            </w:r>
            <w:r w:rsidRPr="00D22292">
              <w:rPr>
                <w:sz w:val="20"/>
                <w:szCs w:val="20"/>
                <w:lang w:val="fr-CA"/>
              </w:rPr>
              <w:t xml:space="preserve"> Mariner Foods Limited et a rejeté l’appel.</w:t>
            </w:r>
          </w:p>
          <w:p w:rsidR="00F92AD7" w:rsidRPr="00D22292" w:rsidRDefault="00F92AD7" w:rsidP="00F92AD7">
            <w:pPr>
              <w:jc w:val="both"/>
              <w:rPr>
                <w:sz w:val="20"/>
                <w:szCs w:val="20"/>
                <w:lang w:val="fr-CA"/>
              </w:rPr>
            </w:pPr>
          </w:p>
        </w:tc>
      </w:tr>
      <w:tr w:rsidR="00F92AD7" w:rsidRPr="00D22292" w:rsidTr="00721473">
        <w:tc>
          <w:tcPr>
            <w:tcW w:w="2427" w:type="pct"/>
            <w:gridSpan w:val="2"/>
          </w:tcPr>
          <w:p w:rsidR="00F92AD7" w:rsidRPr="00D22292" w:rsidRDefault="00F92AD7" w:rsidP="00F92AD7">
            <w:pPr>
              <w:jc w:val="both"/>
              <w:rPr>
                <w:sz w:val="20"/>
                <w:szCs w:val="20"/>
                <w:lang w:val="fr-CA"/>
              </w:rPr>
            </w:pPr>
            <w:r w:rsidRPr="00D22292">
              <w:rPr>
                <w:sz w:val="20"/>
                <w:szCs w:val="20"/>
                <w:lang w:val="fr-CA"/>
              </w:rPr>
              <w:t>6 novembre 2015</w:t>
            </w:r>
          </w:p>
          <w:p w:rsidR="00F92AD7" w:rsidRPr="00D22292" w:rsidRDefault="00F92AD7" w:rsidP="00F92AD7">
            <w:pPr>
              <w:jc w:val="both"/>
              <w:rPr>
                <w:sz w:val="20"/>
                <w:szCs w:val="20"/>
                <w:lang w:val="fr-CA"/>
              </w:rPr>
            </w:pPr>
            <w:r w:rsidRPr="00D22292">
              <w:rPr>
                <w:sz w:val="20"/>
                <w:szCs w:val="20"/>
                <w:lang w:val="fr-CA"/>
              </w:rPr>
              <w:t>Cour supérieure de justice de l’Ontario</w:t>
            </w:r>
          </w:p>
          <w:p w:rsidR="00F92AD7" w:rsidRPr="00D22292" w:rsidRDefault="00F92AD7" w:rsidP="00F92AD7">
            <w:pPr>
              <w:jc w:val="both"/>
              <w:rPr>
                <w:sz w:val="20"/>
                <w:szCs w:val="20"/>
                <w:lang w:val="fr-CA"/>
              </w:rPr>
            </w:pPr>
            <w:r w:rsidRPr="00D22292">
              <w:rPr>
                <w:sz w:val="20"/>
                <w:szCs w:val="20"/>
                <w:lang w:val="fr-CA"/>
              </w:rPr>
              <w:t xml:space="preserve">(Juge Stewart) </w:t>
            </w:r>
          </w:p>
          <w:p w:rsidR="00F92AD7" w:rsidRPr="00D22292" w:rsidRDefault="00F92AD7" w:rsidP="00F92AD7">
            <w:pPr>
              <w:jc w:val="both"/>
              <w:rPr>
                <w:sz w:val="20"/>
                <w:szCs w:val="20"/>
                <w:lang w:val="fr-CA"/>
              </w:rPr>
            </w:pPr>
            <w:r w:rsidRPr="00D22292">
              <w:rPr>
                <w:sz w:val="20"/>
                <w:szCs w:val="20"/>
                <w:lang w:val="fr-CA"/>
              </w:rPr>
              <w:t>2015 ONSC 6819 (Non publié)</w:t>
            </w:r>
          </w:p>
          <w:p w:rsidR="00F92AD7" w:rsidRPr="00D22292" w:rsidRDefault="00F92AD7" w:rsidP="00F92AD7">
            <w:pPr>
              <w:jc w:val="both"/>
              <w:rPr>
                <w:sz w:val="20"/>
                <w:szCs w:val="20"/>
                <w:lang w:val="fr-CA"/>
              </w:rPr>
            </w:pPr>
          </w:p>
        </w:tc>
        <w:tc>
          <w:tcPr>
            <w:tcW w:w="243" w:type="pct"/>
          </w:tcPr>
          <w:p w:rsidR="00F92AD7" w:rsidRPr="00D22292" w:rsidRDefault="00F92AD7" w:rsidP="00F92AD7">
            <w:pPr>
              <w:jc w:val="both"/>
              <w:rPr>
                <w:sz w:val="20"/>
                <w:szCs w:val="20"/>
                <w:lang w:val="fr-CA"/>
              </w:rPr>
            </w:pPr>
          </w:p>
        </w:tc>
        <w:tc>
          <w:tcPr>
            <w:tcW w:w="2330" w:type="pct"/>
          </w:tcPr>
          <w:p w:rsidR="00F92AD7" w:rsidRPr="00D22292" w:rsidRDefault="00F92AD7" w:rsidP="00F92AD7">
            <w:pPr>
              <w:jc w:val="both"/>
              <w:rPr>
                <w:sz w:val="20"/>
                <w:szCs w:val="20"/>
                <w:lang w:val="fr-CA"/>
              </w:rPr>
            </w:pPr>
            <w:r w:rsidRPr="00D22292">
              <w:rPr>
                <w:sz w:val="20"/>
                <w:szCs w:val="20"/>
                <w:lang w:val="fr-CA"/>
              </w:rPr>
              <w:t>Jugement accordant des dommages-intérêts pour violation de contrat à Mariner Foods Limited</w:t>
            </w:r>
          </w:p>
          <w:p w:rsidR="00F92AD7" w:rsidRPr="00D22292" w:rsidRDefault="00F92AD7" w:rsidP="00F92AD7">
            <w:pPr>
              <w:jc w:val="both"/>
              <w:rPr>
                <w:sz w:val="20"/>
                <w:szCs w:val="20"/>
                <w:lang w:val="fr-CA"/>
              </w:rPr>
            </w:pPr>
          </w:p>
        </w:tc>
      </w:tr>
      <w:tr w:rsidR="00F92AD7" w:rsidRPr="00D22292" w:rsidTr="00721473">
        <w:tc>
          <w:tcPr>
            <w:tcW w:w="2427" w:type="pct"/>
            <w:gridSpan w:val="2"/>
          </w:tcPr>
          <w:p w:rsidR="00F92AD7" w:rsidRPr="00D22292" w:rsidRDefault="00F92AD7" w:rsidP="00F92AD7">
            <w:pPr>
              <w:jc w:val="both"/>
              <w:rPr>
                <w:sz w:val="20"/>
                <w:szCs w:val="20"/>
                <w:lang w:val="fr-CA"/>
              </w:rPr>
            </w:pPr>
            <w:r w:rsidRPr="00D22292">
              <w:rPr>
                <w:sz w:val="20"/>
                <w:szCs w:val="20"/>
                <w:lang w:val="fr-CA"/>
              </w:rPr>
              <w:t>5 janvier 2017</w:t>
            </w:r>
          </w:p>
          <w:p w:rsidR="00F92AD7" w:rsidRPr="00D22292" w:rsidRDefault="00F92AD7" w:rsidP="00F92AD7">
            <w:pPr>
              <w:jc w:val="both"/>
              <w:rPr>
                <w:sz w:val="20"/>
                <w:szCs w:val="20"/>
                <w:lang w:val="fr-CA"/>
              </w:rPr>
            </w:pPr>
            <w:r w:rsidRPr="00D22292">
              <w:rPr>
                <w:sz w:val="20"/>
                <w:szCs w:val="20"/>
                <w:lang w:val="fr-CA"/>
              </w:rPr>
              <w:t>Cour d’appel de l’Ontario</w:t>
            </w:r>
          </w:p>
          <w:p w:rsidR="00F92AD7" w:rsidRPr="00D22292" w:rsidRDefault="00F92AD7" w:rsidP="00F92AD7">
            <w:pPr>
              <w:jc w:val="both"/>
              <w:rPr>
                <w:sz w:val="20"/>
                <w:szCs w:val="20"/>
                <w:lang w:val="fr-CA"/>
              </w:rPr>
            </w:pPr>
            <w:r w:rsidRPr="00D22292">
              <w:rPr>
                <w:sz w:val="20"/>
                <w:szCs w:val="20"/>
                <w:lang w:val="fr-CA"/>
              </w:rPr>
              <w:t>(Juges Sharpe, Lauwers et Miller)</w:t>
            </w:r>
          </w:p>
          <w:p w:rsidR="00F92AD7" w:rsidRPr="00D22292" w:rsidRDefault="00F92AD7" w:rsidP="00F92AD7">
            <w:pPr>
              <w:jc w:val="both"/>
              <w:rPr>
                <w:sz w:val="20"/>
                <w:szCs w:val="20"/>
                <w:lang w:val="fr-CA"/>
              </w:rPr>
            </w:pPr>
            <w:r w:rsidRPr="00D22292">
              <w:rPr>
                <w:sz w:val="20"/>
                <w:szCs w:val="20"/>
                <w:lang w:val="fr-CA"/>
              </w:rPr>
              <w:t xml:space="preserve">C61380; </w:t>
            </w:r>
            <w:hyperlink r:id="rId34" w:history="1">
              <w:r w:rsidRPr="00D22292">
                <w:rPr>
                  <w:rStyle w:val="Hyperlink"/>
                  <w:sz w:val="20"/>
                  <w:szCs w:val="20"/>
                  <w:lang w:val="fr-CA"/>
                </w:rPr>
                <w:t>2017 ONCA 7</w:t>
              </w:r>
            </w:hyperlink>
          </w:p>
          <w:p w:rsidR="00F92AD7" w:rsidRPr="00D22292" w:rsidRDefault="00F92AD7" w:rsidP="00F92AD7">
            <w:pPr>
              <w:jc w:val="both"/>
              <w:rPr>
                <w:sz w:val="20"/>
                <w:szCs w:val="20"/>
                <w:lang w:val="fr-CA"/>
              </w:rPr>
            </w:pPr>
          </w:p>
        </w:tc>
        <w:tc>
          <w:tcPr>
            <w:tcW w:w="243" w:type="pct"/>
          </w:tcPr>
          <w:p w:rsidR="00F92AD7" w:rsidRPr="00D22292" w:rsidRDefault="00F92AD7" w:rsidP="00F92AD7">
            <w:pPr>
              <w:jc w:val="both"/>
              <w:rPr>
                <w:sz w:val="20"/>
                <w:szCs w:val="20"/>
                <w:lang w:val="fr-CA"/>
              </w:rPr>
            </w:pPr>
          </w:p>
        </w:tc>
        <w:tc>
          <w:tcPr>
            <w:tcW w:w="2330" w:type="pct"/>
          </w:tcPr>
          <w:p w:rsidR="00F92AD7" w:rsidRPr="00D22292" w:rsidRDefault="00F92AD7" w:rsidP="00F92AD7">
            <w:pPr>
              <w:jc w:val="both"/>
              <w:rPr>
                <w:sz w:val="20"/>
                <w:szCs w:val="20"/>
                <w:lang w:val="fr-CA"/>
              </w:rPr>
            </w:pPr>
            <w:r w:rsidRPr="00D22292">
              <w:rPr>
                <w:sz w:val="20"/>
                <w:szCs w:val="20"/>
                <w:lang w:val="fr-CA"/>
              </w:rPr>
              <w:t>Rejet de la motion en présentation de preuves nouvelles; rejet de l’appel</w:t>
            </w:r>
          </w:p>
          <w:p w:rsidR="00F92AD7" w:rsidRPr="00D22292" w:rsidRDefault="00F92AD7" w:rsidP="00F92AD7">
            <w:pPr>
              <w:jc w:val="both"/>
              <w:rPr>
                <w:sz w:val="20"/>
                <w:szCs w:val="20"/>
                <w:lang w:val="fr-CA"/>
              </w:rPr>
            </w:pPr>
          </w:p>
        </w:tc>
      </w:tr>
      <w:tr w:rsidR="00F92AD7" w:rsidRPr="00D22292" w:rsidTr="00721473">
        <w:tc>
          <w:tcPr>
            <w:tcW w:w="2427" w:type="pct"/>
            <w:gridSpan w:val="2"/>
          </w:tcPr>
          <w:p w:rsidR="00F92AD7" w:rsidRPr="00D22292" w:rsidRDefault="00F92AD7" w:rsidP="00F92AD7">
            <w:pPr>
              <w:jc w:val="both"/>
              <w:rPr>
                <w:sz w:val="20"/>
                <w:szCs w:val="20"/>
                <w:lang w:val="fr-CA"/>
              </w:rPr>
            </w:pPr>
            <w:r w:rsidRPr="00D22292">
              <w:rPr>
                <w:sz w:val="20"/>
                <w:szCs w:val="20"/>
                <w:lang w:val="fr-CA"/>
              </w:rPr>
              <w:t>15 février 2017</w:t>
            </w:r>
          </w:p>
          <w:p w:rsidR="00F92AD7" w:rsidRPr="00D22292" w:rsidRDefault="00F92AD7" w:rsidP="00F92AD7">
            <w:pPr>
              <w:jc w:val="both"/>
              <w:rPr>
                <w:sz w:val="20"/>
                <w:szCs w:val="20"/>
                <w:lang w:val="fr-CA"/>
              </w:rPr>
            </w:pPr>
            <w:r w:rsidRPr="00D22292">
              <w:rPr>
                <w:sz w:val="20"/>
                <w:szCs w:val="20"/>
                <w:lang w:val="fr-CA"/>
              </w:rPr>
              <w:t>Cour suprême du Canada</w:t>
            </w:r>
          </w:p>
        </w:tc>
        <w:tc>
          <w:tcPr>
            <w:tcW w:w="243" w:type="pct"/>
          </w:tcPr>
          <w:p w:rsidR="00F92AD7" w:rsidRPr="00D22292" w:rsidRDefault="00F92AD7" w:rsidP="00F92AD7">
            <w:pPr>
              <w:jc w:val="both"/>
              <w:rPr>
                <w:sz w:val="20"/>
                <w:szCs w:val="20"/>
                <w:lang w:val="fr-CA"/>
              </w:rPr>
            </w:pPr>
          </w:p>
        </w:tc>
        <w:tc>
          <w:tcPr>
            <w:tcW w:w="2330" w:type="pct"/>
          </w:tcPr>
          <w:p w:rsidR="00F92AD7" w:rsidRPr="00D22292" w:rsidRDefault="00F92AD7" w:rsidP="00F92AD7">
            <w:pPr>
              <w:jc w:val="both"/>
              <w:rPr>
                <w:sz w:val="20"/>
                <w:szCs w:val="20"/>
                <w:lang w:val="fr-CA"/>
              </w:rPr>
            </w:pPr>
            <w:r w:rsidRPr="00D22292">
              <w:rPr>
                <w:sz w:val="20"/>
                <w:szCs w:val="20"/>
                <w:lang w:val="fr-CA"/>
              </w:rPr>
              <w:t>Dépôt de la demande d’autorisation d’appel</w:t>
            </w:r>
          </w:p>
          <w:p w:rsidR="00F92AD7" w:rsidRPr="00D22292" w:rsidRDefault="00F92AD7" w:rsidP="00F92AD7">
            <w:pPr>
              <w:jc w:val="both"/>
              <w:rPr>
                <w:sz w:val="20"/>
                <w:szCs w:val="20"/>
                <w:lang w:val="fr-CA"/>
              </w:rPr>
            </w:pPr>
          </w:p>
        </w:tc>
      </w:tr>
    </w:tbl>
    <w:p w:rsidR="00755995" w:rsidRPr="00D22292" w:rsidRDefault="00D22292" w:rsidP="00755995">
      <w:pPr>
        <w:jc w:val="both"/>
        <w:rPr>
          <w:sz w:val="20"/>
          <w:szCs w:val="20"/>
          <w:lang w:val="fr-CA"/>
        </w:rPr>
      </w:pPr>
      <w:r w:rsidRPr="00D22292">
        <w:rPr>
          <w:sz w:val="20"/>
          <w:szCs w:val="20"/>
        </w:rPr>
        <w:pict>
          <v:rect id="_x0000_i1043" style="width:2in;height:1pt" o:hrpct="0" o:hralign="center" o:hrstd="t" o:hrnoshade="t" o:hr="t" fillcolor="black" stroked="f"/>
        </w:pict>
      </w:r>
    </w:p>
    <w:p w:rsidR="00755995" w:rsidRPr="00D22292" w:rsidRDefault="00755995" w:rsidP="00755995">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5995" w:rsidRPr="00D22292" w:rsidTr="00721473">
        <w:tc>
          <w:tcPr>
            <w:tcW w:w="543" w:type="pct"/>
          </w:tcPr>
          <w:p w:rsidR="00755995" w:rsidRPr="00D22292" w:rsidRDefault="00755995" w:rsidP="00721473">
            <w:pPr>
              <w:jc w:val="both"/>
              <w:rPr>
                <w:sz w:val="20"/>
                <w:szCs w:val="20"/>
              </w:rPr>
            </w:pPr>
            <w:r w:rsidRPr="00D22292">
              <w:rPr>
                <w:rStyle w:val="SCCFileNumberChar"/>
                <w:sz w:val="20"/>
                <w:szCs w:val="20"/>
              </w:rPr>
              <w:t>37523</w:t>
            </w:r>
          </w:p>
        </w:tc>
        <w:tc>
          <w:tcPr>
            <w:tcW w:w="4457" w:type="pct"/>
            <w:gridSpan w:val="3"/>
          </w:tcPr>
          <w:p w:rsidR="00755995" w:rsidRPr="00D22292" w:rsidRDefault="00755995" w:rsidP="00721473">
            <w:pPr>
              <w:pStyle w:val="SCCLsocParty"/>
              <w:jc w:val="both"/>
              <w:rPr>
                <w:b/>
                <w:sz w:val="20"/>
                <w:szCs w:val="20"/>
                <w:lang w:val="en-US"/>
              </w:rPr>
            </w:pPr>
            <w:r w:rsidRPr="00D22292">
              <w:rPr>
                <w:b/>
                <w:sz w:val="20"/>
                <w:szCs w:val="20"/>
                <w:lang w:val="en-US"/>
              </w:rPr>
              <w:t>Jason Norman Yeo v. Her Majesty the Queen</w:t>
            </w:r>
          </w:p>
          <w:p w:rsidR="00755995" w:rsidRPr="00D22292" w:rsidRDefault="00755995" w:rsidP="00721473">
            <w:pPr>
              <w:jc w:val="both"/>
              <w:rPr>
                <w:sz w:val="20"/>
                <w:szCs w:val="20"/>
              </w:rPr>
            </w:pPr>
            <w:r w:rsidRPr="00D22292">
              <w:rPr>
                <w:sz w:val="20"/>
                <w:szCs w:val="20"/>
              </w:rPr>
              <w:t>(P.E.I.) (Criminal) (By Leave)</w:t>
            </w:r>
          </w:p>
        </w:tc>
      </w:tr>
      <w:tr w:rsidR="00B10409" w:rsidRPr="00D22292" w:rsidTr="00721473">
        <w:tc>
          <w:tcPr>
            <w:tcW w:w="543" w:type="pct"/>
          </w:tcPr>
          <w:p w:rsidR="00B10409" w:rsidRPr="00D22292" w:rsidRDefault="00B10409" w:rsidP="00B10409">
            <w:pPr>
              <w:jc w:val="both"/>
              <w:rPr>
                <w:rStyle w:val="SCCFileNumberChar"/>
                <w:b w:val="0"/>
                <w:sz w:val="20"/>
                <w:szCs w:val="20"/>
              </w:rPr>
            </w:pPr>
            <w:r w:rsidRPr="00D22292">
              <w:rPr>
                <w:rStyle w:val="SCCFileNumberChar"/>
                <w:b w:val="0"/>
                <w:sz w:val="20"/>
                <w:szCs w:val="20"/>
              </w:rPr>
              <w:t xml:space="preserve">Coram: </w:t>
            </w:r>
          </w:p>
        </w:tc>
        <w:tc>
          <w:tcPr>
            <w:tcW w:w="4457" w:type="pct"/>
            <w:gridSpan w:val="3"/>
          </w:tcPr>
          <w:p w:rsidR="00B10409" w:rsidRPr="00D22292" w:rsidRDefault="001F3145" w:rsidP="00B10409">
            <w:pPr>
              <w:rPr>
                <w:rFonts w:eastAsia="Calibri" w:cs="Times New Roman"/>
                <w:sz w:val="20"/>
                <w:szCs w:val="20"/>
                <w:u w:val="single"/>
              </w:rPr>
            </w:pPr>
            <w:r w:rsidRPr="00D22292">
              <w:rPr>
                <w:rFonts w:eastAsia="Calibri" w:cs="Times New Roman"/>
                <w:sz w:val="20"/>
                <w:szCs w:val="20"/>
                <w:u w:val="single"/>
              </w:rPr>
              <w:t>McLachlin C.J. and Abella, Moldaver, Karakatsanis, Wagner, Gascon, Côté, Brown and Rowe JJ.</w:t>
            </w:r>
          </w:p>
          <w:p w:rsidR="001F3145" w:rsidRPr="00D22292" w:rsidRDefault="001F3145" w:rsidP="00B10409"/>
        </w:tc>
      </w:tr>
      <w:tr w:rsidR="00B10409" w:rsidRPr="00D22292" w:rsidTr="00721473">
        <w:tc>
          <w:tcPr>
            <w:tcW w:w="5000" w:type="pct"/>
            <w:gridSpan w:val="4"/>
          </w:tcPr>
          <w:p w:rsidR="00B10409" w:rsidRPr="00D22292" w:rsidRDefault="001F3145" w:rsidP="00B10409">
            <w:pPr>
              <w:jc w:val="both"/>
              <w:rPr>
                <w:sz w:val="20"/>
                <w:szCs w:val="20"/>
              </w:rPr>
            </w:pPr>
            <w:r w:rsidRPr="00D22292">
              <w:rPr>
                <w:sz w:val="20"/>
                <w:szCs w:val="20"/>
              </w:rPr>
              <w:t>The motion for an extension of time to serve and file the application for leave to appeal is granted. The application for leave to appeal from the judgment of the Prince Edward Island Court of Appeal, Number S1-CA-1299, 2016 PECA 5, dated March 18, 2016, is dismissed.</w:t>
            </w:r>
          </w:p>
        </w:tc>
      </w:tr>
      <w:tr w:rsidR="00B10409" w:rsidRPr="00D22292" w:rsidTr="00721473">
        <w:tc>
          <w:tcPr>
            <w:tcW w:w="5000" w:type="pct"/>
            <w:gridSpan w:val="4"/>
          </w:tcPr>
          <w:p w:rsidR="00B10409" w:rsidRPr="00D22292" w:rsidRDefault="00B10409" w:rsidP="00B10409">
            <w:pPr>
              <w:jc w:val="both"/>
              <w:rPr>
                <w:sz w:val="20"/>
                <w:szCs w:val="20"/>
              </w:rPr>
            </w:pPr>
            <w:r w:rsidRPr="00D22292">
              <w:rPr>
                <w:sz w:val="20"/>
                <w:szCs w:val="20"/>
              </w:rPr>
              <w:lastRenderedPageBreak/>
              <w:t xml:space="preserve">Criminal law – Sentencing – Whether a sentencing judge may impose a sentence concurrent to another sentence invoked by another judge in a previous, unrelated proceeding? </w:t>
            </w:r>
          </w:p>
        </w:tc>
      </w:tr>
      <w:tr w:rsidR="00B10409" w:rsidRPr="00D22292" w:rsidTr="00721473">
        <w:tc>
          <w:tcPr>
            <w:tcW w:w="5000" w:type="pct"/>
            <w:gridSpan w:val="4"/>
          </w:tcPr>
          <w:p w:rsidR="00B10409" w:rsidRPr="00D22292" w:rsidRDefault="00B10409" w:rsidP="00B10409">
            <w:pPr>
              <w:jc w:val="both"/>
              <w:rPr>
                <w:sz w:val="20"/>
                <w:szCs w:val="20"/>
              </w:rPr>
            </w:pPr>
          </w:p>
        </w:tc>
      </w:tr>
      <w:tr w:rsidR="00B10409" w:rsidRPr="00D22292" w:rsidTr="00721473">
        <w:tc>
          <w:tcPr>
            <w:tcW w:w="5000" w:type="pct"/>
            <w:gridSpan w:val="4"/>
          </w:tcPr>
          <w:p w:rsidR="00B10409" w:rsidRPr="00D22292" w:rsidRDefault="00B10409" w:rsidP="00B10409">
            <w:pPr>
              <w:jc w:val="both"/>
              <w:rPr>
                <w:sz w:val="20"/>
                <w:szCs w:val="20"/>
              </w:rPr>
            </w:pPr>
            <w:r w:rsidRPr="00D22292">
              <w:rPr>
                <w:sz w:val="20"/>
                <w:szCs w:val="20"/>
              </w:rPr>
              <w:t xml:space="preserve">The applicant was convicted of trafficking cocaine and he pleaded guilty to possession of cocaine for the purposes of trafficking, a weapons offence and breaches of recognizances and undertakings.  When sentenced, he was serving a nine-year sentence that had been recently imposed for an armed robbery. </w:t>
            </w:r>
          </w:p>
          <w:p w:rsidR="00B10409" w:rsidRPr="00D22292" w:rsidRDefault="00B10409" w:rsidP="00B10409">
            <w:pPr>
              <w:jc w:val="both"/>
              <w:rPr>
                <w:sz w:val="20"/>
                <w:szCs w:val="20"/>
              </w:rPr>
            </w:pPr>
          </w:p>
        </w:tc>
      </w:tr>
      <w:tr w:rsidR="00B10409" w:rsidRPr="00D22292" w:rsidTr="00721473">
        <w:tc>
          <w:tcPr>
            <w:tcW w:w="2427" w:type="pct"/>
            <w:gridSpan w:val="2"/>
          </w:tcPr>
          <w:p w:rsidR="00B10409" w:rsidRPr="00D22292" w:rsidRDefault="00B10409" w:rsidP="00B10409">
            <w:pPr>
              <w:jc w:val="both"/>
              <w:rPr>
                <w:sz w:val="20"/>
                <w:szCs w:val="20"/>
              </w:rPr>
            </w:pPr>
            <w:r w:rsidRPr="00D22292">
              <w:rPr>
                <w:sz w:val="20"/>
                <w:szCs w:val="20"/>
              </w:rPr>
              <w:t>February 10, 2014</w:t>
            </w:r>
          </w:p>
          <w:p w:rsidR="00B10409" w:rsidRPr="00D22292" w:rsidRDefault="00B10409" w:rsidP="00B10409">
            <w:pPr>
              <w:jc w:val="both"/>
              <w:rPr>
                <w:sz w:val="20"/>
                <w:szCs w:val="20"/>
              </w:rPr>
            </w:pPr>
            <w:r w:rsidRPr="00D22292">
              <w:rPr>
                <w:sz w:val="20"/>
                <w:szCs w:val="20"/>
              </w:rPr>
              <w:t>Prince Edward Island Supreme Court</w:t>
            </w:r>
          </w:p>
          <w:p w:rsidR="00B10409" w:rsidRPr="00D22292" w:rsidRDefault="00B10409" w:rsidP="00B10409">
            <w:pPr>
              <w:jc w:val="both"/>
              <w:rPr>
                <w:sz w:val="20"/>
                <w:szCs w:val="20"/>
              </w:rPr>
            </w:pPr>
            <w:r w:rsidRPr="00D22292">
              <w:rPr>
                <w:sz w:val="20"/>
                <w:szCs w:val="20"/>
              </w:rPr>
              <w:t>(Cheverie J.)</w:t>
            </w:r>
          </w:p>
          <w:p w:rsidR="00B10409" w:rsidRPr="00D22292" w:rsidRDefault="00D22292" w:rsidP="00B10409">
            <w:pPr>
              <w:jc w:val="both"/>
              <w:rPr>
                <w:sz w:val="20"/>
                <w:szCs w:val="20"/>
                <w:lang w:val="en-US"/>
              </w:rPr>
            </w:pPr>
            <w:hyperlink r:id="rId35" w:history="1">
              <w:r w:rsidR="00B10409" w:rsidRPr="00D22292">
                <w:rPr>
                  <w:rStyle w:val="Hyperlink"/>
                  <w:sz w:val="20"/>
                  <w:szCs w:val="20"/>
                </w:rPr>
                <w:t>2014 PESC 4</w:t>
              </w:r>
            </w:hyperlink>
          </w:p>
          <w:p w:rsidR="00B10409" w:rsidRPr="00D22292" w:rsidRDefault="00B10409" w:rsidP="00B10409">
            <w:pPr>
              <w:jc w:val="both"/>
              <w:rPr>
                <w:sz w:val="20"/>
                <w:szCs w:val="20"/>
              </w:rPr>
            </w:pPr>
          </w:p>
        </w:tc>
        <w:tc>
          <w:tcPr>
            <w:tcW w:w="243" w:type="pct"/>
          </w:tcPr>
          <w:p w:rsidR="00B10409" w:rsidRPr="00D22292" w:rsidRDefault="00B10409" w:rsidP="00B10409">
            <w:pPr>
              <w:jc w:val="both"/>
              <w:rPr>
                <w:sz w:val="20"/>
                <w:szCs w:val="20"/>
              </w:rPr>
            </w:pPr>
          </w:p>
        </w:tc>
        <w:tc>
          <w:tcPr>
            <w:tcW w:w="2330" w:type="pct"/>
          </w:tcPr>
          <w:p w:rsidR="00B10409" w:rsidRPr="00D22292" w:rsidRDefault="00B10409" w:rsidP="00B10409">
            <w:pPr>
              <w:jc w:val="both"/>
              <w:rPr>
                <w:sz w:val="20"/>
                <w:szCs w:val="20"/>
              </w:rPr>
            </w:pPr>
            <w:r w:rsidRPr="00D22292">
              <w:rPr>
                <w:sz w:val="20"/>
                <w:szCs w:val="20"/>
              </w:rPr>
              <w:t>Conviction for trafficking cocaine</w:t>
            </w:r>
          </w:p>
          <w:p w:rsidR="00B10409" w:rsidRPr="00D22292" w:rsidRDefault="00B10409" w:rsidP="00B10409">
            <w:pPr>
              <w:jc w:val="both"/>
              <w:rPr>
                <w:sz w:val="20"/>
                <w:szCs w:val="20"/>
              </w:rPr>
            </w:pPr>
          </w:p>
        </w:tc>
      </w:tr>
      <w:tr w:rsidR="00B10409" w:rsidRPr="00D22292" w:rsidTr="00721473">
        <w:tc>
          <w:tcPr>
            <w:tcW w:w="2427" w:type="pct"/>
            <w:gridSpan w:val="2"/>
          </w:tcPr>
          <w:p w:rsidR="00B10409" w:rsidRPr="00D22292" w:rsidRDefault="00B10409" w:rsidP="00B10409">
            <w:pPr>
              <w:jc w:val="both"/>
              <w:rPr>
                <w:sz w:val="20"/>
                <w:szCs w:val="20"/>
              </w:rPr>
            </w:pPr>
            <w:r w:rsidRPr="00D22292">
              <w:rPr>
                <w:sz w:val="20"/>
                <w:szCs w:val="20"/>
              </w:rPr>
              <w:t>March 12, 2014</w:t>
            </w:r>
          </w:p>
          <w:p w:rsidR="00B10409" w:rsidRPr="00D22292" w:rsidRDefault="00B10409" w:rsidP="00B10409">
            <w:pPr>
              <w:jc w:val="both"/>
              <w:rPr>
                <w:sz w:val="20"/>
                <w:szCs w:val="20"/>
              </w:rPr>
            </w:pPr>
            <w:r w:rsidRPr="00D22292">
              <w:rPr>
                <w:sz w:val="20"/>
                <w:szCs w:val="20"/>
              </w:rPr>
              <w:t>Prince Edward Island Supreme Court</w:t>
            </w:r>
          </w:p>
          <w:p w:rsidR="00B10409" w:rsidRPr="00D22292" w:rsidRDefault="00B10409" w:rsidP="00B10409">
            <w:pPr>
              <w:jc w:val="both"/>
              <w:rPr>
                <w:sz w:val="20"/>
                <w:szCs w:val="20"/>
                <w:lang w:val="en-US"/>
              </w:rPr>
            </w:pPr>
            <w:r w:rsidRPr="00D22292">
              <w:rPr>
                <w:sz w:val="20"/>
                <w:szCs w:val="20"/>
              </w:rPr>
              <w:t>(Cheverie J.)</w:t>
            </w:r>
          </w:p>
          <w:p w:rsidR="00B10409" w:rsidRPr="00D22292" w:rsidRDefault="00B10409" w:rsidP="00B10409">
            <w:pPr>
              <w:jc w:val="both"/>
              <w:rPr>
                <w:sz w:val="20"/>
                <w:szCs w:val="20"/>
              </w:rPr>
            </w:pPr>
          </w:p>
        </w:tc>
        <w:tc>
          <w:tcPr>
            <w:tcW w:w="243" w:type="pct"/>
          </w:tcPr>
          <w:p w:rsidR="00B10409" w:rsidRPr="00D22292" w:rsidRDefault="00B10409" w:rsidP="00B10409">
            <w:pPr>
              <w:jc w:val="both"/>
              <w:rPr>
                <w:sz w:val="20"/>
                <w:szCs w:val="20"/>
              </w:rPr>
            </w:pPr>
          </w:p>
        </w:tc>
        <w:tc>
          <w:tcPr>
            <w:tcW w:w="2330" w:type="pct"/>
          </w:tcPr>
          <w:p w:rsidR="00B10409" w:rsidRPr="00D22292" w:rsidRDefault="00B10409" w:rsidP="00B10409">
            <w:pPr>
              <w:jc w:val="both"/>
              <w:rPr>
                <w:sz w:val="20"/>
                <w:szCs w:val="20"/>
              </w:rPr>
            </w:pPr>
            <w:r w:rsidRPr="00D22292">
              <w:rPr>
                <w:sz w:val="20"/>
                <w:szCs w:val="20"/>
              </w:rPr>
              <w:t>Guilty pleas to possession of cocaine for purpose of trafficking, possession of prohibited weapon, breaches of recognizance and undertakings, and other offences</w:t>
            </w:r>
          </w:p>
          <w:p w:rsidR="00B10409" w:rsidRPr="00D22292" w:rsidRDefault="00B10409" w:rsidP="00B10409">
            <w:pPr>
              <w:jc w:val="both"/>
              <w:rPr>
                <w:sz w:val="20"/>
                <w:szCs w:val="20"/>
              </w:rPr>
            </w:pPr>
          </w:p>
        </w:tc>
      </w:tr>
      <w:tr w:rsidR="00B10409" w:rsidRPr="00D22292" w:rsidTr="00721473">
        <w:tc>
          <w:tcPr>
            <w:tcW w:w="2427" w:type="pct"/>
            <w:gridSpan w:val="2"/>
          </w:tcPr>
          <w:p w:rsidR="00B10409" w:rsidRPr="00D22292" w:rsidRDefault="00B10409" w:rsidP="00B10409">
            <w:pPr>
              <w:jc w:val="both"/>
              <w:rPr>
                <w:sz w:val="20"/>
                <w:szCs w:val="20"/>
              </w:rPr>
            </w:pPr>
            <w:r w:rsidRPr="00D22292">
              <w:rPr>
                <w:sz w:val="20"/>
                <w:szCs w:val="20"/>
              </w:rPr>
              <w:t>June 19, 2014</w:t>
            </w:r>
          </w:p>
          <w:p w:rsidR="00B10409" w:rsidRPr="00D22292" w:rsidRDefault="00B10409" w:rsidP="00B10409">
            <w:pPr>
              <w:jc w:val="both"/>
              <w:rPr>
                <w:sz w:val="20"/>
                <w:szCs w:val="20"/>
              </w:rPr>
            </w:pPr>
            <w:r w:rsidRPr="00D22292">
              <w:rPr>
                <w:sz w:val="20"/>
                <w:szCs w:val="20"/>
              </w:rPr>
              <w:t>Prince Edward Island Supreme Court</w:t>
            </w:r>
          </w:p>
          <w:p w:rsidR="00B10409" w:rsidRPr="00D22292" w:rsidRDefault="00B10409" w:rsidP="00B10409">
            <w:pPr>
              <w:jc w:val="both"/>
              <w:rPr>
                <w:sz w:val="20"/>
                <w:szCs w:val="20"/>
              </w:rPr>
            </w:pPr>
            <w:r w:rsidRPr="00D22292">
              <w:rPr>
                <w:sz w:val="20"/>
                <w:szCs w:val="20"/>
              </w:rPr>
              <w:t>(Cheverie J.)</w:t>
            </w:r>
          </w:p>
          <w:p w:rsidR="00B10409" w:rsidRPr="00D22292" w:rsidRDefault="00D22292" w:rsidP="00B10409">
            <w:pPr>
              <w:jc w:val="both"/>
              <w:rPr>
                <w:sz w:val="20"/>
                <w:szCs w:val="20"/>
                <w:lang w:val="en-US"/>
              </w:rPr>
            </w:pPr>
            <w:hyperlink r:id="rId36" w:history="1">
              <w:r w:rsidR="00B10409" w:rsidRPr="00D22292">
                <w:rPr>
                  <w:rStyle w:val="Hyperlink"/>
                  <w:sz w:val="20"/>
                  <w:szCs w:val="20"/>
                  <w:lang w:val="en-US"/>
                </w:rPr>
                <w:t>2014 PESC 16</w:t>
              </w:r>
            </w:hyperlink>
          </w:p>
          <w:p w:rsidR="00B10409" w:rsidRPr="00D22292" w:rsidRDefault="00B10409" w:rsidP="00B10409">
            <w:pPr>
              <w:jc w:val="both"/>
              <w:rPr>
                <w:sz w:val="20"/>
                <w:szCs w:val="20"/>
              </w:rPr>
            </w:pPr>
          </w:p>
        </w:tc>
        <w:tc>
          <w:tcPr>
            <w:tcW w:w="243" w:type="pct"/>
          </w:tcPr>
          <w:p w:rsidR="00B10409" w:rsidRPr="00D22292" w:rsidRDefault="00B10409" w:rsidP="00B10409">
            <w:pPr>
              <w:jc w:val="both"/>
              <w:rPr>
                <w:sz w:val="20"/>
                <w:szCs w:val="20"/>
              </w:rPr>
            </w:pPr>
          </w:p>
        </w:tc>
        <w:tc>
          <w:tcPr>
            <w:tcW w:w="2330" w:type="pct"/>
          </w:tcPr>
          <w:p w:rsidR="00B10409" w:rsidRPr="00D22292" w:rsidRDefault="00B10409" w:rsidP="00B10409">
            <w:pPr>
              <w:jc w:val="both"/>
              <w:rPr>
                <w:sz w:val="20"/>
                <w:szCs w:val="20"/>
              </w:rPr>
            </w:pPr>
            <w:r w:rsidRPr="00D22292">
              <w:rPr>
                <w:sz w:val="20"/>
                <w:szCs w:val="20"/>
              </w:rPr>
              <w:t>Sentence to seven years imprisonment, less credit for pre-sentence custody, to be served consecutively to prior sentence for armed robbery</w:t>
            </w:r>
          </w:p>
          <w:p w:rsidR="00B10409" w:rsidRPr="00D22292" w:rsidRDefault="00B10409" w:rsidP="00B10409">
            <w:pPr>
              <w:jc w:val="both"/>
              <w:rPr>
                <w:sz w:val="20"/>
                <w:szCs w:val="20"/>
              </w:rPr>
            </w:pPr>
          </w:p>
        </w:tc>
      </w:tr>
      <w:tr w:rsidR="00B10409" w:rsidRPr="00D22292" w:rsidTr="00721473">
        <w:tc>
          <w:tcPr>
            <w:tcW w:w="2427" w:type="pct"/>
            <w:gridSpan w:val="2"/>
          </w:tcPr>
          <w:p w:rsidR="00B10409" w:rsidRPr="00D22292" w:rsidRDefault="00B10409" w:rsidP="00B10409">
            <w:pPr>
              <w:jc w:val="both"/>
              <w:rPr>
                <w:sz w:val="20"/>
                <w:szCs w:val="20"/>
              </w:rPr>
            </w:pPr>
            <w:r w:rsidRPr="00D22292">
              <w:rPr>
                <w:sz w:val="20"/>
                <w:szCs w:val="20"/>
              </w:rPr>
              <w:t>March 18, 2016</w:t>
            </w:r>
          </w:p>
          <w:p w:rsidR="00B10409" w:rsidRPr="00D22292" w:rsidRDefault="00B10409" w:rsidP="00B10409">
            <w:pPr>
              <w:jc w:val="both"/>
              <w:rPr>
                <w:sz w:val="20"/>
                <w:szCs w:val="20"/>
              </w:rPr>
            </w:pPr>
            <w:r w:rsidRPr="00D22292">
              <w:rPr>
                <w:sz w:val="20"/>
                <w:szCs w:val="20"/>
              </w:rPr>
              <w:t>Prince Edward Island Court of Appeal</w:t>
            </w:r>
          </w:p>
          <w:p w:rsidR="00B10409" w:rsidRPr="00D22292" w:rsidRDefault="00B10409" w:rsidP="00B10409">
            <w:pPr>
              <w:jc w:val="both"/>
              <w:rPr>
                <w:sz w:val="20"/>
                <w:szCs w:val="20"/>
              </w:rPr>
            </w:pPr>
            <w:r w:rsidRPr="00D22292">
              <w:rPr>
                <w:sz w:val="20"/>
                <w:szCs w:val="20"/>
              </w:rPr>
              <w:t xml:space="preserve">S1-CA-1299; </w:t>
            </w:r>
            <w:hyperlink r:id="rId37" w:history="1">
              <w:r w:rsidRPr="00D22292">
                <w:rPr>
                  <w:rStyle w:val="Hyperlink"/>
                  <w:sz w:val="20"/>
                  <w:szCs w:val="20"/>
                </w:rPr>
                <w:t>2016 PECA 5</w:t>
              </w:r>
            </w:hyperlink>
          </w:p>
          <w:p w:rsidR="00B10409" w:rsidRPr="00D22292" w:rsidRDefault="00B10409" w:rsidP="00B10409">
            <w:pPr>
              <w:jc w:val="both"/>
              <w:rPr>
                <w:sz w:val="20"/>
                <w:szCs w:val="20"/>
              </w:rPr>
            </w:pPr>
          </w:p>
        </w:tc>
        <w:tc>
          <w:tcPr>
            <w:tcW w:w="243" w:type="pct"/>
          </w:tcPr>
          <w:p w:rsidR="00B10409" w:rsidRPr="00D22292" w:rsidRDefault="00B10409" w:rsidP="00B10409">
            <w:pPr>
              <w:jc w:val="both"/>
              <w:rPr>
                <w:sz w:val="20"/>
                <w:szCs w:val="20"/>
              </w:rPr>
            </w:pPr>
          </w:p>
        </w:tc>
        <w:tc>
          <w:tcPr>
            <w:tcW w:w="2330" w:type="pct"/>
          </w:tcPr>
          <w:p w:rsidR="00B10409" w:rsidRPr="00D22292" w:rsidRDefault="00B10409" w:rsidP="00B10409">
            <w:pPr>
              <w:jc w:val="both"/>
              <w:rPr>
                <w:sz w:val="20"/>
                <w:szCs w:val="20"/>
              </w:rPr>
            </w:pPr>
            <w:r w:rsidRPr="00D22292">
              <w:rPr>
                <w:sz w:val="20"/>
                <w:szCs w:val="20"/>
              </w:rPr>
              <w:t>Appeal from sentences and from conviction for trafficking dismissed</w:t>
            </w:r>
          </w:p>
          <w:p w:rsidR="00B10409" w:rsidRPr="00D22292" w:rsidRDefault="00B10409" w:rsidP="00B10409">
            <w:pPr>
              <w:jc w:val="both"/>
              <w:rPr>
                <w:sz w:val="20"/>
                <w:szCs w:val="20"/>
              </w:rPr>
            </w:pPr>
          </w:p>
        </w:tc>
      </w:tr>
      <w:tr w:rsidR="00B10409" w:rsidRPr="00D22292" w:rsidTr="00721473">
        <w:tc>
          <w:tcPr>
            <w:tcW w:w="2427" w:type="pct"/>
            <w:gridSpan w:val="2"/>
          </w:tcPr>
          <w:p w:rsidR="00B10409" w:rsidRPr="00D22292" w:rsidRDefault="00B10409" w:rsidP="00B10409">
            <w:pPr>
              <w:jc w:val="both"/>
              <w:rPr>
                <w:sz w:val="20"/>
                <w:szCs w:val="20"/>
              </w:rPr>
            </w:pPr>
            <w:r w:rsidRPr="00D22292">
              <w:rPr>
                <w:sz w:val="20"/>
                <w:szCs w:val="20"/>
              </w:rPr>
              <w:t>April 11, 2017</w:t>
            </w:r>
          </w:p>
          <w:p w:rsidR="00B10409" w:rsidRPr="00D22292" w:rsidRDefault="00B10409" w:rsidP="00B10409">
            <w:pPr>
              <w:jc w:val="both"/>
              <w:rPr>
                <w:sz w:val="20"/>
                <w:szCs w:val="20"/>
              </w:rPr>
            </w:pPr>
            <w:r w:rsidRPr="00D22292">
              <w:rPr>
                <w:sz w:val="20"/>
                <w:szCs w:val="20"/>
              </w:rPr>
              <w:t>Supreme Court of Canada</w:t>
            </w:r>
          </w:p>
        </w:tc>
        <w:tc>
          <w:tcPr>
            <w:tcW w:w="243" w:type="pct"/>
          </w:tcPr>
          <w:p w:rsidR="00B10409" w:rsidRPr="00D22292" w:rsidRDefault="00B10409" w:rsidP="00B10409">
            <w:pPr>
              <w:jc w:val="both"/>
              <w:rPr>
                <w:sz w:val="20"/>
                <w:szCs w:val="20"/>
              </w:rPr>
            </w:pPr>
          </w:p>
        </w:tc>
        <w:tc>
          <w:tcPr>
            <w:tcW w:w="2330" w:type="pct"/>
          </w:tcPr>
          <w:p w:rsidR="00B10409" w:rsidRPr="00D22292" w:rsidRDefault="00B10409" w:rsidP="00B10409">
            <w:pPr>
              <w:jc w:val="both"/>
              <w:rPr>
                <w:sz w:val="20"/>
                <w:szCs w:val="20"/>
              </w:rPr>
            </w:pPr>
            <w:r w:rsidRPr="00D22292">
              <w:rPr>
                <w:sz w:val="20"/>
                <w:szCs w:val="20"/>
              </w:rPr>
              <w:t>Motion for extension of time to serve and file application for leave to appeal and application for leave to appeal filed</w:t>
            </w:r>
          </w:p>
          <w:p w:rsidR="00B10409" w:rsidRPr="00D22292" w:rsidRDefault="00B10409" w:rsidP="00B10409">
            <w:pPr>
              <w:jc w:val="both"/>
              <w:rPr>
                <w:sz w:val="20"/>
                <w:szCs w:val="20"/>
              </w:rPr>
            </w:pPr>
          </w:p>
        </w:tc>
      </w:tr>
    </w:tbl>
    <w:p w:rsidR="00755995" w:rsidRPr="00D22292" w:rsidRDefault="00D22292" w:rsidP="00755995">
      <w:pPr>
        <w:jc w:val="both"/>
        <w:rPr>
          <w:sz w:val="20"/>
        </w:rPr>
      </w:pPr>
      <w:r w:rsidRPr="00D22292">
        <w:rPr>
          <w:sz w:val="20"/>
          <w:szCs w:val="20"/>
        </w:rPr>
        <w:pict>
          <v:rect id="_x0000_i1044" style="width:2in;height:1pt" o:hrpct="0" o:hralign="center" o:hrstd="t" o:hrnoshade="t" o:hr="t" fillcolor="black" stroked="f"/>
        </w:pict>
      </w:r>
    </w:p>
    <w:p w:rsidR="00755995" w:rsidRPr="00D22292" w:rsidRDefault="00755995" w:rsidP="00755995">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5995" w:rsidRPr="00D22292" w:rsidTr="00721473">
        <w:tc>
          <w:tcPr>
            <w:tcW w:w="543" w:type="pct"/>
          </w:tcPr>
          <w:p w:rsidR="00755995" w:rsidRPr="00D22292" w:rsidRDefault="00755995" w:rsidP="00721473">
            <w:pPr>
              <w:jc w:val="both"/>
              <w:rPr>
                <w:sz w:val="20"/>
                <w:szCs w:val="20"/>
                <w:lang w:val="fr-CA"/>
              </w:rPr>
            </w:pPr>
            <w:r w:rsidRPr="00D22292">
              <w:rPr>
                <w:rStyle w:val="SCCFileNumberChar"/>
                <w:sz w:val="20"/>
                <w:szCs w:val="20"/>
                <w:lang w:val="fr-CA"/>
              </w:rPr>
              <w:t>37523</w:t>
            </w:r>
          </w:p>
        </w:tc>
        <w:tc>
          <w:tcPr>
            <w:tcW w:w="4457" w:type="pct"/>
            <w:gridSpan w:val="3"/>
          </w:tcPr>
          <w:p w:rsidR="00755995" w:rsidRPr="00D22292" w:rsidRDefault="00755995" w:rsidP="00721473">
            <w:pPr>
              <w:pStyle w:val="SCCLsocParty"/>
              <w:jc w:val="both"/>
              <w:rPr>
                <w:b/>
                <w:sz w:val="20"/>
                <w:szCs w:val="20"/>
              </w:rPr>
            </w:pPr>
            <w:r w:rsidRPr="00D22292">
              <w:rPr>
                <w:b/>
                <w:sz w:val="20"/>
                <w:szCs w:val="20"/>
              </w:rPr>
              <w:t>Jason Norman Yeo c. Sa Majesté la Reine</w:t>
            </w:r>
          </w:p>
          <w:p w:rsidR="00755995" w:rsidRPr="00D22292" w:rsidRDefault="00755995" w:rsidP="00721473">
            <w:pPr>
              <w:jc w:val="both"/>
              <w:rPr>
                <w:sz w:val="20"/>
                <w:szCs w:val="20"/>
                <w:lang w:val="fr-CA"/>
              </w:rPr>
            </w:pPr>
            <w:r w:rsidRPr="00D22292">
              <w:rPr>
                <w:sz w:val="20"/>
                <w:szCs w:val="20"/>
                <w:lang w:val="fr-CA"/>
              </w:rPr>
              <w:t>(Î.-P.-É.) (Criminelle) (Sur autorisation)</w:t>
            </w:r>
          </w:p>
        </w:tc>
      </w:tr>
      <w:tr w:rsidR="00F92AD7" w:rsidRPr="00D22292" w:rsidTr="00721473">
        <w:tc>
          <w:tcPr>
            <w:tcW w:w="543" w:type="pct"/>
          </w:tcPr>
          <w:p w:rsidR="00F92AD7" w:rsidRPr="00D22292" w:rsidRDefault="00F92AD7" w:rsidP="00F92AD7">
            <w:pPr>
              <w:jc w:val="both"/>
              <w:rPr>
                <w:rStyle w:val="SCCFileNumberChar"/>
                <w:b w:val="0"/>
                <w:sz w:val="20"/>
                <w:szCs w:val="20"/>
              </w:rPr>
            </w:pPr>
            <w:r w:rsidRPr="00D22292">
              <w:rPr>
                <w:rStyle w:val="SCCFileNumberChar"/>
                <w:b w:val="0"/>
                <w:sz w:val="20"/>
                <w:szCs w:val="20"/>
              </w:rPr>
              <w:t xml:space="preserve">Coram: </w:t>
            </w:r>
          </w:p>
        </w:tc>
        <w:tc>
          <w:tcPr>
            <w:tcW w:w="4457" w:type="pct"/>
            <w:gridSpan w:val="3"/>
          </w:tcPr>
          <w:p w:rsidR="00F92AD7" w:rsidRPr="00D22292" w:rsidRDefault="001F3145" w:rsidP="00F92AD7">
            <w:pPr>
              <w:rPr>
                <w:rFonts w:eastAsia="Calibri" w:cs="Times New Roman"/>
                <w:sz w:val="20"/>
                <w:szCs w:val="20"/>
                <w:u w:val="single"/>
                <w:lang w:val="fr-CA"/>
              </w:rPr>
            </w:pPr>
            <w:r w:rsidRPr="00D22292">
              <w:rPr>
                <w:rFonts w:eastAsia="Calibri" w:cs="Times New Roman"/>
                <w:sz w:val="20"/>
                <w:szCs w:val="20"/>
                <w:u w:val="single"/>
                <w:lang w:val="fr-CA"/>
              </w:rPr>
              <w:t xml:space="preserve">La juge en chef McLachlin et les juges Abella, Moldaver, Karakatsanis, Wagner, Gascon, Côté, Brown et Rowe </w:t>
            </w:r>
          </w:p>
          <w:p w:rsidR="001F3145" w:rsidRPr="00D22292" w:rsidRDefault="001F3145" w:rsidP="00F92AD7">
            <w:pPr>
              <w:rPr>
                <w:lang w:val="fr-CA"/>
              </w:rPr>
            </w:pPr>
          </w:p>
        </w:tc>
      </w:tr>
      <w:tr w:rsidR="00F92AD7" w:rsidRPr="00D22292" w:rsidTr="00721473">
        <w:tc>
          <w:tcPr>
            <w:tcW w:w="5000" w:type="pct"/>
            <w:gridSpan w:val="4"/>
          </w:tcPr>
          <w:p w:rsidR="00F92AD7" w:rsidRPr="00D22292" w:rsidRDefault="001F3145" w:rsidP="00F92AD7">
            <w:pPr>
              <w:jc w:val="both"/>
              <w:rPr>
                <w:sz w:val="20"/>
                <w:szCs w:val="20"/>
                <w:lang w:val="fr-CA"/>
              </w:rPr>
            </w:pPr>
            <w:r w:rsidRPr="00D22292">
              <w:rPr>
                <w:sz w:val="20"/>
                <w:szCs w:val="20"/>
                <w:lang w:val="fr-CA"/>
              </w:rPr>
              <w:t xml:space="preserve">La requête en prorogation du délai de signification et de dépôt de la demande d’autorisation d’appel est accueillie. La demande d’autorisation d’appel de l’arrêt de la Cour d’appel de l’Île-du-Prince-Édouard,  numéro S1-CA-1299, 2016 PECA 5, daté du 18 mars 2016, est rejetée. </w:t>
            </w:r>
          </w:p>
          <w:p w:rsidR="001F3145" w:rsidRPr="00D22292" w:rsidRDefault="001F3145" w:rsidP="00F92AD7">
            <w:pPr>
              <w:jc w:val="both"/>
              <w:rPr>
                <w:sz w:val="20"/>
                <w:szCs w:val="20"/>
                <w:lang w:val="fr-CA"/>
              </w:rPr>
            </w:pPr>
          </w:p>
        </w:tc>
      </w:tr>
      <w:tr w:rsidR="00F92AD7" w:rsidRPr="00D22292" w:rsidTr="00721473">
        <w:tc>
          <w:tcPr>
            <w:tcW w:w="5000" w:type="pct"/>
            <w:gridSpan w:val="4"/>
          </w:tcPr>
          <w:p w:rsidR="00F92AD7" w:rsidRPr="00D22292" w:rsidRDefault="00F92AD7" w:rsidP="00F92AD7">
            <w:pPr>
              <w:jc w:val="both"/>
              <w:rPr>
                <w:sz w:val="20"/>
                <w:szCs w:val="20"/>
                <w:lang w:val="fr-CA"/>
              </w:rPr>
            </w:pPr>
            <w:r w:rsidRPr="00D22292">
              <w:rPr>
                <w:sz w:val="20"/>
                <w:szCs w:val="20"/>
                <w:lang w:val="fr-CA"/>
              </w:rPr>
              <w:t xml:space="preserve">Droit criminel – Détermination de la peine – Un juge chargé de déterminer la peine peut-il infliger une peine concurrente à une autre peine prononcée par un autre juge dans une instance antérieure, non liée? </w:t>
            </w:r>
          </w:p>
        </w:tc>
      </w:tr>
      <w:tr w:rsidR="00F92AD7" w:rsidRPr="00D22292" w:rsidTr="00721473">
        <w:tc>
          <w:tcPr>
            <w:tcW w:w="5000" w:type="pct"/>
            <w:gridSpan w:val="4"/>
          </w:tcPr>
          <w:p w:rsidR="00F92AD7" w:rsidRPr="00D22292" w:rsidRDefault="00F92AD7" w:rsidP="00F92AD7">
            <w:pPr>
              <w:jc w:val="both"/>
              <w:rPr>
                <w:sz w:val="20"/>
                <w:szCs w:val="20"/>
                <w:lang w:val="fr-CA"/>
              </w:rPr>
            </w:pPr>
          </w:p>
        </w:tc>
      </w:tr>
      <w:tr w:rsidR="00F92AD7" w:rsidRPr="00D22292" w:rsidTr="00721473">
        <w:tc>
          <w:tcPr>
            <w:tcW w:w="5000" w:type="pct"/>
            <w:gridSpan w:val="4"/>
          </w:tcPr>
          <w:p w:rsidR="00F92AD7" w:rsidRPr="00D22292" w:rsidRDefault="00F92AD7" w:rsidP="00F92AD7">
            <w:pPr>
              <w:jc w:val="both"/>
              <w:rPr>
                <w:sz w:val="20"/>
                <w:szCs w:val="20"/>
                <w:lang w:val="fr-CA"/>
              </w:rPr>
            </w:pPr>
            <w:r w:rsidRPr="00D22292">
              <w:rPr>
                <w:sz w:val="20"/>
                <w:szCs w:val="20"/>
                <w:lang w:val="fr-CA"/>
              </w:rPr>
              <w:t xml:space="preserve">Le demandeur a été déclaré coupable de trafic de cocaïne et il a plaidé coupable de possession de cocaïne en vue d’en faire le trafic, d’une infraction en matière d’armes à feu et de manquements à des engagements. Lorsque sa peine lui a été infligée, il purgeait déjà une peine d’emprisonnement de neuf ans qui venait de lui être infligée pour un vol à main armée. </w:t>
            </w:r>
          </w:p>
          <w:p w:rsidR="00F92AD7" w:rsidRPr="00D22292" w:rsidRDefault="00F92AD7" w:rsidP="00F92AD7">
            <w:pPr>
              <w:jc w:val="both"/>
              <w:rPr>
                <w:sz w:val="20"/>
                <w:szCs w:val="20"/>
                <w:lang w:val="fr-CA"/>
              </w:rPr>
            </w:pPr>
          </w:p>
        </w:tc>
      </w:tr>
      <w:tr w:rsidR="00F92AD7" w:rsidRPr="00D22292" w:rsidTr="00721473">
        <w:tc>
          <w:tcPr>
            <w:tcW w:w="2427" w:type="pct"/>
            <w:gridSpan w:val="2"/>
          </w:tcPr>
          <w:p w:rsidR="00F92AD7" w:rsidRPr="00D22292" w:rsidRDefault="00F92AD7" w:rsidP="00F92AD7">
            <w:pPr>
              <w:jc w:val="both"/>
              <w:rPr>
                <w:sz w:val="20"/>
                <w:szCs w:val="20"/>
                <w:lang w:val="fr-CA"/>
              </w:rPr>
            </w:pPr>
            <w:r w:rsidRPr="00D22292">
              <w:rPr>
                <w:sz w:val="20"/>
                <w:szCs w:val="20"/>
                <w:lang w:val="fr-CA"/>
              </w:rPr>
              <w:lastRenderedPageBreak/>
              <w:t>10 février 2014</w:t>
            </w:r>
          </w:p>
          <w:p w:rsidR="00F92AD7" w:rsidRPr="00D22292" w:rsidRDefault="00F92AD7" w:rsidP="00F92AD7">
            <w:pPr>
              <w:jc w:val="both"/>
              <w:rPr>
                <w:sz w:val="20"/>
                <w:szCs w:val="20"/>
                <w:lang w:val="fr-CA"/>
              </w:rPr>
            </w:pPr>
            <w:r w:rsidRPr="00D22292">
              <w:rPr>
                <w:sz w:val="20"/>
                <w:szCs w:val="20"/>
                <w:lang w:val="fr-CA"/>
              </w:rPr>
              <w:t>Cour suprême de l’Île-du-Prince-Édouard</w:t>
            </w:r>
          </w:p>
          <w:p w:rsidR="00F92AD7" w:rsidRPr="00D22292" w:rsidRDefault="00F92AD7" w:rsidP="00F92AD7">
            <w:pPr>
              <w:jc w:val="both"/>
              <w:rPr>
                <w:sz w:val="20"/>
                <w:szCs w:val="20"/>
                <w:lang w:val="fr-CA"/>
              </w:rPr>
            </w:pPr>
            <w:r w:rsidRPr="00D22292">
              <w:rPr>
                <w:sz w:val="20"/>
                <w:szCs w:val="20"/>
                <w:lang w:val="fr-CA"/>
              </w:rPr>
              <w:t>(Juge Cheverie)</w:t>
            </w:r>
          </w:p>
          <w:p w:rsidR="00F92AD7" w:rsidRPr="00D22292" w:rsidRDefault="00D22292" w:rsidP="00F92AD7">
            <w:pPr>
              <w:jc w:val="both"/>
              <w:rPr>
                <w:sz w:val="20"/>
                <w:szCs w:val="20"/>
                <w:lang w:val="fr-CA"/>
              </w:rPr>
            </w:pPr>
            <w:hyperlink r:id="rId38" w:history="1">
              <w:r w:rsidR="00F92AD7" w:rsidRPr="00D22292">
                <w:rPr>
                  <w:rStyle w:val="Hyperlink"/>
                  <w:sz w:val="20"/>
                  <w:szCs w:val="20"/>
                  <w:lang w:val="fr-CA"/>
                </w:rPr>
                <w:t>2014 PESC 4</w:t>
              </w:r>
            </w:hyperlink>
          </w:p>
          <w:p w:rsidR="00F92AD7" w:rsidRPr="00D22292" w:rsidRDefault="00F92AD7" w:rsidP="00F92AD7">
            <w:pPr>
              <w:jc w:val="both"/>
              <w:rPr>
                <w:sz w:val="20"/>
                <w:szCs w:val="20"/>
                <w:lang w:val="fr-CA"/>
              </w:rPr>
            </w:pPr>
          </w:p>
        </w:tc>
        <w:tc>
          <w:tcPr>
            <w:tcW w:w="243" w:type="pct"/>
          </w:tcPr>
          <w:p w:rsidR="00F92AD7" w:rsidRPr="00D22292" w:rsidRDefault="00F92AD7" w:rsidP="00F92AD7">
            <w:pPr>
              <w:jc w:val="both"/>
              <w:rPr>
                <w:sz w:val="20"/>
                <w:szCs w:val="20"/>
                <w:lang w:val="fr-CA"/>
              </w:rPr>
            </w:pPr>
          </w:p>
        </w:tc>
        <w:tc>
          <w:tcPr>
            <w:tcW w:w="2330" w:type="pct"/>
          </w:tcPr>
          <w:p w:rsidR="00F92AD7" w:rsidRPr="00D22292" w:rsidRDefault="00F92AD7" w:rsidP="00F92AD7">
            <w:pPr>
              <w:jc w:val="both"/>
              <w:rPr>
                <w:sz w:val="20"/>
                <w:szCs w:val="20"/>
                <w:lang w:val="fr-CA"/>
              </w:rPr>
            </w:pPr>
            <w:r w:rsidRPr="00D22292">
              <w:rPr>
                <w:sz w:val="20"/>
                <w:szCs w:val="20"/>
                <w:lang w:val="fr-CA"/>
              </w:rPr>
              <w:t>Déclaration de culpabilité de trafic de cocaïne</w:t>
            </w:r>
          </w:p>
          <w:p w:rsidR="00F92AD7" w:rsidRPr="00D22292" w:rsidRDefault="00F92AD7" w:rsidP="00F92AD7">
            <w:pPr>
              <w:jc w:val="both"/>
              <w:rPr>
                <w:sz w:val="20"/>
                <w:szCs w:val="20"/>
                <w:lang w:val="fr-CA"/>
              </w:rPr>
            </w:pPr>
          </w:p>
        </w:tc>
      </w:tr>
      <w:tr w:rsidR="00F92AD7" w:rsidRPr="00D22292" w:rsidTr="00721473">
        <w:tc>
          <w:tcPr>
            <w:tcW w:w="2427" w:type="pct"/>
            <w:gridSpan w:val="2"/>
          </w:tcPr>
          <w:p w:rsidR="00F92AD7" w:rsidRPr="00D22292" w:rsidRDefault="00F92AD7" w:rsidP="00F92AD7">
            <w:pPr>
              <w:jc w:val="both"/>
              <w:rPr>
                <w:sz w:val="20"/>
                <w:szCs w:val="20"/>
                <w:lang w:val="fr-CA"/>
              </w:rPr>
            </w:pPr>
            <w:r w:rsidRPr="00D22292">
              <w:rPr>
                <w:sz w:val="20"/>
                <w:szCs w:val="20"/>
                <w:lang w:val="fr-CA"/>
              </w:rPr>
              <w:t>12 mars 2014</w:t>
            </w:r>
          </w:p>
          <w:p w:rsidR="00F92AD7" w:rsidRPr="00D22292" w:rsidRDefault="00F92AD7" w:rsidP="00F92AD7">
            <w:pPr>
              <w:jc w:val="both"/>
              <w:rPr>
                <w:sz w:val="20"/>
                <w:szCs w:val="20"/>
                <w:lang w:val="fr-CA"/>
              </w:rPr>
            </w:pPr>
            <w:r w:rsidRPr="00D22292">
              <w:rPr>
                <w:sz w:val="20"/>
                <w:szCs w:val="20"/>
                <w:lang w:val="fr-CA"/>
              </w:rPr>
              <w:t>Cour suprême de l’Île-du-Prince-Édouard</w:t>
            </w:r>
          </w:p>
          <w:p w:rsidR="00F92AD7" w:rsidRPr="00D22292" w:rsidRDefault="00F92AD7" w:rsidP="00F92AD7">
            <w:pPr>
              <w:jc w:val="both"/>
              <w:rPr>
                <w:sz w:val="20"/>
                <w:szCs w:val="20"/>
                <w:lang w:val="fr-CA"/>
              </w:rPr>
            </w:pPr>
            <w:r w:rsidRPr="00D22292">
              <w:rPr>
                <w:sz w:val="20"/>
                <w:szCs w:val="20"/>
                <w:lang w:val="fr-CA"/>
              </w:rPr>
              <w:t>(Juge Cheverie)</w:t>
            </w:r>
          </w:p>
          <w:p w:rsidR="00F92AD7" w:rsidRPr="00D22292" w:rsidRDefault="00F92AD7" w:rsidP="00F92AD7">
            <w:pPr>
              <w:jc w:val="both"/>
              <w:rPr>
                <w:sz w:val="20"/>
                <w:szCs w:val="20"/>
                <w:lang w:val="fr-CA"/>
              </w:rPr>
            </w:pPr>
          </w:p>
        </w:tc>
        <w:tc>
          <w:tcPr>
            <w:tcW w:w="243" w:type="pct"/>
          </w:tcPr>
          <w:p w:rsidR="00F92AD7" w:rsidRPr="00D22292" w:rsidRDefault="00F92AD7" w:rsidP="00F92AD7">
            <w:pPr>
              <w:jc w:val="both"/>
              <w:rPr>
                <w:sz w:val="20"/>
                <w:szCs w:val="20"/>
                <w:lang w:val="fr-CA"/>
              </w:rPr>
            </w:pPr>
          </w:p>
        </w:tc>
        <w:tc>
          <w:tcPr>
            <w:tcW w:w="2330" w:type="pct"/>
          </w:tcPr>
          <w:p w:rsidR="00F92AD7" w:rsidRPr="00D22292" w:rsidRDefault="00F92AD7" w:rsidP="00F92AD7">
            <w:pPr>
              <w:jc w:val="both"/>
              <w:rPr>
                <w:sz w:val="20"/>
                <w:szCs w:val="20"/>
                <w:lang w:val="fr-CA"/>
              </w:rPr>
            </w:pPr>
            <w:r w:rsidRPr="00D22292">
              <w:rPr>
                <w:sz w:val="20"/>
                <w:szCs w:val="20"/>
                <w:lang w:val="fr-CA"/>
              </w:rPr>
              <w:t xml:space="preserve">Plaidoyers de culpabilité de possession de cocaïne en vue d’en faire le trafic, de possession d’une arme prohibée, de manquements à des engagements et d’autres infractions </w:t>
            </w:r>
          </w:p>
          <w:p w:rsidR="00F92AD7" w:rsidRPr="00D22292" w:rsidRDefault="00F92AD7" w:rsidP="00F92AD7">
            <w:pPr>
              <w:jc w:val="both"/>
              <w:rPr>
                <w:sz w:val="20"/>
                <w:szCs w:val="20"/>
                <w:lang w:val="fr-CA"/>
              </w:rPr>
            </w:pPr>
          </w:p>
        </w:tc>
      </w:tr>
      <w:tr w:rsidR="00F92AD7" w:rsidRPr="00D22292" w:rsidTr="00721473">
        <w:tc>
          <w:tcPr>
            <w:tcW w:w="2427" w:type="pct"/>
            <w:gridSpan w:val="2"/>
          </w:tcPr>
          <w:p w:rsidR="00F92AD7" w:rsidRPr="00D22292" w:rsidRDefault="00F92AD7" w:rsidP="00F92AD7">
            <w:pPr>
              <w:jc w:val="both"/>
              <w:rPr>
                <w:sz w:val="20"/>
                <w:szCs w:val="20"/>
                <w:lang w:val="fr-CA"/>
              </w:rPr>
            </w:pPr>
            <w:r w:rsidRPr="00D22292">
              <w:rPr>
                <w:sz w:val="20"/>
                <w:szCs w:val="20"/>
                <w:lang w:val="fr-CA"/>
              </w:rPr>
              <w:t>19 juin 2014</w:t>
            </w:r>
          </w:p>
          <w:p w:rsidR="00F92AD7" w:rsidRPr="00D22292" w:rsidRDefault="00F92AD7" w:rsidP="00F92AD7">
            <w:pPr>
              <w:jc w:val="both"/>
              <w:rPr>
                <w:sz w:val="20"/>
                <w:szCs w:val="20"/>
                <w:lang w:val="fr-CA"/>
              </w:rPr>
            </w:pPr>
            <w:r w:rsidRPr="00D22292">
              <w:rPr>
                <w:sz w:val="20"/>
                <w:szCs w:val="20"/>
                <w:lang w:val="fr-CA"/>
              </w:rPr>
              <w:t>Cour suprême de l’Île-du-Prince-Édouard</w:t>
            </w:r>
          </w:p>
          <w:p w:rsidR="00F92AD7" w:rsidRPr="00D22292" w:rsidRDefault="00F92AD7" w:rsidP="00F92AD7">
            <w:pPr>
              <w:jc w:val="both"/>
              <w:rPr>
                <w:sz w:val="20"/>
                <w:szCs w:val="20"/>
                <w:lang w:val="fr-CA"/>
              </w:rPr>
            </w:pPr>
            <w:r w:rsidRPr="00D22292">
              <w:rPr>
                <w:sz w:val="20"/>
                <w:szCs w:val="20"/>
                <w:lang w:val="fr-CA"/>
              </w:rPr>
              <w:t>(Juge Cheverie)</w:t>
            </w:r>
          </w:p>
          <w:p w:rsidR="00F92AD7" w:rsidRPr="00D22292" w:rsidRDefault="00D22292" w:rsidP="00F92AD7">
            <w:pPr>
              <w:jc w:val="both"/>
              <w:rPr>
                <w:sz w:val="20"/>
                <w:szCs w:val="20"/>
                <w:lang w:val="fr-CA"/>
              </w:rPr>
            </w:pPr>
            <w:hyperlink r:id="rId39" w:history="1">
              <w:r w:rsidR="00F92AD7" w:rsidRPr="00D22292">
                <w:rPr>
                  <w:rStyle w:val="Hyperlink"/>
                  <w:sz w:val="20"/>
                  <w:szCs w:val="20"/>
                  <w:lang w:val="fr-CA"/>
                </w:rPr>
                <w:t>2014 PESC 16</w:t>
              </w:r>
            </w:hyperlink>
          </w:p>
          <w:p w:rsidR="00F92AD7" w:rsidRPr="00D22292" w:rsidRDefault="00F92AD7" w:rsidP="00F92AD7">
            <w:pPr>
              <w:jc w:val="both"/>
              <w:rPr>
                <w:sz w:val="20"/>
                <w:szCs w:val="20"/>
                <w:lang w:val="fr-CA"/>
              </w:rPr>
            </w:pPr>
          </w:p>
        </w:tc>
        <w:tc>
          <w:tcPr>
            <w:tcW w:w="243" w:type="pct"/>
          </w:tcPr>
          <w:p w:rsidR="00F92AD7" w:rsidRPr="00D22292" w:rsidRDefault="00F92AD7" w:rsidP="00F92AD7">
            <w:pPr>
              <w:jc w:val="both"/>
              <w:rPr>
                <w:sz w:val="20"/>
                <w:szCs w:val="20"/>
                <w:lang w:val="fr-CA"/>
              </w:rPr>
            </w:pPr>
          </w:p>
        </w:tc>
        <w:tc>
          <w:tcPr>
            <w:tcW w:w="2330" w:type="pct"/>
          </w:tcPr>
          <w:p w:rsidR="00F92AD7" w:rsidRPr="00D22292" w:rsidRDefault="00F92AD7" w:rsidP="00F92AD7">
            <w:pPr>
              <w:jc w:val="both"/>
              <w:rPr>
                <w:sz w:val="20"/>
                <w:szCs w:val="20"/>
                <w:lang w:val="fr-CA"/>
              </w:rPr>
            </w:pPr>
            <w:r w:rsidRPr="00D22292">
              <w:rPr>
                <w:sz w:val="20"/>
                <w:szCs w:val="20"/>
                <w:lang w:val="fr-CA"/>
              </w:rPr>
              <w:t>Peine d’emprisonnement de sept ans, moins le temps passé en détention présentencielle, à purger consécutivement à la peine infligée antérieurement pour vol à main armée</w:t>
            </w:r>
          </w:p>
          <w:p w:rsidR="00F92AD7" w:rsidRPr="00D22292" w:rsidRDefault="00F92AD7" w:rsidP="00F92AD7">
            <w:pPr>
              <w:jc w:val="both"/>
              <w:rPr>
                <w:sz w:val="20"/>
                <w:szCs w:val="20"/>
                <w:lang w:val="fr-CA"/>
              </w:rPr>
            </w:pPr>
          </w:p>
        </w:tc>
      </w:tr>
      <w:tr w:rsidR="00F92AD7" w:rsidRPr="00D22292" w:rsidTr="00721473">
        <w:tc>
          <w:tcPr>
            <w:tcW w:w="2427" w:type="pct"/>
            <w:gridSpan w:val="2"/>
          </w:tcPr>
          <w:p w:rsidR="00F92AD7" w:rsidRPr="00D22292" w:rsidRDefault="00F92AD7" w:rsidP="00F92AD7">
            <w:pPr>
              <w:jc w:val="both"/>
              <w:rPr>
                <w:sz w:val="20"/>
                <w:szCs w:val="20"/>
                <w:lang w:val="fr-CA"/>
              </w:rPr>
            </w:pPr>
            <w:r w:rsidRPr="00D22292">
              <w:rPr>
                <w:sz w:val="20"/>
                <w:szCs w:val="20"/>
                <w:lang w:val="fr-CA"/>
              </w:rPr>
              <w:t>18 mars 2016</w:t>
            </w:r>
          </w:p>
          <w:p w:rsidR="00F92AD7" w:rsidRPr="00D22292" w:rsidRDefault="00F92AD7" w:rsidP="00F92AD7">
            <w:pPr>
              <w:jc w:val="both"/>
              <w:rPr>
                <w:sz w:val="20"/>
                <w:szCs w:val="20"/>
                <w:lang w:val="fr-CA"/>
              </w:rPr>
            </w:pPr>
            <w:r w:rsidRPr="00D22292">
              <w:rPr>
                <w:sz w:val="20"/>
                <w:szCs w:val="20"/>
                <w:lang w:val="fr-CA"/>
              </w:rPr>
              <w:t>Cour d’appel de l’Île-du-Prince-Édouard</w:t>
            </w:r>
          </w:p>
          <w:p w:rsidR="00F92AD7" w:rsidRPr="00D22292" w:rsidRDefault="00F92AD7" w:rsidP="00F92AD7">
            <w:pPr>
              <w:jc w:val="both"/>
              <w:rPr>
                <w:sz w:val="20"/>
                <w:szCs w:val="20"/>
                <w:lang w:val="fr-CA"/>
              </w:rPr>
            </w:pPr>
            <w:r w:rsidRPr="00D22292">
              <w:rPr>
                <w:sz w:val="20"/>
                <w:szCs w:val="20"/>
                <w:lang w:val="fr-CA"/>
              </w:rPr>
              <w:t xml:space="preserve">S1-CA-1299; </w:t>
            </w:r>
            <w:hyperlink r:id="rId40" w:history="1">
              <w:r w:rsidRPr="00D22292">
                <w:rPr>
                  <w:rStyle w:val="Hyperlink"/>
                  <w:sz w:val="20"/>
                  <w:szCs w:val="20"/>
                  <w:lang w:val="fr-CA"/>
                </w:rPr>
                <w:t>2016 PECA 5</w:t>
              </w:r>
            </w:hyperlink>
          </w:p>
          <w:p w:rsidR="00F92AD7" w:rsidRPr="00D22292" w:rsidRDefault="00F92AD7" w:rsidP="00F92AD7">
            <w:pPr>
              <w:jc w:val="both"/>
              <w:rPr>
                <w:sz w:val="20"/>
                <w:szCs w:val="20"/>
                <w:lang w:val="fr-CA"/>
              </w:rPr>
            </w:pPr>
          </w:p>
        </w:tc>
        <w:tc>
          <w:tcPr>
            <w:tcW w:w="243" w:type="pct"/>
          </w:tcPr>
          <w:p w:rsidR="00F92AD7" w:rsidRPr="00D22292" w:rsidRDefault="00F92AD7" w:rsidP="00F92AD7">
            <w:pPr>
              <w:jc w:val="both"/>
              <w:rPr>
                <w:sz w:val="20"/>
                <w:szCs w:val="20"/>
                <w:lang w:val="fr-CA"/>
              </w:rPr>
            </w:pPr>
          </w:p>
        </w:tc>
        <w:tc>
          <w:tcPr>
            <w:tcW w:w="2330" w:type="pct"/>
          </w:tcPr>
          <w:p w:rsidR="00F92AD7" w:rsidRPr="00D22292" w:rsidRDefault="00F92AD7" w:rsidP="00F92AD7">
            <w:pPr>
              <w:jc w:val="both"/>
              <w:rPr>
                <w:sz w:val="20"/>
                <w:szCs w:val="20"/>
                <w:lang w:val="fr-CA"/>
              </w:rPr>
            </w:pPr>
            <w:r w:rsidRPr="00D22292">
              <w:rPr>
                <w:sz w:val="20"/>
                <w:szCs w:val="20"/>
                <w:lang w:val="fr-CA"/>
              </w:rPr>
              <w:t>Rejet de l’appel des peines et de la déclaration de culpabilité de trafic</w:t>
            </w:r>
          </w:p>
          <w:p w:rsidR="00F92AD7" w:rsidRPr="00D22292" w:rsidRDefault="00F92AD7" w:rsidP="00F92AD7">
            <w:pPr>
              <w:jc w:val="both"/>
              <w:rPr>
                <w:sz w:val="20"/>
                <w:szCs w:val="20"/>
                <w:lang w:val="fr-CA"/>
              </w:rPr>
            </w:pPr>
          </w:p>
        </w:tc>
      </w:tr>
      <w:tr w:rsidR="00F92AD7" w:rsidRPr="00D22292" w:rsidTr="00721473">
        <w:tc>
          <w:tcPr>
            <w:tcW w:w="2427" w:type="pct"/>
            <w:gridSpan w:val="2"/>
          </w:tcPr>
          <w:p w:rsidR="00F92AD7" w:rsidRPr="00D22292" w:rsidRDefault="00F92AD7" w:rsidP="00F92AD7">
            <w:pPr>
              <w:jc w:val="both"/>
              <w:rPr>
                <w:sz w:val="20"/>
                <w:szCs w:val="20"/>
                <w:lang w:val="fr-CA"/>
              </w:rPr>
            </w:pPr>
            <w:r w:rsidRPr="00D22292">
              <w:rPr>
                <w:sz w:val="20"/>
                <w:szCs w:val="20"/>
                <w:lang w:val="fr-CA"/>
              </w:rPr>
              <w:t>11 avril 2017</w:t>
            </w:r>
          </w:p>
          <w:p w:rsidR="00F92AD7" w:rsidRPr="00D22292" w:rsidRDefault="00F92AD7" w:rsidP="00F92AD7">
            <w:pPr>
              <w:jc w:val="both"/>
              <w:rPr>
                <w:sz w:val="20"/>
                <w:szCs w:val="20"/>
                <w:lang w:val="fr-CA"/>
              </w:rPr>
            </w:pPr>
            <w:r w:rsidRPr="00D22292">
              <w:rPr>
                <w:sz w:val="20"/>
                <w:szCs w:val="20"/>
                <w:lang w:val="fr-CA"/>
              </w:rPr>
              <w:t>Cour suprême du Canada</w:t>
            </w:r>
          </w:p>
        </w:tc>
        <w:tc>
          <w:tcPr>
            <w:tcW w:w="243" w:type="pct"/>
          </w:tcPr>
          <w:p w:rsidR="00F92AD7" w:rsidRPr="00D22292" w:rsidRDefault="00F92AD7" w:rsidP="00F92AD7">
            <w:pPr>
              <w:jc w:val="both"/>
              <w:rPr>
                <w:sz w:val="20"/>
                <w:szCs w:val="20"/>
                <w:lang w:val="fr-CA"/>
              </w:rPr>
            </w:pPr>
          </w:p>
        </w:tc>
        <w:tc>
          <w:tcPr>
            <w:tcW w:w="2330" w:type="pct"/>
          </w:tcPr>
          <w:p w:rsidR="00F92AD7" w:rsidRPr="00D22292" w:rsidRDefault="00F92AD7" w:rsidP="00F92AD7">
            <w:pPr>
              <w:jc w:val="both"/>
              <w:rPr>
                <w:sz w:val="20"/>
                <w:szCs w:val="20"/>
                <w:lang w:val="fr-CA"/>
              </w:rPr>
            </w:pPr>
            <w:r w:rsidRPr="00D22292">
              <w:rPr>
                <w:sz w:val="20"/>
                <w:szCs w:val="20"/>
                <w:lang w:val="fr-CA"/>
              </w:rPr>
              <w:t>Dépôt de la requête en prorogation du délai de signification et de dépôt de la demande d’autorisation d’appel et de la demande d’autorisation d’appel</w:t>
            </w:r>
          </w:p>
        </w:tc>
      </w:tr>
    </w:tbl>
    <w:p w:rsidR="00755995" w:rsidRPr="00D22292" w:rsidRDefault="00D22292" w:rsidP="00755995">
      <w:pPr>
        <w:jc w:val="both"/>
        <w:rPr>
          <w:sz w:val="20"/>
          <w:szCs w:val="20"/>
          <w:lang w:val="fr-CA"/>
        </w:rPr>
      </w:pPr>
      <w:r w:rsidRPr="00D22292">
        <w:rPr>
          <w:sz w:val="20"/>
          <w:szCs w:val="20"/>
        </w:rPr>
        <w:pict>
          <v:rect id="_x0000_i1045" style="width:2in;height:1pt" o:hrpct="0" o:hralign="center" o:hrstd="t" o:hrnoshade="t" o:hr="t" fillcolor="black" stroked="f"/>
        </w:pict>
      </w:r>
    </w:p>
    <w:p w:rsidR="00755995" w:rsidRPr="00D22292" w:rsidRDefault="00755995" w:rsidP="00755995">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5995" w:rsidRPr="00D22292" w:rsidTr="00721473">
        <w:tc>
          <w:tcPr>
            <w:tcW w:w="543" w:type="pct"/>
          </w:tcPr>
          <w:p w:rsidR="00755995" w:rsidRPr="00D22292" w:rsidRDefault="00755995" w:rsidP="00721473">
            <w:pPr>
              <w:jc w:val="both"/>
              <w:rPr>
                <w:sz w:val="20"/>
                <w:szCs w:val="20"/>
              </w:rPr>
            </w:pPr>
            <w:r w:rsidRPr="00D22292">
              <w:rPr>
                <w:rStyle w:val="SCCFileNumberChar"/>
                <w:sz w:val="20"/>
                <w:szCs w:val="20"/>
              </w:rPr>
              <w:t>37511</w:t>
            </w:r>
          </w:p>
        </w:tc>
        <w:tc>
          <w:tcPr>
            <w:tcW w:w="4457" w:type="pct"/>
            <w:gridSpan w:val="3"/>
          </w:tcPr>
          <w:p w:rsidR="00755995" w:rsidRPr="00D22292" w:rsidRDefault="00755995" w:rsidP="00721473">
            <w:pPr>
              <w:pStyle w:val="SCCLsocParty"/>
              <w:jc w:val="both"/>
              <w:rPr>
                <w:b/>
                <w:sz w:val="20"/>
                <w:szCs w:val="20"/>
                <w:lang w:val="en-US"/>
              </w:rPr>
            </w:pPr>
            <w:r w:rsidRPr="00D22292">
              <w:rPr>
                <w:b/>
                <w:sz w:val="20"/>
                <w:szCs w:val="20"/>
                <w:lang w:val="en-US"/>
              </w:rPr>
              <w:t>Gladys Milena Segura Mosquera v. Minister of Citizenship and Immigration</w:t>
            </w:r>
          </w:p>
          <w:p w:rsidR="00755995" w:rsidRPr="00D22292" w:rsidRDefault="00755995" w:rsidP="00721473">
            <w:pPr>
              <w:jc w:val="both"/>
              <w:rPr>
                <w:sz w:val="20"/>
                <w:szCs w:val="20"/>
              </w:rPr>
            </w:pPr>
            <w:r w:rsidRPr="00D22292">
              <w:rPr>
                <w:sz w:val="20"/>
                <w:szCs w:val="20"/>
              </w:rPr>
              <w:t>(FC) (Civil) (By Leave)</w:t>
            </w:r>
          </w:p>
        </w:tc>
      </w:tr>
      <w:tr w:rsidR="00B10409" w:rsidRPr="00D22292" w:rsidTr="00721473">
        <w:tc>
          <w:tcPr>
            <w:tcW w:w="543" w:type="pct"/>
          </w:tcPr>
          <w:p w:rsidR="00B10409" w:rsidRPr="00D22292" w:rsidRDefault="00B10409" w:rsidP="00B10409">
            <w:pPr>
              <w:jc w:val="both"/>
              <w:rPr>
                <w:rStyle w:val="SCCFileNumberChar"/>
                <w:b w:val="0"/>
                <w:sz w:val="20"/>
                <w:szCs w:val="20"/>
              </w:rPr>
            </w:pPr>
            <w:r w:rsidRPr="00D22292">
              <w:rPr>
                <w:rStyle w:val="SCCFileNumberChar"/>
                <w:b w:val="0"/>
                <w:sz w:val="20"/>
                <w:szCs w:val="20"/>
              </w:rPr>
              <w:t xml:space="preserve">Coram: </w:t>
            </w:r>
          </w:p>
        </w:tc>
        <w:tc>
          <w:tcPr>
            <w:tcW w:w="4457" w:type="pct"/>
            <w:gridSpan w:val="3"/>
          </w:tcPr>
          <w:p w:rsidR="00B10409" w:rsidRPr="00D22292" w:rsidRDefault="003B0E28" w:rsidP="00B10409">
            <w:pPr>
              <w:rPr>
                <w:rFonts w:eastAsia="Calibri" w:cs="Times New Roman"/>
                <w:sz w:val="20"/>
                <w:szCs w:val="20"/>
                <w:u w:val="single"/>
              </w:rPr>
            </w:pPr>
            <w:r w:rsidRPr="00D22292">
              <w:rPr>
                <w:rFonts w:eastAsia="Calibri" w:cs="Times New Roman"/>
                <w:sz w:val="20"/>
                <w:szCs w:val="20"/>
                <w:u w:val="single"/>
              </w:rPr>
              <w:t>McLachlin C.J. and Abella, Moldaver, Karakatsanis, Wagner, Gascon, Côté, Brown and Rowe JJ.</w:t>
            </w:r>
          </w:p>
          <w:p w:rsidR="003B0E28" w:rsidRPr="00D22292" w:rsidRDefault="003B0E28" w:rsidP="00B10409"/>
        </w:tc>
      </w:tr>
      <w:tr w:rsidR="00B10409" w:rsidRPr="00D22292" w:rsidTr="00721473">
        <w:tc>
          <w:tcPr>
            <w:tcW w:w="5000" w:type="pct"/>
            <w:gridSpan w:val="4"/>
          </w:tcPr>
          <w:p w:rsidR="00B10409" w:rsidRPr="00D22292" w:rsidRDefault="003B0E28" w:rsidP="00B10409">
            <w:pPr>
              <w:jc w:val="both"/>
              <w:rPr>
                <w:sz w:val="20"/>
                <w:szCs w:val="20"/>
              </w:rPr>
            </w:pPr>
            <w:r w:rsidRPr="00D22292">
              <w:rPr>
                <w:sz w:val="20"/>
                <w:szCs w:val="20"/>
              </w:rPr>
              <w:t>The application for leave to appeal and other relief sought from the judgment of the Federal Court of Appeal, Number A-319-16, dated January 4, 2017, is dismissed.</w:t>
            </w:r>
          </w:p>
          <w:p w:rsidR="003B0E28" w:rsidRPr="00D22292" w:rsidRDefault="003B0E28" w:rsidP="00B10409">
            <w:pPr>
              <w:jc w:val="both"/>
              <w:rPr>
                <w:sz w:val="20"/>
                <w:szCs w:val="20"/>
              </w:rPr>
            </w:pPr>
          </w:p>
        </w:tc>
      </w:tr>
      <w:tr w:rsidR="00B10409" w:rsidRPr="00D22292" w:rsidTr="00721473">
        <w:tc>
          <w:tcPr>
            <w:tcW w:w="5000" w:type="pct"/>
            <w:gridSpan w:val="4"/>
          </w:tcPr>
          <w:p w:rsidR="00B10409" w:rsidRPr="00D22292" w:rsidRDefault="00B10409" w:rsidP="00B10409">
            <w:pPr>
              <w:jc w:val="both"/>
              <w:rPr>
                <w:sz w:val="20"/>
                <w:szCs w:val="20"/>
              </w:rPr>
            </w:pPr>
            <w:r w:rsidRPr="00D22292">
              <w:rPr>
                <w:sz w:val="20"/>
                <w:szCs w:val="20"/>
              </w:rPr>
              <w:t>Civil procedure – Appeal – Leave to Appeal – Whether applicant raises a legal issue – Whether issue is of public importance.</w:t>
            </w:r>
          </w:p>
        </w:tc>
      </w:tr>
      <w:tr w:rsidR="00B10409" w:rsidRPr="00D22292" w:rsidTr="00721473">
        <w:tc>
          <w:tcPr>
            <w:tcW w:w="5000" w:type="pct"/>
            <w:gridSpan w:val="4"/>
          </w:tcPr>
          <w:p w:rsidR="00B10409" w:rsidRPr="00D22292" w:rsidRDefault="00B10409" w:rsidP="00B10409">
            <w:pPr>
              <w:jc w:val="both"/>
              <w:rPr>
                <w:sz w:val="20"/>
                <w:szCs w:val="20"/>
              </w:rPr>
            </w:pPr>
          </w:p>
        </w:tc>
      </w:tr>
      <w:tr w:rsidR="00B10409" w:rsidRPr="00D22292" w:rsidTr="00721473">
        <w:tc>
          <w:tcPr>
            <w:tcW w:w="5000" w:type="pct"/>
            <w:gridSpan w:val="4"/>
          </w:tcPr>
          <w:p w:rsidR="00B10409" w:rsidRPr="00D22292" w:rsidRDefault="00B10409" w:rsidP="00B10409">
            <w:pPr>
              <w:jc w:val="both"/>
              <w:rPr>
                <w:sz w:val="20"/>
                <w:szCs w:val="20"/>
              </w:rPr>
            </w:pPr>
            <w:r w:rsidRPr="00D22292">
              <w:rPr>
                <w:sz w:val="20"/>
                <w:szCs w:val="20"/>
              </w:rPr>
              <w:t xml:space="preserve">Citizenship and Immigration Canada informed the applicant that her citizenship application was treated as abandoned because she had not provided a reasonable excuse for failing to attend a citizenship hearing. </w:t>
            </w:r>
          </w:p>
          <w:p w:rsidR="00B10409" w:rsidRPr="00D22292" w:rsidRDefault="00B10409" w:rsidP="00B10409">
            <w:pPr>
              <w:jc w:val="both"/>
              <w:rPr>
                <w:sz w:val="20"/>
                <w:szCs w:val="20"/>
              </w:rPr>
            </w:pPr>
          </w:p>
        </w:tc>
      </w:tr>
      <w:tr w:rsidR="00B10409" w:rsidRPr="00D22292" w:rsidTr="00721473">
        <w:tc>
          <w:tcPr>
            <w:tcW w:w="2427" w:type="pct"/>
            <w:gridSpan w:val="2"/>
          </w:tcPr>
          <w:p w:rsidR="00B10409" w:rsidRPr="00D22292" w:rsidRDefault="00B10409" w:rsidP="00B10409">
            <w:pPr>
              <w:jc w:val="both"/>
              <w:rPr>
                <w:sz w:val="20"/>
                <w:szCs w:val="20"/>
              </w:rPr>
            </w:pPr>
            <w:r w:rsidRPr="00D22292">
              <w:rPr>
                <w:sz w:val="20"/>
                <w:szCs w:val="20"/>
              </w:rPr>
              <w:t>April 5, 2016</w:t>
            </w:r>
          </w:p>
          <w:p w:rsidR="00B10409" w:rsidRPr="00D22292" w:rsidRDefault="00B10409" w:rsidP="00B10409">
            <w:pPr>
              <w:jc w:val="both"/>
              <w:rPr>
                <w:sz w:val="20"/>
                <w:szCs w:val="20"/>
              </w:rPr>
            </w:pPr>
            <w:r w:rsidRPr="00D22292">
              <w:rPr>
                <w:sz w:val="20"/>
                <w:szCs w:val="20"/>
              </w:rPr>
              <w:t>Federal Court</w:t>
            </w:r>
          </w:p>
          <w:p w:rsidR="00B10409" w:rsidRPr="00D22292" w:rsidRDefault="00B10409" w:rsidP="00B10409">
            <w:pPr>
              <w:jc w:val="both"/>
              <w:rPr>
                <w:sz w:val="20"/>
                <w:szCs w:val="20"/>
              </w:rPr>
            </w:pPr>
            <w:r w:rsidRPr="00D22292">
              <w:rPr>
                <w:sz w:val="20"/>
                <w:szCs w:val="20"/>
              </w:rPr>
              <w:t>(Tremblay-Lamer J.)</w:t>
            </w:r>
          </w:p>
          <w:p w:rsidR="00B10409" w:rsidRPr="00D22292" w:rsidRDefault="00B10409" w:rsidP="00B10409">
            <w:pPr>
              <w:jc w:val="both"/>
              <w:rPr>
                <w:sz w:val="20"/>
                <w:szCs w:val="20"/>
              </w:rPr>
            </w:pPr>
          </w:p>
        </w:tc>
        <w:tc>
          <w:tcPr>
            <w:tcW w:w="243" w:type="pct"/>
          </w:tcPr>
          <w:p w:rsidR="00B10409" w:rsidRPr="00D22292" w:rsidRDefault="00B10409" w:rsidP="00B10409">
            <w:pPr>
              <w:jc w:val="both"/>
              <w:rPr>
                <w:sz w:val="20"/>
                <w:szCs w:val="20"/>
              </w:rPr>
            </w:pPr>
          </w:p>
        </w:tc>
        <w:tc>
          <w:tcPr>
            <w:tcW w:w="2330" w:type="pct"/>
          </w:tcPr>
          <w:p w:rsidR="00B10409" w:rsidRPr="00D22292" w:rsidRDefault="00B10409" w:rsidP="00B10409">
            <w:pPr>
              <w:jc w:val="both"/>
              <w:rPr>
                <w:sz w:val="20"/>
                <w:szCs w:val="20"/>
              </w:rPr>
            </w:pPr>
            <w:r w:rsidRPr="00D22292">
              <w:rPr>
                <w:sz w:val="20"/>
                <w:szCs w:val="20"/>
              </w:rPr>
              <w:t>Application for leave and judicial review dismissed</w:t>
            </w:r>
          </w:p>
          <w:p w:rsidR="00B10409" w:rsidRPr="00D22292" w:rsidRDefault="00B10409" w:rsidP="00B10409">
            <w:pPr>
              <w:jc w:val="both"/>
              <w:rPr>
                <w:sz w:val="20"/>
                <w:szCs w:val="20"/>
              </w:rPr>
            </w:pPr>
          </w:p>
        </w:tc>
      </w:tr>
      <w:tr w:rsidR="00B10409" w:rsidRPr="00D22292" w:rsidTr="00721473">
        <w:tc>
          <w:tcPr>
            <w:tcW w:w="2427" w:type="pct"/>
            <w:gridSpan w:val="2"/>
          </w:tcPr>
          <w:p w:rsidR="00B10409" w:rsidRPr="00D22292" w:rsidRDefault="00B10409" w:rsidP="00B10409">
            <w:pPr>
              <w:jc w:val="both"/>
              <w:rPr>
                <w:sz w:val="20"/>
                <w:szCs w:val="20"/>
              </w:rPr>
            </w:pPr>
            <w:r w:rsidRPr="00D22292">
              <w:rPr>
                <w:sz w:val="20"/>
                <w:szCs w:val="20"/>
              </w:rPr>
              <w:t>June 30, 2016</w:t>
            </w:r>
          </w:p>
          <w:p w:rsidR="00B10409" w:rsidRPr="00D22292" w:rsidRDefault="00B10409" w:rsidP="00B10409">
            <w:pPr>
              <w:jc w:val="both"/>
              <w:rPr>
                <w:sz w:val="20"/>
                <w:szCs w:val="20"/>
              </w:rPr>
            </w:pPr>
            <w:r w:rsidRPr="00D22292">
              <w:rPr>
                <w:sz w:val="20"/>
                <w:szCs w:val="20"/>
              </w:rPr>
              <w:t>Federal Court</w:t>
            </w:r>
          </w:p>
          <w:p w:rsidR="00B10409" w:rsidRPr="00D22292" w:rsidRDefault="00B10409" w:rsidP="00B10409">
            <w:pPr>
              <w:jc w:val="both"/>
              <w:rPr>
                <w:sz w:val="20"/>
                <w:szCs w:val="20"/>
              </w:rPr>
            </w:pPr>
            <w:r w:rsidRPr="00D22292">
              <w:rPr>
                <w:sz w:val="20"/>
                <w:szCs w:val="20"/>
              </w:rPr>
              <w:t xml:space="preserve">(Tremblay-Lamer J.) (Unreported) </w:t>
            </w:r>
          </w:p>
          <w:p w:rsidR="00B10409" w:rsidRPr="00D22292" w:rsidRDefault="00B10409" w:rsidP="00B10409">
            <w:pPr>
              <w:jc w:val="both"/>
              <w:rPr>
                <w:sz w:val="20"/>
                <w:szCs w:val="20"/>
              </w:rPr>
            </w:pPr>
          </w:p>
        </w:tc>
        <w:tc>
          <w:tcPr>
            <w:tcW w:w="243" w:type="pct"/>
          </w:tcPr>
          <w:p w:rsidR="00B10409" w:rsidRPr="00D22292" w:rsidRDefault="00B10409" w:rsidP="00B10409">
            <w:pPr>
              <w:jc w:val="both"/>
              <w:rPr>
                <w:sz w:val="20"/>
                <w:szCs w:val="20"/>
              </w:rPr>
            </w:pPr>
          </w:p>
        </w:tc>
        <w:tc>
          <w:tcPr>
            <w:tcW w:w="2330" w:type="pct"/>
          </w:tcPr>
          <w:p w:rsidR="00B10409" w:rsidRPr="00D22292" w:rsidRDefault="00B10409" w:rsidP="00B10409">
            <w:pPr>
              <w:jc w:val="both"/>
              <w:rPr>
                <w:sz w:val="20"/>
                <w:szCs w:val="20"/>
              </w:rPr>
            </w:pPr>
            <w:r w:rsidRPr="00D22292">
              <w:rPr>
                <w:sz w:val="20"/>
                <w:szCs w:val="20"/>
              </w:rPr>
              <w:t>Motion for reconsideration dismissed</w:t>
            </w:r>
          </w:p>
          <w:p w:rsidR="00B10409" w:rsidRPr="00D22292" w:rsidRDefault="00B10409" w:rsidP="00B10409">
            <w:pPr>
              <w:jc w:val="both"/>
              <w:rPr>
                <w:sz w:val="20"/>
                <w:szCs w:val="20"/>
              </w:rPr>
            </w:pPr>
          </w:p>
        </w:tc>
      </w:tr>
      <w:tr w:rsidR="00B10409" w:rsidRPr="00D22292" w:rsidTr="00721473">
        <w:tc>
          <w:tcPr>
            <w:tcW w:w="2427" w:type="pct"/>
            <w:gridSpan w:val="2"/>
          </w:tcPr>
          <w:p w:rsidR="00B10409" w:rsidRPr="00D22292" w:rsidRDefault="00B10409" w:rsidP="00B10409">
            <w:pPr>
              <w:jc w:val="both"/>
              <w:rPr>
                <w:sz w:val="20"/>
                <w:szCs w:val="20"/>
              </w:rPr>
            </w:pPr>
            <w:r w:rsidRPr="00D22292">
              <w:rPr>
                <w:sz w:val="20"/>
                <w:szCs w:val="20"/>
              </w:rPr>
              <w:t>July 14, 2016</w:t>
            </w:r>
          </w:p>
          <w:p w:rsidR="00B10409" w:rsidRPr="00D22292" w:rsidRDefault="00B10409" w:rsidP="00B10409">
            <w:pPr>
              <w:jc w:val="both"/>
              <w:rPr>
                <w:sz w:val="20"/>
                <w:szCs w:val="20"/>
              </w:rPr>
            </w:pPr>
            <w:r w:rsidRPr="00D22292">
              <w:rPr>
                <w:sz w:val="20"/>
                <w:szCs w:val="20"/>
              </w:rPr>
              <w:t>Federal Court</w:t>
            </w:r>
          </w:p>
          <w:p w:rsidR="00B10409" w:rsidRPr="00D22292" w:rsidRDefault="00B10409" w:rsidP="00B10409">
            <w:pPr>
              <w:jc w:val="both"/>
              <w:rPr>
                <w:sz w:val="20"/>
                <w:szCs w:val="20"/>
              </w:rPr>
            </w:pPr>
            <w:r w:rsidRPr="00D22292">
              <w:rPr>
                <w:sz w:val="20"/>
                <w:szCs w:val="20"/>
              </w:rPr>
              <w:t xml:space="preserve">(Unreported) </w:t>
            </w:r>
          </w:p>
          <w:p w:rsidR="00B10409" w:rsidRPr="00D22292" w:rsidRDefault="00B10409" w:rsidP="00B10409">
            <w:pPr>
              <w:jc w:val="both"/>
              <w:rPr>
                <w:sz w:val="20"/>
                <w:szCs w:val="20"/>
              </w:rPr>
            </w:pPr>
          </w:p>
        </w:tc>
        <w:tc>
          <w:tcPr>
            <w:tcW w:w="243" w:type="pct"/>
          </w:tcPr>
          <w:p w:rsidR="00B10409" w:rsidRPr="00D22292" w:rsidRDefault="00B10409" w:rsidP="00B10409">
            <w:pPr>
              <w:jc w:val="both"/>
              <w:rPr>
                <w:sz w:val="20"/>
                <w:szCs w:val="20"/>
              </w:rPr>
            </w:pPr>
          </w:p>
        </w:tc>
        <w:tc>
          <w:tcPr>
            <w:tcW w:w="2330" w:type="pct"/>
          </w:tcPr>
          <w:p w:rsidR="00B10409" w:rsidRPr="00D22292" w:rsidRDefault="00B10409" w:rsidP="00B10409">
            <w:pPr>
              <w:jc w:val="both"/>
              <w:rPr>
                <w:sz w:val="20"/>
                <w:szCs w:val="20"/>
              </w:rPr>
            </w:pPr>
            <w:r w:rsidRPr="00D22292">
              <w:rPr>
                <w:sz w:val="20"/>
                <w:szCs w:val="20"/>
              </w:rPr>
              <w:t>Direction</w:t>
            </w:r>
          </w:p>
        </w:tc>
      </w:tr>
      <w:tr w:rsidR="00B10409" w:rsidRPr="00D22292" w:rsidTr="00721473">
        <w:tc>
          <w:tcPr>
            <w:tcW w:w="2427" w:type="pct"/>
            <w:gridSpan w:val="2"/>
          </w:tcPr>
          <w:p w:rsidR="00B10409" w:rsidRPr="00D22292" w:rsidRDefault="00B10409" w:rsidP="00B10409">
            <w:pPr>
              <w:jc w:val="both"/>
              <w:rPr>
                <w:sz w:val="20"/>
                <w:szCs w:val="20"/>
              </w:rPr>
            </w:pPr>
            <w:r w:rsidRPr="00D22292">
              <w:rPr>
                <w:sz w:val="20"/>
                <w:szCs w:val="20"/>
              </w:rPr>
              <w:t>September 13, 2016</w:t>
            </w:r>
          </w:p>
          <w:p w:rsidR="00B10409" w:rsidRPr="00D22292" w:rsidRDefault="00B10409" w:rsidP="00B10409">
            <w:pPr>
              <w:jc w:val="both"/>
              <w:rPr>
                <w:sz w:val="20"/>
                <w:szCs w:val="20"/>
              </w:rPr>
            </w:pPr>
            <w:r w:rsidRPr="00D22292">
              <w:rPr>
                <w:sz w:val="20"/>
                <w:szCs w:val="20"/>
              </w:rPr>
              <w:t>Federal Court of Appeal</w:t>
            </w:r>
          </w:p>
          <w:p w:rsidR="00B10409" w:rsidRPr="00D22292" w:rsidRDefault="00B10409" w:rsidP="00B10409">
            <w:pPr>
              <w:jc w:val="both"/>
              <w:rPr>
                <w:sz w:val="20"/>
                <w:szCs w:val="20"/>
              </w:rPr>
            </w:pPr>
            <w:r w:rsidRPr="00D22292">
              <w:rPr>
                <w:sz w:val="20"/>
                <w:szCs w:val="20"/>
              </w:rPr>
              <w:t>(Nadon, Gauthier, Scott JJ.A.)</w:t>
            </w:r>
          </w:p>
          <w:p w:rsidR="00B10409" w:rsidRPr="00D22292" w:rsidRDefault="00B10409" w:rsidP="00B10409">
            <w:pPr>
              <w:jc w:val="both"/>
              <w:rPr>
                <w:sz w:val="20"/>
                <w:szCs w:val="20"/>
              </w:rPr>
            </w:pPr>
            <w:r w:rsidRPr="00D22292">
              <w:rPr>
                <w:sz w:val="20"/>
                <w:szCs w:val="20"/>
              </w:rPr>
              <w:t>A-319-16; 2016 FCA 228 (Unreported)</w:t>
            </w:r>
          </w:p>
          <w:p w:rsidR="00B10409" w:rsidRPr="00D22292" w:rsidRDefault="00B10409" w:rsidP="00B10409">
            <w:pPr>
              <w:jc w:val="both"/>
              <w:rPr>
                <w:sz w:val="20"/>
                <w:szCs w:val="20"/>
              </w:rPr>
            </w:pPr>
          </w:p>
        </w:tc>
        <w:tc>
          <w:tcPr>
            <w:tcW w:w="243" w:type="pct"/>
          </w:tcPr>
          <w:p w:rsidR="00B10409" w:rsidRPr="00D22292" w:rsidRDefault="00B10409" w:rsidP="00B10409">
            <w:pPr>
              <w:jc w:val="both"/>
              <w:rPr>
                <w:sz w:val="20"/>
                <w:szCs w:val="20"/>
              </w:rPr>
            </w:pPr>
          </w:p>
        </w:tc>
        <w:tc>
          <w:tcPr>
            <w:tcW w:w="2330" w:type="pct"/>
          </w:tcPr>
          <w:p w:rsidR="00B10409" w:rsidRPr="00D22292" w:rsidRDefault="00B10409" w:rsidP="00B10409">
            <w:pPr>
              <w:jc w:val="both"/>
              <w:rPr>
                <w:sz w:val="20"/>
                <w:szCs w:val="20"/>
              </w:rPr>
            </w:pPr>
            <w:r w:rsidRPr="00D22292">
              <w:rPr>
                <w:sz w:val="20"/>
                <w:szCs w:val="20"/>
              </w:rPr>
              <w:t xml:space="preserve">Appeal dismissed </w:t>
            </w:r>
          </w:p>
          <w:p w:rsidR="00B10409" w:rsidRPr="00D22292" w:rsidRDefault="00B10409" w:rsidP="00B10409">
            <w:pPr>
              <w:jc w:val="both"/>
              <w:rPr>
                <w:sz w:val="20"/>
                <w:szCs w:val="20"/>
              </w:rPr>
            </w:pPr>
          </w:p>
        </w:tc>
      </w:tr>
      <w:tr w:rsidR="00B10409" w:rsidRPr="00D22292" w:rsidTr="00721473">
        <w:tc>
          <w:tcPr>
            <w:tcW w:w="2427" w:type="pct"/>
            <w:gridSpan w:val="2"/>
          </w:tcPr>
          <w:p w:rsidR="00B10409" w:rsidRPr="00D22292" w:rsidRDefault="00B10409" w:rsidP="00B10409">
            <w:pPr>
              <w:jc w:val="both"/>
              <w:rPr>
                <w:sz w:val="20"/>
                <w:szCs w:val="20"/>
              </w:rPr>
            </w:pPr>
            <w:r w:rsidRPr="00D22292">
              <w:rPr>
                <w:sz w:val="20"/>
                <w:szCs w:val="20"/>
              </w:rPr>
              <w:t>January 4, 2017</w:t>
            </w:r>
          </w:p>
          <w:p w:rsidR="00B10409" w:rsidRPr="00D22292" w:rsidRDefault="00B10409" w:rsidP="00B10409">
            <w:pPr>
              <w:jc w:val="both"/>
              <w:rPr>
                <w:sz w:val="20"/>
                <w:szCs w:val="20"/>
              </w:rPr>
            </w:pPr>
            <w:r w:rsidRPr="00D22292">
              <w:rPr>
                <w:sz w:val="20"/>
                <w:szCs w:val="20"/>
              </w:rPr>
              <w:t>Federal Court of Appeal</w:t>
            </w:r>
          </w:p>
          <w:p w:rsidR="00B10409" w:rsidRPr="00D22292" w:rsidRDefault="00B10409" w:rsidP="00B10409">
            <w:pPr>
              <w:jc w:val="both"/>
              <w:rPr>
                <w:sz w:val="20"/>
                <w:szCs w:val="20"/>
              </w:rPr>
            </w:pPr>
            <w:r w:rsidRPr="00D22292">
              <w:rPr>
                <w:sz w:val="20"/>
                <w:szCs w:val="20"/>
              </w:rPr>
              <w:t>(Nadon, Gauthier, Scott JJ.A.)</w:t>
            </w:r>
          </w:p>
          <w:p w:rsidR="00B10409" w:rsidRPr="00D22292" w:rsidRDefault="00B10409" w:rsidP="00B10409">
            <w:pPr>
              <w:jc w:val="both"/>
              <w:rPr>
                <w:sz w:val="20"/>
                <w:szCs w:val="20"/>
              </w:rPr>
            </w:pPr>
            <w:r w:rsidRPr="00D22292">
              <w:rPr>
                <w:sz w:val="20"/>
                <w:szCs w:val="20"/>
              </w:rPr>
              <w:t>A-319-16  (Unreported)</w:t>
            </w:r>
          </w:p>
          <w:p w:rsidR="00B10409" w:rsidRPr="00D22292" w:rsidRDefault="00B10409" w:rsidP="00B10409">
            <w:pPr>
              <w:jc w:val="both"/>
              <w:rPr>
                <w:sz w:val="20"/>
                <w:szCs w:val="20"/>
              </w:rPr>
            </w:pPr>
          </w:p>
        </w:tc>
        <w:tc>
          <w:tcPr>
            <w:tcW w:w="243" w:type="pct"/>
          </w:tcPr>
          <w:p w:rsidR="00B10409" w:rsidRPr="00D22292" w:rsidRDefault="00B10409" w:rsidP="00B10409">
            <w:pPr>
              <w:jc w:val="both"/>
              <w:rPr>
                <w:sz w:val="20"/>
                <w:szCs w:val="20"/>
              </w:rPr>
            </w:pPr>
          </w:p>
        </w:tc>
        <w:tc>
          <w:tcPr>
            <w:tcW w:w="2330" w:type="pct"/>
          </w:tcPr>
          <w:p w:rsidR="00B10409" w:rsidRPr="00D22292" w:rsidRDefault="00B10409" w:rsidP="00B10409">
            <w:pPr>
              <w:jc w:val="both"/>
              <w:rPr>
                <w:sz w:val="20"/>
                <w:szCs w:val="20"/>
              </w:rPr>
            </w:pPr>
            <w:r w:rsidRPr="00D22292">
              <w:rPr>
                <w:sz w:val="20"/>
                <w:szCs w:val="20"/>
              </w:rPr>
              <w:t>Motion for reconsideration and other relief dismissed</w:t>
            </w:r>
          </w:p>
        </w:tc>
      </w:tr>
      <w:tr w:rsidR="00B10409" w:rsidRPr="00D22292" w:rsidTr="00721473">
        <w:tc>
          <w:tcPr>
            <w:tcW w:w="2427" w:type="pct"/>
            <w:gridSpan w:val="2"/>
          </w:tcPr>
          <w:p w:rsidR="00B10409" w:rsidRPr="00D22292" w:rsidRDefault="00B10409" w:rsidP="00B10409">
            <w:pPr>
              <w:jc w:val="both"/>
              <w:rPr>
                <w:sz w:val="20"/>
                <w:szCs w:val="20"/>
              </w:rPr>
            </w:pPr>
            <w:r w:rsidRPr="00D22292">
              <w:rPr>
                <w:sz w:val="20"/>
                <w:szCs w:val="20"/>
              </w:rPr>
              <w:t>February 22, 2017</w:t>
            </w:r>
          </w:p>
          <w:p w:rsidR="00B10409" w:rsidRPr="00D22292" w:rsidRDefault="00B10409" w:rsidP="00B10409">
            <w:pPr>
              <w:jc w:val="both"/>
              <w:rPr>
                <w:sz w:val="20"/>
                <w:szCs w:val="20"/>
              </w:rPr>
            </w:pPr>
            <w:r w:rsidRPr="00D22292">
              <w:rPr>
                <w:sz w:val="20"/>
                <w:szCs w:val="20"/>
              </w:rPr>
              <w:t>Supreme Court of Canada</w:t>
            </w:r>
          </w:p>
        </w:tc>
        <w:tc>
          <w:tcPr>
            <w:tcW w:w="243" w:type="pct"/>
          </w:tcPr>
          <w:p w:rsidR="00B10409" w:rsidRPr="00D22292" w:rsidRDefault="00B10409" w:rsidP="00B10409">
            <w:pPr>
              <w:jc w:val="both"/>
              <w:rPr>
                <w:sz w:val="20"/>
                <w:szCs w:val="20"/>
              </w:rPr>
            </w:pPr>
          </w:p>
        </w:tc>
        <w:tc>
          <w:tcPr>
            <w:tcW w:w="2330" w:type="pct"/>
          </w:tcPr>
          <w:p w:rsidR="00B10409" w:rsidRPr="00D22292" w:rsidRDefault="00B10409" w:rsidP="00B10409">
            <w:pPr>
              <w:jc w:val="both"/>
              <w:rPr>
                <w:sz w:val="20"/>
                <w:szCs w:val="20"/>
              </w:rPr>
            </w:pPr>
            <w:r w:rsidRPr="00D22292">
              <w:rPr>
                <w:sz w:val="20"/>
                <w:szCs w:val="20"/>
              </w:rPr>
              <w:t>Application for leave to appeal and motion for a stay of execution filed</w:t>
            </w:r>
          </w:p>
        </w:tc>
      </w:tr>
    </w:tbl>
    <w:p w:rsidR="00755995" w:rsidRPr="00D22292" w:rsidRDefault="00D22292" w:rsidP="00755995">
      <w:pPr>
        <w:jc w:val="both"/>
        <w:rPr>
          <w:sz w:val="20"/>
          <w:szCs w:val="20"/>
        </w:rPr>
      </w:pPr>
      <w:r w:rsidRPr="00D22292">
        <w:rPr>
          <w:sz w:val="20"/>
          <w:szCs w:val="20"/>
        </w:rPr>
        <w:pict>
          <v:rect id="_x0000_i1046" style="width:2in;height:1pt" o:hrpct="0" o:hralign="center" o:hrstd="t" o:hrnoshade="t" o:hr="t" fillcolor="black" stroked="f"/>
        </w:pict>
      </w:r>
    </w:p>
    <w:p w:rsidR="00755995" w:rsidRPr="00D22292" w:rsidRDefault="00755995" w:rsidP="00755995">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5995" w:rsidRPr="00D22292" w:rsidTr="00721473">
        <w:tc>
          <w:tcPr>
            <w:tcW w:w="543" w:type="pct"/>
          </w:tcPr>
          <w:p w:rsidR="00755995" w:rsidRPr="00D22292" w:rsidRDefault="00755995" w:rsidP="00721473">
            <w:pPr>
              <w:jc w:val="both"/>
              <w:rPr>
                <w:sz w:val="20"/>
                <w:szCs w:val="20"/>
                <w:lang w:val="fr-CA"/>
              </w:rPr>
            </w:pPr>
            <w:r w:rsidRPr="00D22292">
              <w:rPr>
                <w:rStyle w:val="SCCFileNumberChar"/>
                <w:sz w:val="20"/>
                <w:szCs w:val="20"/>
                <w:lang w:val="fr-CA"/>
              </w:rPr>
              <w:t>37511</w:t>
            </w:r>
          </w:p>
        </w:tc>
        <w:tc>
          <w:tcPr>
            <w:tcW w:w="4457" w:type="pct"/>
            <w:gridSpan w:val="3"/>
          </w:tcPr>
          <w:p w:rsidR="00755995" w:rsidRPr="00D22292" w:rsidRDefault="00755995" w:rsidP="00721473">
            <w:pPr>
              <w:pStyle w:val="SCCLsocParty"/>
              <w:jc w:val="both"/>
              <w:rPr>
                <w:b/>
                <w:sz w:val="20"/>
                <w:szCs w:val="20"/>
              </w:rPr>
            </w:pPr>
            <w:r w:rsidRPr="00D22292">
              <w:rPr>
                <w:b/>
                <w:sz w:val="20"/>
                <w:szCs w:val="20"/>
              </w:rPr>
              <w:t>Gladys Milena Segura Mosquera c. Ministre de la Citoyenneté et de l’Immigration</w:t>
            </w:r>
          </w:p>
          <w:p w:rsidR="00755995" w:rsidRPr="00D22292" w:rsidRDefault="00755995" w:rsidP="00721473">
            <w:pPr>
              <w:jc w:val="both"/>
              <w:rPr>
                <w:sz w:val="20"/>
                <w:szCs w:val="20"/>
                <w:lang w:val="fr-CA"/>
              </w:rPr>
            </w:pPr>
            <w:r w:rsidRPr="00D22292">
              <w:rPr>
                <w:sz w:val="20"/>
                <w:szCs w:val="20"/>
                <w:lang w:val="fr-CA"/>
              </w:rPr>
              <w:t>(CF) (Civile) (Sur autorisation)</w:t>
            </w:r>
          </w:p>
        </w:tc>
      </w:tr>
      <w:tr w:rsidR="00F92AD7" w:rsidRPr="00D22292" w:rsidTr="00721473">
        <w:tc>
          <w:tcPr>
            <w:tcW w:w="543" w:type="pct"/>
          </w:tcPr>
          <w:p w:rsidR="00F92AD7" w:rsidRPr="00D22292" w:rsidRDefault="00F92AD7" w:rsidP="00F92AD7">
            <w:pPr>
              <w:jc w:val="both"/>
              <w:rPr>
                <w:rStyle w:val="SCCFileNumberChar"/>
                <w:b w:val="0"/>
                <w:sz w:val="20"/>
                <w:szCs w:val="20"/>
              </w:rPr>
            </w:pPr>
            <w:r w:rsidRPr="00D22292">
              <w:rPr>
                <w:rStyle w:val="SCCFileNumberChar"/>
                <w:b w:val="0"/>
                <w:sz w:val="20"/>
                <w:szCs w:val="20"/>
              </w:rPr>
              <w:t xml:space="preserve">Coram: </w:t>
            </w:r>
          </w:p>
        </w:tc>
        <w:tc>
          <w:tcPr>
            <w:tcW w:w="4457" w:type="pct"/>
            <w:gridSpan w:val="3"/>
          </w:tcPr>
          <w:p w:rsidR="00F92AD7" w:rsidRPr="00D22292" w:rsidRDefault="00007C8C" w:rsidP="00F92AD7">
            <w:pPr>
              <w:rPr>
                <w:rFonts w:eastAsia="Calibri" w:cs="Times New Roman"/>
                <w:sz w:val="20"/>
                <w:szCs w:val="20"/>
                <w:u w:val="single"/>
                <w:lang w:val="fr-CA"/>
              </w:rPr>
            </w:pPr>
            <w:r w:rsidRPr="00D22292">
              <w:rPr>
                <w:rFonts w:eastAsia="Calibri" w:cs="Times New Roman"/>
                <w:sz w:val="20"/>
                <w:szCs w:val="20"/>
                <w:u w:val="single"/>
                <w:lang w:val="fr-CA"/>
              </w:rPr>
              <w:t xml:space="preserve">La juge en chef McLachlin et les juges Abella, Moldaver, Karakatsanis, Wagner, Gascon, Côté, Brown et Rowe </w:t>
            </w:r>
          </w:p>
          <w:p w:rsidR="00007C8C" w:rsidRPr="00D22292" w:rsidRDefault="00007C8C" w:rsidP="00F92AD7">
            <w:pPr>
              <w:rPr>
                <w:lang w:val="fr-CA"/>
              </w:rPr>
            </w:pPr>
          </w:p>
        </w:tc>
      </w:tr>
      <w:tr w:rsidR="00F92AD7" w:rsidRPr="00D22292" w:rsidTr="00721473">
        <w:tc>
          <w:tcPr>
            <w:tcW w:w="5000" w:type="pct"/>
            <w:gridSpan w:val="4"/>
          </w:tcPr>
          <w:p w:rsidR="00F92AD7" w:rsidRPr="00D22292" w:rsidRDefault="00007C8C" w:rsidP="00F92AD7">
            <w:pPr>
              <w:jc w:val="both"/>
              <w:rPr>
                <w:sz w:val="20"/>
                <w:szCs w:val="20"/>
                <w:lang w:val="fr-CA"/>
              </w:rPr>
            </w:pPr>
            <w:r w:rsidRPr="00D22292">
              <w:rPr>
                <w:sz w:val="20"/>
                <w:szCs w:val="20"/>
                <w:lang w:val="fr-CA"/>
              </w:rPr>
              <w:t xml:space="preserve">La demande d’autorisation d’appel et </w:t>
            </w:r>
            <w:r w:rsidRPr="00D22292">
              <w:rPr>
                <w:color w:val="000000"/>
                <w:sz w:val="20"/>
                <w:szCs w:val="20"/>
                <w:lang w:val="fr-CA"/>
              </w:rPr>
              <w:t>d’autres redressements relativement à</w:t>
            </w:r>
            <w:r w:rsidRPr="00D22292">
              <w:rPr>
                <w:sz w:val="20"/>
                <w:szCs w:val="20"/>
                <w:lang w:val="fr-CA"/>
              </w:rPr>
              <w:t xml:space="preserve"> l’arrêt de la Cour d’appel fédérale, numéro A-319-16, daté du 4 janvier 2017, est rejetée. </w:t>
            </w:r>
          </w:p>
          <w:p w:rsidR="00007C8C" w:rsidRPr="00D22292" w:rsidRDefault="00007C8C" w:rsidP="00F92AD7">
            <w:pPr>
              <w:jc w:val="both"/>
              <w:rPr>
                <w:sz w:val="20"/>
                <w:szCs w:val="20"/>
                <w:lang w:val="fr-CA"/>
              </w:rPr>
            </w:pPr>
          </w:p>
        </w:tc>
      </w:tr>
      <w:tr w:rsidR="00F92AD7" w:rsidRPr="00D22292" w:rsidTr="00721473">
        <w:tc>
          <w:tcPr>
            <w:tcW w:w="5000" w:type="pct"/>
            <w:gridSpan w:val="4"/>
          </w:tcPr>
          <w:p w:rsidR="00F92AD7" w:rsidRPr="00D22292" w:rsidRDefault="00F92AD7" w:rsidP="00F92AD7">
            <w:pPr>
              <w:jc w:val="both"/>
              <w:rPr>
                <w:sz w:val="20"/>
                <w:szCs w:val="20"/>
                <w:lang w:val="fr-CA"/>
              </w:rPr>
            </w:pPr>
            <w:r w:rsidRPr="00D22292">
              <w:rPr>
                <w:sz w:val="20"/>
                <w:szCs w:val="20"/>
                <w:lang w:val="fr-CA"/>
              </w:rPr>
              <w:t>Procédure civile – Appel – Autorisation d’appel – La demanderesse soulève-t-elle une question de droit? – La question revêt-elle de l’importance pour le public?</w:t>
            </w:r>
          </w:p>
        </w:tc>
      </w:tr>
      <w:tr w:rsidR="00F92AD7" w:rsidRPr="00D22292" w:rsidTr="00721473">
        <w:tc>
          <w:tcPr>
            <w:tcW w:w="5000" w:type="pct"/>
            <w:gridSpan w:val="4"/>
          </w:tcPr>
          <w:p w:rsidR="00F92AD7" w:rsidRPr="00D22292" w:rsidRDefault="00F92AD7" w:rsidP="00F92AD7">
            <w:pPr>
              <w:jc w:val="both"/>
              <w:rPr>
                <w:sz w:val="20"/>
                <w:szCs w:val="20"/>
                <w:lang w:val="fr-CA"/>
              </w:rPr>
            </w:pPr>
          </w:p>
        </w:tc>
      </w:tr>
      <w:tr w:rsidR="00F92AD7" w:rsidRPr="00D22292" w:rsidTr="00721473">
        <w:tc>
          <w:tcPr>
            <w:tcW w:w="5000" w:type="pct"/>
            <w:gridSpan w:val="4"/>
          </w:tcPr>
          <w:p w:rsidR="00F92AD7" w:rsidRPr="00D22292" w:rsidRDefault="00F92AD7" w:rsidP="00F92AD7">
            <w:pPr>
              <w:jc w:val="both"/>
              <w:rPr>
                <w:sz w:val="20"/>
                <w:szCs w:val="20"/>
                <w:lang w:val="fr-CA"/>
              </w:rPr>
            </w:pPr>
            <w:r w:rsidRPr="00D22292">
              <w:rPr>
                <w:sz w:val="20"/>
                <w:szCs w:val="20"/>
                <w:lang w:val="fr-CA"/>
              </w:rPr>
              <w:t xml:space="preserve">Citoyenneté et Immigration Canada a informé la demanderesse que sa demande de citoyenneté avait été traitée comme abandonnée, puisqu’elle n’avait pas donné d’excuse valable justifiant son omission de s’être présentée à une entrevue de citoyenneté. </w:t>
            </w:r>
          </w:p>
          <w:p w:rsidR="00F92AD7" w:rsidRPr="00D22292" w:rsidRDefault="00F92AD7" w:rsidP="00F92AD7">
            <w:pPr>
              <w:jc w:val="both"/>
              <w:rPr>
                <w:sz w:val="20"/>
                <w:szCs w:val="20"/>
                <w:lang w:val="fr-CA"/>
              </w:rPr>
            </w:pPr>
          </w:p>
        </w:tc>
      </w:tr>
      <w:tr w:rsidR="00F92AD7" w:rsidRPr="00D22292" w:rsidTr="00721473">
        <w:tc>
          <w:tcPr>
            <w:tcW w:w="2427" w:type="pct"/>
            <w:gridSpan w:val="2"/>
          </w:tcPr>
          <w:p w:rsidR="00F92AD7" w:rsidRPr="00D22292" w:rsidRDefault="00F92AD7" w:rsidP="00F92AD7">
            <w:pPr>
              <w:jc w:val="both"/>
              <w:rPr>
                <w:sz w:val="20"/>
                <w:szCs w:val="20"/>
                <w:lang w:val="fr-CA"/>
              </w:rPr>
            </w:pPr>
            <w:r w:rsidRPr="00D22292">
              <w:rPr>
                <w:sz w:val="20"/>
                <w:szCs w:val="20"/>
                <w:lang w:val="fr-CA"/>
              </w:rPr>
              <w:t>5 avril 2016</w:t>
            </w:r>
          </w:p>
          <w:p w:rsidR="00F92AD7" w:rsidRPr="00D22292" w:rsidRDefault="00F92AD7" w:rsidP="00F92AD7">
            <w:pPr>
              <w:jc w:val="both"/>
              <w:rPr>
                <w:sz w:val="20"/>
                <w:szCs w:val="20"/>
                <w:lang w:val="fr-CA"/>
              </w:rPr>
            </w:pPr>
            <w:r w:rsidRPr="00D22292">
              <w:rPr>
                <w:sz w:val="20"/>
                <w:szCs w:val="20"/>
                <w:lang w:val="fr-CA"/>
              </w:rPr>
              <w:t>Cour fédérale</w:t>
            </w:r>
          </w:p>
          <w:p w:rsidR="00F92AD7" w:rsidRPr="00D22292" w:rsidRDefault="00F92AD7" w:rsidP="00F92AD7">
            <w:pPr>
              <w:jc w:val="both"/>
              <w:rPr>
                <w:sz w:val="20"/>
                <w:szCs w:val="20"/>
                <w:lang w:val="fr-CA"/>
              </w:rPr>
            </w:pPr>
            <w:r w:rsidRPr="00D22292">
              <w:rPr>
                <w:sz w:val="20"/>
                <w:szCs w:val="20"/>
                <w:lang w:val="fr-CA"/>
              </w:rPr>
              <w:t>(Juge Tremblay-Lamer)</w:t>
            </w:r>
          </w:p>
          <w:p w:rsidR="00F92AD7" w:rsidRPr="00D22292" w:rsidRDefault="00F92AD7" w:rsidP="00F92AD7">
            <w:pPr>
              <w:jc w:val="both"/>
              <w:rPr>
                <w:sz w:val="20"/>
                <w:szCs w:val="20"/>
                <w:lang w:val="fr-CA"/>
              </w:rPr>
            </w:pPr>
          </w:p>
        </w:tc>
        <w:tc>
          <w:tcPr>
            <w:tcW w:w="243" w:type="pct"/>
          </w:tcPr>
          <w:p w:rsidR="00F92AD7" w:rsidRPr="00D22292" w:rsidRDefault="00F92AD7" w:rsidP="00F92AD7">
            <w:pPr>
              <w:jc w:val="both"/>
              <w:rPr>
                <w:sz w:val="20"/>
                <w:szCs w:val="20"/>
                <w:lang w:val="fr-CA"/>
              </w:rPr>
            </w:pPr>
          </w:p>
        </w:tc>
        <w:tc>
          <w:tcPr>
            <w:tcW w:w="2330" w:type="pct"/>
          </w:tcPr>
          <w:p w:rsidR="00F92AD7" w:rsidRPr="00D22292" w:rsidRDefault="00F92AD7" w:rsidP="00F92AD7">
            <w:pPr>
              <w:jc w:val="both"/>
              <w:rPr>
                <w:sz w:val="20"/>
                <w:szCs w:val="20"/>
                <w:lang w:val="fr-CA"/>
              </w:rPr>
            </w:pPr>
            <w:r w:rsidRPr="00D22292">
              <w:rPr>
                <w:sz w:val="20"/>
                <w:szCs w:val="20"/>
                <w:lang w:val="fr-CA"/>
              </w:rPr>
              <w:t>Rejet de la demande d’autorisation et de contrôle judiciaire</w:t>
            </w:r>
          </w:p>
          <w:p w:rsidR="00F92AD7" w:rsidRPr="00D22292" w:rsidRDefault="00F92AD7" w:rsidP="00F92AD7">
            <w:pPr>
              <w:jc w:val="both"/>
              <w:rPr>
                <w:sz w:val="20"/>
                <w:szCs w:val="20"/>
                <w:lang w:val="fr-CA"/>
              </w:rPr>
            </w:pPr>
          </w:p>
        </w:tc>
      </w:tr>
      <w:tr w:rsidR="00F92AD7" w:rsidRPr="00D22292" w:rsidTr="00721473">
        <w:tc>
          <w:tcPr>
            <w:tcW w:w="2427" w:type="pct"/>
            <w:gridSpan w:val="2"/>
          </w:tcPr>
          <w:p w:rsidR="00F92AD7" w:rsidRPr="00D22292" w:rsidRDefault="00F92AD7" w:rsidP="00F92AD7">
            <w:pPr>
              <w:jc w:val="both"/>
              <w:rPr>
                <w:sz w:val="20"/>
                <w:szCs w:val="20"/>
                <w:lang w:val="fr-CA"/>
              </w:rPr>
            </w:pPr>
            <w:r w:rsidRPr="00D22292">
              <w:rPr>
                <w:sz w:val="20"/>
                <w:szCs w:val="20"/>
                <w:lang w:val="fr-CA"/>
              </w:rPr>
              <w:t>30 juin 2016</w:t>
            </w:r>
          </w:p>
          <w:p w:rsidR="00F92AD7" w:rsidRPr="00D22292" w:rsidRDefault="00F92AD7" w:rsidP="00F92AD7">
            <w:pPr>
              <w:jc w:val="both"/>
              <w:rPr>
                <w:sz w:val="20"/>
                <w:szCs w:val="20"/>
                <w:lang w:val="fr-CA"/>
              </w:rPr>
            </w:pPr>
            <w:r w:rsidRPr="00D22292">
              <w:rPr>
                <w:sz w:val="20"/>
                <w:szCs w:val="20"/>
                <w:lang w:val="fr-CA"/>
              </w:rPr>
              <w:t>Cour fédérale</w:t>
            </w:r>
          </w:p>
          <w:p w:rsidR="00F92AD7" w:rsidRPr="00D22292" w:rsidRDefault="00F92AD7" w:rsidP="00F92AD7">
            <w:pPr>
              <w:jc w:val="both"/>
              <w:rPr>
                <w:sz w:val="20"/>
                <w:szCs w:val="20"/>
                <w:lang w:val="fr-CA"/>
              </w:rPr>
            </w:pPr>
            <w:r w:rsidRPr="00D22292">
              <w:rPr>
                <w:sz w:val="20"/>
                <w:szCs w:val="20"/>
                <w:lang w:val="fr-CA"/>
              </w:rPr>
              <w:t xml:space="preserve">(Juge Tremblay-Lamer) (Non publié) </w:t>
            </w:r>
          </w:p>
          <w:p w:rsidR="00F92AD7" w:rsidRPr="00D22292" w:rsidRDefault="00F92AD7" w:rsidP="00F92AD7">
            <w:pPr>
              <w:jc w:val="both"/>
              <w:rPr>
                <w:sz w:val="20"/>
                <w:szCs w:val="20"/>
                <w:lang w:val="fr-CA"/>
              </w:rPr>
            </w:pPr>
          </w:p>
        </w:tc>
        <w:tc>
          <w:tcPr>
            <w:tcW w:w="243" w:type="pct"/>
          </w:tcPr>
          <w:p w:rsidR="00F92AD7" w:rsidRPr="00D22292" w:rsidRDefault="00F92AD7" w:rsidP="00F92AD7">
            <w:pPr>
              <w:jc w:val="both"/>
              <w:rPr>
                <w:sz w:val="20"/>
                <w:szCs w:val="20"/>
                <w:lang w:val="fr-CA"/>
              </w:rPr>
            </w:pPr>
          </w:p>
        </w:tc>
        <w:tc>
          <w:tcPr>
            <w:tcW w:w="2330" w:type="pct"/>
          </w:tcPr>
          <w:p w:rsidR="00F92AD7" w:rsidRPr="00D22292" w:rsidRDefault="00F92AD7" w:rsidP="00F92AD7">
            <w:pPr>
              <w:jc w:val="both"/>
              <w:rPr>
                <w:sz w:val="20"/>
                <w:szCs w:val="20"/>
                <w:lang w:val="fr-CA"/>
              </w:rPr>
            </w:pPr>
            <w:r w:rsidRPr="00D22292">
              <w:rPr>
                <w:sz w:val="20"/>
                <w:szCs w:val="20"/>
                <w:lang w:val="fr-CA"/>
              </w:rPr>
              <w:t>Rejet de la requête en réexamen</w:t>
            </w:r>
          </w:p>
          <w:p w:rsidR="00F92AD7" w:rsidRPr="00D22292" w:rsidRDefault="00F92AD7" w:rsidP="00F92AD7">
            <w:pPr>
              <w:jc w:val="both"/>
              <w:rPr>
                <w:sz w:val="20"/>
                <w:szCs w:val="20"/>
                <w:lang w:val="fr-CA"/>
              </w:rPr>
            </w:pPr>
          </w:p>
        </w:tc>
      </w:tr>
      <w:tr w:rsidR="00F92AD7" w:rsidRPr="00D22292" w:rsidTr="00721473">
        <w:tc>
          <w:tcPr>
            <w:tcW w:w="2427" w:type="pct"/>
            <w:gridSpan w:val="2"/>
          </w:tcPr>
          <w:p w:rsidR="00F92AD7" w:rsidRPr="00D22292" w:rsidRDefault="00F92AD7" w:rsidP="00F92AD7">
            <w:pPr>
              <w:jc w:val="both"/>
              <w:rPr>
                <w:sz w:val="20"/>
                <w:szCs w:val="20"/>
                <w:lang w:val="fr-CA"/>
              </w:rPr>
            </w:pPr>
            <w:r w:rsidRPr="00D22292">
              <w:rPr>
                <w:sz w:val="20"/>
                <w:szCs w:val="20"/>
                <w:lang w:val="fr-CA"/>
              </w:rPr>
              <w:t>14 juillet 2016</w:t>
            </w:r>
          </w:p>
          <w:p w:rsidR="00F92AD7" w:rsidRPr="00D22292" w:rsidRDefault="00F92AD7" w:rsidP="00F92AD7">
            <w:pPr>
              <w:jc w:val="both"/>
              <w:rPr>
                <w:sz w:val="20"/>
                <w:szCs w:val="20"/>
                <w:lang w:val="fr-CA"/>
              </w:rPr>
            </w:pPr>
            <w:r w:rsidRPr="00D22292">
              <w:rPr>
                <w:sz w:val="20"/>
                <w:szCs w:val="20"/>
                <w:lang w:val="fr-CA"/>
              </w:rPr>
              <w:t>Cour fédérale</w:t>
            </w:r>
          </w:p>
          <w:p w:rsidR="00F92AD7" w:rsidRPr="00D22292" w:rsidRDefault="00F92AD7" w:rsidP="00F92AD7">
            <w:pPr>
              <w:jc w:val="both"/>
              <w:rPr>
                <w:sz w:val="20"/>
                <w:szCs w:val="20"/>
                <w:lang w:val="fr-CA"/>
              </w:rPr>
            </w:pPr>
            <w:r w:rsidRPr="00D22292">
              <w:rPr>
                <w:sz w:val="20"/>
                <w:szCs w:val="20"/>
                <w:lang w:val="fr-CA"/>
              </w:rPr>
              <w:t xml:space="preserve">(Non publié) </w:t>
            </w:r>
          </w:p>
          <w:p w:rsidR="00F92AD7" w:rsidRPr="00D22292" w:rsidRDefault="00F92AD7" w:rsidP="00F92AD7">
            <w:pPr>
              <w:jc w:val="both"/>
              <w:rPr>
                <w:sz w:val="20"/>
                <w:szCs w:val="20"/>
                <w:lang w:val="fr-CA"/>
              </w:rPr>
            </w:pPr>
          </w:p>
        </w:tc>
        <w:tc>
          <w:tcPr>
            <w:tcW w:w="243" w:type="pct"/>
          </w:tcPr>
          <w:p w:rsidR="00F92AD7" w:rsidRPr="00D22292" w:rsidRDefault="00F92AD7" w:rsidP="00F92AD7">
            <w:pPr>
              <w:jc w:val="both"/>
              <w:rPr>
                <w:sz w:val="20"/>
                <w:szCs w:val="20"/>
                <w:lang w:val="fr-CA"/>
              </w:rPr>
            </w:pPr>
          </w:p>
        </w:tc>
        <w:tc>
          <w:tcPr>
            <w:tcW w:w="2330" w:type="pct"/>
          </w:tcPr>
          <w:p w:rsidR="00F92AD7" w:rsidRPr="00D22292" w:rsidRDefault="00F92AD7" w:rsidP="00F92AD7">
            <w:pPr>
              <w:jc w:val="both"/>
              <w:rPr>
                <w:sz w:val="20"/>
                <w:szCs w:val="20"/>
                <w:lang w:val="fr-CA"/>
              </w:rPr>
            </w:pPr>
            <w:r w:rsidRPr="00D22292">
              <w:rPr>
                <w:sz w:val="20"/>
                <w:szCs w:val="20"/>
                <w:lang w:val="fr-CA"/>
              </w:rPr>
              <w:t>Directive</w:t>
            </w:r>
          </w:p>
        </w:tc>
      </w:tr>
      <w:tr w:rsidR="00F92AD7" w:rsidRPr="00D22292" w:rsidTr="00721473">
        <w:tc>
          <w:tcPr>
            <w:tcW w:w="2427" w:type="pct"/>
            <w:gridSpan w:val="2"/>
          </w:tcPr>
          <w:p w:rsidR="00F92AD7" w:rsidRPr="00D22292" w:rsidRDefault="00F92AD7" w:rsidP="00F92AD7">
            <w:pPr>
              <w:jc w:val="both"/>
              <w:rPr>
                <w:sz w:val="20"/>
                <w:szCs w:val="20"/>
                <w:lang w:val="fr-CA"/>
              </w:rPr>
            </w:pPr>
            <w:r w:rsidRPr="00D22292">
              <w:rPr>
                <w:sz w:val="20"/>
                <w:szCs w:val="20"/>
                <w:lang w:val="fr-CA"/>
              </w:rPr>
              <w:t>13 septembre 2016</w:t>
            </w:r>
          </w:p>
          <w:p w:rsidR="00F92AD7" w:rsidRPr="00D22292" w:rsidRDefault="00F92AD7" w:rsidP="00F92AD7">
            <w:pPr>
              <w:jc w:val="both"/>
              <w:rPr>
                <w:sz w:val="20"/>
                <w:szCs w:val="20"/>
                <w:lang w:val="fr-CA"/>
              </w:rPr>
            </w:pPr>
            <w:r w:rsidRPr="00D22292">
              <w:rPr>
                <w:sz w:val="20"/>
                <w:szCs w:val="20"/>
                <w:lang w:val="fr-CA"/>
              </w:rPr>
              <w:t>Cour d’appel fédérale</w:t>
            </w:r>
          </w:p>
          <w:p w:rsidR="00F92AD7" w:rsidRPr="00D22292" w:rsidRDefault="00F92AD7" w:rsidP="00F92AD7">
            <w:pPr>
              <w:jc w:val="both"/>
              <w:rPr>
                <w:sz w:val="20"/>
                <w:szCs w:val="20"/>
                <w:lang w:val="fr-CA"/>
              </w:rPr>
            </w:pPr>
            <w:r w:rsidRPr="00D22292">
              <w:rPr>
                <w:sz w:val="20"/>
                <w:szCs w:val="20"/>
                <w:lang w:val="fr-CA"/>
              </w:rPr>
              <w:t>(Juges Nadon, Gauthier et Scott)</w:t>
            </w:r>
          </w:p>
          <w:p w:rsidR="00F92AD7" w:rsidRPr="00D22292" w:rsidRDefault="00F92AD7" w:rsidP="00F92AD7">
            <w:pPr>
              <w:jc w:val="both"/>
              <w:rPr>
                <w:sz w:val="20"/>
                <w:szCs w:val="20"/>
                <w:lang w:val="fr-CA"/>
              </w:rPr>
            </w:pPr>
            <w:r w:rsidRPr="00D22292">
              <w:rPr>
                <w:sz w:val="20"/>
                <w:szCs w:val="20"/>
                <w:lang w:val="fr-CA"/>
              </w:rPr>
              <w:t>A-319-16; 2016 FCA 228 (Non publié)</w:t>
            </w:r>
          </w:p>
          <w:p w:rsidR="00F92AD7" w:rsidRPr="00D22292" w:rsidRDefault="00F92AD7" w:rsidP="00F92AD7">
            <w:pPr>
              <w:jc w:val="both"/>
              <w:rPr>
                <w:sz w:val="20"/>
                <w:szCs w:val="20"/>
                <w:lang w:val="fr-CA"/>
              </w:rPr>
            </w:pPr>
          </w:p>
        </w:tc>
        <w:tc>
          <w:tcPr>
            <w:tcW w:w="243" w:type="pct"/>
          </w:tcPr>
          <w:p w:rsidR="00F92AD7" w:rsidRPr="00D22292" w:rsidRDefault="00F92AD7" w:rsidP="00F92AD7">
            <w:pPr>
              <w:jc w:val="both"/>
              <w:rPr>
                <w:sz w:val="20"/>
                <w:szCs w:val="20"/>
                <w:lang w:val="fr-CA"/>
              </w:rPr>
            </w:pPr>
          </w:p>
        </w:tc>
        <w:tc>
          <w:tcPr>
            <w:tcW w:w="2330" w:type="pct"/>
          </w:tcPr>
          <w:p w:rsidR="00F92AD7" w:rsidRPr="00D22292" w:rsidRDefault="00F92AD7" w:rsidP="00F92AD7">
            <w:pPr>
              <w:jc w:val="both"/>
              <w:rPr>
                <w:sz w:val="20"/>
                <w:szCs w:val="20"/>
                <w:lang w:val="fr-CA"/>
              </w:rPr>
            </w:pPr>
            <w:r w:rsidRPr="00D22292">
              <w:rPr>
                <w:sz w:val="20"/>
                <w:szCs w:val="20"/>
                <w:lang w:val="fr-CA"/>
              </w:rPr>
              <w:t>Rejet de l’appel</w:t>
            </w:r>
          </w:p>
          <w:p w:rsidR="00F92AD7" w:rsidRPr="00D22292" w:rsidRDefault="00F92AD7" w:rsidP="00F92AD7">
            <w:pPr>
              <w:jc w:val="both"/>
              <w:rPr>
                <w:sz w:val="20"/>
                <w:szCs w:val="20"/>
                <w:lang w:val="fr-CA"/>
              </w:rPr>
            </w:pPr>
          </w:p>
        </w:tc>
      </w:tr>
      <w:tr w:rsidR="00F92AD7" w:rsidRPr="00D22292" w:rsidTr="00721473">
        <w:tc>
          <w:tcPr>
            <w:tcW w:w="2427" w:type="pct"/>
            <w:gridSpan w:val="2"/>
          </w:tcPr>
          <w:p w:rsidR="00F92AD7" w:rsidRPr="00D22292" w:rsidRDefault="00F92AD7" w:rsidP="00F92AD7">
            <w:pPr>
              <w:jc w:val="both"/>
              <w:rPr>
                <w:sz w:val="20"/>
                <w:szCs w:val="20"/>
                <w:lang w:val="fr-CA"/>
              </w:rPr>
            </w:pPr>
            <w:r w:rsidRPr="00D22292">
              <w:rPr>
                <w:sz w:val="20"/>
                <w:szCs w:val="20"/>
                <w:lang w:val="fr-CA"/>
              </w:rPr>
              <w:lastRenderedPageBreak/>
              <w:t>4 janvier 2017</w:t>
            </w:r>
          </w:p>
          <w:p w:rsidR="00F92AD7" w:rsidRPr="00D22292" w:rsidRDefault="00F92AD7" w:rsidP="00F92AD7">
            <w:pPr>
              <w:jc w:val="both"/>
              <w:rPr>
                <w:sz w:val="20"/>
                <w:szCs w:val="20"/>
                <w:lang w:val="fr-CA"/>
              </w:rPr>
            </w:pPr>
            <w:r w:rsidRPr="00D22292">
              <w:rPr>
                <w:sz w:val="20"/>
                <w:szCs w:val="20"/>
                <w:lang w:val="fr-CA"/>
              </w:rPr>
              <w:t>Cour d’appel fédérale</w:t>
            </w:r>
          </w:p>
          <w:p w:rsidR="00F92AD7" w:rsidRPr="00D22292" w:rsidRDefault="00F92AD7" w:rsidP="00F92AD7">
            <w:pPr>
              <w:jc w:val="both"/>
              <w:rPr>
                <w:sz w:val="20"/>
                <w:szCs w:val="20"/>
                <w:lang w:val="fr-CA"/>
              </w:rPr>
            </w:pPr>
            <w:r w:rsidRPr="00D22292">
              <w:rPr>
                <w:sz w:val="20"/>
                <w:szCs w:val="20"/>
                <w:lang w:val="fr-CA"/>
              </w:rPr>
              <w:t>(Juges Nadon, Gauthier et Scott)</w:t>
            </w:r>
          </w:p>
          <w:p w:rsidR="00F92AD7" w:rsidRPr="00D22292" w:rsidRDefault="00F92AD7" w:rsidP="00F92AD7">
            <w:pPr>
              <w:jc w:val="both"/>
              <w:rPr>
                <w:sz w:val="20"/>
                <w:szCs w:val="20"/>
                <w:lang w:val="fr-CA"/>
              </w:rPr>
            </w:pPr>
            <w:r w:rsidRPr="00D22292">
              <w:rPr>
                <w:sz w:val="20"/>
                <w:szCs w:val="20"/>
                <w:lang w:val="fr-CA"/>
              </w:rPr>
              <w:t>A-319-16  (Non publié)</w:t>
            </w:r>
          </w:p>
          <w:p w:rsidR="00F92AD7" w:rsidRPr="00D22292" w:rsidRDefault="00F92AD7" w:rsidP="00F92AD7">
            <w:pPr>
              <w:jc w:val="both"/>
              <w:rPr>
                <w:sz w:val="20"/>
                <w:szCs w:val="20"/>
                <w:lang w:val="fr-CA"/>
              </w:rPr>
            </w:pPr>
          </w:p>
        </w:tc>
        <w:tc>
          <w:tcPr>
            <w:tcW w:w="243" w:type="pct"/>
          </w:tcPr>
          <w:p w:rsidR="00F92AD7" w:rsidRPr="00D22292" w:rsidRDefault="00F92AD7" w:rsidP="00F92AD7">
            <w:pPr>
              <w:jc w:val="both"/>
              <w:rPr>
                <w:sz w:val="20"/>
                <w:szCs w:val="20"/>
                <w:lang w:val="fr-CA"/>
              </w:rPr>
            </w:pPr>
          </w:p>
        </w:tc>
        <w:tc>
          <w:tcPr>
            <w:tcW w:w="2330" w:type="pct"/>
          </w:tcPr>
          <w:p w:rsidR="00F92AD7" w:rsidRPr="00D22292" w:rsidRDefault="00F92AD7" w:rsidP="00F92AD7">
            <w:pPr>
              <w:jc w:val="both"/>
              <w:rPr>
                <w:sz w:val="20"/>
                <w:szCs w:val="20"/>
                <w:lang w:val="fr-CA"/>
              </w:rPr>
            </w:pPr>
            <w:r w:rsidRPr="00D22292">
              <w:rPr>
                <w:sz w:val="20"/>
                <w:szCs w:val="20"/>
                <w:lang w:val="fr-CA"/>
              </w:rPr>
              <w:t>Rejet de la requête en réexamen et en vue d’obtenir une autre réparation</w:t>
            </w:r>
          </w:p>
        </w:tc>
      </w:tr>
      <w:tr w:rsidR="00F92AD7" w:rsidRPr="00D22292" w:rsidTr="00721473">
        <w:tc>
          <w:tcPr>
            <w:tcW w:w="2427" w:type="pct"/>
            <w:gridSpan w:val="2"/>
          </w:tcPr>
          <w:p w:rsidR="00F92AD7" w:rsidRPr="00D22292" w:rsidRDefault="00F92AD7" w:rsidP="00F92AD7">
            <w:pPr>
              <w:jc w:val="both"/>
              <w:rPr>
                <w:sz w:val="20"/>
                <w:szCs w:val="20"/>
                <w:lang w:val="fr-CA"/>
              </w:rPr>
            </w:pPr>
            <w:r w:rsidRPr="00D22292">
              <w:rPr>
                <w:sz w:val="20"/>
                <w:szCs w:val="20"/>
                <w:lang w:val="fr-CA"/>
              </w:rPr>
              <w:t>22 février 2017</w:t>
            </w:r>
          </w:p>
          <w:p w:rsidR="00F92AD7" w:rsidRPr="00D22292" w:rsidRDefault="00F92AD7" w:rsidP="00F92AD7">
            <w:pPr>
              <w:jc w:val="both"/>
              <w:rPr>
                <w:sz w:val="20"/>
                <w:szCs w:val="20"/>
                <w:lang w:val="fr-CA"/>
              </w:rPr>
            </w:pPr>
            <w:r w:rsidRPr="00D22292">
              <w:rPr>
                <w:sz w:val="20"/>
                <w:szCs w:val="20"/>
                <w:lang w:val="fr-CA"/>
              </w:rPr>
              <w:t>Cour suprême du Canada</w:t>
            </w:r>
          </w:p>
        </w:tc>
        <w:tc>
          <w:tcPr>
            <w:tcW w:w="243" w:type="pct"/>
          </w:tcPr>
          <w:p w:rsidR="00F92AD7" w:rsidRPr="00D22292" w:rsidRDefault="00F92AD7" w:rsidP="00F92AD7">
            <w:pPr>
              <w:jc w:val="both"/>
              <w:rPr>
                <w:sz w:val="20"/>
                <w:szCs w:val="20"/>
                <w:lang w:val="fr-CA"/>
              </w:rPr>
            </w:pPr>
          </w:p>
        </w:tc>
        <w:tc>
          <w:tcPr>
            <w:tcW w:w="2330" w:type="pct"/>
          </w:tcPr>
          <w:p w:rsidR="00F92AD7" w:rsidRPr="00D22292" w:rsidRDefault="00F92AD7" w:rsidP="00F92AD7">
            <w:pPr>
              <w:jc w:val="both"/>
              <w:rPr>
                <w:sz w:val="20"/>
                <w:szCs w:val="20"/>
                <w:lang w:val="fr-CA"/>
              </w:rPr>
            </w:pPr>
            <w:r w:rsidRPr="00D22292">
              <w:rPr>
                <w:sz w:val="20"/>
                <w:szCs w:val="20"/>
                <w:lang w:val="fr-CA"/>
              </w:rPr>
              <w:t>Dépôt de la demande d’autorisation d’appel et de la requête en sursis d’exécution</w:t>
            </w:r>
          </w:p>
        </w:tc>
      </w:tr>
    </w:tbl>
    <w:p w:rsidR="00755995" w:rsidRPr="00D22292" w:rsidRDefault="00D22292" w:rsidP="00755995">
      <w:pPr>
        <w:jc w:val="both"/>
        <w:rPr>
          <w:sz w:val="20"/>
          <w:szCs w:val="20"/>
          <w:lang w:val="fr-CA"/>
        </w:rPr>
      </w:pPr>
      <w:r w:rsidRPr="00D22292">
        <w:rPr>
          <w:sz w:val="20"/>
          <w:szCs w:val="20"/>
        </w:rPr>
        <w:pict>
          <v:rect id="_x0000_i1047" style="width:2in;height:1pt" o:hrpct="0" o:hralign="center" o:hrstd="t" o:hrnoshade="t" o:hr="t" fillcolor="black" stroked="f"/>
        </w:pict>
      </w:r>
    </w:p>
    <w:p w:rsidR="00755995" w:rsidRPr="00D22292" w:rsidRDefault="00755995" w:rsidP="00755995">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5995" w:rsidRPr="00D22292" w:rsidTr="00721473">
        <w:tc>
          <w:tcPr>
            <w:tcW w:w="543" w:type="pct"/>
          </w:tcPr>
          <w:p w:rsidR="00755995" w:rsidRPr="00D22292" w:rsidRDefault="00755995" w:rsidP="00721473">
            <w:pPr>
              <w:jc w:val="both"/>
              <w:rPr>
                <w:sz w:val="20"/>
                <w:szCs w:val="20"/>
              </w:rPr>
            </w:pPr>
            <w:r w:rsidRPr="00D22292">
              <w:rPr>
                <w:rStyle w:val="SCCFileNumberChar"/>
                <w:sz w:val="20"/>
                <w:szCs w:val="20"/>
              </w:rPr>
              <w:t>37558</w:t>
            </w:r>
          </w:p>
        </w:tc>
        <w:tc>
          <w:tcPr>
            <w:tcW w:w="4457" w:type="pct"/>
            <w:gridSpan w:val="3"/>
          </w:tcPr>
          <w:p w:rsidR="00755995" w:rsidRPr="00D22292" w:rsidRDefault="00755995" w:rsidP="00721473">
            <w:pPr>
              <w:pStyle w:val="SCCLsocParty"/>
              <w:jc w:val="both"/>
              <w:rPr>
                <w:b/>
                <w:sz w:val="20"/>
                <w:szCs w:val="20"/>
                <w:lang w:val="en-US"/>
              </w:rPr>
            </w:pPr>
            <w:r w:rsidRPr="00D22292">
              <w:rPr>
                <w:b/>
                <w:sz w:val="20"/>
                <w:szCs w:val="20"/>
                <w:lang w:val="en-US"/>
              </w:rPr>
              <w:t>Placid Inc. v. Seven Oaks General Hospital</w:t>
            </w:r>
          </w:p>
          <w:p w:rsidR="00755995" w:rsidRPr="00D22292" w:rsidRDefault="00755995" w:rsidP="00721473">
            <w:pPr>
              <w:jc w:val="both"/>
              <w:rPr>
                <w:sz w:val="20"/>
                <w:szCs w:val="20"/>
              </w:rPr>
            </w:pPr>
            <w:r w:rsidRPr="00D22292">
              <w:rPr>
                <w:sz w:val="20"/>
                <w:szCs w:val="20"/>
              </w:rPr>
              <w:t>(Man.) (Civil) (By Leave)</w:t>
            </w:r>
          </w:p>
        </w:tc>
      </w:tr>
      <w:tr w:rsidR="00B10409" w:rsidRPr="00D22292" w:rsidTr="00721473">
        <w:tc>
          <w:tcPr>
            <w:tcW w:w="543" w:type="pct"/>
          </w:tcPr>
          <w:p w:rsidR="00B10409" w:rsidRPr="00D22292" w:rsidRDefault="00B10409" w:rsidP="00B10409">
            <w:pPr>
              <w:jc w:val="both"/>
              <w:rPr>
                <w:rStyle w:val="SCCFileNumberChar"/>
                <w:b w:val="0"/>
                <w:sz w:val="20"/>
                <w:szCs w:val="20"/>
              </w:rPr>
            </w:pPr>
            <w:r w:rsidRPr="00D22292">
              <w:rPr>
                <w:rStyle w:val="SCCFileNumberChar"/>
                <w:b w:val="0"/>
                <w:sz w:val="20"/>
                <w:szCs w:val="20"/>
              </w:rPr>
              <w:t xml:space="preserve">Coram: </w:t>
            </w:r>
          </w:p>
        </w:tc>
        <w:tc>
          <w:tcPr>
            <w:tcW w:w="4457" w:type="pct"/>
            <w:gridSpan w:val="3"/>
          </w:tcPr>
          <w:p w:rsidR="00B10409" w:rsidRPr="00D22292" w:rsidRDefault="007D7FB6" w:rsidP="00B10409">
            <w:pPr>
              <w:rPr>
                <w:rFonts w:eastAsia="Calibri" w:cs="Times New Roman"/>
                <w:sz w:val="20"/>
                <w:szCs w:val="20"/>
                <w:u w:val="single"/>
              </w:rPr>
            </w:pPr>
            <w:r w:rsidRPr="00D22292">
              <w:rPr>
                <w:rFonts w:eastAsia="Calibri" w:cs="Times New Roman"/>
                <w:sz w:val="20"/>
                <w:szCs w:val="20"/>
                <w:u w:val="single"/>
              </w:rPr>
              <w:t>McLachlin C.J. and Abella, Moldaver, Karakatsanis, Wagner, Gascon, Côté, Brown and Rowe JJ.</w:t>
            </w:r>
          </w:p>
          <w:p w:rsidR="007D7FB6" w:rsidRPr="00D22292" w:rsidRDefault="007D7FB6" w:rsidP="00B10409"/>
        </w:tc>
      </w:tr>
      <w:tr w:rsidR="00B10409" w:rsidRPr="00D22292" w:rsidTr="00721473">
        <w:tc>
          <w:tcPr>
            <w:tcW w:w="5000" w:type="pct"/>
            <w:gridSpan w:val="4"/>
          </w:tcPr>
          <w:p w:rsidR="00B10409" w:rsidRPr="00D22292" w:rsidRDefault="007D7FB6" w:rsidP="00B10409">
            <w:pPr>
              <w:jc w:val="both"/>
              <w:rPr>
                <w:sz w:val="20"/>
                <w:szCs w:val="20"/>
              </w:rPr>
            </w:pPr>
            <w:r w:rsidRPr="00D22292">
              <w:rPr>
                <w:sz w:val="20"/>
                <w:szCs w:val="20"/>
              </w:rPr>
              <w:t>The application for leave to appeal from the judgment of the Court of Appeal of Manitoba, Number AI16-30-08525, dated September 22, 2016, is dismissed for want of jurisdiction, with no order as to costs.</w:t>
            </w:r>
          </w:p>
          <w:p w:rsidR="007D7FB6" w:rsidRPr="00D22292" w:rsidRDefault="007D7FB6" w:rsidP="00B10409">
            <w:pPr>
              <w:jc w:val="both"/>
              <w:rPr>
                <w:i/>
                <w:sz w:val="20"/>
                <w:szCs w:val="20"/>
              </w:rPr>
            </w:pPr>
          </w:p>
        </w:tc>
      </w:tr>
      <w:tr w:rsidR="00B10409" w:rsidRPr="00D22292" w:rsidTr="00721473">
        <w:tc>
          <w:tcPr>
            <w:tcW w:w="5000" w:type="pct"/>
            <w:gridSpan w:val="4"/>
          </w:tcPr>
          <w:p w:rsidR="00B10409" w:rsidRPr="00D22292" w:rsidRDefault="00B10409" w:rsidP="00B10409">
            <w:pPr>
              <w:jc w:val="both"/>
              <w:rPr>
                <w:sz w:val="20"/>
                <w:szCs w:val="20"/>
              </w:rPr>
            </w:pPr>
            <w:r w:rsidRPr="00D22292">
              <w:rPr>
                <w:i/>
                <w:sz w:val="20"/>
                <w:szCs w:val="20"/>
              </w:rPr>
              <w:t>Charter of rights</w:t>
            </w:r>
            <w:r w:rsidRPr="00D22292">
              <w:rPr>
                <w:sz w:val="20"/>
                <w:szCs w:val="20"/>
              </w:rPr>
              <w:t xml:space="preserve"> — Fundamental justice — </w:t>
            </w:r>
            <w:r w:rsidRPr="00D22292">
              <w:rPr>
                <w:sz w:val="20"/>
                <w:szCs w:val="20"/>
                <w:lang w:val="en-ZW"/>
              </w:rPr>
              <w:t>Right to life, liberty and security of person — Applicant involuntarily admitted to hospital as psychiatric patient</w:t>
            </w:r>
            <w:r w:rsidRPr="00D22292">
              <w:rPr>
                <w:i/>
                <w:sz w:val="20"/>
                <w:szCs w:val="20"/>
                <w:lang w:val="en-ZW"/>
              </w:rPr>
              <w:t xml:space="preserve"> </w:t>
            </w:r>
            <w:r w:rsidRPr="00D22292">
              <w:rPr>
                <w:sz w:val="20"/>
                <w:szCs w:val="20"/>
                <w:lang w:val="en-ZW"/>
              </w:rPr>
              <w:t xml:space="preserve">and involuntarily administered medication — Motions judge upholding Review Board order confirming involuntary status and prescribed medical treatment including drug injections — Appellate judge dismissing motion for extension of time in which to file appeal — Whether applicant has fundamental right to seek justice in a court of law such as the Supreme Court of Canada — </w:t>
            </w:r>
            <w:r w:rsidRPr="00D22292">
              <w:rPr>
                <w:i/>
                <w:sz w:val="20"/>
                <w:szCs w:val="20"/>
                <w:lang w:val="en-ZW"/>
              </w:rPr>
              <w:t>Canadian Charter of Rights and Freedoms</w:t>
            </w:r>
            <w:r w:rsidRPr="00D22292">
              <w:rPr>
                <w:sz w:val="20"/>
                <w:szCs w:val="20"/>
                <w:lang w:val="en-ZW"/>
              </w:rPr>
              <w:t xml:space="preserve">, ss. 7 and 24(1) — </w:t>
            </w:r>
            <w:r w:rsidRPr="00D22292">
              <w:rPr>
                <w:i/>
                <w:sz w:val="20"/>
                <w:szCs w:val="20"/>
                <w:lang w:val="en-ZW"/>
              </w:rPr>
              <w:t>Constitution Act</w:t>
            </w:r>
            <w:r w:rsidRPr="00D22292">
              <w:rPr>
                <w:sz w:val="20"/>
                <w:szCs w:val="20"/>
                <w:lang w:val="en-ZW"/>
              </w:rPr>
              <w:t>, s. 52(1).</w:t>
            </w:r>
          </w:p>
        </w:tc>
      </w:tr>
      <w:tr w:rsidR="00B10409" w:rsidRPr="00D22292" w:rsidTr="00721473">
        <w:tc>
          <w:tcPr>
            <w:tcW w:w="5000" w:type="pct"/>
            <w:gridSpan w:val="4"/>
          </w:tcPr>
          <w:p w:rsidR="00B10409" w:rsidRPr="00D22292" w:rsidRDefault="00B10409" w:rsidP="00B10409">
            <w:pPr>
              <w:jc w:val="both"/>
              <w:rPr>
                <w:sz w:val="20"/>
                <w:szCs w:val="20"/>
              </w:rPr>
            </w:pPr>
          </w:p>
          <w:p w:rsidR="00B10409" w:rsidRPr="00D22292" w:rsidRDefault="00B10409" w:rsidP="00B10409">
            <w:pPr>
              <w:jc w:val="both"/>
              <w:rPr>
                <w:sz w:val="20"/>
                <w:szCs w:val="20"/>
              </w:rPr>
            </w:pPr>
            <w:r w:rsidRPr="00D22292">
              <w:rPr>
                <w:sz w:val="20"/>
                <w:szCs w:val="20"/>
              </w:rPr>
              <w:t>In September 2015, Mr. Placid was involuntarily admitted to Seven Oaks General Hospital in Winnipeg as a psychiatric patient. Mr. Placid sought to challenge his involuntary admission, and the administration of various drugs while in hospital. In November 2015, the Manitoba Mental Health Review Board concluded that there had been no material change in Mr. Placid’s condition, and issued an order confirming his status as an involuntary patient, confirming his physician’s opinion that Mr. Placid was not mentally competent to make treatment decisions, and authorizing specified treatment as recommended by his physician, including drug injections.</w:t>
            </w:r>
          </w:p>
          <w:p w:rsidR="00B10409" w:rsidRPr="00D22292" w:rsidRDefault="00B10409" w:rsidP="00B10409">
            <w:pPr>
              <w:jc w:val="both"/>
              <w:rPr>
                <w:sz w:val="20"/>
                <w:szCs w:val="20"/>
              </w:rPr>
            </w:pPr>
          </w:p>
          <w:p w:rsidR="00B10409" w:rsidRPr="00D22292" w:rsidRDefault="00B10409" w:rsidP="00B10409">
            <w:pPr>
              <w:jc w:val="both"/>
              <w:rPr>
                <w:sz w:val="20"/>
                <w:szCs w:val="20"/>
              </w:rPr>
            </w:pPr>
            <w:r w:rsidRPr="00D22292">
              <w:rPr>
                <w:sz w:val="20"/>
                <w:szCs w:val="20"/>
              </w:rPr>
              <w:t>On appeal, Justice Abra of the Court of Queen’s Bench of Manitoba upheld the order of the Review Board, on December 7, 2015, finding that there was no basis on which to interfere with the order. Mr. Placid then sought to challenge Justice Abra’s decision. On September 22, 2016, Justice Hamilton of the Manitoba Court of Appeal dismissed Mr. Placid’s motion seeking an extension of time to file his appellant’s factum and his book of appeal.</w:t>
            </w:r>
          </w:p>
          <w:p w:rsidR="00B10409" w:rsidRPr="00D22292" w:rsidRDefault="00B10409" w:rsidP="00B10409">
            <w:pPr>
              <w:jc w:val="both"/>
              <w:rPr>
                <w:sz w:val="20"/>
                <w:szCs w:val="20"/>
              </w:rPr>
            </w:pPr>
          </w:p>
        </w:tc>
      </w:tr>
      <w:tr w:rsidR="00B10409" w:rsidRPr="00D22292" w:rsidTr="00721473">
        <w:tc>
          <w:tcPr>
            <w:tcW w:w="2427" w:type="pct"/>
            <w:gridSpan w:val="2"/>
          </w:tcPr>
          <w:p w:rsidR="00B10409" w:rsidRPr="00D22292" w:rsidRDefault="00B10409" w:rsidP="00B10409">
            <w:pPr>
              <w:jc w:val="both"/>
              <w:rPr>
                <w:sz w:val="20"/>
                <w:szCs w:val="20"/>
              </w:rPr>
            </w:pPr>
            <w:r w:rsidRPr="00D22292">
              <w:rPr>
                <w:sz w:val="20"/>
                <w:szCs w:val="20"/>
              </w:rPr>
              <w:t>November 17, 2015</w:t>
            </w:r>
          </w:p>
          <w:p w:rsidR="00B10409" w:rsidRPr="00D22292" w:rsidRDefault="00B10409" w:rsidP="00B10409">
            <w:pPr>
              <w:jc w:val="both"/>
              <w:rPr>
                <w:sz w:val="20"/>
                <w:szCs w:val="20"/>
              </w:rPr>
            </w:pPr>
            <w:r w:rsidRPr="00D22292">
              <w:rPr>
                <w:sz w:val="20"/>
                <w:szCs w:val="20"/>
              </w:rPr>
              <w:t>Manitoba Mental Health Review Board</w:t>
            </w:r>
          </w:p>
          <w:p w:rsidR="00B10409" w:rsidRPr="00D22292" w:rsidRDefault="00B10409" w:rsidP="00B10409">
            <w:pPr>
              <w:jc w:val="both"/>
              <w:rPr>
                <w:sz w:val="20"/>
                <w:szCs w:val="20"/>
              </w:rPr>
            </w:pPr>
            <w:r w:rsidRPr="00D22292">
              <w:rPr>
                <w:sz w:val="20"/>
                <w:szCs w:val="20"/>
              </w:rPr>
              <w:t>(Chairperson J. Janzen)</w:t>
            </w:r>
          </w:p>
          <w:p w:rsidR="00B10409" w:rsidRPr="00D22292" w:rsidRDefault="00B10409" w:rsidP="00B10409">
            <w:pPr>
              <w:jc w:val="both"/>
              <w:rPr>
                <w:sz w:val="20"/>
                <w:szCs w:val="20"/>
              </w:rPr>
            </w:pPr>
            <w:r w:rsidRPr="00D22292">
              <w:rPr>
                <w:sz w:val="20"/>
                <w:szCs w:val="20"/>
              </w:rPr>
              <w:t>(Members Anderson and Gow)</w:t>
            </w:r>
          </w:p>
          <w:p w:rsidR="00B10409" w:rsidRPr="00D22292" w:rsidRDefault="00B10409" w:rsidP="00B10409">
            <w:pPr>
              <w:jc w:val="both"/>
              <w:rPr>
                <w:sz w:val="20"/>
                <w:szCs w:val="20"/>
              </w:rPr>
            </w:pPr>
          </w:p>
        </w:tc>
        <w:tc>
          <w:tcPr>
            <w:tcW w:w="243" w:type="pct"/>
          </w:tcPr>
          <w:p w:rsidR="00B10409" w:rsidRPr="00D22292" w:rsidRDefault="00B10409" w:rsidP="00B10409">
            <w:pPr>
              <w:jc w:val="both"/>
              <w:rPr>
                <w:sz w:val="20"/>
                <w:szCs w:val="20"/>
              </w:rPr>
            </w:pPr>
          </w:p>
        </w:tc>
        <w:tc>
          <w:tcPr>
            <w:tcW w:w="2330" w:type="pct"/>
          </w:tcPr>
          <w:p w:rsidR="00B10409" w:rsidRPr="00D22292" w:rsidRDefault="00B10409" w:rsidP="00B10409">
            <w:pPr>
              <w:jc w:val="both"/>
              <w:rPr>
                <w:sz w:val="20"/>
                <w:szCs w:val="20"/>
              </w:rPr>
            </w:pPr>
            <w:r w:rsidRPr="00D22292">
              <w:rPr>
                <w:sz w:val="20"/>
                <w:szCs w:val="20"/>
              </w:rPr>
              <w:t>Order refusing to cancel certificate of involuntary admission, refusing to cancel certificate of incompetence to make treatment decisions, and confirming specified course of medical treatment</w:t>
            </w:r>
          </w:p>
          <w:p w:rsidR="00B10409" w:rsidRPr="00D22292" w:rsidRDefault="00B10409" w:rsidP="00B10409">
            <w:pPr>
              <w:jc w:val="both"/>
              <w:rPr>
                <w:sz w:val="20"/>
                <w:szCs w:val="20"/>
              </w:rPr>
            </w:pPr>
          </w:p>
        </w:tc>
      </w:tr>
      <w:tr w:rsidR="00B10409" w:rsidRPr="00D22292" w:rsidTr="00721473">
        <w:tc>
          <w:tcPr>
            <w:tcW w:w="2427" w:type="pct"/>
            <w:gridSpan w:val="2"/>
          </w:tcPr>
          <w:p w:rsidR="00B10409" w:rsidRPr="00D22292" w:rsidRDefault="00B10409" w:rsidP="00B10409">
            <w:pPr>
              <w:jc w:val="both"/>
              <w:rPr>
                <w:sz w:val="20"/>
                <w:szCs w:val="20"/>
              </w:rPr>
            </w:pPr>
            <w:r w:rsidRPr="00D22292">
              <w:rPr>
                <w:sz w:val="20"/>
                <w:szCs w:val="20"/>
              </w:rPr>
              <w:t>December 7, 2015</w:t>
            </w:r>
          </w:p>
          <w:p w:rsidR="00B10409" w:rsidRPr="00D22292" w:rsidRDefault="00B10409" w:rsidP="00B10409">
            <w:pPr>
              <w:jc w:val="both"/>
              <w:rPr>
                <w:sz w:val="20"/>
                <w:szCs w:val="20"/>
              </w:rPr>
            </w:pPr>
            <w:r w:rsidRPr="00D22292">
              <w:rPr>
                <w:sz w:val="20"/>
                <w:szCs w:val="20"/>
              </w:rPr>
              <w:t>Court of Queen’s Bench of Manitoba</w:t>
            </w:r>
          </w:p>
          <w:p w:rsidR="00B10409" w:rsidRPr="00D22292" w:rsidRDefault="00B10409" w:rsidP="00B10409">
            <w:pPr>
              <w:jc w:val="both"/>
              <w:rPr>
                <w:sz w:val="20"/>
                <w:szCs w:val="20"/>
              </w:rPr>
            </w:pPr>
            <w:r w:rsidRPr="00D22292">
              <w:rPr>
                <w:sz w:val="20"/>
                <w:szCs w:val="20"/>
              </w:rPr>
              <w:t>(Abra J.)</w:t>
            </w:r>
          </w:p>
          <w:p w:rsidR="00B10409" w:rsidRPr="00D22292" w:rsidRDefault="00B10409" w:rsidP="00B10409">
            <w:pPr>
              <w:jc w:val="both"/>
              <w:rPr>
                <w:sz w:val="20"/>
                <w:szCs w:val="20"/>
              </w:rPr>
            </w:pPr>
            <w:r w:rsidRPr="00D22292">
              <w:rPr>
                <w:sz w:val="20"/>
                <w:szCs w:val="20"/>
              </w:rPr>
              <w:t xml:space="preserve">Court file number: CI 15-01-98975 </w:t>
            </w:r>
          </w:p>
          <w:p w:rsidR="00B10409" w:rsidRPr="00D22292" w:rsidRDefault="00B10409" w:rsidP="00B10409">
            <w:pPr>
              <w:jc w:val="both"/>
              <w:rPr>
                <w:sz w:val="20"/>
                <w:szCs w:val="20"/>
              </w:rPr>
            </w:pPr>
          </w:p>
        </w:tc>
        <w:tc>
          <w:tcPr>
            <w:tcW w:w="243" w:type="pct"/>
          </w:tcPr>
          <w:p w:rsidR="00B10409" w:rsidRPr="00D22292" w:rsidRDefault="00B10409" w:rsidP="00B10409">
            <w:pPr>
              <w:jc w:val="both"/>
              <w:rPr>
                <w:sz w:val="20"/>
                <w:szCs w:val="20"/>
              </w:rPr>
            </w:pPr>
          </w:p>
        </w:tc>
        <w:tc>
          <w:tcPr>
            <w:tcW w:w="2330" w:type="pct"/>
          </w:tcPr>
          <w:p w:rsidR="00B10409" w:rsidRPr="00D22292" w:rsidRDefault="00B10409" w:rsidP="00B10409">
            <w:pPr>
              <w:jc w:val="both"/>
              <w:rPr>
                <w:sz w:val="20"/>
                <w:szCs w:val="20"/>
              </w:rPr>
            </w:pPr>
            <w:r w:rsidRPr="00D22292">
              <w:rPr>
                <w:sz w:val="20"/>
                <w:szCs w:val="20"/>
              </w:rPr>
              <w:t>Mr. Placid’s appeal from Review Board order — dismissed</w:t>
            </w:r>
          </w:p>
          <w:p w:rsidR="00B10409" w:rsidRPr="00D22292" w:rsidRDefault="00B10409" w:rsidP="00B10409">
            <w:pPr>
              <w:jc w:val="both"/>
              <w:rPr>
                <w:sz w:val="20"/>
                <w:szCs w:val="20"/>
              </w:rPr>
            </w:pPr>
          </w:p>
        </w:tc>
      </w:tr>
    </w:tbl>
    <w:p w:rsidR="001F3145" w:rsidRPr="00D22292" w:rsidRDefault="001F3145">
      <w:r w:rsidRPr="00D2229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10409" w:rsidRPr="00D22292" w:rsidTr="00721473">
        <w:tc>
          <w:tcPr>
            <w:tcW w:w="2427" w:type="pct"/>
          </w:tcPr>
          <w:p w:rsidR="00B10409" w:rsidRPr="00D22292" w:rsidRDefault="00B10409" w:rsidP="00B10409">
            <w:pPr>
              <w:jc w:val="both"/>
              <w:rPr>
                <w:sz w:val="20"/>
                <w:szCs w:val="20"/>
              </w:rPr>
            </w:pPr>
            <w:r w:rsidRPr="00D22292">
              <w:rPr>
                <w:sz w:val="20"/>
                <w:szCs w:val="20"/>
              </w:rPr>
              <w:lastRenderedPageBreak/>
              <w:t>September 22, 2016</w:t>
            </w:r>
          </w:p>
          <w:p w:rsidR="00B10409" w:rsidRPr="00D22292" w:rsidRDefault="00B10409" w:rsidP="00B10409">
            <w:pPr>
              <w:jc w:val="both"/>
              <w:rPr>
                <w:sz w:val="20"/>
                <w:szCs w:val="20"/>
              </w:rPr>
            </w:pPr>
            <w:r w:rsidRPr="00D22292">
              <w:rPr>
                <w:sz w:val="20"/>
                <w:szCs w:val="20"/>
              </w:rPr>
              <w:t>Court of Appeal of Manitoba</w:t>
            </w:r>
          </w:p>
          <w:p w:rsidR="00B10409" w:rsidRPr="00D22292" w:rsidRDefault="00B10409" w:rsidP="00B10409">
            <w:pPr>
              <w:jc w:val="both"/>
              <w:rPr>
                <w:sz w:val="20"/>
                <w:szCs w:val="20"/>
              </w:rPr>
            </w:pPr>
            <w:r w:rsidRPr="00D22292">
              <w:rPr>
                <w:sz w:val="20"/>
                <w:szCs w:val="20"/>
              </w:rPr>
              <w:t>(Hamilton J.)</w:t>
            </w:r>
          </w:p>
          <w:p w:rsidR="00B10409" w:rsidRPr="00D22292" w:rsidRDefault="00B10409" w:rsidP="00B10409">
            <w:pPr>
              <w:jc w:val="both"/>
              <w:rPr>
                <w:sz w:val="20"/>
                <w:szCs w:val="20"/>
              </w:rPr>
            </w:pPr>
            <w:r w:rsidRPr="00D22292">
              <w:rPr>
                <w:sz w:val="20"/>
                <w:szCs w:val="20"/>
              </w:rPr>
              <w:t xml:space="preserve">Court file number: A116-30-08525 </w:t>
            </w:r>
          </w:p>
          <w:p w:rsidR="00B10409" w:rsidRPr="00D22292" w:rsidRDefault="00B10409" w:rsidP="00B10409">
            <w:pPr>
              <w:jc w:val="both"/>
              <w:rPr>
                <w:sz w:val="20"/>
                <w:szCs w:val="20"/>
              </w:rPr>
            </w:pPr>
          </w:p>
        </w:tc>
        <w:tc>
          <w:tcPr>
            <w:tcW w:w="243" w:type="pct"/>
          </w:tcPr>
          <w:p w:rsidR="00B10409" w:rsidRPr="00D22292" w:rsidRDefault="00B10409" w:rsidP="00B10409">
            <w:pPr>
              <w:jc w:val="both"/>
              <w:rPr>
                <w:sz w:val="20"/>
                <w:szCs w:val="20"/>
              </w:rPr>
            </w:pPr>
          </w:p>
        </w:tc>
        <w:tc>
          <w:tcPr>
            <w:tcW w:w="2330" w:type="pct"/>
          </w:tcPr>
          <w:p w:rsidR="00B10409" w:rsidRPr="00D22292" w:rsidRDefault="00B10409" w:rsidP="00B10409">
            <w:pPr>
              <w:jc w:val="both"/>
              <w:rPr>
                <w:sz w:val="20"/>
                <w:szCs w:val="20"/>
              </w:rPr>
            </w:pPr>
            <w:r w:rsidRPr="00D22292">
              <w:rPr>
                <w:sz w:val="20"/>
                <w:szCs w:val="20"/>
              </w:rPr>
              <w:t>Mr. Placid’s motion for extension of time to file factum and appeal book — dismissed</w:t>
            </w:r>
          </w:p>
          <w:p w:rsidR="00B10409" w:rsidRPr="00D22292" w:rsidRDefault="00B10409" w:rsidP="00B10409">
            <w:pPr>
              <w:jc w:val="both"/>
              <w:rPr>
                <w:sz w:val="20"/>
                <w:szCs w:val="20"/>
              </w:rPr>
            </w:pPr>
          </w:p>
        </w:tc>
      </w:tr>
      <w:tr w:rsidR="00B10409" w:rsidRPr="00D22292" w:rsidTr="00721473">
        <w:tc>
          <w:tcPr>
            <w:tcW w:w="2427" w:type="pct"/>
          </w:tcPr>
          <w:p w:rsidR="00B10409" w:rsidRPr="00D22292" w:rsidRDefault="00B10409" w:rsidP="00B10409">
            <w:pPr>
              <w:jc w:val="both"/>
              <w:rPr>
                <w:sz w:val="20"/>
                <w:szCs w:val="20"/>
              </w:rPr>
            </w:pPr>
            <w:r w:rsidRPr="00D22292">
              <w:rPr>
                <w:sz w:val="20"/>
                <w:szCs w:val="20"/>
              </w:rPr>
              <w:t>October 24, 2016</w:t>
            </w:r>
          </w:p>
          <w:p w:rsidR="00B10409" w:rsidRPr="00D22292" w:rsidRDefault="00B10409" w:rsidP="00B10409">
            <w:pPr>
              <w:jc w:val="both"/>
              <w:rPr>
                <w:sz w:val="20"/>
                <w:szCs w:val="20"/>
              </w:rPr>
            </w:pPr>
            <w:r w:rsidRPr="00D22292">
              <w:rPr>
                <w:sz w:val="20"/>
                <w:szCs w:val="20"/>
              </w:rPr>
              <w:t>Supreme Court of Canada</w:t>
            </w:r>
          </w:p>
        </w:tc>
        <w:tc>
          <w:tcPr>
            <w:tcW w:w="243" w:type="pct"/>
          </w:tcPr>
          <w:p w:rsidR="00B10409" w:rsidRPr="00D22292" w:rsidRDefault="00B10409" w:rsidP="00B10409">
            <w:pPr>
              <w:jc w:val="both"/>
              <w:rPr>
                <w:sz w:val="20"/>
                <w:szCs w:val="20"/>
              </w:rPr>
            </w:pPr>
          </w:p>
        </w:tc>
        <w:tc>
          <w:tcPr>
            <w:tcW w:w="2330" w:type="pct"/>
          </w:tcPr>
          <w:p w:rsidR="00B10409" w:rsidRPr="00D22292" w:rsidRDefault="00B10409" w:rsidP="00B10409">
            <w:pPr>
              <w:jc w:val="both"/>
              <w:rPr>
                <w:sz w:val="20"/>
                <w:szCs w:val="20"/>
              </w:rPr>
            </w:pPr>
            <w:r w:rsidRPr="00D22292">
              <w:rPr>
                <w:sz w:val="20"/>
                <w:szCs w:val="20"/>
              </w:rPr>
              <w:t>Application for leave to appeal filed by Mr. Placid</w:t>
            </w:r>
          </w:p>
        </w:tc>
      </w:tr>
    </w:tbl>
    <w:p w:rsidR="00755995" w:rsidRPr="00D22292" w:rsidRDefault="00D22292" w:rsidP="00755995">
      <w:pPr>
        <w:jc w:val="both"/>
        <w:rPr>
          <w:sz w:val="20"/>
        </w:rPr>
      </w:pPr>
      <w:r w:rsidRPr="00D22292">
        <w:rPr>
          <w:sz w:val="20"/>
          <w:szCs w:val="20"/>
        </w:rPr>
        <w:pict>
          <v:rect id="_x0000_i1048" style="width:2in;height:1pt" o:hrpct="0" o:hralign="center" o:hrstd="t" o:hrnoshade="t" o:hr="t" fillcolor="black" stroked="f"/>
        </w:pict>
      </w:r>
    </w:p>
    <w:p w:rsidR="00755995" w:rsidRPr="00D22292" w:rsidRDefault="00755995" w:rsidP="00755995">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55995" w:rsidRPr="00D22292" w:rsidTr="00721473">
        <w:tc>
          <w:tcPr>
            <w:tcW w:w="543" w:type="pct"/>
          </w:tcPr>
          <w:p w:rsidR="00755995" w:rsidRPr="00D22292" w:rsidRDefault="00755995" w:rsidP="00721473">
            <w:pPr>
              <w:jc w:val="both"/>
              <w:rPr>
                <w:sz w:val="20"/>
                <w:szCs w:val="20"/>
                <w:lang w:val="fr-CA"/>
              </w:rPr>
            </w:pPr>
            <w:r w:rsidRPr="00D22292">
              <w:rPr>
                <w:rStyle w:val="SCCFileNumberChar"/>
                <w:sz w:val="20"/>
                <w:szCs w:val="20"/>
                <w:lang w:val="fr-CA"/>
              </w:rPr>
              <w:t>37558</w:t>
            </w:r>
          </w:p>
        </w:tc>
        <w:tc>
          <w:tcPr>
            <w:tcW w:w="4457" w:type="pct"/>
            <w:gridSpan w:val="3"/>
          </w:tcPr>
          <w:p w:rsidR="00755995" w:rsidRPr="00D22292" w:rsidRDefault="00755995" w:rsidP="00721473">
            <w:pPr>
              <w:pStyle w:val="SCCLsocParty"/>
              <w:jc w:val="both"/>
              <w:rPr>
                <w:b/>
                <w:sz w:val="20"/>
                <w:szCs w:val="20"/>
                <w:lang w:val="en-US"/>
              </w:rPr>
            </w:pPr>
            <w:r w:rsidRPr="00D22292">
              <w:rPr>
                <w:b/>
                <w:sz w:val="20"/>
                <w:szCs w:val="20"/>
                <w:lang w:val="en-US"/>
              </w:rPr>
              <w:t>Placid Inc. c. Seven Oaks General Hospital</w:t>
            </w:r>
          </w:p>
          <w:p w:rsidR="00755995" w:rsidRPr="00D22292" w:rsidRDefault="00755995" w:rsidP="00721473">
            <w:pPr>
              <w:jc w:val="both"/>
              <w:rPr>
                <w:sz w:val="20"/>
                <w:szCs w:val="20"/>
                <w:lang w:val="fr-CA"/>
              </w:rPr>
            </w:pPr>
            <w:r w:rsidRPr="00D22292">
              <w:rPr>
                <w:sz w:val="20"/>
                <w:szCs w:val="20"/>
                <w:lang w:val="fr-CA"/>
              </w:rPr>
              <w:t>(Man.) (Civile) (Sur autorisation)</w:t>
            </w:r>
          </w:p>
        </w:tc>
      </w:tr>
      <w:tr w:rsidR="00F92AD7" w:rsidRPr="00D22292" w:rsidTr="00721473">
        <w:tc>
          <w:tcPr>
            <w:tcW w:w="543" w:type="pct"/>
          </w:tcPr>
          <w:p w:rsidR="00F92AD7" w:rsidRPr="00D22292" w:rsidRDefault="00F92AD7" w:rsidP="00F92AD7">
            <w:pPr>
              <w:jc w:val="both"/>
              <w:rPr>
                <w:rStyle w:val="SCCFileNumberChar"/>
                <w:b w:val="0"/>
                <w:sz w:val="20"/>
                <w:szCs w:val="20"/>
              </w:rPr>
            </w:pPr>
            <w:r w:rsidRPr="00D22292">
              <w:rPr>
                <w:rStyle w:val="SCCFileNumberChar"/>
                <w:b w:val="0"/>
                <w:sz w:val="20"/>
                <w:szCs w:val="20"/>
              </w:rPr>
              <w:t xml:space="preserve">Coram: </w:t>
            </w:r>
          </w:p>
        </w:tc>
        <w:tc>
          <w:tcPr>
            <w:tcW w:w="4457" w:type="pct"/>
            <w:gridSpan w:val="3"/>
          </w:tcPr>
          <w:p w:rsidR="00F92AD7" w:rsidRPr="00D22292" w:rsidRDefault="007D7FB6" w:rsidP="00F92AD7">
            <w:pPr>
              <w:rPr>
                <w:rFonts w:eastAsia="Calibri" w:cs="Times New Roman"/>
                <w:sz w:val="20"/>
                <w:szCs w:val="20"/>
                <w:u w:val="single"/>
                <w:lang w:val="fr-CA"/>
              </w:rPr>
            </w:pPr>
            <w:r w:rsidRPr="00D22292">
              <w:rPr>
                <w:rFonts w:eastAsia="Calibri" w:cs="Times New Roman"/>
                <w:sz w:val="20"/>
                <w:szCs w:val="20"/>
                <w:u w:val="single"/>
                <w:lang w:val="fr-CA"/>
              </w:rPr>
              <w:t xml:space="preserve">La juge en chef McLachlin et les juges Abella, Moldaver, Karakatsanis, Wagner, Gascon, Côté, Brown et Rowe </w:t>
            </w:r>
          </w:p>
          <w:p w:rsidR="007D7FB6" w:rsidRPr="00D22292" w:rsidRDefault="007D7FB6" w:rsidP="00F92AD7">
            <w:pPr>
              <w:rPr>
                <w:lang w:val="fr-CA"/>
              </w:rPr>
            </w:pPr>
          </w:p>
        </w:tc>
      </w:tr>
      <w:tr w:rsidR="00F92AD7" w:rsidRPr="00D22292" w:rsidTr="00721473">
        <w:tc>
          <w:tcPr>
            <w:tcW w:w="5000" w:type="pct"/>
            <w:gridSpan w:val="4"/>
          </w:tcPr>
          <w:p w:rsidR="00F92AD7" w:rsidRPr="00D22292" w:rsidRDefault="007D7FB6" w:rsidP="00F92AD7">
            <w:pPr>
              <w:jc w:val="both"/>
              <w:rPr>
                <w:sz w:val="20"/>
                <w:szCs w:val="20"/>
                <w:lang w:val="fr-CA"/>
              </w:rPr>
            </w:pPr>
            <w:r w:rsidRPr="00D22292">
              <w:rPr>
                <w:sz w:val="20"/>
                <w:szCs w:val="20"/>
                <w:lang w:val="fr-CA"/>
              </w:rPr>
              <w:t xml:space="preserve">La demande d’autorisation d’appel de l’arrêt de la Cour d’appel du Manitoba, numéro AI16-30-08525, daté du 22 septembre 2016, est rejetée pour défaut de compétence, sans ordonnance quant aux dépens. </w:t>
            </w:r>
          </w:p>
          <w:p w:rsidR="007D7FB6" w:rsidRPr="00D22292" w:rsidRDefault="007D7FB6" w:rsidP="00F92AD7">
            <w:pPr>
              <w:jc w:val="both"/>
              <w:rPr>
                <w:i/>
                <w:sz w:val="20"/>
                <w:szCs w:val="20"/>
                <w:lang w:val="fr-CA"/>
              </w:rPr>
            </w:pPr>
          </w:p>
        </w:tc>
      </w:tr>
      <w:tr w:rsidR="00F92AD7" w:rsidRPr="00D22292" w:rsidTr="00721473">
        <w:tc>
          <w:tcPr>
            <w:tcW w:w="5000" w:type="pct"/>
            <w:gridSpan w:val="4"/>
          </w:tcPr>
          <w:p w:rsidR="00F92AD7" w:rsidRPr="00D22292" w:rsidRDefault="00F92AD7" w:rsidP="00F92AD7">
            <w:pPr>
              <w:jc w:val="both"/>
              <w:rPr>
                <w:sz w:val="20"/>
                <w:szCs w:val="20"/>
                <w:lang w:val="fr-CA"/>
              </w:rPr>
            </w:pPr>
            <w:r w:rsidRPr="00D22292">
              <w:rPr>
                <w:i/>
                <w:sz w:val="20"/>
                <w:szCs w:val="20"/>
                <w:lang w:val="fr-CA"/>
              </w:rPr>
              <w:t>Charte des droits</w:t>
            </w:r>
            <w:r w:rsidRPr="00D22292">
              <w:rPr>
                <w:sz w:val="20"/>
                <w:szCs w:val="20"/>
                <w:lang w:val="fr-CA"/>
              </w:rPr>
              <w:t xml:space="preserve"> — Justice fondamentale — Droit à la vie, à la liberté et à la sécurité de la personne — Le demandeur a été admis en cure obligatoire comme patient en psychiatrie et il s’est involontairement vu administrer des médicaments — Le juge de première instance a confirmé l’ordonnance de la commission d’examen confirmant le caractère obligatoire de la cure et a prescrit un traitement médical, notamment l’injection de médicaments — Le juge d’appel a rejeté la motion en prorogation du délai de dépôt d’un appel — Le demandeur a-t-il le droit fondamental de demander justice à un tribunal judiciaire comme la Cour suprême du Canada? — </w:t>
            </w:r>
            <w:r w:rsidRPr="00D22292">
              <w:rPr>
                <w:i/>
                <w:sz w:val="20"/>
                <w:szCs w:val="20"/>
                <w:lang w:val="fr-CA"/>
              </w:rPr>
              <w:t>Charte canadienne des droits et libertés</w:t>
            </w:r>
            <w:r w:rsidRPr="00D22292">
              <w:rPr>
                <w:sz w:val="20"/>
                <w:szCs w:val="20"/>
                <w:lang w:val="fr-CA"/>
              </w:rPr>
              <w:t xml:space="preserve">, art. 7 et 24(1) — </w:t>
            </w:r>
            <w:r w:rsidRPr="00D22292">
              <w:rPr>
                <w:i/>
                <w:sz w:val="20"/>
                <w:szCs w:val="20"/>
                <w:lang w:val="fr-CA"/>
              </w:rPr>
              <w:t>Loi constitutionnelle</w:t>
            </w:r>
            <w:r w:rsidRPr="00D22292">
              <w:rPr>
                <w:sz w:val="20"/>
                <w:szCs w:val="20"/>
                <w:lang w:val="fr-CA"/>
              </w:rPr>
              <w:t>, par. 52(1).</w:t>
            </w:r>
          </w:p>
        </w:tc>
      </w:tr>
      <w:tr w:rsidR="00F92AD7" w:rsidRPr="00D22292" w:rsidTr="00721473">
        <w:tc>
          <w:tcPr>
            <w:tcW w:w="5000" w:type="pct"/>
            <w:gridSpan w:val="4"/>
          </w:tcPr>
          <w:p w:rsidR="00F92AD7" w:rsidRPr="00D22292" w:rsidRDefault="00F92AD7" w:rsidP="00F92AD7">
            <w:pPr>
              <w:jc w:val="both"/>
              <w:rPr>
                <w:sz w:val="20"/>
                <w:szCs w:val="20"/>
                <w:lang w:val="fr-CA"/>
              </w:rPr>
            </w:pPr>
          </w:p>
          <w:p w:rsidR="00F92AD7" w:rsidRPr="00D22292" w:rsidRDefault="00F92AD7" w:rsidP="00F92AD7">
            <w:pPr>
              <w:jc w:val="both"/>
              <w:rPr>
                <w:sz w:val="20"/>
                <w:szCs w:val="20"/>
                <w:lang w:val="fr-CA"/>
              </w:rPr>
            </w:pPr>
            <w:r w:rsidRPr="00D22292">
              <w:rPr>
                <w:sz w:val="20"/>
                <w:szCs w:val="20"/>
                <w:lang w:val="fr-CA"/>
              </w:rPr>
              <w:t>En septembre 2015, M. Placid a été admis en cure obligatoire au Seven Oaks General Hospital à Winnipeg comme patient en psychiatrie. Monsieur Placid a tenté de contester son admission en cure obligatoire et l’administration de divers médicaments pendant son hospitalisation. En novembre 2015, la commission manitobaine d’examen des questions liées à la santé mentale a conclu que l’état de M. Placid n’avait pas été l’objet de changement important et a délivré une ordonnance confirmant qu’il demeurait un patient en cure obligatoire, confirmant l’avis de son médecin comme quoi M. Placid n’était pas mentalement capable de prendre des décisions liées au traitement et autorisant le traitement recommandé par son médecin, notamment des injections de médicaments.</w:t>
            </w:r>
          </w:p>
          <w:p w:rsidR="00F92AD7" w:rsidRPr="00D22292" w:rsidRDefault="00F92AD7" w:rsidP="00F92AD7">
            <w:pPr>
              <w:jc w:val="both"/>
              <w:rPr>
                <w:sz w:val="20"/>
                <w:szCs w:val="20"/>
                <w:lang w:val="fr-CA"/>
              </w:rPr>
            </w:pPr>
          </w:p>
          <w:p w:rsidR="00F92AD7" w:rsidRPr="00D22292" w:rsidRDefault="00F92AD7" w:rsidP="00F92AD7">
            <w:pPr>
              <w:jc w:val="both"/>
              <w:rPr>
                <w:sz w:val="20"/>
                <w:szCs w:val="20"/>
                <w:lang w:val="fr-CA"/>
              </w:rPr>
            </w:pPr>
            <w:r w:rsidRPr="00D22292">
              <w:rPr>
                <w:sz w:val="20"/>
                <w:szCs w:val="20"/>
                <w:lang w:val="fr-CA"/>
              </w:rPr>
              <w:t>En appel, le 7 décembre 2015, le juge Abra de la Cour du Banc de la Reine du Manitoba a confirmé l’ordonnance de la commission d’examen, concluant qu’il n’y avait aucune raison de modifier l’ordonnance. Monsieur Placid a ensuite tenté de contester la décision du juge Abra. Le 22 septembre 2016, la juge Hamilton de la Cour d’appel du Manitoba a rejeté la motion de M. Placid en prorogation du délai de dépôt de son mémoire et de son cahier d’appel.</w:t>
            </w:r>
          </w:p>
          <w:p w:rsidR="00F92AD7" w:rsidRPr="00D22292" w:rsidRDefault="00F92AD7" w:rsidP="00F92AD7">
            <w:pPr>
              <w:jc w:val="both"/>
              <w:rPr>
                <w:sz w:val="20"/>
                <w:szCs w:val="20"/>
                <w:lang w:val="fr-CA"/>
              </w:rPr>
            </w:pPr>
          </w:p>
        </w:tc>
      </w:tr>
      <w:tr w:rsidR="00F92AD7" w:rsidRPr="00D22292" w:rsidTr="00721473">
        <w:tc>
          <w:tcPr>
            <w:tcW w:w="2427" w:type="pct"/>
            <w:gridSpan w:val="2"/>
          </w:tcPr>
          <w:p w:rsidR="00F92AD7" w:rsidRPr="00D22292" w:rsidRDefault="00F92AD7" w:rsidP="00F92AD7">
            <w:pPr>
              <w:jc w:val="both"/>
              <w:rPr>
                <w:sz w:val="20"/>
                <w:szCs w:val="20"/>
                <w:lang w:val="fr-CA"/>
              </w:rPr>
            </w:pPr>
            <w:r w:rsidRPr="00D22292">
              <w:rPr>
                <w:sz w:val="20"/>
                <w:szCs w:val="20"/>
                <w:lang w:val="fr-CA"/>
              </w:rPr>
              <w:t>17 novembre 2015</w:t>
            </w:r>
          </w:p>
          <w:p w:rsidR="00F92AD7" w:rsidRPr="00D22292" w:rsidRDefault="00F92AD7" w:rsidP="00F92AD7">
            <w:pPr>
              <w:jc w:val="both"/>
              <w:rPr>
                <w:sz w:val="20"/>
                <w:szCs w:val="20"/>
                <w:lang w:val="fr-CA"/>
              </w:rPr>
            </w:pPr>
            <w:r w:rsidRPr="00D22292">
              <w:rPr>
                <w:sz w:val="20"/>
                <w:szCs w:val="20"/>
                <w:lang w:val="fr-CA"/>
              </w:rPr>
              <w:t>Commission manitobaine d’examen des questions liées à la santé mentale</w:t>
            </w:r>
          </w:p>
          <w:p w:rsidR="00F92AD7" w:rsidRPr="00D22292" w:rsidRDefault="00F92AD7" w:rsidP="00F92AD7">
            <w:pPr>
              <w:jc w:val="both"/>
              <w:rPr>
                <w:sz w:val="20"/>
                <w:szCs w:val="20"/>
                <w:lang w:val="fr-CA"/>
              </w:rPr>
            </w:pPr>
            <w:r w:rsidRPr="00D22292">
              <w:rPr>
                <w:sz w:val="20"/>
                <w:szCs w:val="20"/>
                <w:lang w:val="fr-CA"/>
              </w:rPr>
              <w:t>(Président Janzen, commissaires Anderson et Gow)</w:t>
            </w:r>
          </w:p>
          <w:p w:rsidR="00F92AD7" w:rsidRPr="00D22292" w:rsidRDefault="00F92AD7" w:rsidP="00F92AD7">
            <w:pPr>
              <w:jc w:val="both"/>
              <w:rPr>
                <w:sz w:val="20"/>
                <w:szCs w:val="20"/>
                <w:lang w:val="fr-CA"/>
              </w:rPr>
            </w:pPr>
          </w:p>
        </w:tc>
        <w:tc>
          <w:tcPr>
            <w:tcW w:w="243" w:type="pct"/>
          </w:tcPr>
          <w:p w:rsidR="00F92AD7" w:rsidRPr="00D22292" w:rsidRDefault="00F92AD7" w:rsidP="00F92AD7">
            <w:pPr>
              <w:jc w:val="both"/>
              <w:rPr>
                <w:sz w:val="20"/>
                <w:szCs w:val="20"/>
                <w:lang w:val="fr-CA"/>
              </w:rPr>
            </w:pPr>
          </w:p>
        </w:tc>
        <w:tc>
          <w:tcPr>
            <w:tcW w:w="2330" w:type="pct"/>
          </w:tcPr>
          <w:p w:rsidR="00F92AD7" w:rsidRPr="00D22292" w:rsidRDefault="00F92AD7" w:rsidP="00F92AD7">
            <w:pPr>
              <w:jc w:val="both"/>
              <w:rPr>
                <w:sz w:val="20"/>
                <w:szCs w:val="20"/>
                <w:lang w:val="fr-CA"/>
              </w:rPr>
            </w:pPr>
            <w:r w:rsidRPr="00D22292">
              <w:rPr>
                <w:sz w:val="20"/>
                <w:szCs w:val="20"/>
                <w:lang w:val="fr-CA"/>
              </w:rPr>
              <w:t>Ordonnance refusant d’annuler le certificat d’admission en cure obligatoire, refusant d’annuler le certificat d’incompétence de prendre des décisions liées au traitement et confirmant le traitement médical prescrit</w:t>
            </w:r>
          </w:p>
          <w:p w:rsidR="00F92AD7" w:rsidRPr="00D22292" w:rsidRDefault="00F92AD7" w:rsidP="00F92AD7">
            <w:pPr>
              <w:jc w:val="both"/>
              <w:rPr>
                <w:sz w:val="20"/>
                <w:szCs w:val="20"/>
                <w:lang w:val="fr-CA"/>
              </w:rPr>
            </w:pPr>
          </w:p>
        </w:tc>
      </w:tr>
      <w:tr w:rsidR="00F92AD7" w:rsidRPr="00D22292" w:rsidTr="00721473">
        <w:tc>
          <w:tcPr>
            <w:tcW w:w="2427" w:type="pct"/>
            <w:gridSpan w:val="2"/>
          </w:tcPr>
          <w:p w:rsidR="00F92AD7" w:rsidRPr="00D22292" w:rsidRDefault="00F92AD7" w:rsidP="00F92AD7">
            <w:pPr>
              <w:jc w:val="both"/>
              <w:rPr>
                <w:sz w:val="20"/>
                <w:szCs w:val="20"/>
                <w:lang w:val="fr-CA"/>
              </w:rPr>
            </w:pPr>
            <w:r w:rsidRPr="00D22292">
              <w:rPr>
                <w:sz w:val="20"/>
                <w:szCs w:val="20"/>
                <w:lang w:val="fr-CA"/>
              </w:rPr>
              <w:t>7 décembre 2015</w:t>
            </w:r>
          </w:p>
          <w:p w:rsidR="00F92AD7" w:rsidRPr="00D22292" w:rsidRDefault="00F92AD7" w:rsidP="00F92AD7">
            <w:pPr>
              <w:jc w:val="both"/>
              <w:rPr>
                <w:sz w:val="20"/>
                <w:szCs w:val="20"/>
                <w:lang w:val="fr-CA"/>
              </w:rPr>
            </w:pPr>
            <w:r w:rsidRPr="00D22292">
              <w:rPr>
                <w:sz w:val="20"/>
                <w:szCs w:val="20"/>
                <w:lang w:val="fr-CA"/>
              </w:rPr>
              <w:t>Cour du Banc de la Reine du Manitoba</w:t>
            </w:r>
          </w:p>
          <w:p w:rsidR="00F92AD7" w:rsidRPr="00D22292" w:rsidRDefault="00F92AD7" w:rsidP="00F92AD7">
            <w:pPr>
              <w:jc w:val="both"/>
              <w:rPr>
                <w:sz w:val="20"/>
                <w:szCs w:val="20"/>
                <w:lang w:val="fr-CA"/>
              </w:rPr>
            </w:pPr>
            <w:r w:rsidRPr="00D22292">
              <w:rPr>
                <w:sz w:val="20"/>
                <w:szCs w:val="20"/>
                <w:lang w:val="fr-CA"/>
              </w:rPr>
              <w:t>(Juge Abra)</w:t>
            </w:r>
          </w:p>
          <w:p w:rsidR="00F92AD7" w:rsidRPr="00D22292" w:rsidRDefault="00F92AD7" w:rsidP="00F92AD7">
            <w:pPr>
              <w:jc w:val="both"/>
              <w:rPr>
                <w:sz w:val="20"/>
                <w:szCs w:val="20"/>
                <w:lang w:val="fr-CA"/>
              </w:rPr>
            </w:pPr>
            <w:r w:rsidRPr="00D22292">
              <w:rPr>
                <w:sz w:val="20"/>
                <w:szCs w:val="20"/>
                <w:lang w:val="fr-CA"/>
              </w:rPr>
              <w:t xml:space="preserve">Numéro du greffe : CI 15-01-98975 </w:t>
            </w:r>
          </w:p>
          <w:p w:rsidR="00F92AD7" w:rsidRPr="00D22292" w:rsidRDefault="00F92AD7" w:rsidP="00F92AD7">
            <w:pPr>
              <w:jc w:val="both"/>
              <w:rPr>
                <w:sz w:val="20"/>
                <w:szCs w:val="20"/>
                <w:lang w:val="fr-CA"/>
              </w:rPr>
            </w:pPr>
          </w:p>
        </w:tc>
        <w:tc>
          <w:tcPr>
            <w:tcW w:w="243" w:type="pct"/>
          </w:tcPr>
          <w:p w:rsidR="00F92AD7" w:rsidRPr="00D22292" w:rsidRDefault="00F92AD7" w:rsidP="00F92AD7">
            <w:pPr>
              <w:jc w:val="both"/>
              <w:rPr>
                <w:sz w:val="20"/>
                <w:szCs w:val="20"/>
                <w:lang w:val="fr-CA"/>
              </w:rPr>
            </w:pPr>
          </w:p>
        </w:tc>
        <w:tc>
          <w:tcPr>
            <w:tcW w:w="2330" w:type="pct"/>
          </w:tcPr>
          <w:p w:rsidR="00F92AD7" w:rsidRPr="00D22292" w:rsidRDefault="00F92AD7" w:rsidP="00F92AD7">
            <w:pPr>
              <w:jc w:val="both"/>
              <w:rPr>
                <w:sz w:val="20"/>
                <w:szCs w:val="20"/>
                <w:lang w:val="fr-CA"/>
              </w:rPr>
            </w:pPr>
            <w:r w:rsidRPr="00D22292">
              <w:rPr>
                <w:sz w:val="20"/>
                <w:szCs w:val="20"/>
                <w:lang w:val="fr-CA"/>
              </w:rPr>
              <w:t>Rejet de l’appel de l’ordonnance de la commission d’examen interjeté par M. Placid</w:t>
            </w:r>
          </w:p>
          <w:p w:rsidR="00F92AD7" w:rsidRPr="00D22292" w:rsidRDefault="00F92AD7" w:rsidP="00F92AD7">
            <w:pPr>
              <w:jc w:val="both"/>
              <w:rPr>
                <w:sz w:val="20"/>
                <w:szCs w:val="20"/>
                <w:lang w:val="fr-CA"/>
              </w:rPr>
            </w:pPr>
          </w:p>
        </w:tc>
      </w:tr>
    </w:tbl>
    <w:p w:rsidR="001F3145" w:rsidRPr="00D22292" w:rsidRDefault="001F3145">
      <w:pPr>
        <w:rPr>
          <w:lang w:val="fr-CA"/>
        </w:rPr>
      </w:pPr>
      <w:r w:rsidRPr="00D2229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92AD7" w:rsidRPr="00D22292" w:rsidTr="00721473">
        <w:tc>
          <w:tcPr>
            <w:tcW w:w="2427" w:type="pct"/>
          </w:tcPr>
          <w:p w:rsidR="00F92AD7" w:rsidRPr="00D22292" w:rsidRDefault="00F92AD7" w:rsidP="00F92AD7">
            <w:pPr>
              <w:jc w:val="both"/>
              <w:rPr>
                <w:sz w:val="20"/>
                <w:szCs w:val="20"/>
                <w:lang w:val="fr-CA"/>
              </w:rPr>
            </w:pPr>
            <w:r w:rsidRPr="00D22292">
              <w:rPr>
                <w:sz w:val="20"/>
                <w:szCs w:val="20"/>
                <w:lang w:val="fr-CA"/>
              </w:rPr>
              <w:lastRenderedPageBreak/>
              <w:t>22 septembre 2016</w:t>
            </w:r>
          </w:p>
          <w:p w:rsidR="00F92AD7" w:rsidRPr="00D22292" w:rsidRDefault="00F92AD7" w:rsidP="00F92AD7">
            <w:pPr>
              <w:jc w:val="both"/>
              <w:rPr>
                <w:sz w:val="20"/>
                <w:szCs w:val="20"/>
                <w:lang w:val="fr-CA"/>
              </w:rPr>
            </w:pPr>
            <w:r w:rsidRPr="00D22292">
              <w:rPr>
                <w:sz w:val="20"/>
                <w:szCs w:val="20"/>
                <w:lang w:val="fr-CA"/>
              </w:rPr>
              <w:t>Cour d’appel du Manitoba</w:t>
            </w:r>
          </w:p>
          <w:p w:rsidR="00F92AD7" w:rsidRPr="00D22292" w:rsidRDefault="00F92AD7" w:rsidP="00F92AD7">
            <w:pPr>
              <w:jc w:val="both"/>
              <w:rPr>
                <w:sz w:val="20"/>
                <w:szCs w:val="20"/>
                <w:lang w:val="fr-CA"/>
              </w:rPr>
            </w:pPr>
            <w:r w:rsidRPr="00D22292">
              <w:rPr>
                <w:sz w:val="20"/>
                <w:szCs w:val="20"/>
                <w:lang w:val="fr-CA"/>
              </w:rPr>
              <w:t>(Juge Hamilton)</w:t>
            </w:r>
          </w:p>
          <w:p w:rsidR="00F92AD7" w:rsidRPr="00D22292" w:rsidRDefault="00F92AD7" w:rsidP="00F92AD7">
            <w:pPr>
              <w:jc w:val="both"/>
              <w:rPr>
                <w:sz w:val="20"/>
                <w:szCs w:val="20"/>
                <w:lang w:val="fr-CA"/>
              </w:rPr>
            </w:pPr>
            <w:r w:rsidRPr="00D22292">
              <w:rPr>
                <w:sz w:val="20"/>
                <w:szCs w:val="20"/>
                <w:lang w:val="fr-CA"/>
              </w:rPr>
              <w:t xml:space="preserve">Numéro du greffe : A116-30-08525 </w:t>
            </w:r>
          </w:p>
          <w:p w:rsidR="00F92AD7" w:rsidRPr="00D22292" w:rsidRDefault="00F92AD7" w:rsidP="00F92AD7">
            <w:pPr>
              <w:jc w:val="both"/>
              <w:rPr>
                <w:sz w:val="20"/>
                <w:szCs w:val="20"/>
                <w:lang w:val="fr-CA"/>
              </w:rPr>
            </w:pPr>
          </w:p>
        </w:tc>
        <w:tc>
          <w:tcPr>
            <w:tcW w:w="243" w:type="pct"/>
          </w:tcPr>
          <w:p w:rsidR="00F92AD7" w:rsidRPr="00D22292" w:rsidRDefault="00F92AD7" w:rsidP="00F92AD7">
            <w:pPr>
              <w:jc w:val="both"/>
              <w:rPr>
                <w:sz w:val="20"/>
                <w:szCs w:val="20"/>
                <w:lang w:val="fr-CA"/>
              </w:rPr>
            </w:pPr>
          </w:p>
        </w:tc>
        <w:tc>
          <w:tcPr>
            <w:tcW w:w="2330" w:type="pct"/>
          </w:tcPr>
          <w:p w:rsidR="00F92AD7" w:rsidRPr="00D22292" w:rsidRDefault="00F92AD7" w:rsidP="00F92AD7">
            <w:pPr>
              <w:jc w:val="both"/>
              <w:rPr>
                <w:sz w:val="20"/>
                <w:szCs w:val="20"/>
                <w:lang w:val="fr-CA"/>
              </w:rPr>
            </w:pPr>
            <w:r w:rsidRPr="00D22292">
              <w:rPr>
                <w:sz w:val="20"/>
                <w:szCs w:val="20"/>
                <w:lang w:val="fr-CA"/>
              </w:rPr>
              <w:t>Rejet de la motion de M. Placid en prorogation du délai de dépôt d’un mémoire et d’un cahier d’appel</w:t>
            </w:r>
          </w:p>
          <w:p w:rsidR="00F92AD7" w:rsidRPr="00D22292" w:rsidRDefault="00F92AD7" w:rsidP="00F92AD7">
            <w:pPr>
              <w:jc w:val="both"/>
              <w:rPr>
                <w:sz w:val="20"/>
                <w:szCs w:val="20"/>
                <w:lang w:val="fr-CA"/>
              </w:rPr>
            </w:pPr>
          </w:p>
        </w:tc>
      </w:tr>
      <w:tr w:rsidR="00F92AD7" w:rsidRPr="00D22292" w:rsidTr="00721473">
        <w:tc>
          <w:tcPr>
            <w:tcW w:w="2427" w:type="pct"/>
          </w:tcPr>
          <w:p w:rsidR="00F92AD7" w:rsidRPr="00D22292" w:rsidRDefault="00F92AD7" w:rsidP="00F92AD7">
            <w:pPr>
              <w:jc w:val="both"/>
              <w:rPr>
                <w:sz w:val="20"/>
                <w:szCs w:val="20"/>
                <w:lang w:val="fr-CA"/>
              </w:rPr>
            </w:pPr>
            <w:r w:rsidRPr="00D22292">
              <w:rPr>
                <w:sz w:val="20"/>
                <w:szCs w:val="20"/>
                <w:lang w:val="fr-CA"/>
              </w:rPr>
              <w:t>24 octobre 2016</w:t>
            </w:r>
          </w:p>
          <w:p w:rsidR="00F92AD7" w:rsidRPr="00D22292" w:rsidRDefault="00F92AD7" w:rsidP="00F92AD7">
            <w:pPr>
              <w:jc w:val="both"/>
              <w:rPr>
                <w:sz w:val="20"/>
                <w:szCs w:val="20"/>
                <w:lang w:val="fr-CA"/>
              </w:rPr>
            </w:pPr>
            <w:r w:rsidRPr="00D22292">
              <w:rPr>
                <w:sz w:val="20"/>
                <w:szCs w:val="20"/>
                <w:lang w:val="fr-CA"/>
              </w:rPr>
              <w:t>Cour suprême du Canada</w:t>
            </w:r>
          </w:p>
        </w:tc>
        <w:tc>
          <w:tcPr>
            <w:tcW w:w="243" w:type="pct"/>
          </w:tcPr>
          <w:p w:rsidR="00F92AD7" w:rsidRPr="00D22292" w:rsidRDefault="00F92AD7" w:rsidP="00F92AD7">
            <w:pPr>
              <w:jc w:val="both"/>
              <w:rPr>
                <w:sz w:val="20"/>
                <w:szCs w:val="20"/>
                <w:lang w:val="fr-CA"/>
              </w:rPr>
            </w:pPr>
          </w:p>
        </w:tc>
        <w:tc>
          <w:tcPr>
            <w:tcW w:w="2330" w:type="pct"/>
          </w:tcPr>
          <w:p w:rsidR="00F92AD7" w:rsidRPr="00D22292" w:rsidRDefault="00F92AD7" w:rsidP="00F92AD7">
            <w:pPr>
              <w:jc w:val="both"/>
              <w:rPr>
                <w:sz w:val="20"/>
                <w:szCs w:val="20"/>
                <w:lang w:val="fr-CA"/>
              </w:rPr>
            </w:pPr>
            <w:r w:rsidRPr="00D22292">
              <w:rPr>
                <w:sz w:val="20"/>
                <w:szCs w:val="20"/>
                <w:lang w:val="fr-CA"/>
              </w:rPr>
              <w:t>Dépôt par M. Placid de la demande d’autorisation d’appel</w:t>
            </w:r>
          </w:p>
        </w:tc>
      </w:tr>
    </w:tbl>
    <w:p w:rsidR="00755995" w:rsidRPr="00D22292" w:rsidRDefault="00D22292" w:rsidP="00755995">
      <w:pPr>
        <w:ind w:left="360" w:hanging="360"/>
        <w:rPr>
          <w:sz w:val="20"/>
          <w:lang w:val="fr-CA" w:eastAsia="en-CA"/>
        </w:rPr>
      </w:pPr>
      <w:r w:rsidRPr="00D22292">
        <w:rPr>
          <w:sz w:val="20"/>
          <w:szCs w:val="20"/>
        </w:rPr>
        <w:pict>
          <v:rect id="_x0000_i1049" style="width:2in;height:1pt" o:hrpct="0" o:hralign="center" o:hrstd="t" o:hrnoshade="t" o:hr="t" fillcolor="black" stroked="f"/>
        </w:pict>
      </w:r>
    </w:p>
    <w:p w:rsidR="00755995" w:rsidRPr="00D22292" w:rsidRDefault="00755995" w:rsidP="000E2959">
      <w:pPr>
        <w:rPr>
          <w:sz w:val="20"/>
          <w:szCs w:val="20"/>
          <w:lang w:val="fr-CA"/>
        </w:rPr>
      </w:pPr>
    </w:p>
    <w:p w:rsidR="008D292F" w:rsidRPr="00D22292" w:rsidRDefault="008D292F" w:rsidP="008D292F">
      <w:pPr>
        <w:rPr>
          <w:sz w:val="20"/>
          <w:szCs w:val="20"/>
          <w:lang w:val="fr-CA"/>
        </w:rPr>
      </w:pPr>
    </w:p>
    <w:p w:rsidR="00890FEB" w:rsidRPr="00D22292" w:rsidRDefault="00890FEB" w:rsidP="008D292F">
      <w:pPr>
        <w:rPr>
          <w:sz w:val="20"/>
          <w:szCs w:val="20"/>
          <w:lang w:val="fr-CA"/>
        </w:rPr>
      </w:pPr>
    </w:p>
    <w:p w:rsidR="00890FEB" w:rsidRPr="00D22292" w:rsidRDefault="00890FEB" w:rsidP="008D292F">
      <w:pPr>
        <w:rPr>
          <w:b/>
          <w:sz w:val="20"/>
          <w:szCs w:val="20"/>
          <w:lang w:val="fr-CA"/>
        </w:rPr>
        <w:sectPr w:rsidR="00890FEB" w:rsidRPr="00D22292" w:rsidSect="008D292F">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D22292" w:rsidTr="00BA6468">
        <w:tc>
          <w:tcPr>
            <w:tcW w:w="4230" w:type="dxa"/>
            <w:shd w:val="clear" w:color="auto" w:fill="auto"/>
            <w:tcMar>
              <w:left w:w="0" w:type="dxa"/>
              <w:right w:w="0" w:type="dxa"/>
            </w:tcMar>
          </w:tcPr>
          <w:p w:rsidR="00890FEB" w:rsidRPr="00D22292" w:rsidRDefault="00890FEB" w:rsidP="00EB2B90">
            <w:pPr>
              <w:keepNext/>
              <w:keepLines/>
              <w:tabs>
                <w:tab w:val="left" w:pos="-1440"/>
                <w:tab w:val="left" w:pos="-720"/>
              </w:tabs>
              <w:jc w:val="both"/>
              <w:rPr>
                <w:szCs w:val="24"/>
              </w:rPr>
            </w:pPr>
            <w:r w:rsidRPr="00D22292">
              <w:rPr>
                <w:b/>
                <w:szCs w:val="24"/>
              </w:rPr>
              <w:lastRenderedPageBreak/>
              <w:t>MOTIONS</w:t>
            </w:r>
          </w:p>
        </w:tc>
        <w:tc>
          <w:tcPr>
            <w:tcW w:w="1170" w:type="dxa"/>
            <w:shd w:val="clear" w:color="auto" w:fill="auto"/>
            <w:tcMar>
              <w:left w:w="0" w:type="dxa"/>
              <w:right w:w="0" w:type="dxa"/>
            </w:tcMar>
          </w:tcPr>
          <w:p w:rsidR="00890FEB" w:rsidRPr="00D22292" w:rsidRDefault="00890FEB" w:rsidP="00890FEB">
            <w:pPr>
              <w:keepNext/>
              <w:keepLines/>
              <w:tabs>
                <w:tab w:val="left" w:pos="-1440"/>
                <w:tab w:val="left" w:pos="-720"/>
              </w:tabs>
              <w:jc w:val="center"/>
              <w:rPr>
                <w:szCs w:val="24"/>
              </w:rPr>
            </w:pPr>
          </w:p>
          <w:p w:rsidR="00890FEB" w:rsidRPr="00D22292"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D22292" w:rsidRDefault="00890FEB" w:rsidP="00831CA9">
            <w:pPr>
              <w:keepNext/>
              <w:keepLines/>
              <w:tabs>
                <w:tab w:val="left" w:pos="-1440"/>
                <w:tab w:val="left" w:pos="-720"/>
              </w:tabs>
              <w:rPr>
                <w:szCs w:val="24"/>
                <w:lang w:val="fr-CA"/>
              </w:rPr>
            </w:pPr>
            <w:r w:rsidRPr="00D22292">
              <w:rPr>
                <w:b/>
                <w:szCs w:val="24"/>
                <w:lang w:val="fr-CA"/>
              </w:rPr>
              <w:t>REQUÊTES</w:t>
            </w:r>
          </w:p>
        </w:tc>
      </w:tr>
    </w:tbl>
    <w:p w:rsidR="00890FEB" w:rsidRPr="00D22292" w:rsidRDefault="00890FEB" w:rsidP="00890FEB">
      <w:pPr>
        <w:rPr>
          <w:sz w:val="20"/>
          <w:szCs w:val="20"/>
        </w:rPr>
      </w:pPr>
    </w:p>
    <w:p w:rsidR="00183454" w:rsidRPr="00D22292" w:rsidRDefault="00A01869" w:rsidP="00183454">
      <w:pPr>
        <w:tabs>
          <w:tab w:val="left" w:pos="-1440"/>
          <w:tab w:val="left" w:pos="-720"/>
        </w:tabs>
        <w:jc w:val="both"/>
        <w:rPr>
          <w:rFonts w:eastAsia="Times New Roman" w:cs="Times New Roman"/>
          <w:sz w:val="20"/>
          <w:szCs w:val="20"/>
          <w:lang w:val="fr-CA" w:eastAsia="en-CA"/>
        </w:rPr>
      </w:pPr>
      <w:r w:rsidRPr="00D22292">
        <w:rPr>
          <w:rFonts w:eastAsia="Times New Roman" w:cs="Times New Roman"/>
          <w:sz w:val="20"/>
          <w:szCs w:val="20"/>
          <w:lang w:val="fr-CA" w:eastAsia="en-CA"/>
        </w:rPr>
        <w:t>2</w:t>
      </w:r>
      <w:r w:rsidR="00183454" w:rsidRPr="00D22292">
        <w:rPr>
          <w:rFonts w:eastAsia="Times New Roman" w:cs="Times New Roman"/>
          <w:sz w:val="20"/>
          <w:szCs w:val="20"/>
          <w:lang w:val="fr-CA" w:eastAsia="en-CA"/>
        </w:rPr>
        <w:t>9.0</w:t>
      </w:r>
      <w:r w:rsidRPr="00D22292">
        <w:rPr>
          <w:rFonts w:eastAsia="Times New Roman" w:cs="Times New Roman"/>
          <w:sz w:val="20"/>
          <w:szCs w:val="20"/>
          <w:lang w:val="fr-CA" w:eastAsia="en-CA"/>
        </w:rPr>
        <w:t>6</w:t>
      </w:r>
      <w:r w:rsidR="00183454" w:rsidRPr="00D22292">
        <w:rPr>
          <w:rFonts w:eastAsia="Times New Roman" w:cs="Times New Roman"/>
          <w:sz w:val="20"/>
          <w:szCs w:val="20"/>
          <w:lang w:val="fr-CA" w:eastAsia="en-CA"/>
        </w:rPr>
        <w:t>.201</w:t>
      </w:r>
      <w:r w:rsidR="00E8544A" w:rsidRPr="00D22292">
        <w:rPr>
          <w:rFonts w:eastAsia="Times New Roman" w:cs="Times New Roman"/>
          <w:sz w:val="20"/>
          <w:szCs w:val="20"/>
          <w:lang w:val="fr-CA" w:eastAsia="en-CA"/>
        </w:rPr>
        <w:t>7</w:t>
      </w:r>
    </w:p>
    <w:p w:rsidR="00183454" w:rsidRPr="00D22292" w:rsidRDefault="00183454" w:rsidP="00183454">
      <w:pPr>
        <w:tabs>
          <w:tab w:val="left" w:pos="-1440"/>
          <w:tab w:val="left" w:pos="-720"/>
        </w:tabs>
        <w:jc w:val="both"/>
        <w:rPr>
          <w:rFonts w:eastAsia="Times New Roman" w:cs="Times New Roman"/>
          <w:sz w:val="20"/>
          <w:szCs w:val="20"/>
          <w:lang w:val="fr-CA" w:eastAsia="en-CA"/>
        </w:rPr>
      </w:pPr>
    </w:p>
    <w:p w:rsidR="00183454" w:rsidRPr="00D22292" w:rsidRDefault="00183454" w:rsidP="00183454">
      <w:pPr>
        <w:tabs>
          <w:tab w:val="left" w:pos="-1440"/>
          <w:tab w:val="left" w:pos="-720"/>
        </w:tabs>
        <w:jc w:val="both"/>
        <w:rPr>
          <w:rFonts w:eastAsia="Times New Roman" w:cs="Times New Roman"/>
          <w:sz w:val="20"/>
          <w:szCs w:val="20"/>
          <w:lang w:val="fr-CA" w:eastAsia="en-CA"/>
        </w:rPr>
      </w:pPr>
      <w:r w:rsidRPr="00D22292">
        <w:rPr>
          <w:rFonts w:eastAsia="Times New Roman" w:cs="Times New Roman"/>
          <w:sz w:val="20"/>
          <w:szCs w:val="20"/>
          <w:lang w:val="fr-CA" w:eastAsia="en-CA"/>
        </w:rPr>
        <w:t xml:space="preserve">Before / Devant :   </w:t>
      </w:r>
      <w:r w:rsidR="00A01869" w:rsidRPr="00D22292">
        <w:rPr>
          <w:rFonts w:eastAsia="Times New Roman" w:cs="Times New Roman"/>
          <w:sz w:val="20"/>
          <w:szCs w:val="20"/>
          <w:lang w:val="fr-CA" w:eastAsia="en-CA"/>
        </w:rPr>
        <w:t>ROWE</w:t>
      </w:r>
      <w:r w:rsidR="00E942C2" w:rsidRPr="00D22292">
        <w:rPr>
          <w:rFonts w:eastAsia="Times New Roman" w:cs="Times New Roman"/>
          <w:sz w:val="20"/>
          <w:szCs w:val="20"/>
          <w:lang w:val="fr-CA" w:eastAsia="en-CA"/>
        </w:rPr>
        <w:t xml:space="preserve"> </w:t>
      </w:r>
      <w:r w:rsidRPr="00D22292">
        <w:rPr>
          <w:rFonts w:eastAsia="Times New Roman" w:cs="Times New Roman"/>
          <w:sz w:val="20"/>
          <w:szCs w:val="20"/>
          <w:lang w:val="fr-CA" w:eastAsia="en-CA"/>
        </w:rPr>
        <w:t>J. / L</w:t>
      </w:r>
      <w:r w:rsidR="00A01869" w:rsidRPr="00D22292">
        <w:rPr>
          <w:rFonts w:eastAsia="Times New Roman" w:cs="Times New Roman"/>
          <w:sz w:val="20"/>
          <w:szCs w:val="20"/>
          <w:lang w:val="fr-CA" w:eastAsia="en-CA"/>
        </w:rPr>
        <w:t>E</w:t>
      </w:r>
      <w:r w:rsidR="00E942C2" w:rsidRPr="00D22292">
        <w:rPr>
          <w:rFonts w:eastAsia="Times New Roman" w:cs="Times New Roman"/>
          <w:sz w:val="20"/>
          <w:szCs w:val="20"/>
          <w:lang w:val="fr-CA" w:eastAsia="en-CA"/>
        </w:rPr>
        <w:t xml:space="preserve"> JUGE </w:t>
      </w:r>
      <w:r w:rsidR="00A01869" w:rsidRPr="00D22292">
        <w:rPr>
          <w:rFonts w:eastAsia="Times New Roman" w:cs="Times New Roman"/>
          <w:sz w:val="20"/>
          <w:szCs w:val="20"/>
          <w:lang w:val="fr-CA" w:eastAsia="en-CA"/>
        </w:rPr>
        <w:t>ROWE</w:t>
      </w:r>
    </w:p>
    <w:p w:rsidR="00183454" w:rsidRPr="00D22292" w:rsidRDefault="00183454" w:rsidP="0018345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0"/>
        <w:gridCol w:w="1142"/>
        <w:gridCol w:w="4227"/>
      </w:tblGrid>
      <w:tr w:rsidR="00183454" w:rsidRPr="00D22292" w:rsidTr="005F1ED8">
        <w:tc>
          <w:tcPr>
            <w:tcW w:w="4338" w:type="dxa"/>
          </w:tcPr>
          <w:p w:rsidR="00183454" w:rsidRPr="00D22292" w:rsidRDefault="004B681C" w:rsidP="005F1ED8">
            <w:pPr>
              <w:tabs>
                <w:tab w:val="left" w:pos="-1440"/>
                <w:tab w:val="left" w:pos="-720"/>
              </w:tabs>
              <w:jc w:val="both"/>
              <w:rPr>
                <w:b/>
              </w:rPr>
            </w:pPr>
            <w:r w:rsidRPr="00D22292">
              <w:rPr>
                <w:b/>
                <w:bCs/>
                <w:lang w:val="en-GB"/>
              </w:rPr>
              <w:t>Motion to adduce new evidence</w:t>
            </w:r>
          </w:p>
        </w:tc>
        <w:tc>
          <w:tcPr>
            <w:tcW w:w="1170" w:type="dxa"/>
          </w:tcPr>
          <w:p w:rsidR="00183454" w:rsidRPr="00D22292" w:rsidRDefault="00183454" w:rsidP="005F1ED8">
            <w:pPr>
              <w:tabs>
                <w:tab w:val="left" w:pos="-1440"/>
                <w:tab w:val="left" w:pos="-720"/>
              </w:tabs>
              <w:jc w:val="both"/>
            </w:pPr>
          </w:p>
          <w:p w:rsidR="004B681C" w:rsidRPr="00D22292" w:rsidRDefault="004B681C" w:rsidP="005F1ED8">
            <w:pPr>
              <w:tabs>
                <w:tab w:val="left" w:pos="-1440"/>
                <w:tab w:val="left" w:pos="-720"/>
              </w:tabs>
              <w:jc w:val="both"/>
            </w:pPr>
          </w:p>
          <w:p w:rsidR="00183454" w:rsidRPr="00D22292" w:rsidRDefault="00183454" w:rsidP="005F1ED8">
            <w:pPr>
              <w:tabs>
                <w:tab w:val="left" w:pos="-1440"/>
                <w:tab w:val="left" w:pos="-720"/>
              </w:tabs>
              <w:jc w:val="both"/>
            </w:pPr>
          </w:p>
        </w:tc>
        <w:tc>
          <w:tcPr>
            <w:tcW w:w="4327" w:type="dxa"/>
          </w:tcPr>
          <w:p w:rsidR="00183454" w:rsidRPr="00D22292" w:rsidRDefault="004B681C" w:rsidP="005F1ED8">
            <w:pPr>
              <w:tabs>
                <w:tab w:val="left" w:pos="-1440"/>
                <w:tab w:val="left" w:pos="-720"/>
              </w:tabs>
              <w:jc w:val="both"/>
              <w:rPr>
                <w:lang w:val="fr-CA"/>
              </w:rPr>
            </w:pPr>
            <w:r w:rsidRPr="00D22292">
              <w:rPr>
                <w:b/>
                <w:bCs/>
                <w:lang w:val="fr-CA"/>
              </w:rPr>
              <w:t>Requête en vue de produire une nouvelle preuve</w:t>
            </w:r>
          </w:p>
        </w:tc>
      </w:tr>
      <w:tr w:rsidR="00183454" w:rsidRPr="00D22292" w:rsidTr="005F1ED8">
        <w:tc>
          <w:tcPr>
            <w:tcW w:w="4338" w:type="dxa"/>
          </w:tcPr>
          <w:p w:rsidR="00183454" w:rsidRPr="00D22292" w:rsidRDefault="00CA0DF0" w:rsidP="005F1ED8">
            <w:pPr>
              <w:tabs>
                <w:tab w:val="left" w:pos="-1440"/>
                <w:tab w:val="left" w:pos="-720"/>
              </w:tabs>
              <w:jc w:val="both"/>
              <w:rPr>
                <w:lang w:val="en-US"/>
              </w:rPr>
            </w:pPr>
            <w:r w:rsidRPr="00D22292">
              <w:rPr>
                <w:lang w:val="en-US"/>
              </w:rPr>
              <w:t>Jeffrey G. Ewert</w:t>
            </w:r>
          </w:p>
          <w:p w:rsidR="00183454" w:rsidRPr="00D22292" w:rsidRDefault="00183454" w:rsidP="005F1ED8">
            <w:pPr>
              <w:tabs>
                <w:tab w:val="left" w:pos="-1440"/>
                <w:tab w:val="left" w:pos="-720"/>
              </w:tabs>
              <w:jc w:val="both"/>
              <w:rPr>
                <w:lang w:val="en-US"/>
              </w:rPr>
            </w:pPr>
          </w:p>
          <w:p w:rsidR="00183454" w:rsidRPr="00D22292" w:rsidRDefault="00183454" w:rsidP="005F1ED8">
            <w:pPr>
              <w:tabs>
                <w:tab w:val="left" w:pos="-1440"/>
                <w:tab w:val="left" w:pos="-720"/>
              </w:tabs>
              <w:jc w:val="both"/>
              <w:rPr>
                <w:lang w:val="en-US"/>
              </w:rPr>
            </w:pPr>
            <w:r w:rsidRPr="00D22292">
              <w:rPr>
                <w:lang w:val="en-US"/>
              </w:rPr>
              <w:tab/>
            </w:r>
            <w:r w:rsidR="00CA0DF0" w:rsidRPr="00D22292">
              <w:rPr>
                <w:lang w:val="en-US"/>
              </w:rPr>
              <w:t>v</w:t>
            </w:r>
            <w:r w:rsidRPr="00D22292">
              <w:rPr>
                <w:lang w:val="en-US"/>
              </w:rPr>
              <w:t>. (3</w:t>
            </w:r>
            <w:r w:rsidR="00CA0DF0" w:rsidRPr="00D22292">
              <w:rPr>
                <w:lang w:val="en-US"/>
              </w:rPr>
              <w:t>7233</w:t>
            </w:r>
            <w:r w:rsidRPr="00D22292">
              <w:rPr>
                <w:lang w:val="en-US"/>
              </w:rPr>
              <w:t>)</w:t>
            </w:r>
          </w:p>
          <w:p w:rsidR="00183454" w:rsidRPr="00D22292" w:rsidRDefault="00183454" w:rsidP="005F1ED8">
            <w:pPr>
              <w:tabs>
                <w:tab w:val="left" w:pos="-1440"/>
                <w:tab w:val="left" w:pos="-720"/>
              </w:tabs>
              <w:jc w:val="both"/>
              <w:rPr>
                <w:lang w:val="en-US"/>
              </w:rPr>
            </w:pPr>
          </w:p>
          <w:p w:rsidR="00183454" w:rsidRPr="00D22292" w:rsidRDefault="00CA0DF0" w:rsidP="00CA0DF0">
            <w:pPr>
              <w:tabs>
                <w:tab w:val="left" w:pos="-1440"/>
                <w:tab w:val="left" w:pos="-720"/>
              </w:tabs>
              <w:jc w:val="both"/>
              <w:rPr>
                <w:lang w:val="en-US"/>
              </w:rPr>
            </w:pPr>
            <w:r w:rsidRPr="00D22292">
              <w:rPr>
                <w:lang w:val="en-US"/>
              </w:rPr>
              <w:t>Her Majesty the Queen in Right of Canada (the Commissioner of the Correctional Service of Canada, the Warden of Kent Institution and the Warden of Mission Institution)</w:t>
            </w:r>
            <w:r w:rsidR="00183454" w:rsidRPr="00D22292">
              <w:rPr>
                <w:lang w:val="en-US"/>
              </w:rPr>
              <w:t xml:space="preserve"> (</w:t>
            </w:r>
            <w:r w:rsidRPr="00D22292">
              <w:rPr>
                <w:lang w:val="en-US"/>
              </w:rPr>
              <w:t>F.C.</w:t>
            </w:r>
            <w:r w:rsidR="00183454" w:rsidRPr="00D22292">
              <w:rPr>
                <w:lang w:val="en-US"/>
              </w:rPr>
              <w:t>)</w:t>
            </w:r>
          </w:p>
        </w:tc>
        <w:tc>
          <w:tcPr>
            <w:tcW w:w="1170" w:type="dxa"/>
          </w:tcPr>
          <w:p w:rsidR="00183454" w:rsidRPr="00D22292" w:rsidRDefault="00183454" w:rsidP="005F1ED8">
            <w:pPr>
              <w:tabs>
                <w:tab w:val="left" w:pos="-1440"/>
                <w:tab w:val="left" w:pos="-720"/>
              </w:tabs>
              <w:jc w:val="both"/>
              <w:rPr>
                <w:lang w:val="en-US"/>
              </w:rPr>
            </w:pPr>
          </w:p>
        </w:tc>
        <w:tc>
          <w:tcPr>
            <w:tcW w:w="4327" w:type="dxa"/>
          </w:tcPr>
          <w:p w:rsidR="00183454" w:rsidRPr="00D22292" w:rsidRDefault="00183454" w:rsidP="005F1ED8">
            <w:pPr>
              <w:tabs>
                <w:tab w:val="left" w:pos="-1440"/>
                <w:tab w:val="left" w:pos="-720"/>
              </w:tabs>
              <w:jc w:val="both"/>
              <w:rPr>
                <w:lang w:val="en-US"/>
              </w:rPr>
            </w:pPr>
          </w:p>
        </w:tc>
      </w:tr>
    </w:tbl>
    <w:p w:rsidR="00183454" w:rsidRPr="00D22292" w:rsidRDefault="00183454" w:rsidP="00183454">
      <w:pPr>
        <w:tabs>
          <w:tab w:val="left" w:pos="-1440"/>
          <w:tab w:val="left" w:pos="-720"/>
        </w:tabs>
        <w:jc w:val="both"/>
        <w:rPr>
          <w:rFonts w:eastAsia="Times New Roman" w:cs="Times New Roman"/>
          <w:sz w:val="20"/>
          <w:szCs w:val="20"/>
          <w:lang w:val="en-US" w:eastAsia="en-CA"/>
        </w:rPr>
      </w:pPr>
    </w:p>
    <w:p w:rsidR="00183454" w:rsidRPr="00D22292" w:rsidRDefault="00183454" w:rsidP="00183454">
      <w:pPr>
        <w:tabs>
          <w:tab w:val="left" w:pos="-1440"/>
          <w:tab w:val="left" w:pos="-720"/>
        </w:tabs>
        <w:jc w:val="both"/>
        <w:rPr>
          <w:rFonts w:eastAsia="Times New Roman" w:cs="Times New Roman"/>
          <w:b/>
          <w:sz w:val="20"/>
          <w:szCs w:val="20"/>
          <w:lang w:val="en-US" w:eastAsia="en-CA"/>
        </w:rPr>
      </w:pPr>
      <w:r w:rsidRPr="00D22292">
        <w:rPr>
          <w:rFonts w:eastAsia="Times New Roman" w:cs="Times New Roman"/>
          <w:b/>
          <w:sz w:val="20"/>
          <w:szCs w:val="20"/>
          <w:lang w:val="en-US" w:eastAsia="en-CA"/>
        </w:rPr>
        <w:t>DISMISSED / REJETÉE</w:t>
      </w:r>
    </w:p>
    <w:p w:rsidR="00183454" w:rsidRPr="00D22292" w:rsidRDefault="00183454" w:rsidP="00183454">
      <w:pPr>
        <w:tabs>
          <w:tab w:val="left" w:pos="-1440"/>
          <w:tab w:val="left" w:pos="-720"/>
        </w:tabs>
        <w:jc w:val="both"/>
        <w:rPr>
          <w:rFonts w:eastAsia="Times New Roman" w:cs="Times New Roman"/>
          <w:sz w:val="20"/>
          <w:szCs w:val="20"/>
          <w:lang w:val="en-US" w:eastAsia="en-CA"/>
        </w:rPr>
      </w:pPr>
    </w:p>
    <w:p w:rsidR="006A1CA8" w:rsidRPr="00D22292" w:rsidRDefault="006A1CA8" w:rsidP="006A1CA8">
      <w:pPr>
        <w:widowControl w:val="0"/>
        <w:autoSpaceDE w:val="0"/>
        <w:autoSpaceDN w:val="0"/>
        <w:adjustRightInd w:val="0"/>
        <w:jc w:val="both"/>
        <w:rPr>
          <w:rFonts w:eastAsiaTheme="minorEastAsia" w:cs="Times New Roman"/>
          <w:b/>
          <w:bCs/>
          <w:sz w:val="20"/>
          <w:szCs w:val="20"/>
          <w:lang w:val="en-US"/>
        </w:rPr>
      </w:pPr>
      <w:r w:rsidRPr="00D22292">
        <w:rPr>
          <w:rFonts w:eastAsiaTheme="minorEastAsia" w:cs="Times New Roman"/>
          <w:b/>
          <w:bCs/>
          <w:sz w:val="20"/>
          <w:szCs w:val="20"/>
          <w:lang w:val="en-US"/>
        </w:rPr>
        <w:t xml:space="preserve">UPON APPLICATION </w:t>
      </w:r>
      <w:r w:rsidRPr="00D22292">
        <w:rPr>
          <w:rFonts w:eastAsiaTheme="minorEastAsia" w:cs="Times New Roman"/>
          <w:sz w:val="20"/>
          <w:szCs w:val="20"/>
          <w:lang w:val="en-US"/>
        </w:rPr>
        <w:t>by the respondent, Her Majesty the Queen in Right of Canada, for an order to adduce new evidence</w:t>
      </w:r>
      <w:r w:rsidRPr="00D22292">
        <w:rPr>
          <w:rFonts w:eastAsiaTheme="minorEastAsia"/>
          <w:sz w:val="20"/>
          <w:szCs w:val="20"/>
          <w:lang w:val="en-ZW"/>
        </w:rPr>
        <w:t>;</w:t>
      </w:r>
    </w:p>
    <w:p w:rsidR="006A1CA8" w:rsidRPr="00D22292" w:rsidRDefault="006A1CA8" w:rsidP="006A1CA8">
      <w:pPr>
        <w:widowControl w:val="0"/>
        <w:autoSpaceDE w:val="0"/>
        <w:autoSpaceDN w:val="0"/>
        <w:adjustRightInd w:val="0"/>
        <w:spacing w:line="233" w:lineRule="auto"/>
        <w:jc w:val="both"/>
        <w:rPr>
          <w:rFonts w:eastAsiaTheme="minorEastAsia" w:cs="Times New Roman"/>
          <w:sz w:val="20"/>
          <w:szCs w:val="20"/>
          <w:lang w:val="en-US"/>
        </w:rPr>
      </w:pPr>
    </w:p>
    <w:p w:rsidR="006A1CA8" w:rsidRPr="00D22292" w:rsidRDefault="006A1CA8" w:rsidP="006A1CA8">
      <w:pPr>
        <w:widowControl w:val="0"/>
        <w:autoSpaceDE w:val="0"/>
        <w:autoSpaceDN w:val="0"/>
        <w:adjustRightInd w:val="0"/>
        <w:spacing w:line="233" w:lineRule="auto"/>
        <w:jc w:val="both"/>
        <w:rPr>
          <w:rFonts w:eastAsiaTheme="minorEastAsia" w:cs="Times New Roman"/>
          <w:sz w:val="20"/>
          <w:szCs w:val="20"/>
          <w:lang w:val="en-US"/>
        </w:rPr>
      </w:pPr>
      <w:r w:rsidRPr="00D22292">
        <w:rPr>
          <w:rFonts w:eastAsiaTheme="minorEastAsia" w:cs="Times New Roman"/>
          <w:b/>
          <w:bCs/>
          <w:sz w:val="20"/>
          <w:szCs w:val="20"/>
          <w:lang w:val="en-US"/>
        </w:rPr>
        <w:t>AND THE MATERIAL FILED</w:t>
      </w:r>
      <w:r w:rsidRPr="00D22292">
        <w:rPr>
          <w:rFonts w:eastAsiaTheme="minorEastAsia" w:cs="Times New Roman"/>
          <w:sz w:val="20"/>
          <w:szCs w:val="20"/>
          <w:lang w:val="en-US"/>
        </w:rPr>
        <w:t xml:space="preserve"> having been read;</w:t>
      </w:r>
    </w:p>
    <w:p w:rsidR="006A1CA8" w:rsidRPr="00D22292" w:rsidRDefault="006A1CA8" w:rsidP="006A1CA8">
      <w:pPr>
        <w:widowControl w:val="0"/>
        <w:autoSpaceDE w:val="0"/>
        <w:autoSpaceDN w:val="0"/>
        <w:adjustRightInd w:val="0"/>
        <w:spacing w:line="233" w:lineRule="auto"/>
        <w:jc w:val="both"/>
        <w:rPr>
          <w:rFonts w:eastAsiaTheme="minorEastAsia" w:cs="Times New Roman"/>
          <w:sz w:val="20"/>
          <w:szCs w:val="20"/>
          <w:lang w:val="en-US"/>
        </w:rPr>
      </w:pPr>
    </w:p>
    <w:p w:rsidR="006A1CA8" w:rsidRPr="00D22292" w:rsidRDefault="006A1CA8" w:rsidP="006A1CA8">
      <w:pPr>
        <w:widowControl w:val="0"/>
        <w:autoSpaceDE w:val="0"/>
        <w:autoSpaceDN w:val="0"/>
        <w:adjustRightInd w:val="0"/>
        <w:spacing w:line="233" w:lineRule="auto"/>
        <w:jc w:val="both"/>
        <w:rPr>
          <w:rFonts w:eastAsiaTheme="minorEastAsia" w:cs="Times New Roman"/>
          <w:sz w:val="20"/>
          <w:szCs w:val="20"/>
          <w:lang w:val="en-US"/>
        </w:rPr>
      </w:pPr>
      <w:r w:rsidRPr="00D22292">
        <w:rPr>
          <w:rFonts w:eastAsiaTheme="minorEastAsia" w:cs="Times New Roman"/>
          <w:b/>
          <w:bCs/>
          <w:sz w:val="20"/>
          <w:szCs w:val="20"/>
          <w:lang w:val="en-US"/>
        </w:rPr>
        <w:t>IT IS HEREBY ORDERED THAT:</w:t>
      </w:r>
    </w:p>
    <w:p w:rsidR="006A1CA8" w:rsidRPr="00D22292" w:rsidRDefault="006A1CA8" w:rsidP="006A1CA8">
      <w:pPr>
        <w:widowControl w:val="0"/>
        <w:autoSpaceDE w:val="0"/>
        <w:autoSpaceDN w:val="0"/>
        <w:adjustRightInd w:val="0"/>
        <w:spacing w:line="233" w:lineRule="auto"/>
        <w:jc w:val="both"/>
        <w:rPr>
          <w:rFonts w:eastAsiaTheme="minorEastAsia" w:cs="Times New Roman"/>
          <w:sz w:val="20"/>
          <w:szCs w:val="20"/>
          <w:lang w:val="en-US"/>
        </w:rPr>
      </w:pPr>
    </w:p>
    <w:p w:rsidR="006A1CA8" w:rsidRPr="00D22292" w:rsidRDefault="006A1CA8" w:rsidP="006A1CA8">
      <w:pPr>
        <w:widowControl w:val="0"/>
        <w:autoSpaceDE w:val="0"/>
        <w:autoSpaceDN w:val="0"/>
        <w:adjustRightInd w:val="0"/>
        <w:spacing w:line="233" w:lineRule="auto"/>
        <w:rPr>
          <w:rFonts w:eastAsiaTheme="minorEastAsia" w:cs="Times New Roman"/>
          <w:sz w:val="20"/>
          <w:szCs w:val="20"/>
          <w:lang w:val="fr-CA"/>
        </w:rPr>
      </w:pPr>
      <w:r w:rsidRPr="00D22292">
        <w:rPr>
          <w:rFonts w:eastAsiaTheme="minorEastAsia" w:cs="Times New Roman"/>
          <w:sz w:val="20"/>
          <w:szCs w:val="20"/>
          <w:lang w:val="fr-CA"/>
        </w:rPr>
        <w:t>The motion is dismissed.</w:t>
      </w:r>
    </w:p>
    <w:p w:rsidR="00183454" w:rsidRPr="00D22292" w:rsidRDefault="00183454" w:rsidP="00183454">
      <w:pPr>
        <w:tabs>
          <w:tab w:val="left" w:pos="-1440"/>
          <w:tab w:val="left" w:pos="-720"/>
        </w:tabs>
        <w:jc w:val="both"/>
        <w:rPr>
          <w:rFonts w:eastAsia="Times New Roman" w:cs="Times New Roman"/>
          <w:sz w:val="20"/>
          <w:szCs w:val="20"/>
          <w:lang w:val="fr-CA" w:eastAsia="en-CA"/>
        </w:rPr>
      </w:pPr>
    </w:p>
    <w:p w:rsidR="00183454" w:rsidRPr="00D22292" w:rsidRDefault="00183454" w:rsidP="00183454">
      <w:pPr>
        <w:tabs>
          <w:tab w:val="left" w:pos="-1440"/>
          <w:tab w:val="left" w:pos="-720"/>
        </w:tabs>
        <w:jc w:val="both"/>
        <w:rPr>
          <w:rFonts w:eastAsia="Times New Roman" w:cs="Times New Roman"/>
          <w:sz w:val="20"/>
          <w:szCs w:val="20"/>
          <w:lang w:val="fr-CA" w:eastAsia="en-CA"/>
        </w:rPr>
      </w:pPr>
    </w:p>
    <w:p w:rsidR="00183454" w:rsidRPr="00D22292" w:rsidRDefault="00183454" w:rsidP="00183454">
      <w:pPr>
        <w:tabs>
          <w:tab w:val="left" w:pos="-1440"/>
          <w:tab w:val="left" w:pos="-720"/>
        </w:tabs>
        <w:jc w:val="both"/>
        <w:rPr>
          <w:rFonts w:eastAsia="Times New Roman" w:cs="Times New Roman"/>
          <w:sz w:val="20"/>
          <w:szCs w:val="20"/>
          <w:lang w:val="fr-CA" w:eastAsia="en-CA"/>
        </w:rPr>
      </w:pPr>
    </w:p>
    <w:p w:rsidR="0064683F" w:rsidRPr="00D22292" w:rsidRDefault="0064683F" w:rsidP="0064683F">
      <w:pPr>
        <w:spacing w:line="233" w:lineRule="auto"/>
        <w:rPr>
          <w:rFonts w:cs="Times New Roman"/>
          <w:sz w:val="20"/>
          <w:szCs w:val="20"/>
          <w:lang w:val="fr-CA"/>
        </w:rPr>
      </w:pPr>
      <w:r w:rsidRPr="00D22292">
        <w:rPr>
          <w:rFonts w:cs="Times New Roman"/>
          <w:b/>
          <w:sz w:val="20"/>
          <w:szCs w:val="20"/>
          <w:lang w:val="fr-CA"/>
        </w:rPr>
        <w:t xml:space="preserve">À LA SUITE DE LA DEMANDE </w:t>
      </w:r>
      <w:r w:rsidRPr="00D22292">
        <w:rPr>
          <w:rFonts w:cs="Times New Roman"/>
          <w:sz w:val="20"/>
          <w:szCs w:val="20"/>
          <w:lang w:val="fr-CA"/>
        </w:rPr>
        <w:t>de l’intimée, Sa Majesté la Reine du chef du Canada, pour obtenir l’autorisation de produire de nouveaux éléments de preuve;</w:t>
      </w:r>
    </w:p>
    <w:p w:rsidR="0064683F" w:rsidRPr="00D22292" w:rsidRDefault="0064683F" w:rsidP="0064683F">
      <w:pPr>
        <w:spacing w:line="233" w:lineRule="auto"/>
        <w:rPr>
          <w:rFonts w:cs="Times New Roman"/>
          <w:sz w:val="20"/>
          <w:szCs w:val="20"/>
          <w:lang w:val="fr-CA"/>
        </w:rPr>
      </w:pPr>
    </w:p>
    <w:p w:rsidR="0064683F" w:rsidRPr="00D22292" w:rsidRDefault="0064683F" w:rsidP="0064683F">
      <w:pPr>
        <w:spacing w:line="233" w:lineRule="auto"/>
        <w:rPr>
          <w:rFonts w:cs="Times New Roman"/>
          <w:sz w:val="20"/>
          <w:szCs w:val="20"/>
          <w:lang w:val="fr-CA"/>
        </w:rPr>
      </w:pPr>
      <w:r w:rsidRPr="00D22292">
        <w:rPr>
          <w:rFonts w:cs="Times New Roman"/>
          <w:b/>
          <w:sz w:val="20"/>
          <w:szCs w:val="20"/>
          <w:lang w:val="fr-CA"/>
        </w:rPr>
        <w:t>ET APRÈS EXAMEN</w:t>
      </w:r>
      <w:r w:rsidRPr="00D22292">
        <w:rPr>
          <w:rFonts w:cs="Times New Roman"/>
          <w:sz w:val="20"/>
          <w:szCs w:val="20"/>
          <w:lang w:val="fr-CA"/>
        </w:rPr>
        <w:t xml:space="preserve"> des documents déposés;</w:t>
      </w:r>
    </w:p>
    <w:p w:rsidR="0064683F" w:rsidRPr="00D22292" w:rsidRDefault="0064683F" w:rsidP="0064683F">
      <w:pPr>
        <w:spacing w:line="233" w:lineRule="auto"/>
        <w:rPr>
          <w:rFonts w:cs="Times New Roman"/>
          <w:sz w:val="20"/>
          <w:szCs w:val="20"/>
          <w:lang w:val="fr-CA"/>
        </w:rPr>
      </w:pPr>
    </w:p>
    <w:p w:rsidR="0064683F" w:rsidRPr="00D22292" w:rsidRDefault="0064683F" w:rsidP="0064683F">
      <w:pPr>
        <w:spacing w:line="233" w:lineRule="auto"/>
        <w:rPr>
          <w:rFonts w:cs="Times New Roman"/>
          <w:b/>
          <w:sz w:val="20"/>
          <w:szCs w:val="20"/>
          <w:lang w:val="fr-CA"/>
        </w:rPr>
      </w:pPr>
      <w:r w:rsidRPr="00D22292">
        <w:rPr>
          <w:rFonts w:cs="Times New Roman"/>
          <w:b/>
          <w:sz w:val="20"/>
          <w:szCs w:val="20"/>
          <w:lang w:val="fr-CA"/>
        </w:rPr>
        <w:t>IL EST PAR LA PRÉSENTE ORDONNÉ CE QUI SUIT :</w:t>
      </w:r>
    </w:p>
    <w:p w:rsidR="0064683F" w:rsidRPr="00D22292" w:rsidRDefault="0064683F" w:rsidP="0064683F">
      <w:pPr>
        <w:spacing w:line="233" w:lineRule="auto"/>
        <w:rPr>
          <w:rFonts w:cs="Times New Roman"/>
          <w:sz w:val="20"/>
          <w:szCs w:val="20"/>
          <w:lang w:val="fr-CA"/>
        </w:rPr>
      </w:pPr>
    </w:p>
    <w:p w:rsidR="0064683F" w:rsidRPr="00D22292" w:rsidRDefault="0064683F" w:rsidP="0064683F">
      <w:pPr>
        <w:spacing w:line="233" w:lineRule="auto"/>
        <w:rPr>
          <w:rFonts w:cs="Times New Roman"/>
          <w:sz w:val="20"/>
          <w:szCs w:val="20"/>
          <w:lang w:val="fr-CA"/>
        </w:rPr>
      </w:pPr>
      <w:r w:rsidRPr="00D22292">
        <w:rPr>
          <w:rFonts w:cs="Times New Roman"/>
          <w:sz w:val="20"/>
          <w:szCs w:val="20"/>
          <w:lang w:val="fr-CA"/>
        </w:rPr>
        <w:t>La requête est rejetée.</w:t>
      </w:r>
    </w:p>
    <w:p w:rsidR="00183454" w:rsidRPr="00D22292" w:rsidRDefault="00183454" w:rsidP="00183454">
      <w:pPr>
        <w:tabs>
          <w:tab w:val="left" w:pos="-1440"/>
          <w:tab w:val="left" w:pos="-720"/>
        </w:tabs>
        <w:jc w:val="both"/>
        <w:rPr>
          <w:rFonts w:eastAsia="Times New Roman" w:cs="Times New Roman"/>
          <w:sz w:val="20"/>
          <w:szCs w:val="20"/>
          <w:lang w:val="en-US" w:eastAsia="en-CA"/>
        </w:rPr>
      </w:pPr>
    </w:p>
    <w:p w:rsidR="00183454" w:rsidRPr="00D22292" w:rsidRDefault="00D22292" w:rsidP="00183454">
      <w:pPr>
        <w:tabs>
          <w:tab w:val="left" w:pos="-1440"/>
          <w:tab w:val="left" w:pos="-720"/>
        </w:tabs>
        <w:jc w:val="both"/>
        <w:rPr>
          <w:rFonts w:eastAsia="Times New Roman" w:cs="Times New Roman"/>
          <w:sz w:val="20"/>
          <w:szCs w:val="20"/>
          <w:lang w:val="en-US" w:eastAsia="en-CA"/>
        </w:rPr>
      </w:pPr>
      <w:r w:rsidRPr="00D22292">
        <w:rPr>
          <w:rFonts w:eastAsia="Times New Roman" w:cs="Times New Roman"/>
          <w:sz w:val="20"/>
          <w:szCs w:val="20"/>
          <w:lang w:val="fr-CA" w:eastAsia="en-CA"/>
        </w:rPr>
        <w:pict>
          <v:rect id="_x0000_i1052" style="width:2in;height:1pt" o:hrpct="0" o:hralign="center" o:hrstd="t" o:hrnoshade="t" o:hr="t" fillcolor="black [3213]" stroked="f"/>
        </w:pict>
      </w:r>
    </w:p>
    <w:p w:rsidR="00183454" w:rsidRPr="00D22292" w:rsidRDefault="00183454" w:rsidP="00183454">
      <w:pPr>
        <w:tabs>
          <w:tab w:val="left" w:pos="-1440"/>
          <w:tab w:val="left" w:pos="-720"/>
        </w:tabs>
        <w:jc w:val="both"/>
        <w:rPr>
          <w:rFonts w:eastAsia="Times New Roman" w:cs="Times New Roman"/>
          <w:sz w:val="20"/>
          <w:szCs w:val="20"/>
          <w:lang w:val="en-US" w:eastAsia="en-CA"/>
        </w:rPr>
      </w:pPr>
    </w:p>
    <w:p w:rsidR="0064683F" w:rsidRPr="00D22292" w:rsidRDefault="0064683F">
      <w:pPr>
        <w:rPr>
          <w:rFonts w:eastAsia="Times New Roman" w:cs="Times New Roman"/>
          <w:sz w:val="20"/>
          <w:szCs w:val="20"/>
          <w:lang w:val="fr-CA" w:eastAsia="en-CA"/>
        </w:rPr>
      </w:pPr>
      <w:r w:rsidRPr="00D22292">
        <w:rPr>
          <w:rFonts w:eastAsia="Times New Roman" w:cs="Times New Roman"/>
          <w:sz w:val="20"/>
          <w:szCs w:val="20"/>
          <w:lang w:val="fr-CA" w:eastAsia="en-CA"/>
        </w:rPr>
        <w:br w:type="page"/>
      </w:r>
    </w:p>
    <w:p w:rsidR="00A14F7D" w:rsidRPr="00D22292" w:rsidRDefault="00A14F7D" w:rsidP="00A14F7D">
      <w:pPr>
        <w:tabs>
          <w:tab w:val="left" w:pos="-1440"/>
          <w:tab w:val="left" w:pos="-720"/>
        </w:tabs>
        <w:jc w:val="both"/>
        <w:rPr>
          <w:rFonts w:eastAsia="Times New Roman" w:cs="Times New Roman"/>
          <w:sz w:val="20"/>
          <w:szCs w:val="20"/>
          <w:lang w:val="fr-CA" w:eastAsia="en-CA"/>
        </w:rPr>
      </w:pPr>
      <w:r w:rsidRPr="00D22292">
        <w:rPr>
          <w:rFonts w:eastAsia="Times New Roman" w:cs="Times New Roman"/>
          <w:sz w:val="20"/>
          <w:szCs w:val="20"/>
          <w:lang w:val="fr-CA" w:eastAsia="en-CA"/>
        </w:rPr>
        <w:lastRenderedPageBreak/>
        <w:t>29.06.2017</w:t>
      </w:r>
    </w:p>
    <w:p w:rsidR="00A14F7D" w:rsidRPr="00D22292" w:rsidRDefault="00A14F7D" w:rsidP="00A14F7D">
      <w:pPr>
        <w:tabs>
          <w:tab w:val="left" w:pos="-1440"/>
          <w:tab w:val="left" w:pos="-720"/>
        </w:tabs>
        <w:jc w:val="both"/>
        <w:rPr>
          <w:rFonts w:eastAsia="Times New Roman" w:cs="Times New Roman"/>
          <w:sz w:val="20"/>
          <w:szCs w:val="20"/>
          <w:lang w:val="fr-CA" w:eastAsia="en-CA"/>
        </w:rPr>
      </w:pPr>
    </w:p>
    <w:p w:rsidR="00A14F7D" w:rsidRPr="00D22292" w:rsidRDefault="00A14F7D" w:rsidP="00A14F7D">
      <w:pPr>
        <w:tabs>
          <w:tab w:val="left" w:pos="-1440"/>
          <w:tab w:val="left" w:pos="-720"/>
        </w:tabs>
        <w:jc w:val="both"/>
        <w:rPr>
          <w:rFonts w:eastAsia="Times New Roman" w:cs="Times New Roman"/>
          <w:sz w:val="20"/>
          <w:szCs w:val="20"/>
          <w:lang w:val="fr-CA" w:eastAsia="en-CA"/>
        </w:rPr>
      </w:pPr>
      <w:r w:rsidRPr="00D22292">
        <w:rPr>
          <w:rFonts w:eastAsia="Times New Roman" w:cs="Times New Roman"/>
          <w:sz w:val="20"/>
          <w:szCs w:val="20"/>
          <w:lang w:val="fr-CA" w:eastAsia="en-CA"/>
        </w:rPr>
        <w:t>Before / Devant :   ROWE J. / LE JUGE ROWE</w:t>
      </w:r>
    </w:p>
    <w:p w:rsidR="00A14F7D" w:rsidRPr="00D22292" w:rsidRDefault="00A14F7D" w:rsidP="00A14F7D">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1"/>
        <w:gridCol w:w="4237"/>
      </w:tblGrid>
      <w:tr w:rsidR="00A14F7D" w:rsidRPr="00D22292" w:rsidTr="00721473">
        <w:tc>
          <w:tcPr>
            <w:tcW w:w="4338" w:type="dxa"/>
          </w:tcPr>
          <w:p w:rsidR="00A14F7D" w:rsidRPr="00D22292" w:rsidRDefault="008A5636" w:rsidP="00721473">
            <w:pPr>
              <w:tabs>
                <w:tab w:val="left" w:pos="-1440"/>
                <w:tab w:val="left" w:pos="-720"/>
              </w:tabs>
              <w:jc w:val="both"/>
              <w:rPr>
                <w:b/>
              </w:rPr>
            </w:pPr>
            <w:r w:rsidRPr="00D22292">
              <w:rPr>
                <w:b/>
                <w:bCs/>
                <w:lang w:val="en-GB"/>
              </w:rPr>
              <w:t>Motion to extend the time to serve and file the application for leave</w:t>
            </w:r>
          </w:p>
        </w:tc>
        <w:tc>
          <w:tcPr>
            <w:tcW w:w="1170" w:type="dxa"/>
          </w:tcPr>
          <w:p w:rsidR="00A14F7D" w:rsidRPr="00D22292" w:rsidRDefault="00A14F7D" w:rsidP="00721473">
            <w:pPr>
              <w:tabs>
                <w:tab w:val="left" w:pos="-1440"/>
                <w:tab w:val="left" w:pos="-720"/>
              </w:tabs>
              <w:jc w:val="both"/>
            </w:pPr>
          </w:p>
          <w:p w:rsidR="00A14F7D" w:rsidRPr="00D22292" w:rsidRDefault="00A14F7D" w:rsidP="00721473">
            <w:pPr>
              <w:tabs>
                <w:tab w:val="left" w:pos="-1440"/>
                <w:tab w:val="left" w:pos="-720"/>
              </w:tabs>
              <w:jc w:val="both"/>
            </w:pPr>
          </w:p>
          <w:p w:rsidR="008A5636" w:rsidRPr="00D22292" w:rsidRDefault="008A5636" w:rsidP="00721473">
            <w:pPr>
              <w:tabs>
                <w:tab w:val="left" w:pos="-1440"/>
                <w:tab w:val="left" w:pos="-720"/>
              </w:tabs>
              <w:jc w:val="both"/>
            </w:pPr>
          </w:p>
          <w:p w:rsidR="00A14F7D" w:rsidRPr="00D22292" w:rsidRDefault="00A14F7D" w:rsidP="00721473">
            <w:pPr>
              <w:tabs>
                <w:tab w:val="left" w:pos="-1440"/>
                <w:tab w:val="left" w:pos="-720"/>
              </w:tabs>
              <w:jc w:val="both"/>
            </w:pPr>
          </w:p>
        </w:tc>
        <w:tc>
          <w:tcPr>
            <w:tcW w:w="4327" w:type="dxa"/>
          </w:tcPr>
          <w:p w:rsidR="00A14F7D" w:rsidRPr="00D22292" w:rsidRDefault="008A5636" w:rsidP="00721473">
            <w:pPr>
              <w:tabs>
                <w:tab w:val="left" w:pos="-1440"/>
                <w:tab w:val="left" w:pos="-720"/>
              </w:tabs>
              <w:jc w:val="both"/>
              <w:rPr>
                <w:lang w:val="fr-CA"/>
              </w:rPr>
            </w:pPr>
            <w:r w:rsidRPr="00D22292">
              <w:rPr>
                <w:b/>
                <w:bCs/>
                <w:lang w:val="fr-CA"/>
              </w:rPr>
              <w:t>Requête en prorogation du délai de signification et de dépôt de la demande d’autorisation d’appel</w:t>
            </w:r>
          </w:p>
        </w:tc>
      </w:tr>
      <w:tr w:rsidR="00A14F7D" w:rsidRPr="00D22292" w:rsidTr="00721473">
        <w:tc>
          <w:tcPr>
            <w:tcW w:w="4338" w:type="dxa"/>
          </w:tcPr>
          <w:p w:rsidR="00A14F7D" w:rsidRPr="00D22292" w:rsidRDefault="003925B5" w:rsidP="00721473">
            <w:pPr>
              <w:tabs>
                <w:tab w:val="left" w:pos="-1440"/>
                <w:tab w:val="left" w:pos="-720"/>
              </w:tabs>
              <w:jc w:val="both"/>
              <w:rPr>
                <w:lang w:val="en-US"/>
              </w:rPr>
            </w:pPr>
            <w:r w:rsidRPr="00D22292">
              <w:rPr>
                <w:lang w:val="en-US"/>
              </w:rPr>
              <w:t>Marco Antonio Chung</w:t>
            </w:r>
          </w:p>
          <w:p w:rsidR="00A14F7D" w:rsidRPr="00D22292" w:rsidRDefault="00A14F7D" w:rsidP="00721473">
            <w:pPr>
              <w:tabs>
                <w:tab w:val="left" w:pos="-1440"/>
                <w:tab w:val="left" w:pos="-720"/>
              </w:tabs>
              <w:jc w:val="both"/>
              <w:rPr>
                <w:lang w:val="en-US"/>
              </w:rPr>
            </w:pPr>
          </w:p>
          <w:p w:rsidR="00A14F7D" w:rsidRPr="00D22292" w:rsidRDefault="00A14F7D" w:rsidP="00721473">
            <w:pPr>
              <w:tabs>
                <w:tab w:val="left" w:pos="-1440"/>
                <w:tab w:val="left" w:pos="-720"/>
              </w:tabs>
              <w:jc w:val="both"/>
              <w:rPr>
                <w:lang w:val="en-US"/>
              </w:rPr>
            </w:pPr>
            <w:r w:rsidRPr="00D22292">
              <w:rPr>
                <w:lang w:val="en-US"/>
              </w:rPr>
              <w:tab/>
              <w:t>v. (37</w:t>
            </w:r>
            <w:r w:rsidR="003925B5" w:rsidRPr="00D22292">
              <w:rPr>
                <w:lang w:val="en-US"/>
              </w:rPr>
              <w:t>615</w:t>
            </w:r>
            <w:r w:rsidRPr="00D22292">
              <w:rPr>
                <w:lang w:val="en-US"/>
              </w:rPr>
              <w:t>)</w:t>
            </w:r>
          </w:p>
          <w:p w:rsidR="00A14F7D" w:rsidRPr="00D22292" w:rsidRDefault="00A14F7D" w:rsidP="00721473">
            <w:pPr>
              <w:tabs>
                <w:tab w:val="left" w:pos="-1440"/>
                <w:tab w:val="left" w:pos="-720"/>
              </w:tabs>
              <w:jc w:val="both"/>
              <w:rPr>
                <w:lang w:val="en-US"/>
              </w:rPr>
            </w:pPr>
          </w:p>
          <w:p w:rsidR="00A14F7D" w:rsidRPr="00D22292" w:rsidRDefault="003925B5" w:rsidP="00721473">
            <w:pPr>
              <w:tabs>
                <w:tab w:val="left" w:pos="-1440"/>
                <w:tab w:val="left" w:pos="-720"/>
              </w:tabs>
              <w:jc w:val="both"/>
              <w:rPr>
                <w:lang w:val="en-US"/>
              </w:rPr>
            </w:pPr>
            <w:r w:rsidRPr="00D22292">
              <w:rPr>
                <w:lang w:val="en-US"/>
              </w:rPr>
              <w:t>Minister of Citizenship and Immigration</w:t>
            </w:r>
            <w:r w:rsidR="00A14F7D" w:rsidRPr="00D22292">
              <w:rPr>
                <w:lang w:val="en-US"/>
              </w:rPr>
              <w:t xml:space="preserve"> (F.C.)</w:t>
            </w:r>
          </w:p>
        </w:tc>
        <w:tc>
          <w:tcPr>
            <w:tcW w:w="1170" w:type="dxa"/>
          </w:tcPr>
          <w:p w:rsidR="00A14F7D" w:rsidRPr="00D22292" w:rsidRDefault="00A14F7D" w:rsidP="00721473">
            <w:pPr>
              <w:tabs>
                <w:tab w:val="left" w:pos="-1440"/>
                <w:tab w:val="left" w:pos="-720"/>
              </w:tabs>
              <w:jc w:val="both"/>
              <w:rPr>
                <w:lang w:val="en-US"/>
              </w:rPr>
            </w:pPr>
          </w:p>
        </w:tc>
        <w:tc>
          <w:tcPr>
            <w:tcW w:w="4327" w:type="dxa"/>
          </w:tcPr>
          <w:p w:rsidR="00A14F7D" w:rsidRPr="00D22292" w:rsidRDefault="00A14F7D" w:rsidP="00721473">
            <w:pPr>
              <w:tabs>
                <w:tab w:val="left" w:pos="-1440"/>
                <w:tab w:val="left" w:pos="-720"/>
              </w:tabs>
              <w:jc w:val="both"/>
              <w:rPr>
                <w:lang w:val="en-US"/>
              </w:rPr>
            </w:pPr>
          </w:p>
        </w:tc>
      </w:tr>
    </w:tbl>
    <w:p w:rsidR="00A14F7D" w:rsidRPr="00D22292" w:rsidRDefault="00A14F7D" w:rsidP="00A14F7D">
      <w:pPr>
        <w:tabs>
          <w:tab w:val="left" w:pos="-1440"/>
          <w:tab w:val="left" w:pos="-720"/>
        </w:tabs>
        <w:jc w:val="both"/>
        <w:rPr>
          <w:rFonts w:eastAsia="Times New Roman" w:cs="Times New Roman"/>
          <w:sz w:val="20"/>
          <w:szCs w:val="20"/>
          <w:lang w:val="en-US" w:eastAsia="en-CA"/>
        </w:rPr>
      </w:pPr>
    </w:p>
    <w:p w:rsidR="00A14F7D" w:rsidRPr="00D22292" w:rsidRDefault="00B24ACF" w:rsidP="00A14F7D">
      <w:pPr>
        <w:tabs>
          <w:tab w:val="left" w:pos="-1440"/>
          <w:tab w:val="left" w:pos="-720"/>
        </w:tabs>
        <w:jc w:val="both"/>
        <w:rPr>
          <w:rFonts w:eastAsia="Times New Roman" w:cs="Times New Roman"/>
          <w:b/>
          <w:sz w:val="20"/>
          <w:szCs w:val="20"/>
          <w:lang w:val="en-US" w:eastAsia="en-CA"/>
        </w:rPr>
      </w:pPr>
      <w:r w:rsidRPr="00D22292">
        <w:rPr>
          <w:rFonts w:eastAsia="Times New Roman" w:cs="Times New Roman"/>
          <w:b/>
          <w:sz w:val="20"/>
          <w:szCs w:val="20"/>
          <w:lang w:val="en-US" w:eastAsia="en-CA"/>
        </w:rPr>
        <w:t>GRANT</w:t>
      </w:r>
      <w:r w:rsidR="00A14F7D" w:rsidRPr="00D22292">
        <w:rPr>
          <w:rFonts w:eastAsia="Times New Roman" w:cs="Times New Roman"/>
          <w:b/>
          <w:sz w:val="20"/>
          <w:szCs w:val="20"/>
          <w:lang w:val="en-US" w:eastAsia="en-CA"/>
        </w:rPr>
        <w:t xml:space="preserve">ED / </w:t>
      </w:r>
      <w:r w:rsidRPr="00D22292">
        <w:rPr>
          <w:rFonts w:eastAsia="Times New Roman" w:cs="Times New Roman"/>
          <w:b/>
          <w:sz w:val="20"/>
          <w:szCs w:val="20"/>
          <w:lang w:val="en-US" w:eastAsia="en-CA"/>
        </w:rPr>
        <w:t>ACCORD</w:t>
      </w:r>
      <w:r w:rsidR="00A14F7D" w:rsidRPr="00D22292">
        <w:rPr>
          <w:rFonts w:eastAsia="Times New Roman" w:cs="Times New Roman"/>
          <w:b/>
          <w:sz w:val="20"/>
          <w:szCs w:val="20"/>
          <w:lang w:val="en-US" w:eastAsia="en-CA"/>
        </w:rPr>
        <w:t>ÉE</w:t>
      </w:r>
    </w:p>
    <w:p w:rsidR="00A14F7D" w:rsidRPr="00D22292" w:rsidRDefault="00A14F7D" w:rsidP="00A14F7D">
      <w:pPr>
        <w:tabs>
          <w:tab w:val="left" w:pos="-1440"/>
          <w:tab w:val="left" w:pos="-720"/>
        </w:tabs>
        <w:jc w:val="both"/>
        <w:rPr>
          <w:rFonts w:eastAsia="Times New Roman" w:cs="Times New Roman"/>
          <w:sz w:val="20"/>
          <w:szCs w:val="20"/>
          <w:lang w:val="en-US" w:eastAsia="en-CA"/>
        </w:rPr>
      </w:pPr>
    </w:p>
    <w:p w:rsidR="008A5636" w:rsidRPr="00D22292" w:rsidRDefault="008A5636" w:rsidP="008A5636">
      <w:pPr>
        <w:widowControl w:val="0"/>
        <w:autoSpaceDE w:val="0"/>
        <w:autoSpaceDN w:val="0"/>
        <w:adjustRightInd w:val="0"/>
        <w:spacing w:line="233" w:lineRule="auto"/>
        <w:jc w:val="both"/>
        <w:rPr>
          <w:rFonts w:eastAsiaTheme="minorEastAsia" w:cs="Times New Roman"/>
          <w:sz w:val="20"/>
          <w:szCs w:val="20"/>
          <w:lang w:val="en-US"/>
        </w:rPr>
      </w:pPr>
      <w:r w:rsidRPr="00D22292">
        <w:rPr>
          <w:rFonts w:eastAsiaTheme="minorEastAsia" w:cs="Times New Roman"/>
          <w:b/>
          <w:sz w:val="20"/>
          <w:szCs w:val="20"/>
          <w:lang w:val="en-US"/>
        </w:rPr>
        <w:t>UPON APPLICATION</w:t>
      </w:r>
      <w:r w:rsidRPr="00D22292">
        <w:rPr>
          <w:rFonts w:eastAsiaTheme="minorEastAsia" w:cs="Times New Roman"/>
          <w:sz w:val="20"/>
          <w:szCs w:val="20"/>
          <w:lang w:val="en-US"/>
        </w:rPr>
        <w:t xml:space="preserve"> by the applicant for an order extending the time to serve and file his application for leave to appeal;</w:t>
      </w:r>
    </w:p>
    <w:p w:rsidR="008A5636" w:rsidRPr="00D22292" w:rsidRDefault="008A5636" w:rsidP="008A5636">
      <w:pPr>
        <w:widowControl w:val="0"/>
        <w:autoSpaceDE w:val="0"/>
        <w:autoSpaceDN w:val="0"/>
        <w:adjustRightInd w:val="0"/>
        <w:spacing w:line="233" w:lineRule="auto"/>
        <w:jc w:val="both"/>
        <w:rPr>
          <w:rFonts w:eastAsiaTheme="minorEastAsia" w:cs="Times New Roman"/>
          <w:sz w:val="20"/>
          <w:szCs w:val="20"/>
          <w:lang w:val="en-US"/>
        </w:rPr>
      </w:pPr>
    </w:p>
    <w:p w:rsidR="008A5636" w:rsidRPr="00D22292" w:rsidRDefault="008A5636" w:rsidP="008A5636">
      <w:pPr>
        <w:widowControl w:val="0"/>
        <w:autoSpaceDE w:val="0"/>
        <w:autoSpaceDN w:val="0"/>
        <w:adjustRightInd w:val="0"/>
        <w:spacing w:line="233" w:lineRule="auto"/>
        <w:jc w:val="both"/>
        <w:rPr>
          <w:rFonts w:eastAsiaTheme="minorEastAsia" w:cs="Times New Roman"/>
          <w:sz w:val="20"/>
          <w:szCs w:val="20"/>
          <w:lang w:val="en-US"/>
        </w:rPr>
      </w:pPr>
      <w:r w:rsidRPr="00D22292">
        <w:rPr>
          <w:rFonts w:eastAsiaTheme="minorEastAsia" w:cs="Times New Roman"/>
          <w:b/>
          <w:bCs/>
          <w:sz w:val="20"/>
          <w:szCs w:val="20"/>
          <w:lang w:val="en-US"/>
        </w:rPr>
        <w:t>AND THE MATERIAL FILED</w:t>
      </w:r>
      <w:r w:rsidRPr="00D22292">
        <w:rPr>
          <w:rFonts w:eastAsiaTheme="minorEastAsia" w:cs="Times New Roman"/>
          <w:sz w:val="20"/>
          <w:szCs w:val="20"/>
          <w:lang w:val="en-US"/>
        </w:rPr>
        <w:t xml:space="preserve"> having been read;</w:t>
      </w:r>
    </w:p>
    <w:p w:rsidR="008A5636" w:rsidRPr="00D22292" w:rsidRDefault="008A5636" w:rsidP="008A5636">
      <w:pPr>
        <w:widowControl w:val="0"/>
        <w:autoSpaceDE w:val="0"/>
        <w:autoSpaceDN w:val="0"/>
        <w:adjustRightInd w:val="0"/>
        <w:spacing w:line="233" w:lineRule="auto"/>
        <w:jc w:val="both"/>
        <w:rPr>
          <w:rFonts w:eastAsiaTheme="minorEastAsia" w:cs="Times New Roman"/>
          <w:sz w:val="20"/>
          <w:szCs w:val="20"/>
          <w:lang w:val="en-US"/>
        </w:rPr>
      </w:pPr>
    </w:p>
    <w:p w:rsidR="008A5636" w:rsidRPr="00D22292" w:rsidRDefault="008A5636" w:rsidP="008A5636">
      <w:pPr>
        <w:widowControl w:val="0"/>
        <w:autoSpaceDE w:val="0"/>
        <w:autoSpaceDN w:val="0"/>
        <w:adjustRightInd w:val="0"/>
        <w:spacing w:line="233" w:lineRule="auto"/>
        <w:jc w:val="both"/>
        <w:rPr>
          <w:rFonts w:eastAsiaTheme="minorEastAsia" w:cs="Times New Roman"/>
          <w:b/>
          <w:bCs/>
          <w:sz w:val="20"/>
          <w:szCs w:val="20"/>
          <w:lang w:val="en-US"/>
        </w:rPr>
      </w:pPr>
      <w:r w:rsidRPr="00D22292">
        <w:rPr>
          <w:rFonts w:eastAsiaTheme="minorEastAsia" w:cs="Times New Roman"/>
          <w:b/>
          <w:bCs/>
          <w:sz w:val="20"/>
          <w:szCs w:val="20"/>
          <w:lang w:val="en-US"/>
        </w:rPr>
        <w:t>IT IS HEREBY ORDERED THAT:</w:t>
      </w:r>
    </w:p>
    <w:p w:rsidR="008A5636" w:rsidRPr="00D22292" w:rsidRDefault="008A5636" w:rsidP="008A5636">
      <w:pPr>
        <w:widowControl w:val="0"/>
        <w:autoSpaceDE w:val="0"/>
        <w:autoSpaceDN w:val="0"/>
        <w:adjustRightInd w:val="0"/>
        <w:spacing w:line="233" w:lineRule="auto"/>
        <w:jc w:val="both"/>
        <w:rPr>
          <w:rFonts w:eastAsiaTheme="minorEastAsia" w:cs="Times New Roman"/>
          <w:b/>
          <w:bCs/>
          <w:sz w:val="20"/>
          <w:szCs w:val="20"/>
          <w:lang w:val="en-US"/>
        </w:rPr>
      </w:pPr>
    </w:p>
    <w:p w:rsidR="008A5636" w:rsidRPr="00D22292" w:rsidRDefault="008A5636" w:rsidP="008A5636">
      <w:pPr>
        <w:widowControl w:val="0"/>
        <w:autoSpaceDE w:val="0"/>
        <w:autoSpaceDN w:val="0"/>
        <w:adjustRightInd w:val="0"/>
        <w:rPr>
          <w:rFonts w:eastAsiaTheme="minorEastAsia" w:cs="Times New Roman"/>
          <w:sz w:val="20"/>
          <w:szCs w:val="20"/>
          <w:lang w:val="en-US"/>
        </w:rPr>
      </w:pPr>
      <w:r w:rsidRPr="00D22292">
        <w:rPr>
          <w:rFonts w:eastAsiaTheme="minorEastAsia" w:cs="Times New Roman"/>
          <w:sz w:val="20"/>
          <w:szCs w:val="20"/>
          <w:lang w:val="en-US"/>
        </w:rPr>
        <w:t>The motion is granted. The applicant shall serve and file his application for leave to appeal within thirty (30) days from the date of this order. </w:t>
      </w:r>
    </w:p>
    <w:p w:rsidR="00A14F7D" w:rsidRPr="00D22292" w:rsidRDefault="00A14F7D" w:rsidP="00A14F7D">
      <w:pPr>
        <w:tabs>
          <w:tab w:val="left" w:pos="-1440"/>
          <w:tab w:val="left" w:pos="-720"/>
        </w:tabs>
        <w:jc w:val="both"/>
        <w:rPr>
          <w:rFonts w:eastAsia="Times New Roman" w:cs="Times New Roman"/>
          <w:sz w:val="20"/>
          <w:szCs w:val="20"/>
          <w:lang w:val="en-US" w:eastAsia="en-CA"/>
        </w:rPr>
      </w:pPr>
    </w:p>
    <w:p w:rsidR="00A14F7D" w:rsidRPr="00D22292" w:rsidRDefault="00A14F7D" w:rsidP="00A14F7D">
      <w:pPr>
        <w:tabs>
          <w:tab w:val="left" w:pos="-1440"/>
          <w:tab w:val="left" w:pos="-720"/>
        </w:tabs>
        <w:jc w:val="both"/>
        <w:rPr>
          <w:rFonts w:eastAsia="Times New Roman" w:cs="Times New Roman"/>
          <w:sz w:val="20"/>
          <w:szCs w:val="20"/>
          <w:lang w:val="en-US" w:eastAsia="en-CA"/>
        </w:rPr>
      </w:pPr>
    </w:p>
    <w:p w:rsidR="00A14F7D" w:rsidRPr="00D22292" w:rsidRDefault="00A14F7D" w:rsidP="00A14F7D">
      <w:pPr>
        <w:tabs>
          <w:tab w:val="left" w:pos="-1440"/>
          <w:tab w:val="left" w:pos="-720"/>
        </w:tabs>
        <w:jc w:val="both"/>
        <w:rPr>
          <w:rFonts w:eastAsia="Times New Roman" w:cs="Times New Roman"/>
          <w:sz w:val="20"/>
          <w:szCs w:val="20"/>
          <w:lang w:val="en-US" w:eastAsia="en-CA"/>
        </w:rPr>
      </w:pPr>
    </w:p>
    <w:p w:rsidR="0064683F" w:rsidRPr="00D22292" w:rsidRDefault="0064683F" w:rsidP="0064683F">
      <w:pPr>
        <w:spacing w:line="233" w:lineRule="auto"/>
        <w:jc w:val="both"/>
        <w:rPr>
          <w:rFonts w:cs="Times New Roman"/>
          <w:sz w:val="20"/>
          <w:szCs w:val="20"/>
          <w:lang w:val="fr-CA"/>
        </w:rPr>
      </w:pPr>
      <w:r w:rsidRPr="00D22292">
        <w:rPr>
          <w:rFonts w:cs="Times New Roman"/>
          <w:b/>
          <w:sz w:val="20"/>
          <w:szCs w:val="20"/>
          <w:lang w:val="fr-CA"/>
        </w:rPr>
        <w:t>À LA SUITE DE LA DEMANDE</w:t>
      </w:r>
      <w:r w:rsidRPr="00D22292">
        <w:rPr>
          <w:rFonts w:cs="Times New Roman"/>
          <w:sz w:val="20"/>
          <w:szCs w:val="20"/>
          <w:lang w:val="fr-CA"/>
        </w:rPr>
        <w:t xml:space="preserve"> présentée par le demandeur afin d’obtenir la prorogation du délai pour déposer et signifier sa demande d’autorisation d’appel;</w:t>
      </w:r>
    </w:p>
    <w:p w:rsidR="0064683F" w:rsidRPr="00D22292" w:rsidRDefault="0064683F" w:rsidP="0064683F">
      <w:pPr>
        <w:spacing w:line="233" w:lineRule="auto"/>
        <w:jc w:val="both"/>
        <w:rPr>
          <w:rFonts w:cs="Times New Roman"/>
          <w:sz w:val="20"/>
          <w:szCs w:val="20"/>
          <w:lang w:val="fr-CA"/>
        </w:rPr>
      </w:pPr>
    </w:p>
    <w:p w:rsidR="0064683F" w:rsidRPr="00D22292" w:rsidRDefault="0064683F" w:rsidP="0064683F">
      <w:pPr>
        <w:spacing w:line="233" w:lineRule="auto"/>
        <w:jc w:val="both"/>
        <w:rPr>
          <w:rFonts w:cs="Times New Roman"/>
          <w:sz w:val="20"/>
          <w:szCs w:val="20"/>
          <w:lang w:val="fr-CA"/>
        </w:rPr>
      </w:pPr>
      <w:r w:rsidRPr="00D22292">
        <w:rPr>
          <w:rFonts w:cs="Times New Roman"/>
          <w:b/>
          <w:sz w:val="20"/>
          <w:szCs w:val="20"/>
          <w:lang w:val="fr-CA"/>
        </w:rPr>
        <w:t>ET APRÈS EXAMEN</w:t>
      </w:r>
      <w:r w:rsidRPr="00D22292">
        <w:rPr>
          <w:rFonts w:cs="Times New Roman"/>
          <w:sz w:val="20"/>
          <w:szCs w:val="20"/>
          <w:lang w:val="fr-CA"/>
        </w:rPr>
        <w:t xml:space="preserve"> des documents déposés;</w:t>
      </w:r>
    </w:p>
    <w:p w:rsidR="0064683F" w:rsidRPr="00D22292" w:rsidRDefault="0064683F" w:rsidP="0064683F">
      <w:pPr>
        <w:spacing w:line="233" w:lineRule="auto"/>
        <w:jc w:val="both"/>
        <w:rPr>
          <w:rFonts w:cs="Times New Roman"/>
          <w:sz w:val="20"/>
          <w:szCs w:val="20"/>
          <w:lang w:val="fr-CA"/>
        </w:rPr>
      </w:pPr>
    </w:p>
    <w:p w:rsidR="0064683F" w:rsidRPr="00D22292" w:rsidRDefault="0064683F" w:rsidP="0064683F">
      <w:pPr>
        <w:spacing w:line="233" w:lineRule="auto"/>
        <w:jc w:val="both"/>
        <w:rPr>
          <w:rFonts w:cs="Times New Roman"/>
          <w:b/>
          <w:sz w:val="20"/>
          <w:szCs w:val="20"/>
          <w:lang w:val="fr-CA"/>
        </w:rPr>
      </w:pPr>
      <w:r w:rsidRPr="00D22292">
        <w:rPr>
          <w:rFonts w:cs="Times New Roman"/>
          <w:b/>
          <w:sz w:val="20"/>
          <w:szCs w:val="20"/>
          <w:lang w:val="fr-CA"/>
        </w:rPr>
        <w:t>IL EST ORDONNÉ CE QUI SUIT :</w:t>
      </w:r>
    </w:p>
    <w:p w:rsidR="0064683F" w:rsidRPr="00D22292" w:rsidRDefault="0064683F" w:rsidP="0064683F">
      <w:pPr>
        <w:spacing w:line="233" w:lineRule="auto"/>
        <w:jc w:val="both"/>
        <w:rPr>
          <w:rFonts w:cs="Times New Roman"/>
          <w:sz w:val="20"/>
          <w:szCs w:val="20"/>
          <w:lang w:val="fr-CA"/>
        </w:rPr>
      </w:pPr>
    </w:p>
    <w:p w:rsidR="0064683F" w:rsidRPr="00D22292" w:rsidRDefault="0064683F" w:rsidP="0064683F">
      <w:pPr>
        <w:spacing w:line="233" w:lineRule="auto"/>
        <w:jc w:val="both"/>
        <w:rPr>
          <w:rFonts w:cs="Times New Roman"/>
          <w:sz w:val="20"/>
          <w:szCs w:val="20"/>
          <w:lang w:val="fr-CA"/>
        </w:rPr>
      </w:pPr>
      <w:r w:rsidRPr="00D22292">
        <w:rPr>
          <w:rFonts w:cs="Times New Roman"/>
          <w:sz w:val="20"/>
          <w:szCs w:val="20"/>
          <w:lang w:val="fr-CA"/>
        </w:rPr>
        <w:t xml:space="preserve">La requête est accueillie. Le demandeur signifiera et déposera sa demande d’autorisation d’appel au plus tard trente (30) jours après la date de la présente ordonnance. </w:t>
      </w:r>
    </w:p>
    <w:p w:rsidR="00A14F7D" w:rsidRPr="00D22292" w:rsidRDefault="00A14F7D" w:rsidP="00A14F7D">
      <w:pPr>
        <w:spacing w:line="233" w:lineRule="auto"/>
        <w:jc w:val="both"/>
        <w:rPr>
          <w:rFonts w:eastAsia="Times New Roman" w:cs="Times New Roman"/>
          <w:sz w:val="20"/>
          <w:szCs w:val="20"/>
          <w:lang w:val="fr-CA" w:eastAsia="en-CA"/>
        </w:rPr>
      </w:pPr>
    </w:p>
    <w:p w:rsidR="009975CC" w:rsidRPr="00D22292" w:rsidRDefault="00D22292" w:rsidP="00A14F7D">
      <w:pPr>
        <w:tabs>
          <w:tab w:val="left" w:pos="-1440"/>
          <w:tab w:val="left" w:pos="-720"/>
        </w:tabs>
        <w:jc w:val="both"/>
        <w:rPr>
          <w:rFonts w:eastAsia="Times New Roman" w:cs="Times New Roman"/>
          <w:sz w:val="20"/>
          <w:szCs w:val="20"/>
          <w:lang w:val="en-US" w:eastAsia="en-CA"/>
        </w:rPr>
      </w:pPr>
      <w:r w:rsidRPr="00D22292">
        <w:rPr>
          <w:rFonts w:eastAsia="Times New Roman" w:cs="Times New Roman"/>
          <w:sz w:val="20"/>
          <w:szCs w:val="20"/>
          <w:lang w:val="fr-CA" w:eastAsia="en-CA"/>
        </w:rPr>
        <w:pict>
          <v:rect id="_x0000_i1053" style="width:2in;height:1pt" o:hrpct="0" o:hralign="center" o:hrstd="t" o:hrnoshade="t" o:hr="t" fillcolor="black [3213]" stroked="f"/>
        </w:pict>
      </w:r>
    </w:p>
    <w:p w:rsidR="00890FEB" w:rsidRPr="00D22292" w:rsidRDefault="00890FEB" w:rsidP="00831CA9">
      <w:pPr>
        <w:jc w:val="both"/>
        <w:rPr>
          <w:sz w:val="20"/>
          <w:szCs w:val="20"/>
          <w:lang w:val="fr-CA"/>
        </w:rPr>
      </w:pPr>
    </w:p>
    <w:p w:rsidR="00831CA9" w:rsidRPr="00D22292" w:rsidRDefault="00831CA9" w:rsidP="00831CA9">
      <w:pPr>
        <w:jc w:val="both"/>
        <w:rPr>
          <w:sz w:val="20"/>
          <w:szCs w:val="20"/>
          <w:lang w:val="fr-CA"/>
        </w:rPr>
        <w:sectPr w:rsidR="00831CA9" w:rsidRPr="00D22292" w:rsidSect="00831CA9">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D22292" w:rsidTr="0085476B">
        <w:tc>
          <w:tcPr>
            <w:tcW w:w="4200" w:type="dxa"/>
            <w:tcMar>
              <w:left w:w="0" w:type="dxa"/>
              <w:right w:w="0" w:type="dxa"/>
            </w:tcMar>
          </w:tcPr>
          <w:p w:rsidR="00FF6EEC" w:rsidRPr="00D22292" w:rsidRDefault="00FF6EEC" w:rsidP="0085476B">
            <w:pPr>
              <w:keepNext/>
              <w:keepLines/>
              <w:tabs>
                <w:tab w:val="left" w:pos="-1440"/>
                <w:tab w:val="left" w:pos="-720"/>
              </w:tabs>
              <w:rPr>
                <w:b/>
                <w:szCs w:val="24"/>
              </w:rPr>
            </w:pPr>
            <w:r w:rsidRPr="00D22292">
              <w:rPr>
                <w:b/>
                <w:szCs w:val="24"/>
              </w:rPr>
              <w:lastRenderedPageBreak/>
              <w:t>PRONOUNCEMENTS OF APPEALS</w:t>
            </w:r>
            <w:r w:rsidR="0085476B" w:rsidRPr="00D22292">
              <w:rPr>
                <w:b/>
                <w:szCs w:val="24"/>
              </w:rPr>
              <w:t xml:space="preserve"> </w:t>
            </w:r>
            <w:r w:rsidRPr="00D22292">
              <w:rPr>
                <w:b/>
                <w:szCs w:val="24"/>
              </w:rPr>
              <w:t>RESERVED</w:t>
            </w:r>
          </w:p>
          <w:p w:rsidR="00FF6EEC" w:rsidRPr="00D22292"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D22292"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D22292">
              <w:rPr>
                <w:b/>
                <w:szCs w:val="24"/>
              </w:rPr>
              <w:t>Reasons for judgment are available</w:t>
            </w:r>
          </w:p>
        </w:tc>
        <w:tc>
          <w:tcPr>
            <w:tcW w:w="1200" w:type="dxa"/>
            <w:tcMar>
              <w:left w:w="0" w:type="dxa"/>
              <w:right w:w="0" w:type="dxa"/>
            </w:tcMar>
          </w:tcPr>
          <w:p w:rsidR="00FF6EEC" w:rsidRPr="00D22292" w:rsidRDefault="00FF6EEC" w:rsidP="00FF6EEC">
            <w:pPr>
              <w:keepNext/>
              <w:keepLines/>
              <w:tabs>
                <w:tab w:val="left" w:pos="-1440"/>
                <w:tab w:val="left" w:pos="-720"/>
              </w:tabs>
              <w:jc w:val="center"/>
              <w:rPr>
                <w:b/>
                <w:szCs w:val="24"/>
              </w:rPr>
            </w:pPr>
          </w:p>
          <w:p w:rsidR="00FF6EEC" w:rsidRPr="00D22292" w:rsidRDefault="00FF6EEC" w:rsidP="00FF6EEC">
            <w:pPr>
              <w:keepNext/>
              <w:keepLines/>
              <w:tabs>
                <w:tab w:val="left" w:pos="-1440"/>
                <w:tab w:val="left" w:pos="-720"/>
              </w:tabs>
              <w:jc w:val="center"/>
              <w:rPr>
                <w:b/>
                <w:szCs w:val="24"/>
              </w:rPr>
            </w:pPr>
          </w:p>
          <w:p w:rsidR="00FF6EEC" w:rsidRPr="00D22292" w:rsidRDefault="00FF6EEC" w:rsidP="00FF6EEC">
            <w:pPr>
              <w:keepNext/>
              <w:keepLines/>
              <w:tabs>
                <w:tab w:val="left" w:pos="-1440"/>
                <w:tab w:val="left" w:pos="-720"/>
              </w:tabs>
              <w:jc w:val="center"/>
              <w:rPr>
                <w:b/>
                <w:szCs w:val="24"/>
              </w:rPr>
            </w:pPr>
          </w:p>
          <w:p w:rsidR="00FF6EEC" w:rsidRPr="00D22292" w:rsidRDefault="00FF6EEC" w:rsidP="00FF6EEC">
            <w:pPr>
              <w:keepNext/>
              <w:keepLines/>
              <w:tabs>
                <w:tab w:val="left" w:pos="-1440"/>
                <w:tab w:val="left" w:pos="-720"/>
              </w:tabs>
              <w:jc w:val="center"/>
              <w:rPr>
                <w:b/>
                <w:szCs w:val="24"/>
              </w:rPr>
            </w:pPr>
          </w:p>
          <w:p w:rsidR="00FF6EEC" w:rsidRPr="00D22292"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D22292" w:rsidRDefault="00FF6EEC" w:rsidP="00FF6EEC">
            <w:pPr>
              <w:keepNext/>
              <w:keepLines/>
              <w:tabs>
                <w:tab w:val="left" w:pos="-1440"/>
                <w:tab w:val="left" w:pos="-720"/>
              </w:tabs>
              <w:rPr>
                <w:b/>
                <w:szCs w:val="24"/>
                <w:lang w:val="fr-CA"/>
              </w:rPr>
            </w:pPr>
            <w:r w:rsidRPr="00D22292">
              <w:rPr>
                <w:b/>
                <w:szCs w:val="24"/>
                <w:lang w:val="fr-CA"/>
              </w:rPr>
              <w:t>JUGEMENTS RENDUS SUR LES APPELS EN DÉLIBÉRÉ</w:t>
            </w:r>
          </w:p>
          <w:p w:rsidR="00FF6EEC" w:rsidRPr="00D22292"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D22292"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D22292">
              <w:rPr>
                <w:b/>
                <w:szCs w:val="24"/>
                <w:lang w:val="fr-CA"/>
              </w:rPr>
              <w:t>Les motifs de jugement sont disponibles</w:t>
            </w:r>
          </w:p>
        </w:tc>
      </w:tr>
    </w:tbl>
    <w:p w:rsidR="00FF6EEC" w:rsidRPr="00D22292" w:rsidRDefault="00FF6EEC" w:rsidP="00FF6EEC">
      <w:pPr>
        <w:rPr>
          <w:b/>
          <w:sz w:val="20"/>
          <w:szCs w:val="20"/>
          <w:lang w:val="fr-CA"/>
        </w:rPr>
      </w:pPr>
    </w:p>
    <w:p w:rsidR="0052229C" w:rsidRPr="00D22292" w:rsidRDefault="0052229C" w:rsidP="0052229C">
      <w:pPr>
        <w:rPr>
          <w:b/>
          <w:sz w:val="20"/>
          <w:szCs w:val="20"/>
          <w:lang w:val="en-US"/>
        </w:rPr>
      </w:pPr>
      <w:r w:rsidRPr="00D22292">
        <w:rPr>
          <w:b/>
          <w:sz w:val="20"/>
          <w:szCs w:val="20"/>
          <w:lang w:val="en-US"/>
        </w:rPr>
        <w:t>J</w:t>
      </w:r>
      <w:r w:rsidR="001F7E04" w:rsidRPr="00D22292">
        <w:rPr>
          <w:b/>
          <w:sz w:val="20"/>
          <w:szCs w:val="20"/>
          <w:lang w:val="en-US"/>
        </w:rPr>
        <w:t>ULY</w:t>
      </w:r>
      <w:r w:rsidRPr="00D22292">
        <w:rPr>
          <w:b/>
          <w:sz w:val="20"/>
          <w:szCs w:val="20"/>
          <w:lang w:val="en-US"/>
        </w:rPr>
        <w:t xml:space="preserve"> </w:t>
      </w:r>
      <w:r w:rsidR="001F7E04" w:rsidRPr="00D22292">
        <w:rPr>
          <w:b/>
          <w:sz w:val="20"/>
          <w:szCs w:val="20"/>
          <w:lang w:val="en-US"/>
        </w:rPr>
        <w:t>6</w:t>
      </w:r>
      <w:r w:rsidRPr="00D22292">
        <w:rPr>
          <w:b/>
          <w:sz w:val="20"/>
          <w:szCs w:val="20"/>
          <w:lang w:val="en-US"/>
        </w:rPr>
        <w:t>, 201</w:t>
      </w:r>
      <w:r w:rsidR="0056248C" w:rsidRPr="00D22292">
        <w:rPr>
          <w:b/>
          <w:sz w:val="20"/>
          <w:szCs w:val="20"/>
          <w:lang w:val="en-US"/>
        </w:rPr>
        <w:t>7</w:t>
      </w:r>
      <w:r w:rsidRPr="00D22292">
        <w:rPr>
          <w:b/>
          <w:sz w:val="20"/>
          <w:szCs w:val="20"/>
          <w:lang w:val="en-US"/>
        </w:rPr>
        <w:t xml:space="preserve"> / LE </w:t>
      </w:r>
      <w:r w:rsidR="001F7E04" w:rsidRPr="00D22292">
        <w:rPr>
          <w:b/>
          <w:sz w:val="20"/>
          <w:szCs w:val="20"/>
          <w:lang w:val="en-US"/>
        </w:rPr>
        <w:t>6</w:t>
      </w:r>
      <w:r w:rsidRPr="00D22292">
        <w:rPr>
          <w:b/>
          <w:sz w:val="20"/>
          <w:szCs w:val="20"/>
          <w:lang w:val="en-US"/>
        </w:rPr>
        <w:t xml:space="preserve"> J</w:t>
      </w:r>
      <w:r w:rsidR="001F7E04" w:rsidRPr="00D22292">
        <w:rPr>
          <w:b/>
          <w:sz w:val="20"/>
          <w:szCs w:val="20"/>
          <w:lang w:val="en-US"/>
        </w:rPr>
        <w:t>UILLET</w:t>
      </w:r>
      <w:r w:rsidRPr="00D22292">
        <w:rPr>
          <w:b/>
          <w:sz w:val="20"/>
          <w:szCs w:val="20"/>
          <w:lang w:val="en-US"/>
        </w:rPr>
        <w:t xml:space="preserve"> 201</w:t>
      </w:r>
      <w:r w:rsidR="0056248C" w:rsidRPr="00D22292">
        <w:rPr>
          <w:b/>
          <w:sz w:val="20"/>
          <w:szCs w:val="20"/>
          <w:lang w:val="en-US"/>
        </w:rPr>
        <w:t>7</w:t>
      </w:r>
    </w:p>
    <w:p w:rsidR="0052229C" w:rsidRPr="00D22292" w:rsidRDefault="0052229C" w:rsidP="0052229C">
      <w:pPr>
        <w:rPr>
          <w:sz w:val="20"/>
          <w:szCs w:val="20"/>
          <w:lang w:val="en-US"/>
        </w:rPr>
      </w:pPr>
    </w:p>
    <w:p w:rsidR="00AB4C7B" w:rsidRPr="00D22292" w:rsidRDefault="00AB4C7B" w:rsidP="00AB4C7B">
      <w:pPr>
        <w:ind w:left="1440" w:hanging="1440"/>
        <w:jc w:val="both"/>
        <w:rPr>
          <w:sz w:val="20"/>
          <w:szCs w:val="20"/>
        </w:rPr>
      </w:pPr>
      <w:r w:rsidRPr="00D22292">
        <w:rPr>
          <w:b/>
          <w:bCs/>
          <w:sz w:val="20"/>
          <w:szCs w:val="20"/>
        </w:rPr>
        <w:t>36771</w:t>
      </w:r>
      <w:r w:rsidRPr="00D22292">
        <w:rPr>
          <w:color w:val="FF0000"/>
          <w:sz w:val="20"/>
          <w:szCs w:val="20"/>
        </w:rPr>
        <w:tab/>
      </w:r>
      <w:r w:rsidRPr="00D22292">
        <w:rPr>
          <w:b/>
          <w:bCs/>
          <w:sz w:val="20"/>
          <w:szCs w:val="20"/>
          <w:u w:val="single"/>
        </w:rPr>
        <w:t>Dion Henry Alex v. Her Majesty the Queen – and – Attorney General of Ontario and Criminal Lawyers’ Association (Ontario)</w:t>
      </w:r>
      <w:r w:rsidRPr="00D22292">
        <w:rPr>
          <w:sz w:val="20"/>
          <w:szCs w:val="20"/>
        </w:rPr>
        <w:t xml:space="preserve"> (B.C.)</w:t>
      </w:r>
    </w:p>
    <w:p w:rsidR="00AB4C7B" w:rsidRPr="00D22292" w:rsidRDefault="00AB4C7B" w:rsidP="00AB4C7B">
      <w:pPr>
        <w:ind w:left="1440"/>
        <w:jc w:val="both"/>
        <w:rPr>
          <w:sz w:val="20"/>
          <w:szCs w:val="20"/>
        </w:rPr>
      </w:pPr>
      <w:r w:rsidRPr="00D22292">
        <w:rPr>
          <w:b/>
          <w:bCs/>
          <w:sz w:val="20"/>
          <w:szCs w:val="20"/>
        </w:rPr>
        <w:t>2017 SCC 37 / 2017 CSC 37</w:t>
      </w:r>
    </w:p>
    <w:p w:rsidR="00AB4C7B" w:rsidRPr="00D22292" w:rsidRDefault="00AB4C7B" w:rsidP="00AB4C7B">
      <w:pPr>
        <w:ind w:left="1440" w:hanging="1440"/>
        <w:jc w:val="both"/>
        <w:rPr>
          <w:sz w:val="20"/>
          <w:szCs w:val="20"/>
        </w:rPr>
      </w:pPr>
    </w:p>
    <w:p w:rsidR="00AB4C7B" w:rsidRPr="00D22292" w:rsidRDefault="00AB4C7B" w:rsidP="00AB4C7B">
      <w:pPr>
        <w:ind w:left="1440" w:hanging="1440"/>
        <w:rPr>
          <w:sz w:val="20"/>
          <w:szCs w:val="20"/>
          <w:lang w:val="en-US"/>
        </w:rPr>
      </w:pPr>
      <w:r w:rsidRPr="00D22292">
        <w:rPr>
          <w:sz w:val="20"/>
          <w:szCs w:val="20"/>
        </w:rPr>
        <w:t>Coram:</w:t>
      </w:r>
      <w:r w:rsidRPr="00D22292">
        <w:rPr>
          <w:sz w:val="20"/>
          <w:szCs w:val="20"/>
        </w:rPr>
        <w:tab/>
      </w:r>
      <w:r w:rsidRPr="00D22292">
        <w:rPr>
          <w:sz w:val="20"/>
          <w:szCs w:val="20"/>
          <w:u w:val="single"/>
        </w:rPr>
        <w:t>McLachlin C.J. and Abella, Moldaver, Karakatsanis, Wagner, Gascon, Côté, Brown and Rowe JJ.</w:t>
      </w:r>
    </w:p>
    <w:p w:rsidR="00AB4C7B" w:rsidRPr="00D22292" w:rsidRDefault="00AB4C7B" w:rsidP="00AB4C7B">
      <w:pPr>
        <w:ind w:left="1440" w:hanging="1440"/>
        <w:rPr>
          <w:sz w:val="20"/>
          <w:szCs w:val="20"/>
        </w:rPr>
      </w:pPr>
    </w:p>
    <w:p w:rsidR="00AB4C7B" w:rsidRPr="00D22292" w:rsidRDefault="00AB4C7B" w:rsidP="00AB4C7B">
      <w:pPr>
        <w:jc w:val="both"/>
        <w:rPr>
          <w:sz w:val="20"/>
          <w:szCs w:val="20"/>
        </w:rPr>
      </w:pPr>
      <w:r w:rsidRPr="00D22292">
        <w:rPr>
          <w:sz w:val="20"/>
          <w:szCs w:val="20"/>
        </w:rPr>
        <w:t>The appeal from the judgment of the Court of Appeal for British Columbia (Vancouver), Number CA42396, 2015 BCCA 435, dated October 21, 2015, heard on December 8, 2016, is dismissed and the conviction is upheld. McLachlin C.J. and Abella, Brown and Rowe JJ. dissent.</w:t>
      </w:r>
    </w:p>
    <w:p w:rsidR="00AB4C7B" w:rsidRPr="00D22292" w:rsidRDefault="00AB4C7B" w:rsidP="00AB4C7B">
      <w:pPr>
        <w:jc w:val="both"/>
        <w:rPr>
          <w:sz w:val="20"/>
          <w:szCs w:val="20"/>
          <w:lang w:val="en-US"/>
        </w:rPr>
      </w:pPr>
    </w:p>
    <w:p w:rsidR="00AB4C7B" w:rsidRPr="00D22292" w:rsidRDefault="00AB4C7B" w:rsidP="00AB4C7B">
      <w:pPr>
        <w:jc w:val="both"/>
        <w:rPr>
          <w:sz w:val="20"/>
          <w:szCs w:val="20"/>
          <w:lang w:val="fr-CA"/>
        </w:rPr>
      </w:pPr>
      <w:r w:rsidRPr="00D22292">
        <w:rPr>
          <w:sz w:val="20"/>
          <w:szCs w:val="20"/>
          <w:lang w:val="fr-CA"/>
        </w:rPr>
        <w:t>L’appel interjeté contre l’arrêt de la Cour d’appel de la Colombie-Britannique (Vancouver), numéro CA42396, 2015 BCCA 435, daté du 21 octobre 2015, entendu le 8 décembre 2016, est rejeté et la déclaration de culpabilité est confirmée. La juge en chef McLachlin et les juges Abella, Brown et Rowe sont dissidents.</w:t>
      </w:r>
    </w:p>
    <w:p w:rsidR="0052229C" w:rsidRPr="00D22292" w:rsidRDefault="0052229C" w:rsidP="0052229C">
      <w:pPr>
        <w:jc w:val="both"/>
        <w:rPr>
          <w:rFonts w:eastAsia="Calibri"/>
          <w:sz w:val="20"/>
          <w:lang w:val="fr-CA"/>
        </w:rPr>
      </w:pPr>
    </w:p>
    <w:p w:rsidR="0052229C" w:rsidRPr="00D22292" w:rsidRDefault="0052229C" w:rsidP="0052229C">
      <w:pPr>
        <w:rPr>
          <w:sz w:val="20"/>
          <w:szCs w:val="20"/>
          <w:lang w:val="fr-CA"/>
        </w:rPr>
      </w:pPr>
    </w:p>
    <w:p w:rsidR="0052229C" w:rsidRPr="00D22292" w:rsidRDefault="00D22292" w:rsidP="0052229C">
      <w:pPr>
        <w:spacing w:line="0" w:lineRule="atLeast"/>
        <w:rPr>
          <w:sz w:val="20"/>
          <w:szCs w:val="20"/>
        </w:rPr>
      </w:pPr>
      <w:r w:rsidRPr="00D22292">
        <w:rPr>
          <w:b/>
          <w:sz w:val="20"/>
          <w:szCs w:val="20"/>
        </w:rPr>
        <w:pict>
          <v:rect id="_x0000_i1056" style="width:144.3pt;height:1pt" o:hrpct="300" o:hralign="center" o:hrstd="t" o:hrnoshade="t" o:hr="t" fillcolor="black [3213]" stroked="f"/>
        </w:pict>
      </w:r>
    </w:p>
    <w:p w:rsidR="0052229C" w:rsidRPr="00D22292" w:rsidRDefault="0052229C" w:rsidP="0052229C">
      <w:pPr>
        <w:spacing w:line="0" w:lineRule="atLeast"/>
        <w:rPr>
          <w:sz w:val="20"/>
          <w:szCs w:val="20"/>
        </w:rPr>
      </w:pPr>
    </w:p>
    <w:p w:rsidR="0052229C" w:rsidRPr="00D22292" w:rsidRDefault="0052229C" w:rsidP="0052229C">
      <w:pPr>
        <w:rPr>
          <w:b/>
          <w:sz w:val="20"/>
          <w:szCs w:val="20"/>
        </w:rPr>
      </w:pPr>
      <w:r w:rsidRPr="00D22292">
        <w:rPr>
          <w:b/>
          <w:sz w:val="20"/>
          <w:szCs w:val="20"/>
        </w:rPr>
        <w:t>J</w:t>
      </w:r>
      <w:r w:rsidR="001F7E04" w:rsidRPr="00D22292">
        <w:rPr>
          <w:b/>
          <w:sz w:val="20"/>
          <w:szCs w:val="20"/>
        </w:rPr>
        <w:t>ULY</w:t>
      </w:r>
      <w:r w:rsidRPr="00D22292">
        <w:rPr>
          <w:b/>
          <w:sz w:val="20"/>
          <w:szCs w:val="20"/>
        </w:rPr>
        <w:t xml:space="preserve"> 7, 201</w:t>
      </w:r>
      <w:r w:rsidR="00801006" w:rsidRPr="00D22292">
        <w:rPr>
          <w:b/>
          <w:sz w:val="20"/>
          <w:szCs w:val="20"/>
        </w:rPr>
        <w:t>7</w:t>
      </w:r>
      <w:r w:rsidRPr="00D22292">
        <w:rPr>
          <w:b/>
          <w:sz w:val="20"/>
          <w:szCs w:val="20"/>
        </w:rPr>
        <w:t xml:space="preserve"> / LE 7 J</w:t>
      </w:r>
      <w:r w:rsidR="001F7E04" w:rsidRPr="00D22292">
        <w:rPr>
          <w:b/>
          <w:sz w:val="20"/>
          <w:szCs w:val="20"/>
        </w:rPr>
        <w:t>UILLET</w:t>
      </w:r>
      <w:r w:rsidRPr="00D22292">
        <w:rPr>
          <w:b/>
          <w:sz w:val="20"/>
          <w:szCs w:val="20"/>
        </w:rPr>
        <w:t xml:space="preserve"> 201</w:t>
      </w:r>
      <w:r w:rsidR="00801006" w:rsidRPr="00D22292">
        <w:rPr>
          <w:b/>
          <w:sz w:val="20"/>
          <w:szCs w:val="20"/>
        </w:rPr>
        <w:t>7</w:t>
      </w:r>
    </w:p>
    <w:p w:rsidR="0052229C" w:rsidRPr="00D22292" w:rsidRDefault="0052229C" w:rsidP="0052229C">
      <w:pPr>
        <w:spacing w:line="0" w:lineRule="atLeast"/>
        <w:rPr>
          <w:rFonts w:cs="Times New Roman"/>
          <w:sz w:val="20"/>
          <w:szCs w:val="20"/>
        </w:rPr>
      </w:pPr>
    </w:p>
    <w:p w:rsidR="0052229C" w:rsidRPr="00D22292" w:rsidRDefault="000E27A5" w:rsidP="0052229C">
      <w:pPr>
        <w:ind w:left="1440" w:hanging="1440"/>
        <w:jc w:val="both"/>
        <w:rPr>
          <w:sz w:val="20"/>
          <w:szCs w:val="20"/>
        </w:rPr>
      </w:pPr>
      <w:r w:rsidRPr="00D22292">
        <w:rPr>
          <w:b/>
          <w:sz w:val="20"/>
          <w:szCs w:val="20"/>
        </w:rPr>
        <w:fldChar w:fldCharType="begin"/>
      </w:r>
      <w:r w:rsidR="0052229C" w:rsidRPr="00D22292">
        <w:rPr>
          <w:b/>
          <w:sz w:val="20"/>
          <w:szCs w:val="20"/>
        </w:rPr>
        <w:instrText xml:space="preserve"> SEQ CHAPTER \h \r 1</w:instrText>
      </w:r>
      <w:r w:rsidRPr="00D22292">
        <w:rPr>
          <w:b/>
          <w:sz w:val="20"/>
          <w:szCs w:val="20"/>
        </w:rPr>
        <w:fldChar w:fldCharType="end"/>
      </w:r>
      <w:r w:rsidR="0052229C" w:rsidRPr="00D22292">
        <w:rPr>
          <w:b/>
          <w:sz w:val="20"/>
          <w:szCs w:val="20"/>
        </w:rPr>
        <w:t>3</w:t>
      </w:r>
      <w:r w:rsidR="00B82B88" w:rsidRPr="00D22292">
        <w:rPr>
          <w:b/>
          <w:sz w:val="20"/>
          <w:szCs w:val="20"/>
        </w:rPr>
        <w:t>7372</w:t>
      </w:r>
      <w:r w:rsidR="0052229C" w:rsidRPr="00D22292">
        <w:rPr>
          <w:sz w:val="20"/>
          <w:szCs w:val="20"/>
        </w:rPr>
        <w:tab/>
      </w:r>
      <w:r w:rsidR="00E06772" w:rsidRPr="00D22292">
        <w:rPr>
          <w:b/>
          <w:sz w:val="20"/>
          <w:szCs w:val="20"/>
          <w:u w:val="single"/>
        </w:rPr>
        <w:t>Barbara George</w:t>
      </w:r>
      <w:r w:rsidR="0052229C" w:rsidRPr="00D22292">
        <w:rPr>
          <w:b/>
          <w:sz w:val="20"/>
          <w:szCs w:val="20"/>
          <w:u w:val="single"/>
        </w:rPr>
        <w:t xml:space="preserve"> v. Her Majesty </w:t>
      </w:r>
      <w:r w:rsidR="001F7E04" w:rsidRPr="00D22292">
        <w:rPr>
          <w:b/>
          <w:sz w:val="20"/>
          <w:szCs w:val="20"/>
          <w:u w:val="single"/>
        </w:rPr>
        <w:t>t</w:t>
      </w:r>
      <w:r w:rsidR="0052229C" w:rsidRPr="00D22292">
        <w:rPr>
          <w:b/>
          <w:sz w:val="20"/>
          <w:szCs w:val="20"/>
          <w:u w:val="single"/>
        </w:rPr>
        <w:t xml:space="preserve">he </w:t>
      </w:r>
      <w:r w:rsidR="00E06772" w:rsidRPr="00D22292">
        <w:rPr>
          <w:b/>
          <w:sz w:val="20"/>
          <w:szCs w:val="20"/>
          <w:u w:val="single"/>
        </w:rPr>
        <w:t>Queen</w:t>
      </w:r>
      <w:r w:rsidR="00E06772" w:rsidRPr="00D22292">
        <w:rPr>
          <w:sz w:val="20"/>
          <w:szCs w:val="20"/>
        </w:rPr>
        <w:t xml:space="preserve"> </w:t>
      </w:r>
      <w:r w:rsidR="0052229C" w:rsidRPr="00D22292">
        <w:rPr>
          <w:iCs/>
          <w:sz w:val="20"/>
          <w:szCs w:val="20"/>
        </w:rPr>
        <w:t>(</w:t>
      </w:r>
      <w:r w:rsidR="00E06772" w:rsidRPr="00D22292">
        <w:rPr>
          <w:iCs/>
          <w:sz w:val="20"/>
          <w:szCs w:val="20"/>
        </w:rPr>
        <w:t>Sask</w:t>
      </w:r>
      <w:r w:rsidR="0052229C" w:rsidRPr="00D22292">
        <w:rPr>
          <w:iCs/>
          <w:sz w:val="20"/>
          <w:szCs w:val="20"/>
        </w:rPr>
        <w:t>.)</w:t>
      </w:r>
    </w:p>
    <w:p w:rsidR="0052229C" w:rsidRPr="00D22292"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D22292">
        <w:rPr>
          <w:b/>
          <w:sz w:val="20"/>
          <w:szCs w:val="20"/>
        </w:rPr>
        <w:t>201</w:t>
      </w:r>
      <w:r w:rsidR="0056248C" w:rsidRPr="00D22292">
        <w:rPr>
          <w:b/>
          <w:sz w:val="20"/>
          <w:szCs w:val="20"/>
        </w:rPr>
        <w:t>7</w:t>
      </w:r>
      <w:r w:rsidRPr="00D22292">
        <w:rPr>
          <w:b/>
          <w:sz w:val="20"/>
          <w:szCs w:val="20"/>
        </w:rPr>
        <w:t xml:space="preserve"> SCC </w:t>
      </w:r>
      <w:r w:rsidR="001F7E04" w:rsidRPr="00D22292">
        <w:rPr>
          <w:b/>
          <w:sz w:val="20"/>
          <w:szCs w:val="20"/>
        </w:rPr>
        <w:t>38</w:t>
      </w:r>
      <w:r w:rsidRPr="00D22292">
        <w:rPr>
          <w:b/>
          <w:sz w:val="20"/>
          <w:szCs w:val="20"/>
        </w:rPr>
        <w:t xml:space="preserve"> / 201</w:t>
      </w:r>
      <w:r w:rsidR="0056248C" w:rsidRPr="00D22292">
        <w:rPr>
          <w:b/>
          <w:sz w:val="20"/>
          <w:szCs w:val="20"/>
        </w:rPr>
        <w:t>7</w:t>
      </w:r>
      <w:r w:rsidRPr="00D22292">
        <w:rPr>
          <w:b/>
          <w:sz w:val="20"/>
          <w:szCs w:val="20"/>
        </w:rPr>
        <w:t xml:space="preserve"> CSC </w:t>
      </w:r>
      <w:r w:rsidR="001F7E04" w:rsidRPr="00D22292">
        <w:rPr>
          <w:b/>
          <w:sz w:val="20"/>
          <w:szCs w:val="20"/>
        </w:rPr>
        <w:t>38</w:t>
      </w:r>
    </w:p>
    <w:p w:rsidR="0052229C" w:rsidRPr="00D22292"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56248C" w:rsidRPr="00D22292" w:rsidRDefault="0052229C" w:rsidP="0056248C">
      <w:pPr>
        <w:widowControl w:val="0"/>
        <w:ind w:left="720" w:hanging="720"/>
        <w:rPr>
          <w:sz w:val="20"/>
          <w:szCs w:val="20"/>
        </w:rPr>
      </w:pPr>
      <w:r w:rsidRPr="00D22292">
        <w:rPr>
          <w:sz w:val="20"/>
          <w:szCs w:val="20"/>
        </w:rPr>
        <w:t>Coram:</w:t>
      </w:r>
      <w:r w:rsidRPr="00D22292">
        <w:rPr>
          <w:sz w:val="20"/>
          <w:szCs w:val="20"/>
        </w:rPr>
        <w:tab/>
      </w:r>
      <w:r w:rsidR="0056248C" w:rsidRPr="00D22292">
        <w:rPr>
          <w:sz w:val="20"/>
          <w:szCs w:val="20"/>
          <w:u w:val="single"/>
        </w:rPr>
        <w:t>Abella, Moldaver, Karakatsanis, Gascon</w:t>
      </w:r>
      <w:r w:rsidR="00E06772" w:rsidRPr="00D22292">
        <w:rPr>
          <w:sz w:val="20"/>
          <w:szCs w:val="20"/>
          <w:u w:val="single"/>
        </w:rPr>
        <w:t xml:space="preserve"> and</w:t>
      </w:r>
      <w:r w:rsidR="0056248C" w:rsidRPr="00D22292">
        <w:rPr>
          <w:sz w:val="20"/>
          <w:szCs w:val="20"/>
          <w:u w:val="single"/>
        </w:rPr>
        <w:t xml:space="preserve"> Côté JJ.</w:t>
      </w:r>
    </w:p>
    <w:p w:rsidR="0052229C" w:rsidRPr="00D22292" w:rsidRDefault="0052229C" w:rsidP="0052229C">
      <w:pPr>
        <w:ind w:left="1440" w:hanging="1440"/>
        <w:jc w:val="both"/>
        <w:rPr>
          <w:sz w:val="20"/>
          <w:szCs w:val="20"/>
          <w:u w:val="single"/>
        </w:rPr>
      </w:pPr>
    </w:p>
    <w:p w:rsidR="0052229C" w:rsidRPr="00D22292" w:rsidRDefault="00B22DF9" w:rsidP="0052229C">
      <w:pPr>
        <w:jc w:val="both"/>
        <w:rPr>
          <w:rFonts w:eastAsia="Calibri"/>
          <w:b/>
          <w:sz w:val="20"/>
          <w:szCs w:val="20"/>
          <w:lang w:val="fr-CA"/>
        </w:rPr>
      </w:pPr>
      <w:r w:rsidRPr="00D22292">
        <w:rPr>
          <w:rFonts w:eastAsia="Calibri"/>
          <w:b/>
          <w:sz w:val="20"/>
          <w:szCs w:val="20"/>
        </w:rPr>
        <w:t>REASONS RELEASED / MOTIFS DÉPOSÉS</w:t>
      </w:r>
    </w:p>
    <w:p w:rsidR="00D004FC" w:rsidRPr="00D22292" w:rsidRDefault="00D004FC" w:rsidP="00D004FC">
      <w:pPr>
        <w:spacing w:line="0" w:lineRule="atLeast"/>
        <w:rPr>
          <w:rFonts w:cs="Times New Roman"/>
          <w:sz w:val="20"/>
          <w:szCs w:val="20"/>
          <w:lang w:val="fr-CA"/>
        </w:rPr>
      </w:pPr>
    </w:p>
    <w:p w:rsidR="00D004FC" w:rsidRPr="00D22292" w:rsidRDefault="00D22292" w:rsidP="00D004FC">
      <w:pPr>
        <w:jc w:val="both"/>
        <w:rPr>
          <w:rFonts w:cs="Times New Roman"/>
          <w:b/>
          <w:sz w:val="20"/>
          <w:szCs w:val="20"/>
        </w:rPr>
      </w:pPr>
      <w:r w:rsidRPr="00D22292">
        <w:rPr>
          <w:rFonts w:cs="Times New Roman"/>
          <w:b/>
          <w:sz w:val="20"/>
          <w:szCs w:val="20"/>
        </w:rPr>
        <w:pict>
          <v:rect id="_x0000_i1057" style="width:144.3pt;height:1pt" o:hrpct="300" o:hralign="center" o:hrstd="t" o:hrnoshade="t" o:hr="t" fillcolor="black [3213]" stroked="f"/>
        </w:pict>
      </w:r>
    </w:p>
    <w:p w:rsidR="00D004FC" w:rsidRPr="00D22292" w:rsidRDefault="00D004FC" w:rsidP="00D004FC">
      <w:pPr>
        <w:jc w:val="both"/>
        <w:rPr>
          <w:rFonts w:cs="Times New Roman"/>
          <w:sz w:val="20"/>
          <w:szCs w:val="20"/>
        </w:rPr>
      </w:pPr>
    </w:p>
    <w:p w:rsidR="00D004FC" w:rsidRPr="00D22292"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D22292" w:rsidRDefault="00732DB7" w:rsidP="00732DB7">
      <w:pPr>
        <w:widowControl w:val="0"/>
        <w:rPr>
          <w:sz w:val="20"/>
          <w:szCs w:val="20"/>
        </w:rPr>
      </w:pPr>
    </w:p>
    <w:p w:rsidR="00697C62" w:rsidRPr="00D22292" w:rsidRDefault="00697C62" w:rsidP="00732DB7">
      <w:pPr>
        <w:widowControl w:val="0"/>
        <w:rPr>
          <w:sz w:val="20"/>
          <w:szCs w:val="20"/>
        </w:rPr>
        <w:sectPr w:rsidR="00697C62" w:rsidRPr="00D22292" w:rsidSect="00782AE4">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D22292" w:rsidTr="0085476B">
        <w:tc>
          <w:tcPr>
            <w:tcW w:w="4200" w:type="dxa"/>
            <w:tcMar>
              <w:left w:w="0" w:type="dxa"/>
              <w:right w:w="0" w:type="dxa"/>
            </w:tcMar>
          </w:tcPr>
          <w:p w:rsidR="00782AE4" w:rsidRPr="00D22292" w:rsidRDefault="00782AE4" w:rsidP="00782AE4">
            <w:pPr>
              <w:keepNext/>
              <w:keepLines/>
              <w:jc w:val="both"/>
              <w:rPr>
                <w:b/>
                <w:szCs w:val="24"/>
              </w:rPr>
            </w:pPr>
            <w:r w:rsidRPr="00D22292">
              <w:rPr>
                <w:b/>
                <w:szCs w:val="24"/>
              </w:rPr>
              <w:lastRenderedPageBreak/>
              <w:t>HEADNOTES OF RECENT</w:t>
            </w:r>
          </w:p>
          <w:p w:rsidR="00782AE4" w:rsidRPr="00D22292" w:rsidRDefault="00782AE4" w:rsidP="00782AE4">
            <w:pPr>
              <w:keepNext/>
              <w:keepLines/>
              <w:jc w:val="both"/>
              <w:rPr>
                <w:b/>
                <w:szCs w:val="24"/>
              </w:rPr>
            </w:pPr>
            <w:r w:rsidRPr="00D22292">
              <w:rPr>
                <w:b/>
                <w:szCs w:val="24"/>
              </w:rPr>
              <w:t>JUDGMENTS</w:t>
            </w:r>
          </w:p>
        </w:tc>
        <w:tc>
          <w:tcPr>
            <w:tcW w:w="1200" w:type="dxa"/>
            <w:tcMar>
              <w:left w:w="0" w:type="dxa"/>
              <w:right w:w="0" w:type="dxa"/>
            </w:tcMar>
          </w:tcPr>
          <w:p w:rsidR="00782AE4" w:rsidRPr="00D22292" w:rsidRDefault="00782AE4" w:rsidP="00102926">
            <w:pPr>
              <w:keepNext/>
              <w:keepLines/>
              <w:jc w:val="center"/>
              <w:rPr>
                <w:b/>
                <w:szCs w:val="24"/>
              </w:rPr>
            </w:pPr>
          </w:p>
          <w:p w:rsidR="00782AE4" w:rsidRPr="00D22292" w:rsidRDefault="00782AE4" w:rsidP="00102926">
            <w:pPr>
              <w:keepNext/>
              <w:keepLines/>
              <w:jc w:val="center"/>
              <w:rPr>
                <w:b/>
                <w:szCs w:val="24"/>
              </w:rPr>
            </w:pPr>
          </w:p>
          <w:p w:rsidR="00782AE4" w:rsidRPr="00D22292" w:rsidRDefault="00782AE4" w:rsidP="00102926">
            <w:pPr>
              <w:keepNext/>
              <w:keepLines/>
              <w:jc w:val="center"/>
              <w:rPr>
                <w:b/>
                <w:szCs w:val="24"/>
              </w:rPr>
            </w:pPr>
          </w:p>
        </w:tc>
        <w:tc>
          <w:tcPr>
            <w:tcW w:w="4080" w:type="dxa"/>
            <w:tcMar>
              <w:left w:w="0" w:type="dxa"/>
              <w:right w:w="0" w:type="dxa"/>
            </w:tcMar>
          </w:tcPr>
          <w:p w:rsidR="00782AE4" w:rsidRPr="00D22292" w:rsidRDefault="00782AE4" w:rsidP="00782AE4">
            <w:pPr>
              <w:keepNext/>
              <w:keepLines/>
              <w:rPr>
                <w:b/>
                <w:szCs w:val="24"/>
              </w:rPr>
            </w:pPr>
            <w:r w:rsidRPr="00D22292">
              <w:rPr>
                <w:b/>
                <w:szCs w:val="24"/>
              </w:rPr>
              <w:t>SOMMAIRES DE JUGEMENTS RÉCENTS</w:t>
            </w:r>
          </w:p>
        </w:tc>
      </w:tr>
    </w:tbl>
    <w:p w:rsidR="003B3977" w:rsidRPr="00D22292" w:rsidRDefault="003B3977" w:rsidP="005C6840">
      <w:pPr>
        <w:rPr>
          <w:rFonts w:cs="Times New Roman"/>
          <w:i/>
          <w:sz w:val="20"/>
          <w:szCs w:val="20"/>
        </w:rPr>
      </w:pPr>
    </w:p>
    <w:p w:rsidR="0052229C" w:rsidRPr="00D22292" w:rsidRDefault="0096758A" w:rsidP="0052229C">
      <w:pPr>
        <w:ind w:left="1440" w:hanging="1440"/>
        <w:jc w:val="both"/>
        <w:rPr>
          <w:sz w:val="20"/>
          <w:szCs w:val="20"/>
          <w:lang w:val="en-US"/>
        </w:rPr>
      </w:pPr>
      <w:r w:rsidRPr="00D22292">
        <w:rPr>
          <w:rFonts w:eastAsia="Calibri"/>
          <w:i/>
          <w:sz w:val="20"/>
          <w:szCs w:val="20"/>
          <w:lang w:val="en-US"/>
        </w:rPr>
        <w:t>Dion Henry Alex v. Her Majesty the Queen</w:t>
      </w:r>
      <w:r w:rsidR="0052229C" w:rsidRPr="00D22292">
        <w:rPr>
          <w:sz w:val="20"/>
          <w:szCs w:val="20"/>
          <w:lang w:val="en-US"/>
        </w:rPr>
        <w:t xml:space="preserve"> (</w:t>
      </w:r>
      <w:r w:rsidRPr="00D22292">
        <w:rPr>
          <w:sz w:val="20"/>
          <w:szCs w:val="20"/>
          <w:lang w:val="en-US"/>
        </w:rPr>
        <w:t>B.C.</w:t>
      </w:r>
      <w:r w:rsidR="0052229C" w:rsidRPr="00D22292">
        <w:rPr>
          <w:sz w:val="20"/>
          <w:szCs w:val="20"/>
          <w:lang w:val="en-US"/>
        </w:rPr>
        <w:t>) (</w:t>
      </w:r>
      <w:hyperlink r:id="rId59" w:history="1">
        <w:r w:rsidR="0052229C" w:rsidRPr="00D22292">
          <w:rPr>
            <w:rStyle w:val="Hyperlink"/>
            <w:sz w:val="20"/>
            <w:szCs w:val="20"/>
            <w:lang w:val="en-US"/>
          </w:rPr>
          <w:t>3</w:t>
        </w:r>
        <w:r w:rsidR="00320EB6" w:rsidRPr="00D22292">
          <w:rPr>
            <w:rStyle w:val="Hyperlink"/>
            <w:sz w:val="20"/>
            <w:szCs w:val="20"/>
            <w:lang w:val="en-US"/>
          </w:rPr>
          <w:t>6771</w:t>
        </w:r>
      </w:hyperlink>
      <w:r w:rsidR="0052229C" w:rsidRPr="00D22292">
        <w:rPr>
          <w:sz w:val="20"/>
          <w:szCs w:val="20"/>
          <w:lang w:val="en-US"/>
        </w:rPr>
        <w:t>)</w:t>
      </w:r>
    </w:p>
    <w:p w:rsidR="0052229C" w:rsidRPr="00D22292" w:rsidRDefault="0052229C" w:rsidP="0052229C">
      <w:pPr>
        <w:jc w:val="both"/>
        <w:rPr>
          <w:b/>
          <w:sz w:val="20"/>
          <w:szCs w:val="20"/>
          <w:lang w:val="en-US"/>
        </w:rPr>
      </w:pPr>
      <w:r w:rsidRPr="00D22292">
        <w:rPr>
          <w:b/>
          <w:sz w:val="20"/>
          <w:szCs w:val="20"/>
          <w:lang w:val="en-US"/>
        </w:rPr>
        <w:t xml:space="preserve">Indexed as: </w:t>
      </w:r>
      <w:r w:rsidR="00320EB6" w:rsidRPr="00D22292">
        <w:rPr>
          <w:rStyle w:val="SCCAppellantForIndexChar"/>
          <w:rFonts w:eastAsiaTheme="minorHAnsi"/>
          <w:sz w:val="20"/>
          <w:lang w:val="en-US"/>
        </w:rPr>
        <w:t>R.</w:t>
      </w:r>
      <w:r w:rsidRPr="00D22292">
        <w:rPr>
          <w:b/>
          <w:sz w:val="20"/>
          <w:szCs w:val="20"/>
          <w:lang w:val="en-US"/>
        </w:rPr>
        <w:t xml:space="preserve"> </w:t>
      </w:r>
      <w:r w:rsidRPr="00D22292">
        <w:rPr>
          <w:b/>
          <w:i/>
          <w:sz w:val="20"/>
          <w:szCs w:val="20"/>
          <w:lang w:val="en-US"/>
        </w:rPr>
        <w:t>v.</w:t>
      </w:r>
      <w:r w:rsidRPr="00D22292">
        <w:rPr>
          <w:b/>
          <w:sz w:val="20"/>
          <w:szCs w:val="20"/>
          <w:lang w:val="en-US"/>
        </w:rPr>
        <w:t xml:space="preserve"> </w:t>
      </w:r>
      <w:r w:rsidR="00320EB6" w:rsidRPr="00D22292">
        <w:rPr>
          <w:b/>
          <w:sz w:val="20"/>
          <w:szCs w:val="20"/>
          <w:lang w:val="en-US"/>
        </w:rPr>
        <w:t>Alex</w:t>
      </w:r>
      <w:r w:rsidRPr="00D22292">
        <w:rPr>
          <w:rStyle w:val="SCCRespondentForIndexChar"/>
          <w:rFonts w:eastAsiaTheme="minorHAnsi"/>
          <w:sz w:val="20"/>
          <w:lang w:val="en-US"/>
        </w:rPr>
        <w:t xml:space="preserve"> / </w:t>
      </w:r>
      <w:r w:rsidRPr="00D22292">
        <w:rPr>
          <w:b/>
          <w:sz w:val="20"/>
          <w:szCs w:val="20"/>
          <w:lang w:val="en-US"/>
        </w:rPr>
        <w:t>Répertorié : </w:t>
      </w:r>
      <w:r w:rsidR="00320EB6" w:rsidRPr="00D22292">
        <w:rPr>
          <w:rStyle w:val="SCCAppellantForIndexChar"/>
          <w:rFonts w:eastAsiaTheme="minorHAnsi"/>
          <w:sz w:val="20"/>
          <w:lang w:val="en-US"/>
        </w:rPr>
        <w:t>R</w:t>
      </w:r>
      <w:r w:rsidRPr="00D22292">
        <w:rPr>
          <w:rStyle w:val="SCCAppellantForIndexChar"/>
          <w:rFonts w:eastAsiaTheme="minorHAnsi"/>
          <w:sz w:val="20"/>
          <w:lang w:val="en-US"/>
        </w:rPr>
        <w:t>.</w:t>
      </w:r>
      <w:r w:rsidRPr="00D22292">
        <w:rPr>
          <w:b/>
          <w:sz w:val="20"/>
          <w:szCs w:val="20"/>
          <w:lang w:val="en-US"/>
        </w:rPr>
        <w:t xml:space="preserve"> </w:t>
      </w:r>
      <w:r w:rsidRPr="00D22292">
        <w:rPr>
          <w:b/>
          <w:i/>
          <w:sz w:val="20"/>
          <w:szCs w:val="20"/>
          <w:lang w:val="en-US"/>
        </w:rPr>
        <w:t>c.</w:t>
      </w:r>
      <w:r w:rsidRPr="00D22292">
        <w:rPr>
          <w:b/>
          <w:sz w:val="20"/>
          <w:szCs w:val="20"/>
          <w:lang w:val="en-US"/>
        </w:rPr>
        <w:t xml:space="preserve"> </w:t>
      </w:r>
      <w:r w:rsidR="00320EB6" w:rsidRPr="00D22292">
        <w:rPr>
          <w:b/>
          <w:sz w:val="20"/>
          <w:szCs w:val="20"/>
          <w:lang w:val="en-US"/>
        </w:rPr>
        <w:t>Alex</w:t>
      </w:r>
    </w:p>
    <w:p w:rsidR="0052229C" w:rsidRPr="00D22292" w:rsidRDefault="0052229C" w:rsidP="0052229C">
      <w:pPr>
        <w:pStyle w:val="SCCSystemYear"/>
        <w:jc w:val="both"/>
        <w:rPr>
          <w:sz w:val="20"/>
        </w:rPr>
      </w:pPr>
      <w:r w:rsidRPr="00D22292">
        <w:rPr>
          <w:sz w:val="20"/>
        </w:rPr>
        <w:t xml:space="preserve">Neutral citation: </w:t>
      </w:r>
      <w:r w:rsidR="0030050B" w:rsidRPr="00D22292">
        <w:rPr>
          <w:sz w:val="20"/>
        </w:rPr>
        <w:t>201</w:t>
      </w:r>
      <w:r w:rsidR="0056248C" w:rsidRPr="00D22292">
        <w:rPr>
          <w:sz w:val="20"/>
        </w:rPr>
        <w:t>7</w:t>
      </w:r>
      <w:r w:rsidRPr="00D22292">
        <w:rPr>
          <w:sz w:val="20"/>
        </w:rPr>
        <w:t xml:space="preserve"> SCC </w:t>
      </w:r>
      <w:r w:rsidR="00857A3C" w:rsidRPr="00D22292">
        <w:rPr>
          <w:sz w:val="20"/>
        </w:rPr>
        <w:t>37</w:t>
      </w:r>
      <w:r w:rsidRPr="00D22292">
        <w:rPr>
          <w:sz w:val="20"/>
        </w:rPr>
        <w:t xml:space="preserve"> / Référence neutre : </w:t>
      </w:r>
      <w:r w:rsidR="0030050B" w:rsidRPr="00D22292">
        <w:rPr>
          <w:sz w:val="20"/>
        </w:rPr>
        <w:t>201</w:t>
      </w:r>
      <w:r w:rsidR="0056248C" w:rsidRPr="00D22292">
        <w:rPr>
          <w:sz w:val="20"/>
        </w:rPr>
        <w:t>7</w:t>
      </w:r>
      <w:r w:rsidRPr="00D22292">
        <w:rPr>
          <w:sz w:val="20"/>
        </w:rPr>
        <w:t xml:space="preserve"> CSC </w:t>
      </w:r>
      <w:r w:rsidR="00857A3C" w:rsidRPr="00D22292">
        <w:rPr>
          <w:sz w:val="20"/>
        </w:rPr>
        <w:t>37</w:t>
      </w:r>
    </w:p>
    <w:p w:rsidR="0052229C" w:rsidRPr="00D22292" w:rsidRDefault="0052229C" w:rsidP="0052229C">
      <w:pPr>
        <w:rPr>
          <w:rFonts w:cs="Times New Roman"/>
          <w:sz w:val="20"/>
          <w:szCs w:val="20"/>
          <w:lang w:val="fr-CA"/>
        </w:rPr>
      </w:pPr>
      <w:r w:rsidRPr="00D22292">
        <w:rPr>
          <w:rFonts w:cs="Times New Roman"/>
          <w:sz w:val="20"/>
          <w:szCs w:val="20"/>
          <w:lang w:val="fr-CA"/>
        </w:rPr>
        <w:t xml:space="preserve">Hearing: </w:t>
      </w:r>
      <w:r w:rsidR="00320EB6" w:rsidRPr="00D22292">
        <w:rPr>
          <w:rFonts w:cs="Times New Roman"/>
          <w:sz w:val="20"/>
          <w:szCs w:val="20"/>
          <w:lang w:val="fr-CA"/>
        </w:rPr>
        <w:t>December</w:t>
      </w:r>
      <w:r w:rsidRPr="00D22292">
        <w:rPr>
          <w:rFonts w:cs="Times New Roman"/>
          <w:sz w:val="20"/>
          <w:szCs w:val="20"/>
          <w:lang w:val="fr-CA"/>
        </w:rPr>
        <w:t xml:space="preserve"> </w:t>
      </w:r>
      <w:r w:rsidR="00320EB6" w:rsidRPr="00D22292">
        <w:rPr>
          <w:rFonts w:cs="Times New Roman"/>
          <w:sz w:val="20"/>
          <w:szCs w:val="20"/>
          <w:lang w:val="fr-CA"/>
        </w:rPr>
        <w:t>8</w:t>
      </w:r>
      <w:r w:rsidRPr="00D22292">
        <w:rPr>
          <w:rFonts w:cs="Times New Roman"/>
          <w:sz w:val="20"/>
          <w:szCs w:val="20"/>
          <w:lang w:val="fr-CA"/>
        </w:rPr>
        <w:t>, 201</w:t>
      </w:r>
      <w:r w:rsidR="00320EB6" w:rsidRPr="00D22292">
        <w:rPr>
          <w:rFonts w:cs="Times New Roman"/>
          <w:sz w:val="20"/>
          <w:szCs w:val="20"/>
          <w:lang w:val="fr-CA"/>
        </w:rPr>
        <w:t>6</w:t>
      </w:r>
      <w:r w:rsidRPr="00D22292">
        <w:rPr>
          <w:rFonts w:cs="Times New Roman"/>
          <w:sz w:val="20"/>
          <w:szCs w:val="20"/>
          <w:lang w:val="fr-CA"/>
        </w:rPr>
        <w:t xml:space="preserve"> / Judgment: J</w:t>
      </w:r>
      <w:r w:rsidR="00857A3C" w:rsidRPr="00D22292">
        <w:rPr>
          <w:rFonts w:cs="Times New Roman"/>
          <w:sz w:val="20"/>
          <w:szCs w:val="20"/>
          <w:lang w:val="fr-CA"/>
        </w:rPr>
        <w:t>uly</w:t>
      </w:r>
      <w:r w:rsidRPr="00D22292">
        <w:rPr>
          <w:rFonts w:cs="Times New Roman"/>
          <w:sz w:val="20"/>
          <w:szCs w:val="20"/>
          <w:lang w:val="fr-CA"/>
        </w:rPr>
        <w:t xml:space="preserve"> </w:t>
      </w:r>
      <w:r w:rsidR="00857A3C" w:rsidRPr="00D22292">
        <w:rPr>
          <w:rFonts w:cs="Times New Roman"/>
          <w:sz w:val="20"/>
          <w:szCs w:val="20"/>
          <w:lang w:val="fr-CA"/>
        </w:rPr>
        <w:t>6</w:t>
      </w:r>
      <w:r w:rsidRPr="00D22292">
        <w:rPr>
          <w:rFonts w:cs="Times New Roman"/>
          <w:sz w:val="20"/>
          <w:szCs w:val="20"/>
          <w:lang w:val="fr-CA"/>
        </w:rPr>
        <w:t xml:space="preserve">, </w:t>
      </w:r>
      <w:r w:rsidR="0056248C" w:rsidRPr="00D22292">
        <w:rPr>
          <w:rFonts w:cs="Times New Roman"/>
          <w:sz w:val="20"/>
          <w:szCs w:val="20"/>
          <w:lang w:val="fr-CA"/>
        </w:rPr>
        <w:t>2017</w:t>
      </w:r>
    </w:p>
    <w:p w:rsidR="0052229C" w:rsidRPr="00D22292" w:rsidRDefault="0052229C" w:rsidP="0052229C">
      <w:pPr>
        <w:rPr>
          <w:rFonts w:cs="Times New Roman"/>
          <w:sz w:val="20"/>
          <w:szCs w:val="20"/>
          <w:lang w:val="fr-CA"/>
        </w:rPr>
      </w:pPr>
      <w:r w:rsidRPr="00D22292">
        <w:rPr>
          <w:rFonts w:cs="Times New Roman"/>
          <w:sz w:val="20"/>
          <w:szCs w:val="20"/>
          <w:lang w:val="fr-CA"/>
        </w:rPr>
        <w:t xml:space="preserve">Audition : Le </w:t>
      </w:r>
      <w:r w:rsidR="00320EB6" w:rsidRPr="00D22292">
        <w:rPr>
          <w:rFonts w:cs="Times New Roman"/>
          <w:sz w:val="20"/>
          <w:szCs w:val="20"/>
          <w:lang w:val="fr-CA"/>
        </w:rPr>
        <w:t>8</w:t>
      </w:r>
      <w:r w:rsidRPr="00D22292">
        <w:rPr>
          <w:rFonts w:cs="Times New Roman"/>
          <w:sz w:val="20"/>
          <w:szCs w:val="20"/>
          <w:lang w:val="fr-CA"/>
        </w:rPr>
        <w:t xml:space="preserve"> </w:t>
      </w:r>
      <w:r w:rsidR="00320EB6" w:rsidRPr="00D22292">
        <w:rPr>
          <w:rFonts w:cs="Times New Roman"/>
          <w:sz w:val="20"/>
          <w:szCs w:val="20"/>
          <w:lang w:val="fr-CA"/>
        </w:rPr>
        <w:t>décembre</w:t>
      </w:r>
      <w:r w:rsidRPr="00D22292">
        <w:rPr>
          <w:rFonts w:cs="Times New Roman"/>
          <w:sz w:val="20"/>
          <w:szCs w:val="20"/>
          <w:lang w:val="fr-CA"/>
        </w:rPr>
        <w:t xml:space="preserve"> 201</w:t>
      </w:r>
      <w:r w:rsidR="00320EB6" w:rsidRPr="00D22292">
        <w:rPr>
          <w:rFonts w:cs="Times New Roman"/>
          <w:sz w:val="20"/>
          <w:szCs w:val="20"/>
          <w:lang w:val="fr-CA"/>
        </w:rPr>
        <w:t>6</w:t>
      </w:r>
      <w:r w:rsidRPr="00D22292">
        <w:rPr>
          <w:rFonts w:cs="Times New Roman"/>
          <w:sz w:val="20"/>
          <w:szCs w:val="20"/>
          <w:lang w:val="fr-CA"/>
        </w:rPr>
        <w:t xml:space="preserve"> / Jugement : Le </w:t>
      </w:r>
      <w:r w:rsidR="00857A3C" w:rsidRPr="00D22292">
        <w:rPr>
          <w:rFonts w:cs="Times New Roman"/>
          <w:sz w:val="20"/>
          <w:szCs w:val="20"/>
          <w:lang w:val="fr-CA"/>
        </w:rPr>
        <w:t>6</w:t>
      </w:r>
      <w:r w:rsidRPr="00D22292">
        <w:rPr>
          <w:rFonts w:cs="Times New Roman"/>
          <w:sz w:val="20"/>
          <w:szCs w:val="20"/>
          <w:lang w:val="fr-CA"/>
        </w:rPr>
        <w:t xml:space="preserve"> j</w:t>
      </w:r>
      <w:r w:rsidR="00857A3C" w:rsidRPr="00D22292">
        <w:rPr>
          <w:rFonts w:cs="Times New Roman"/>
          <w:sz w:val="20"/>
          <w:szCs w:val="20"/>
          <w:lang w:val="fr-CA"/>
        </w:rPr>
        <w:t>uillet</w:t>
      </w:r>
      <w:r w:rsidRPr="00D22292">
        <w:rPr>
          <w:rFonts w:cs="Times New Roman"/>
          <w:sz w:val="20"/>
          <w:szCs w:val="20"/>
          <w:lang w:val="fr-CA"/>
        </w:rPr>
        <w:t xml:space="preserve"> </w:t>
      </w:r>
      <w:r w:rsidR="0030050B" w:rsidRPr="00D22292">
        <w:rPr>
          <w:rFonts w:cs="Times New Roman"/>
          <w:sz w:val="20"/>
          <w:szCs w:val="20"/>
          <w:lang w:val="fr-CA"/>
        </w:rPr>
        <w:t>201</w:t>
      </w:r>
      <w:r w:rsidR="0056248C" w:rsidRPr="00D22292">
        <w:rPr>
          <w:rFonts w:cs="Times New Roman"/>
          <w:sz w:val="20"/>
          <w:szCs w:val="20"/>
          <w:lang w:val="fr-CA"/>
        </w:rPr>
        <w:t>7</w:t>
      </w:r>
    </w:p>
    <w:p w:rsidR="005C6840" w:rsidRPr="00D22292" w:rsidRDefault="00D22292" w:rsidP="005C6840">
      <w:pPr>
        <w:rPr>
          <w:rFonts w:cs="Times New Roman"/>
          <w:sz w:val="20"/>
          <w:szCs w:val="20"/>
          <w:lang w:val="fr-CA"/>
        </w:rPr>
      </w:pPr>
      <w:r w:rsidRPr="00D22292">
        <w:rPr>
          <w:rFonts w:cs="Times New Roman"/>
          <w:i/>
          <w:sz w:val="20"/>
          <w:szCs w:val="20"/>
        </w:rPr>
        <w:pict>
          <v:rect id="_x0000_i1060" style="width:480.95pt;height:1pt" o:hralign="center" o:hrstd="t" o:hrnoshade="t" o:hr="t" fillcolor="black [3213]" stroked="f"/>
        </w:pict>
      </w:r>
    </w:p>
    <w:p w:rsidR="005C6840" w:rsidRPr="00D22292" w:rsidRDefault="005C6840" w:rsidP="005C6840">
      <w:pPr>
        <w:rPr>
          <w:rFonts w:cs="Times New Roman"/>
          <w:sz w:val="20"/>
          <w:szCs w:val="20"/>
          <w:lang w:val="fr-CA"/>
        </w:rPr>
      </w:pPr>
    </w:p>
    <w:p w:rsidR="00AB4C7B" w:rsidRPr="00D22292" w:rsidRDefault="00AB4C7B" w:rsidP="00AB4C7B">
      <w:pPr>
        <w:jc w:val="both"/>
        <w:rPr>
          <w:sz w:val="20"/>
        </w:rPr>
      </w:pPr>
      <w:r w:rsidRPr="00D22292">
        <w:rPr>
          <w:rFonts w:cs="Times New Roman"/>
          <w:sz w:val="20"/>
          <w:szCs w:val="20"/>
        </w:rPr>
        <w:t>Present: McLachlin C.J. and Abella, Moldaver, Karakatsanis, Wagner, Gascon, Côté, Brown and Rowe JJ.</w:t>
      </w:r>
    </w:p>
    <w:p w:rsidR="00AB4C7B" w:rsidRPr="00D22292" w:rsidRDefault="00AB4C7B" w:rsidP="00AB4C7B">
      <w:pPr>
        <w:jc w:val="both"/>
        <w:rPr>
          <w:rFonts w:cs="Times New Roman"/>
          <w:sz w:val="20"/>
          <w:szCs w:val="20"/>
        </w:rPr>
      </w:pPr>
    </w:p>
    <w:p w:rsidR="00AB4C7B" w:rsidRPr="00D22292" w:rsidRDefault="00AB4C7B" w:rsidP="00AB4C7B">
      <w:pPr>
        <w:pStyle w:val="SCCNormalDoubleSpacing"/>
        <w:spacing w:line="240" w:lineRule="auto"/>
        <w:rPr>
          <w:i/>
          <w:sz w:val="20"/>
          <w:lang w:val="en-US"/>
        </w:rPr>
      </w:pPr>
      <w:r w:rsidRPr="00D22292">
        <w:rPr>
          <w:i/>
          <w:sz w:val="20"/>
        </w:rPr>
        <w:tab/>
        <w:t xml:space="preserve">Criminal law </w:t>
      </w:r>
      <w:r w:rsidRPr="00D22292">
        <w:rPr>
          <w:i/>
          <w:iCs/>
          <w:sz w:val="20"/>
          <w:lang w:val="en-GB"/>
        </w:rPr>
        <w:t>— Evidence — Admissibility — Certificate of analysis for breath test results — Accused charged with driving with blood</w:t>
      </w:r>
      <w:r w:rsidRPr="00D22292">
        <w:rPr>
          <w:i/>
          <w:iCs/>
          <w:sz w:val="20"/>
          <w:lang w:val="en-GB"/>
        </w:rPr>
        <w:noBreakHyphen/>
        <w:t>alcohol level over legal limit</w:t>
      </w:r>
      <w:r w:rsidRPr="00D22292">
        <w:rPr>
          <w:i/>
          <w:sz w:val="20"/>
          <w:lang w:val="en"/>
        </w:rPr>
        <w:t xml:space="preserve"> </w:t>
      </w:r>
      <w:r w:rsidRPr="00D22292">
        <w:rPr>
          <w:i/>
          <w:iCs/>
          <w:sz w:val="20"/>
          <w:lang w:val="en-GB"/>
        </w:rPr>
        <w:t>— Statutory scheme providing for evidentiary shortcuts which permit Crown to establish, at trial, accused’s blood</w:t>
      </w:r>
      <w:r w:rsidRPr="00D22292">
        <w:rPr>
          <w:i/>
          <w:iCs/>
          <w:sz w:val="20"/>
          <w:lang w:val="en-GB"/>
        </w:rPr>
        <w:noBreakHyphen/>
        <w:t xml:space="preserve">alcohol concentration at time of offence by filing certificate recording accused’s breath readings, subject to certain preconditions — </w:t>
      </w:r>
      <w:r w:rsidRPr="00D22292">
        <w:rPr>
          <w:i/>
          <w:sz w:val="20"/>
        </w:rPr>
        <w:t>Whether phrase “</w:t>
      </w:r>
      <w:r w:rsidRPr="00D22292">
        <w:rPr>
          <w:i/>
          <w:sz w:val="20"/>
          <w:lang w:val="en"/>
        </w:rPr>
        <w:t>pursuant to a demand made under subsection 254(3)” of Criminal Code means</w:t>
      </w:r>
      <w:r w:rsidRPr="00D22292">
        <w:rPr>
          <w:i/>
          <w:sz w:val="20"/>
        </w:rPr>
        <w:t xml:space="preserve"> demand for breath sample made by police must be lawful for evidentiary shortcuts to apply </w:t>
      </w:r>
      <w:r w:rsidRPr="00D22292">
        <w:rPr>
          <w:i/>
          <w:iCs/>
          <w:sz w:val="20"/>
          <w:lang w:val="en-GB"/>
        </w:rPr>
        <w:t xml:space="preserve">— </w:t>
      </w:r>
      <w:r w:rsidRPr="00D22292">
        <w:rPr>
          <w:i/>
          <w:sz w:val="20"/>
        </w:rPr>
        <w:t>Whether previous Court ruling which found that requirement of reasonable grounds to demand breath sample was not precondition to operation of shortcuts remains good law</w:t>
      </w:r>
      <w:r w:rsidRPr="00D22292">
        <w:rPr>
          <w:sz w:val="20"/>
        </w:rPr>
        <w:t xml:space="preserve"> </w:t>
      </w:r>
      <w:r w:rsidRPr="00D22292">
        <w:rPr>
          <w:i/>
          <w:iCs/>
          <w:sz w:val="20"/>
          <w:lang w:val="en-US"/>
        </w:rPr>
        <w:t xml:space="preserve">— </w:t>
      </w:r>
      <w:r w:rsidRPr="00D22292">
        <w:rPr>
          <w:i/>
          <w:sz w:val="20"/>
          <w:lang w:val="en-US"/>
        </w:rPr>
        <w:t>Criminal Code, R.S.C. 1985, c. C</w:t>
      </w:r>
      <w:r w:rsidRPr="00D22292">
        <w:rPr>
          <w:i/>
          <w:sz w:val="20"/>
          <w:lang w:val="en-US"/>
        </w:rPr>
        <w:noBreakHyphen/>
        <w:t>46, s. 258(1)(c), (g).</w:t>
      </w:r>
    </w:p>
    <w:p w:rsidR="00AB4C7B" w:rsidRPr="00D22292" w:rsidRDefault="00AB4C7B" w:rsidP="00AB4C7B">
      <w:pPr>
        <w:pStyle w:val="SCCNormalDoubleSpacing"/>
        <w:spacing w:line="240" w:lineRule="auto"/>
        <w:rPr>
          <w:i/>
          <w:sz w:val="20"/>
        </w:rPr>
      </w:pPr>
    </w:p>
    <w:p w:rsidR="00AB4C7B" w:rsidRPr="00D22292" w:rsidRDefault="00AB4C7B" w:rsidP="00AB4C7B">
      <w:pPr>
        <w:pStyle w:val="SCCNormalDoubleSpacing"/>
        <w:spacing w:line="240" w:lineRule="auto"/>
        <w:rPr>
          <w:sz w:val="20"/>
        </w:rPr>
      </w:pPr>
      <w:r w:rsidRPr="00D22292">
        <w:rPr>
          <w:i/>
          <w:sz w:val="20"/>
          <w:lang w:val="en-US"/>
        </w:rPr>
        <w:tab/>
      </w:r>
      <w:r w:rsidRPr="00D22292">
        <w:rPr>
          <w:sz w:val="20"/>
        </w:rPr>
        <w:t xml:space="preserve">A’s vehicle was stopped by the police who conducted a typical drinking and driving investigation. After A failed a roadside screening device test, he provided samples of his breath at the police station which registered readings significantly over the legal limit. A was charged with driving “over 80”, contrary to s. 253 of the </w:t>
      </w:r>
      <w:r w:rsidRPr="00D22292">
        <w:rPr>
          <w:i/>
          <w:sz w:val="20"/>
        </w:rPr>
        <w:t>Criminal Code</w:t>
      </w:r>
      <w:r w:rsidRPr="00D22292">
        <w:rPr>
          <w:sz w:val="20"/>
        </w:rPr>
        <w:t xml:space="preserve">. At trial, it was uncontested that A provided the breath samples into an approved instrument operated by a qualified technician within the prescribed time periods, and that the readings were reliable. Once these preconditions are met, the Crown can take advantage of the shortcuts found in ss. 258(1)(c) and 258(1)(g) of the </w:t>
      </w:r>
      <w:r w:rsidRPr="00D22292">
        <w:rPr>
          <w:i/>
          <w:sz w:val="20"/>
        </w:rPr>
        <w:t>Code</w:t>
      </w:r>
      <w:r w:rsidRPr="00D22292">
        <w:rPr>
          <w:sz w:val="20"/>
        </w:rPr>
        <w:t xml:space="preserve"> to establish an accused’s blood</w:t>
      </w:r>
      <w:r w:rsidRPr="00D22292">
        <w:rPr>
          <w:sz w:val="20"/>
        </w:rPr>
        <w:noBreakHyphen/>
        <w:t xml:space="preserve">alcohol concentration at the time of the alleged offence by filing a certificate recording the accused’s breath readings. This relieves the Crown from having to call two witnesses at every trial: a breath technician and an expert toxicologist. In the instant case, the trial judge found that the grounds to make the breath demand were insufficient, but applied </w:t>
      </w:r>
      <w:r w:rsidRPr="00D22292">
        <w:rPr>
          <w:i/>
          <w:sz w:val="20"/>
        </w:rPr>
        <w:t>Rilling v. The Queen</w:t>
      </w:r>
      <w:r w:rsidRPr="00D22292">
        <w:rPr>
          <w:sz w:val="20"/>
        </w:rPr>
        <w:t>,</w:t>
      </w:r>
      <w:r w:rsidRPr="00D22292">
        <w:rPr>
          <w:i/>
          <w:sz w:val="20"/>
        </w:rPr>
        <w:t xml:space="preserve"> </w:t>
      </w:r>
      <w:r w:rsidRPr="00D22292">
        <w:rPr>
          <w:sz w:val="20"/>
        </w:rPr>
        <w:t xml:space="preserve">[1976] 2 S.C.R. 183, which held that it is unnecessary for the Crown to prove a lawful demand in order to rely on the evidentiary shortcuts. A was convicted of driving “over 80”. Successive appeals by A to the British Columbia Supreme Court and British Columbia Court of Appeal were dismissed. </w:t>
      </w:r>
    </w:p>
    <w:p w:rsidR="00AB4C7B" w:rsidRPr="00D22292" w:rsidRDefault="00AB4C7B" w:rsidP="00AB4C7B">
      <w:pPr>
        <w:pStyle w:val="SCCNormalDoubleSpacing"/>
        <w:spacing w:line="240" w:lineRule="auto"/>
        <w:rPr>
          <w:sz w:val="20"/>
        </w:rPr>
      </w:pPr>
    </w:p>
    <w:p w:rsidR="00AB4C7B" w:rsidRPr="00D22292" w:rsidRDefault="00AB4C7B" w:rsidP="00AB4C7B">
      <w:pPr>
        <w:pStyle w:val="SCCNormalDoubleSpacing"/>
        <w:spacing w:line="240" w:lineRule="auto"/>
        <w:rPr>
          <w:sz w:val="20"/>
        </w:rPr>
      </w:pPr>
      <w:r w:rsidRPr="00D22292">
        <w:rPr>
          <w:sz w:val="20"/>
        </w:rPr>
        <w:tab/>
      </w:r>
      <w:r w:rsidRPr="00D22292">
        <w:rPr>
          <w:rStyle w:val="QuoteChar"/>
          <w:sz w:val="20"/>
        </w:rPr>
        <w:t xml:space="preserve">Held </w:t>
      </w:r>
      <w:r w:rsidRPr="00D22292">
        <w:rPr>
          <w:sz w:val="20"/>
        </w:rPr>
        <w:t xml:space="preserve">(McLachlin C.J. and Abella, Brown and Rowe JJ. dissenting): The appeal should be dismissed. </w:t>
      </w:r>
    </w:p>
    <w:p w:rsidR="00AB4C7B" w:rsidRPr="00D22292" w:rsidRDefault="00AB4C7B" w:rsidP="00AB4C7B">
      <w:pPr>
        <w:pStyle w:val="SCCNormalDoubleSpacing"/>
        <w:spacing w:line="240" w:lineRule="auto"/>
        <w:rPr>
          <w:sz w:val="20"/>
        </w:rPr>
      </w:pPr>
    </w:p>
    <w:p w:rsidR="00AB4C7B" w:rsidRPr="00D22292" w:rsidRDefault="00AB4C7B" w:rsidP="00AB4C7B">
      <w:pPr>
        <w:pStyle w:val="SCCNormalDoubleSpacing"/>
        <w:spacing w:line="240" w:lineRule="auto"/>
        <w:rPr>
          <w:sz w:val="20"/>
        </w:rPr>
      </w:pPr>
      <w:r w:rsidRPr="00D22292">
        <w:rPr>
          <w:i/>
          <w:iCs/>
          <w:sz w:val="20"/>
        </w:rPr>
        <w:tab/>
      </w:r>
      <w:r w:rsidRPr="00D22292">
        <w:rPr>
          <w:i/>
          <w:iCs/>
          <w:sz w:val="20"/>
          <w:lang w:val="en"/>
        </w:rPr>
        <w:t xml:space="preserve">Per </w:t>
      </w:r>
      <w:r w:rsidRPr="00D22292">
        <w:rPr>
          <w:b/>
          <w:iCs/>
          <w:sz w:val="20"/>
          <w:lang w:val="en"/>
        </w:rPr>
        <w:t>Moldaver</w:t>
      </w:r>
      <w:r w:rsidRPr="00D22292">
        <w:rPr>
          <w:iCs/>
          <w:sz w:val="20"/>
          <w:lang w:val="en"/>
        </w:rPr>
        <w:t xml:space="preserve">, Karakatsanis, Wagner, Gascon and Côté JJ.: </w:t>
      </w:r>
      <w:r w:rsidRPr="00D22292">
        <w:rPr>
          <w:sz w:val="20"/>
        </w:rPr>
        <w:t xml:space="preserve">The text of </w:t>
      </w:r>
      <w:r w:rsidRPr="00D22292">
        <w:rPr>
          <w:sz w:val="20"/>
          <w:lang w:val="en"/>
        </w:rPr>
        <w:t xml:space="preserve">ss. 258(1)(c) and 258(1)(g) of the </w:t>
      </w:r>
      <w:r w:rsidRPr="00D22292">
        <w:rPr>
          <w:i/>
          <w:sz w:val="20"/>
          <w:lang w:val="en"/>
        </w:rPr>
        <w:t>Code</w:t>
      </w:r>
      <w:r w:rsidRPr="00D22292">
        <w:rPr>
          <w:sz w:val="20"/>
          <w:lang w:val="en"/>
        </w:rPr>
        <w:t xml:space="preserve"> does not support the requirement of a lawful demand for the evidentiary shortcuts to apply. </w:t>
      </w:r>
      <w:r w:rsidRPr="00D22292">
        <w:rPr>
          <w:sz w:val="20"/>
        </w:rPr>
        <w:t>First, Parliament could easily have specified that the sample had to be taken “pursuant to a ‘lawful’ demand” as it has done elsewhere in</w:t>
      </w:r>
      <w:r w:rsidRPr="00D22292">
        <w:rPr>
          <w:sz w:val="20"/>
          <w:lang w:val="en"/>
        </w:rPr>
        <w:t xml:space="preserve"> the </w:t>
      </w:r>
      <w:r w:rsidRPr="00D22292">
        <w:rPr>
          <w:i/>
          <w:sz w:val="20"/>
          <w:lang w:val="en"/>
        </w:rPr>
        <w:t>Code</w:t>
      </w:r>
      <w:r w:rsidRPr="00D22292">
        <w:rPr>
          <w:sz w:val="20"/>
          <w:lang w:val="en"/>
        </w:rPr>
        <w:t xml:space="preserve">. Second, this </w:t>
      </w:r>
      <w:r w:rsidRPr="00D22292">
        <w:rPr>
          <w:sz w:val="20"/>
        </w:rPr>
        <w:t>interpretation is in tension with the structure of the provisions, which is comprised of an opening part followed by a specific list of preconditions that must be met, all of which bear directly on the reliability of the evidentiary shortcuts. The meaning of the phrase “pursuant to a demand made under subsection 254(3)” is simply to identify a breath sample as the bodily sample to which the provisions apply, which may have been unclear at the time of their initial enactment in 1969. In any event, plain meaning alone is not determinative and a statutory interpretation analysis is incomplete without considering the context, purpose and relevant legal norms.</w:t>
      </w:r>
    </w:p>
    <w:p w:rsidR="00AB4C7B" w:rsidRPr="00D22292" w:rsidRDefault="00AB4C7B" w:rsidP="00AB4C7B">
      <w:pPr>
        <w:pStyle w:val="SCCNormalDoubleSpacing"/>
        <w:spacing w:line="240" w:lineRule="auto"/>
        <w:rPr>
          <w:sz w:val="20"/>
        </w:rPr>
      </w:pPr>
    </w:p>
    <w:p w:rsidR="00AB4C7B" w:rsidRPr="00D22292" w:rsidRDefault="00AB4C7B" w:rsidP="00AB4C7B">
      <w:pPr>
        <w:pStyle w:val="SCCNormalDoubleSpacing"/>
        <w:spacing w:line="240" w:lineRule="auto"/>
        <w:rPr>
          <w:sz w:val="20"/>
        </w:rPr>
      </w:pPr>
      <w:r w:rsidRPr="00D22292">
        <w:rPr>
          <w:sz w:val="20"/>
        </w:rPr>
        <w:tab/>
        <w:t>The purpose and context of the provisions do not support the requirement of a lawful demand for the evidentiary shortcuts to apply. Their overriding purpose is to streamline proceedings by dispensing with unnecessary evidence. The preconditions governing these shortcuts are concerned with the reliability of the breath test results and their correlation to the accused’s blood</w:t>
      </w:r>
      <w:r w:rsidRPr="00D22292">
        <w:rPr>
          <w:sz w:val="20"/>
        </w:rPr>
        <w:noBreakHyphen/>
        <w:t xml:space="preserve">alcohol concentration at the time of the offence. The lawfulness of a breath demand has no bearing on these matters. This purpose is distinct from that of s. 254(3), which establishes and defines police powers, including the prerequisites for a lawful breath demand. The overriding purpose of the evidentiary shortcuts would be frustrated by importing a lawful demand requirement. Requiring the Crown to call two additional witnesses will lead to unreasonable delays in drinking and driving proceedings that are counterproductive to the administration of justice as a whole and frustrate Parliament’s intent. </w:t>
      </w:r>
    </w:p>
    <w:p w:rsidR="00AB4C7B" w:rsidRPr="00D22292" w:rsidRDefault="00AB4C7B" w:rsidP="00AB4C7B">
      <w:pPr>
        <w:pStyle w:val="SCCNormalDoubleSpacing"/>
        <w:spacing w:line="240" w:lineRule="auto"/>
        <w:rPr>
          <w:sz w:val="20"/>
        </w:rPr>
      </w:pPr>
    </w:p>
    <w:p w:rsidR="00AB4C7B" w:rsidRPr="00D22292" w:rsidRDefault="00AB4C7B" w:rsidP="00AB4C7B">
      <w:pPr>
        <w:pStyle w:val="SCCNormalDoubleSpacing"/>
        <w:spacing w:line="240" w:lineRule="auto"/>
        <w:rPr>
          <w:sz w:val="20"/>
          <w:lang w:val="en-US"/>
        </w:rPr>
      </w:pPr>
      <w:r w:rsidRPr="00D22292">
        <w:rPr>
          <w:sz w:val="20"/>
        </w:rPr>
        <w:lastRenderedPageBreak/>
        <w:tab/>
        <w:t xml:space="preserve">The comparison to the s. 254(5) refusal offence is flawed. </w:t>
      </w:r>
      <w:r w:rsidRPr="00D22292">
        <w:rPr>
          <w:sz w:val="20"/>
          <w:lang w:val="en-US"/>
        </w:rPr>
        <w:t xml:space="preserve">While the refusal offence is part of the same statutory regime, it is different from other drinking and driving offences in substance. Culpability for the refusal offence is based on </w:t>
      </w:r>
      <w:r w:rsidRPr="00D22292">
        <w:rPr>
          <w:sz w:val="20"/>
        </w:rPr>
        <w:t>disobedience</w:t>
      </w:r>
      <w:r w:rsidRPr="00D22292">
        <w:rPr>
          <w:sz w:val="20"/>
          <w:lang w:val="en-US"/>
        </w:rPr>
        <w:t xml:space="preserve"> with lawful compulsion, whereas culpability for an “over 80” offence is based on driving with a blood</w:t>
      </w:r>
      <w:r w:rsidRPr="00D22292">
        <w:rPr>
          <w:sz w:val="20"/>
          <w:lang w:val="en-US"/>
        </w:rPr>
        <w:noBreakHyphen/>
        <w:t>alcohol concentration over the legal limit. Therefore, it is not unfair that a person who refuses to comply with an unlawful demand is acquitted, but if that same person complies and is prosecuted for an “over 80” offence, the evidentiary shortcuts continue to apply. This does not discourage compliance with breath demands. It remains a dangerous gamble for an individual to deliberately refuse a breath demand. If the demand is later found to be lawful, that person may be convicted, even if he or she was actually under the proscribed limit.</w:t>
      </w:r>
    </w:p>
    <w:p w:rsidR="00AB4C7B" w:rsidRPr="00D22292" w:rsidRDefault="00AB4C7B" w:rsidP="00AB4C7B">
      <w:pPr>
        <w:pStyle w:val="SCCNormalDoubleSpacing"/>
        <w:spacing w:line="240" w:lineRule="auto"/>
        <w:rPr>
          <w:sz w:val="20"/>
          <w:lang w:val="en-US"/>
        </w:rPr>
      </w:pPr>
    </w:p>
    <w:p w:rsidR="00AB4C7B" w:rsidRPr="00D22292" w:rsidRDefault="00AB4C7B" w:rsidP="00AB4C7B">
      <w:pPr>
        <w:pStyle w:val="SCCNormalDoubleSpacing"/>
        <w:spacing w:line="240" w:lineRule="auto"/>
        <w:rPr>
          <w:sz w:val="20"/>
        </w:rPr>
      </w:pPr>
      <w:r w:rsidRPr="00D22292">
        <w:rPr>
          <w:sz w:val="20"/>
        </w:rPr>
        <w:tab/>
        <w:t xml:space="preserve">It is unnecessary to determine whether </w:t>
      </w:r>
      <w:r w:rsidRPr="00D22292">
        <w:rPr>
          <w:i/>
          <w:sz w:val="20"/>
        </w:rPr>
        <w:t xml:space="preserve">Rilling </w:t>
      </w:r>
      <w:r w:rsidRPr="00D22292">
        <w:rPr>
          <w:sz w:val="20"/>
        </w:rPr>
        <w:t xml:space="preserve">was correctly decided under the law as it existed at that time, as the concerns which animated the minority in </w:t>
      </w:r>
      <w:r w:rsidRPr="00D22292">
        <w:rPr>
          <w:i/>
          <w:sz w:val="20"/>
        </w:rPr>
        <w:t xml:space="preserve">Rilling </w:t>
      </w:r>
      <w:r w:rsidRPr="00D22292">
        <w:rPr>
          <w:sz w:val="20"/>
        </w:rPr>
        <w:t xml:space="preserve">have been addressed in the present day context. The scientific reliability of the results of properly administered breath tests is now firmly established. </w:t>
      </w:r>
      <w:r w:rsidRPr="00D22292">
        <w:rPr>
          <w:sz w:val="20"/>
          <w:lang w:val="en-US"/>
        </w:rPr>
        <w:t>And today, s.</w:t>
      </w:r>
      <w:r w:rsidRPr="00D22292">
        <w:rPr>
          <w:sz w:val="20"/>
        </w:rPr>
        <w:t xml:space="preserve"> 8 of the </w:t>
      </w:r>
      <w:r w:rsidRPr="00D22292">
        <w:rPr>
          <w:i/>
          <w:sz w:val="20"/>
        </w:rPr>
        <w:t>Canadian Charter of Rights and Freedoms</w:t>
      </w:r>
      <w:r w:rsidRPr="00D22292">
        <w:rPr>
          <w:sz w:val="20"/>
        </w:rPr>
        <w:t>, in combination with s. 24(2), provides a comprehensive and direct protection against unreasonable searches and seizures, including those of breath samples. By contrast, a loss of the s. 258 evidentiary shortcuts does not provide a meaningful remedy for an unlawful demand by the police and achieves no substantive or procedural benefit for an accused — it merely requires the Crown to call two unnecessary witnesses to arrive at the same result.</w:t>
      </w:r>
      <w:r w:rsidRPr="00D22292">
        <w:rPr>
          <w:b/>
          <w:sz w:val="20"/>
        </w:rPr>
        <w:t xml:space="preserve"> </w:t>
      </w:r>
      <w:r w:rsidRPr="00D22292">
        <w:rPr>
          <w:sz w:val="20"/>
        </w:rPr>
        <w:t>Such an approach would be antithetical to the Court’s recent jurisprudence emphasizing the importance of participants in the criminal justice system working together to achieve fair and timely justice.</w:t>
      </w:r>
    </w:p>
    <w:p w:rsidR="00AB4C7B" w:rsidRPr="00D22292" w:rsidRDefault="00AB4C7B" w:rsidP="00AB4C7B">
      <w:pPr>
        <w:pStyle w:val="SCCNormalDoubleSpacing"/>
        <w:spacing w:line="240" w:lineRule="auto"/>
        <w:rPr>
          <w:sz w:val="20"/>
        </w:rPr>
      </w:pPr>
    </w:p>
    <w:p w:rsidR="00AB4C7B" w:rsidRPr="00D22292" w:rsidRDefault="00AB4C7B" w:rsidP="00AB4C7B">
      <w:pPr>
        <w:pStyle w:val="SCCNormalDoubleSpacing"/>
        <w:spacing w:line="240" w:lineRule="auto"/>
        <w:rPr>
          <w:sz w:val="20"/>
        </w:rPr>
      </w:pPr>
      <w:r w:rsidRPr="00D22292">
        <w:rPr>
          <w:sz w:val="20"/>
        </w:rPr>
        <w:tab/>
        <w:t>As a lawful demand was not a precondition to the s. 258 evidentiary shortcuts, there is no basis in this case for appellate interference and A’s conviction must be upheld.</w:t>
      </w:r>
    </w:p>
    <w:p w:rsidR="00AB4C7B" w:rsidRPr="00D22292" w:rsidRDefault="00AB4C7B" w:rsidP="00AB4C7B">
      <w:pPr>
        <w:pStyle w:val="SCCNormalDoubleSpacing"/>
        <w:spacing w:line="240" w:lineRule="auto"/>
        <w:rPr>
          <w:sz w:val="20"/>
        </w:rPr>
      </w:pPr>
    </w:p>
    <w:p w:rsidR="00AB4C7B" w:rsidRPr="00D22292" w:rsidRDefault="00AB4C7B" w:rsidP="00AB4C7B">
      <w:pPr>
        <w:pStyle w:val="SCCNormalDoubleSpacing"/>
        <w:spacing w:line="240" w:lineRule="auto"/>
        <w:rPr>
          <w:sz w:val="20"/>
        </w:rPr>
      </w:pPr>
      <w:r w:rsidRPr="00D22292">
        <w:rPr>
          <w:i/>
          <w:sz w:val="20"/>
        </w:rPr>
        <w:tab/>
        <w:t xml:space="preserve">Per </w:t>
      </w:r>
      <w:r w:rsidRPr="00D22292">
        <w:rPr>
          <w:sz w:val="20"/>
        </w:rPr>
        <w:t xml:space="preserve">McLachlin C.J. and Abella, Brown and </w:t>
      </w:r>
      <w:r w:rsidRPr="00D22292">
        <w:rPr>
          <w:b/>
          <w:sz w:val="20"/>
        </w:rPr>
        <w:t>Rowe</w:t>
      </w:r>
      <w:r w:rsidRPr="00D22292">
        <w:rPr>
          <w:sz w:val="20"/>
        </w:rPr>
        <w:t xml:space="preserve"> JJ. (dissenting): The requirement for reasonable grounds to demand a breath sample under s. 254(3) of the </w:t>
      </w:r>
      <w:r w:rsidRPr="00D22292">
        <w:rPr>
          <w:i/>
          <w:sz w:val="20"/>
        </w:rPr>
        <w:t>Code</w:t>
      </w:r>
      <w:r w:rsidRPr="00D22292">
        <w:rPr>
          <w:sz w:val="20"/>
        </w:rPr>
        <w:t xml:space="preserve"> is a precondition to the operation of the presumptions in ss. 258(1)(c) and 258(1)(g). </w:t>
      </w:r>
      <w:r w:rsidRPr="00D22292">
        <w:rPr>
          <w:i/>
          <w:sz w:val="20"/>
        </w:rPr>
        <w:t>Rilling</w:t>
      </w:r>
      <w:r w:rsidRPr="00D22292">
        <w:rPr>
          <w:sz w:val="20"/>
        </w:rPr>
        <w:t xml:space="preserve"> is therefore no longer good law. A </w:t>
      </w:r>
      <w:r w:rsidRPr="00D22292">
        <w:rPr>
          <w:sz w:val="20"/>
          <w:lang w:val="en-US"/>
        </w:rPr>
        <w:t xml:space="preserve">balancing between the </w:t>
      </w:r>
      <w:r w:rsidRPr="00D22292">
        <w:rPr>
          <w:sz w:val="20"/>
        </w:rPr>
        <w:t>values</w:t>
      </w:r>
      <w:r w:rsidRPr="00D22292">
        <w:rPr>
          <w:sz w:val="20"/>
          <w:lang w:val="en-US"/>
        </w:rPr>
        <w:t xml:space="preserve"> of correctness and certainty leads to the conclusion that the need to correct the law predominates in this case.</w:t>
      </w:r>
      <w:r w:rsidRPr="00D22292">
        <w:rPr>
          <w:sz w:val="20"/>
        </w:rPr>
        <w:t xml:space="preserve"> As a result, A’s appeal should be allowed, his conviction set aside and a new trial ordered. </w:t>
      </w:r>
    </w:p>
    <w:p w:rsidR="00AB4C7B" w:rsidRPr="00D22292" w:rsidRDefault="00AB4C7B" w:rsidP="00AB4C7B">
      <w:pPr>
        <w:pStyle w:val="SCCNormalDoubleSpacing"/>
        <w:spacing w:line="240" w:lineRule="auto"/>
        <w:rPr>
          <w:sz w:val="20"/>
        </w:rPr>
      </w:pPr>
    </w:p>
    <w:p w:rsidR="00AB4C7B" w:rsidRPr="00D22292" w:rsidRDefault="00AB4C7B" w:rsidP="00AB4C7B">
      <w:pPr>
        <w:pStyle w:val="SCCNormalDoubleSpacing"/>
        <w:spacing w:line="240" w:lineRule="auto"/>
        <w:rPr>
          <w:spacing w:val="-3"/>
          <w:sz w:val="20"/>
        </w:rPr>
      </w:pPr>
      <w:r w:rsidRPr="00D22292">
        <w:rPr>
          <w:sz w:val="20"/>
        </w:rPr>
        <w:tab/>
      </w:r>
      <w:r w:rsidRPr="00D22292">
        <w:rPr>
          <w:i/>
          <w:sz w:val="20"/>
        </w:rPr>
        <w:t>Rilling</w:t>
      </w:r>
      <w:r w:rsidRPr="00D22292">
        <w:rPr>
          <w:sz w:val="20"/>
        </w:rPr>
        <w:t xml:space="preserve"> is based on an incorrect view that relevant evidence is admissible even if it is unlawfully obtained. Such an interpretation conflates the issues of admissibility under common law with the operation of the evidentiary shortcuts, per s. 258(1) of the </w:t>
      </w:r>
      <w:r w:rsidRPr="00D22292">
        <w:rPr>
          <w:i/>
          <w:sz w:val="20"/>
        </w:rPr>
        <w:t>Code</w:t>
      </w:r>
      <w:r w:rsidRPr="00D22292">
        <w:rPr>
          <w:sz w:val="20"/>
        </w:rPr>
        <w:t xml:space="preserve">. This interpretation has been attenuated by later jurisprudence </w:t>
      </w:r>
      <w:r w:rsidRPr="00D22292">
        <w:rPr>
          <w:spacing w:val="-3"/>
          <w:sz w:val="20"/>
        </w:rPr>
        <w:t xml:space="preserve">which identifies the distinction between admissibility and preconditions to evidentiary shortcuts, and by </w:t>
      </w:r>
      <w:r w:rsidRPr="00D22292">
        <w:rPr>
          <w:sz w:val="20"/>
        </w:rPr>
        <w:t>the importance of a statutory precondition of reasonable and probable grounds being satisfied to ensure a lawful search and seizure in</w:t>
      </w:r>
      <w:r w:rsidRPr="00D22292">
        <w:rPr>
          <w:i/>
          <w:sz w:val="20"/>
        </w:rPr>
        <w:t xml:space="preserve"> </w:t>
      </w:r>
      <w:r w:rsidRPr="00D22292">
        <w:rPr>
          <w:sz w:val="20"/>
        </w:rPr>
        <w:t xml:space="preserve">s. 8 </w:t>
      </w:r>
      <w:r w:rsidRPr="00D22292">
        <w:rPr>
          <w:i/>
          <w:sz w:val="20"/>
        </w:rPr>
        <w:t>Charter</w:t>
      </w:r>
      <w:r w:rsidRPr="00D22292">
        <w:rPr>
          <w:sz w:val="20"/>
        </w:rPr>
        <w:t xml:space="preserve"> context. It has also been attenuated</w:t>
      </w:r>
      <w:r w:rsidRPr="00D22292">
        <w:rPr>
          <w:spacing w:val="-3"/>
          <w:sz w:val="20"/>
        </w:rPr>
        <w:t xml:space="preserve"> by the modern approach to statutory interpretation. </w:t>
      </w:r>
    </w:p>
    <w:p w:rsidR="00AB4C7B" w:rsidRPr="00D22292" w:rsidRDefault="00AB4C7B" w:rsidP="00AB4C7B">
      <w:pPr>
        <w:pStyle w:val="SCCNormalDoubleSpacing"/>
        <w:spacing w:line="240" w:lineRule="auto"/>
        <w:rPr>
          <w:sz w:val="20"/>
        </w:rPr>
      </w:pPr>
    </w:p>
    <w:p w:rsidR="00AB4C7B" w:rsidRPr="00D22292" w:rsidRDefault="00AB4C7B" w:rsidP="00AB4C7B">
      <w:pPr>
        <w:pStyle w:val="SCCNormalDoubleSpacing"/>
        <w:spacing w:line="240" w:lineRule="auto"/>
        <w:rPr>
          <w:sz w:val="20"/>
        </w:rPr>
      </w:pPr>
      <w:r w:rsidRPr="00D22292">
        <w:rPr>
          <w:sz w:val="20"/>
        </w:rPr>
        <w:tab/>
        <w:t xml:space="preserve">Reading ss. 258(1)(c) and 258(1)(g) in their entire context and according to their grammatical and ordinary sense, harmoniously with the scheme and object of the Act and the intention of Parliament, the reasoning in </w:t>
      </w:r>
      <w:r w:rsidRPr="00D22292">
        <w:rPr>
          <w:i/>
          <w:sz w:val="20"/>
        </w:rPr>
        <w:t xml:space="preserve">Rilling </w:t>
      </w:r>
      <w:r w:rsidRPr="00D22292">
        <w:rPr>
          <w:sz w:val="20"/>
        </w:rPr>
        <w:t>cannot withstand scrutiny. The phrase “pursuant to a demand made under subsection 254(3)” does not simply identify the sample to which the provision applies. That such words are meaningless is not plausible. This alternate interpretation would mean that the other requirements of s. 254(3), such as the requirement that the demand be made by a peace officer or that the demand be made as soon as practicable, are also not required for the evidentiary shortcuts to apply. This would mean that the Crown would have the benefit of the evidentiary presumptions for any sample, irrespective of the conditions under which the demand was made. Furthermore, the interpretation that “pursuant to” imports the conditions under s. 254 as a pre</w:t>
      </w:r>
      <w:r w:rsidRPr="00D22292">
        <w:rPr>
          <w:sz w:val="20"/>
        </w:rPr>
        <w:noBreakHyphen/>
        <w:t xml:space="preserve">condition of the evidentiary presumptions under s. 258(1) is consistent with the position the minority endorsed in </w:t>
      </w:r>
      <w:r w:rsidRPr="00D22292">
        <w:rPr>
          <w:i/>
          <w:sz w:val="20"/>
        </w:rPr>
        <w:t>Rilling</w:t>
      </w:r>
      <w:r w:rsidRPr="00D22292">
        <w:rPr>
          <w:sz w:val="20"/>
        </w:rPr>
        <w:t xml:space="preserve"> and with later appellate case law. </w:t>
      </w:r>
    </w:p>
    <w:p w:rsidR="00AB4C7B" w:rsidRPr="00D22292" w:rsidRDefault="00AB4C7B" w:rsidP="00AB4C7B">
      <w:pPr>
        <w:pStyle w:val="SCCNormalDoubleSpacing"/>
        <w:spacing w:line="240" w:lineRule="auto"/>
        <w:rPr>
          <w:sz w:val="20"/>
        </w:rPr>
      </w:pPr>
    </w:p>
    <w:p w:rsidR="00AB4C7B" w:rsidRPr="00D22292" w:rsidRDefault="00AB4C7B" w:rsidP="00AB4C7B">
      <w:pPr>
        <w:pStyle w:val="SCCNormalDoubleSpacing"/>
        <w:spacing w:line="240" w:lineRule="auto"/>
        <w:rPr>
          <w:sz w:val="20"/>
        </w:rPr>
      </w:pPr>
      <w:r w:rsidRPr="00D22292">
        <w:rPr>
          <w:sz w:val="20"/>
        </w:rPr>
        <w:tab/>
        <w:t xml:space="preserve">Reversing </w:t>
      </w:r>
      <w:r w:rsidRPr="00D22292">
        <w:rPr>
          <w:i/>
          <w:sz w:val="20"/>
        </w:rPr>
        <w:t xml:space="preserve">Rilling </w:t>
      </w:r>
      <w:r w:rsidRPr="00D22292">
        <w:rPr>
          <w:sz w:val="20"/>
        </w:rPr>
        <w:t xml:space="preserve">will not undermine the efficacy of the statutory scheme, or disrupt the proper administration of justice. In prosecuting “over 80” charges, where the peace officer acted without reasonable grounds, the Crown will not be able to rely on the evidentiary shortcuts. However, the Crown will still be able to prove its case where it has the evidence to do so, even if takes longer. Thus, no injustice will arise. While the Crown may be inconvenienced, it is more important that these provisions of the </w:t>
      </w:r>
      <w:r w:rsidRPr="00D22292">
        <w:rPr>
          <w:i/>
          <w:sz w:val="20"/>
        </w:rPr>
        <w:t>Code</w:t>
      </w:r>
      <w:r w:rsidRPr="00D22292">
        <w:rPr>
          <w:sz w:val="20"/>
        </w:rPr>
        <w:t xml:space="preserve"> be given their proper meaning and effect. As well, today’s criminal procedure framework is different from that which was in place when </w:t>
      </w:r>
      <w:r w:rsidRPr="00D22292">
        <w:rPr>
          <w:i/>
          <w:sz w:val="20"/>
        </w:rPr>
        <w:t xml:space="preserve">Rilling </w:t>
      </w:r>
      <w:r w:rsidRPr="00D22292">
        <w:rPr>
          <w:sz w:val="20"/>
        </w:rPr>
        <w:t>was decided. Current procedures, such as disclosure, charge screening and pre</w:t>
      </w:r>
      <w:r w:rsidRPr="00D22292">
        <w:rPr>
          <w:sz w:val="20"/>
        </w:rPr>
        <w:noBreakHyphen/>
        <w:t>trials, ensure that parties are aware of issues before a trial begins. The loss of evidentiary presumptions is</w:t>
      </w:r>
      <w:r w:rsidRPr="00D22292">
        <w:rPr>
          <w:sz w:val="20"/>
          <w:lang w:val="en-US"/>
        </w:rPr>
        <w:t xml:space="preserve"> a distinct issue from whether the certificate would be admissible, which is governed by the rules of </w:t>
      </w:r>
      <w:r w:rsidRPr="00D22292">
        <w:rPr>
          <w:sz w:val="20"/>
          <w:lang w:val="en-US"/>
        </w:rPr>
        <w:lastRenderedPageBreak/>
        <w:t xml:space="preserve">evidence subject to any s. 8 </w:t>
      </w:r>
      <w:r w:rsidRPr="00D22292">
        <w:rPr>
          <w:i/>
          <w:sz w:val="20"/>
          <w:lang w:val="en-US"/>
        </w:rPr>
        <w:t>Charter</w:t>
      </w:r>
      <w:r w:rsidRPr="00D22292">
        <w:rPr>
          <w:sz w:val="20"/>
          <w:lang w:val="en-US"/>
        </w:rPr>
        <w:t xml:space="preserve"> applications.</w:t>
      </w:r>
      <w:r w:rsidRPr="00D22292">
        <w:rPr>
          <w:sz w:val="20"/>
        </w:rPr>
        <w:t xml:space="preserve"> Thus, there would be no ambush after the Crown had closed its case. The statutory scheme will still be able to function as it should without the rule in </w:t>
      </w:r>
      <w:r w:rsidRPr="00D22292">
        <w:rPr>
          <w:i/>
          <w:sz w:val="20"/>
        </w:rPr>
        <w:t>Rilling</w:t>
      </w:r>
      <w:r w:rsidRPr="00D22292">
        <w:rPr>
          <w:sz w:val="20"/>
        </w:rPr>
        <w:t xml:space="preserve">. </w:t>
      </w:r>
    </w:p>
    <w:p w:rsidR="00AB4C7B" w:rsidRPr="00D22292" w:rsidRDefault="00AB4C7B" w:rsidP="00AB4C7B">
      <w:pPr>
        <w:pStyle w:val="SCCNormalDoubleSpacing"/>
        <w:spacing w:line="240" w:lineRule="auto"/>
        <w:rPr>
          <w:sz w:val="20"/>
        </w:rPr>
      </w:pPr>
    </w:p>
    <w:p w:rsidR="00AB4C7B" w:rsidRPr="00D22292" w:rsidRDefault="00AB4C7B" w:rsidP="00AB4C7B">
      <w:pPr>
        <w:pStyle w:val="SCCNormalDoubleSpacing"/>
        <w:spacing w:line="240" w:lineRule="auto"/>
        <w:rPr>
          <w:sz w:val="20"/>
        </w:rPr>
      </w:pPr>
      <w:r w:rsidRPr="00D22292">
        <w:rPr>
          <w:sz w:val="20"/>
        </w:rPr>
        <w:tab/>
        <w:t xml:space="preserve">APPEAL from a judgment of the British Columbia Court of Appeal (Newbury, Harris and Goepel JJ.A.), 2015 BCCA 435, 377 B.C.A.C. 301, 648 W.A.C. 301, 328 C.C.C. (3d) 448, 24 C.R. (7th) 138, 344 C.R.R. (2d) 158, 86 M.V.R. (6th) 179, [2015] B.C.J. No. 2267 (QL), 2015 CarswellBC 3000 (WL Can.), affirming a decision of Schultes J., 2014 BCSC 2328, 71 M.V.R. (6th) 228, [2014] B.C.J. No. 3036 (QL), 2014 CarswellBC 3675 (WL Can.), affirming the accused’s summary conviction for impaired driving. Appeal dismissed, McLachlin C.J. and Abella, Brown and Rowe JJ. dissenting. </w:t>
      </w:r>
    </w:p>
    <w:p w:rsidR="00AB4C7B" w:rsidRPr="00D22292" w:rsidRDefault="00AB4C7B" w:rsidP="00AB4C7B">
      <w:pPr>
        <w:pStyle w:val="SCCNormalDoubleSpacing"/>
        <w:spacing w:line="240" w:lineRule="auto"/>
        <w:rPr>
          <w:sz w:val="20"/>
        </w:rPr>
      </w:pPr>
    </w:p>
    <w:p w:rsidR="00AB4C7B" w:rsidRPr="00D22292" w:rsidRDefault="00AB4C7B" w:rsidP="00AB4C7B">
      <w:pPr>
        <w:pStyle w:val="SCCNormalDoubleSpacing"/>
        <w:spacing w:line="240" w:lineRule="auto"/>
        <w:rPr>
          <w:rStyle w:val="SCCCounselPartyRoleChar"/>
          <w:sz w:val="20"/>
        </w:rPr>
      </w:pPr>
      <w:r w:rsidRPr="00D22292">
        <w:rPr>
          <w:rStyle w:val="SCCCounselNameChar"/>
          <w:sz w:val="20"/>
        </w:rPr>
        <w:tab/>
        <w:t>Michael F. Welsh</w:t>
      </w:r>
      <w:r w:rsidRPr="00D22292">
        <w:rPr>
          <w:rStyle w:val="SCCCounselPartyRoleChar"/>
          <w:sz w:val="20"/>
        </w:rPr>
        <w:t>, for the appellant.</w:t>
      </w:r>
    </w:p>
    <w:p w:rsidR="00AB4C7B" w:rsidRPr="00D22292" w:rsidRDefault="00AB4C7B" w:rsidP="00AB4C7B">
      <w:pPr>
        <w:pStyle w:val="SCCNormalDoubleSpacing"/>
        <w:spacing w:line="240" w:lineRule="auto"/>
        <w:rPr>
          <w:sz w:val="20"/>
        </w:rPr>
      </w:pPr>
    </w:p>
    <w:p w:rsidR="00AB4C7B" w:rsidRPr="00D22292" w:rsidRDefault="00AB4C7B" w:rsidP="00AB4C7B">
      <w:pPr>
        <w:pStyle w:val="SCCNormalDoubleSpacing"/>
        <w:spacing w:line="240" w:lineRule="auto"/>
        <w:rPr>
          <w:rStyle w:val="SCCCounselPartyRoleChar"/>
          <w:sz w:val="20"/>
        </w:rPr>
      </w:pPr>
      <w:r w:rsidRPr="00D22292">
        <w:rPr>
          <w:rStyle w:val="SCCCounselNameChar"/>
          <w:sz w:val="20"/>
        </w:rPr>
        <w:tab/>
        <w:t>Rodney Garson</w:t>
      </w:r>
      <w:r w:rsidRPr="00D22292">
        <w:rPr>
          <w:rStyle w:val="SCCCounselPartyRoleChar"/>
          <w:sz w:val="20"/>
        </w:rPr>
        <w:t>, for the respondent.</w:t>
      </w:r>
    </w:p>
    <w:p w:rsidR="00AB4C7B" w:rsidRPr="00D22292" w:rsidRDefault="00AB4C7B" w:rsidP="00AB4C7B">
      <w:pPr>
        <w:pStyle w:val="SCCNormalDoubleSpacing"/>
        <w:spacing w:line="240" w:lineRule="auto"/>
        <w:rPr>
          <w:sz w:val="20"/>
        </w:rPr>
      </w:pPr>
    </w:p>
    <w:p w:rsidR="00AB4C7B" w:rsidRPr="00D22292" w:rsidRDefault="00AB4C7B" w:rsidP="00AB4C7B">
      <w:pPr>
        <w:pStyle w:val="SCCNormalDoubleSpacing"/>
        <w:spacing w:line="240" w:lineRule="auto"/>
        <w:rPr>
          <w:rStyle w:val="SCCCounselPartyRoleChar"/>
          <w:sz w:val="20"/>
        </w:rPr>
      </w:pPr>
      <w:r w:rsidRPr="00D22292">
        <w:rPr>
          <w:rStyle w:val="SCCCounselNameChar"/>
          <w:sz w:val="20"/>
        </w:rPr>
        <w:tab/>
        <w:t>James V. Palangio</w:t>
      </w:r>
      <w:r w:rsidRPr="00D22292">
        <w:rPr>
          <w:rStyle w:val="SCCCounselSeparatorChar"/>
          <w:rFonts w:eastAsia="Calibri"/>
          <w:sz w:val="20"/>
          <w:lang w:val="en-US"/>
        </w:rPr>
        <w:t xml:space="preserve"> and </w:t>
      </w:r>
      <w:r w:rsidRPr="00D22292">
        <w:rPr>
          <w:rStyle w:val="SCCCounselNameChar"/>
          <w:sz w:val="20"/>
        </w:rPr>
        <w:t>Michael Medeiros</w:t>
      </w:r>
      <w:r w:rsidRPr="00D22292">
        <w:rPr>
          <w:rStyle w:val="SCCCounselPartyRoleChar"/>
          <w:sz w:val="20"/>
        </w:rPr>
        <w:t>, for the intervener the Attorney General of Ontario.</w:t>
      </w:r>
    </w:p>
    <w:p w:rsidR="00AB4C7B" w:rsidRPr="00D22292" w:rsidRDefault="00AB4C7B" w:rsidP="00AB4C7B">
      <w:pPr>
        <w:pStyle w:val="SCCNormalDoubleSpacing"/>
        <w:spacing w:line="240" w:lineRule="auto"/>
        <w:rPr>
          <w:sz w:val="20"/>
        </w:rPr>
      </w:pPr>
    </w:p>
    <w:p w:rsidR="00AB4C7B" w:rsidRPr="00D22292" w:rsidRDefault="00AB4C7B" w:rsidP="00AB4C7B">
      <w:pPr>
        <w:pStyle w:val="SCCNormalDoubleSpacing"/>
        <w:spacing w:line="240" w:lineRule="auto"/>
        <w:rPr>
          <w:rStyle w:val="SCCCounselPartyRoleChar"/>
          <w:sz w:val="20"/>
        </w:rPr>
      </w:pPr>
      <w:r w:rsidRPr="00D22292">
        <w:rPr>
          <w:rStyle w:val="SCCCounselNameChar"/>
          <w:sz w:val="20"/>
        </w:rPr>
        <w:tab/>
        <w:t>Adam Little</w:t>
      </w:r>
      <w:r w:rsidRPr="00D22292">
        <w:rPr>
          <w:rStyle w:val="SCCCounselSeparatorChar"/>
          <w:rFonts w:eastAsia="Calibri"/>
          <w:sz w:val="20"/>
          <w:lang w:val="en-US"/>
        </w:rPr>
        <w:t xml:space="preserve">, </w:t>
      </w:r>
      <w:r w:rsidRPr="00D22292">
        <w:rPr>
          <w:rStyle w:val="SCCCounselNameChar"/>
          <w:sz w:val="20"/>
        </w:rPr>
        <w:t>Jonathan M. Rosenthal</w:t>
      </w:r>
      <w:r w:rsidRPr="00D22292">
        <w:rPr>
          <w:rStyle w:val="SCCCounselSeparatorChar"/>
          <w:rFonts w:eastAsia="Calibri"/>
          <w:sz w:val="20"/>
          <w:lang w:val="en-US"/>
        </w:rPr>
        <w:t xml:space="preserve"> and </w:t>
      </w:r>
      <w:r w:rsidRPr="00D22292">
        <w:rPr>
          <w:rStyle w:val="SCCCounselNameChar"/>
          <w:sz w:val="20"/>
        </w:rPr>
        <w:t>Shannon S. W. O’Connor</w:t>
      </w:r>
      <w:r w:rsidRPr="00D22292">
        <w:rPr>
          <w:rStyle w:val="SCCCounselPartyRoleChar"/>
          <w:sz w:val="20"/>
        </w:rPr>
        <w:t>, for the intervener the Criminal Lawyers’ Association (Ontario).</w:t>
      </w:r>
    </w:p>
    <w:p w:rsidR="00AB4C7B" w:rsidRPr="00D22292" w:rsidRDefault="00AB4C7B" w:rsidP="00DF7D39">
      <w:pPr>
        <w:rPr>
          <w:rFonts w:cs="Times New Roman"/>
          <w:sz w:val="20"/>
          <w:szCs w:val="20"/>
        </w:rPr>
      </w:pPr>
    </w:p>
    <w:p w:rsidR="00DF7D39" w:rsidRPr="00D22292" w:rsidRDefault="00DF7D39" w:rsidP="00DF7D39">
      <w:pPr>
        <w:rPr>
          <w:rFonts w:cs="Times New Roman"/>
          <w:sz w:val="20"/>
          <w:szCs w:val="20"/>
          <w:lang w:val="fr-CA"/>
        </w:rPr>
      </w:pPr>
      <w:r w:rsidRPr="00D22292">
        <w:rPr>
          <w:rFonts w:cs="Times New Roman"/>
          <w:sz w:val="20"/>
          <w:szCs w:val="20"/>
          <w:lang w:val="fr-CA"/>
        </w:rPr>
        <w:t>________________________</w:t>
      </w:r>
    </w:p>
    <w:p w:rsidR="003B3977" w:rsidRPr="00D22292" w:rsidRDefault="003B3977" w:rsidP="005C6840">
      <w:pPr>
        <w:rPr>
          <w:rFonts w:cs="Times New Roman"/>
          <w:sz w:val="20"/>
          <w:szCs w:val="20"/>
          <w:lang w:val="fr-CA"/>
        </w:rPr>
      </w:pPr>
    </w:p>
    <w:p w:rsidR="00AB4C7B" w:rsidRPr="00D22292" w:rsidRDefault="00AB4C7B" w:rsidP="00AB4C7B">
      <w:pPr>
        <w:jc w:val="both"/>
        <w:rPr>
          <w:sz w:val="20"/>
          <w:lang w:val="fr-CA"/>
        </w:rPr>
      </w:pPr>
      <w:r w:rsidRPr="00D22292">
        <w:rPr>
          <w:sz w:val="20"/>
          <w:szCs w:val="20"/>
          <w:lang w:val="fr-CA"/>
        </w:rPr>
        <w:t>Présents : La juge en chef McLachlin et les juges Abella, Moldaver, Karakatsanis, Wagner, Gascon, Côté, Brown et Rowe.</w:t>
      </w:r>
    </w:p>
    <w:p w:rsidR="00AB4C7B" w:rsidRPr="00D22292" w:rsidRDefault="00AB4C7B" w:rsidP="00AB4C7B">
      <w:pPr>
        <w:jc w:val="both"/>
        <w:rPr>
          <w:sz w:val="20"/>
          <w:szCs w:val="20"/>
          <w:lang w:val="fr-CA"/>
        </w:rPr>
      </w:pPr>
    </w:p>
    <w:p w:rsidR="00AB4C7B" w:rsidRPr="00D22292" w:rsidRDefault="00AB4C7B" w:rsidP="00AB4C7B">
      <w:pPr>
        <w:jc w:val="both"/>
        <w:rPr>
          <w:smallCaps/>
          <w:sz w:val="20"/>
          <w:lang w:val="fr-CA"/>
        </w:rPr>
      </w:pPr>
      <w:r w:rsidRPr="00D22292">
        <w:rPr>
          <w:smallCaps/>
          <w:sz w:val="20"/>
          <w:szCs w:val="20"/>
          <w:lang w:val="fr-CA"/>
        </w:rPr>
        <w:t>en appel de la cour d’appel de la colombie</w:t>
      </w:r>
      <w:r w:rsidRPr="00D22292">
        <w:rPr>
          <w:smallCaps/>
          <w:sz w:val="20"/>
          <w:szCs w:val="20"/>
          <w:lang w:val="fr-CA"/>
        </w:rPr>
        <w:noBreakHyphen/>
        <w:t>britannique</w:t>
      </w:r>
    </w:p>
    <w:p w:rsidR="00AB4C7B" w:rsidRPr="00D22292" w:rsidRDefault="00AB4C7B" w:rsidP="00AB4C7B">
      <w:pPr>
        <w:jc w:val="both"/>
        <w:rPr>
          <w:smallCaps/>
          <w:sz w:val="20"/>
          <w:szCs w:val="20"/>
          <w:lang w:val="fr-CA"/>
        </w:rPr>
      </w:pPr>
    </w:p>
    <w:p w:rsidR="00AB4C7B" w:rsidRPr="00D22292" w:rsidRDefault="00AB4C7B" w:rsidP="00AB4C7B">
      <w:pPr>
        <w:pStyle w:val="SCCNormalDoubleSpacing"/>
        <w:spacing w:line="240" w:lineRule="auto"/>
        <w:rPr>
          <w:i/>
          <w:sz w:val="20"/>
          <w:lang w:val="fr-CA"/>
        </w:rPr>
      </w:pPr>
      <w:r w:rsidRPr="00D22292">
        <w:rPr>
          <w:sz w:val="20"/>
          <w:lang w:val="fr-CA"/>
        </w:rPr>
        <w:tab/>
      </w:r>
      <w:r w:rsidRPr="00D22292">
        <w:rPr>
          <w:i/>
          <w:sz w:val="20"/>
          <w:lang w:val="fr-CA"/>
        </w:rPr>
        <w:t>Droit criminel — Preuve — Admissibilité — Certificat attestant les résultats de l’analyse d’échantillons d’haleine — Accusation de conduite avec une alcoolémie supérieure à la limite légale — Régime législatif prévoyant des raccourcis en matière de preuve qui, à certaines conditions, permettent au ministère public d’établir au procès, par le dépôt d’un certificat attestant les résultats de l’analyse des échantillons d’haleine recueillis, l’alcoolémie de l’accusé au moment où il aurait commis l’infraction — L’énoncé « conformément à un ordre donné en vertu du paragraphe 254(3) » du Code criminel a</w:t>
      </w:r>
      <w:r w:rsidRPr="00D22292">
        <w:rPr>
          <w:i/>
          <w:sz w:val="20"/>
          <w:lang w:val="fr-CA"/>
        </w:rPr>
        <w:noBreakHyphen/>
        <w:t>t</w:t>
      </w:r>
      <w:r w:rsidRPr="00D22292">
        <w:rPr>
          <w:i/>
          <w:sz w:val="20"/>
          <w:lang w:val="fr-CA"/>
        </w:rPr>
        <w:noBreakHyphen/>
        <w:t>il pour effet de subordonner l’application des raccourcis en matière de preuve à la légalité de l’ordre du policier de fournir un échantillon d’haleine? — La décision antérieure de la Cour selon laquelle l’existence de motifs raisonnables de donner cet ordre ne conditionne pas l’application des raccourcis est</w:t>
      </w:r>
      <w:r w:rsidRPr="00D22292">
        <w:rPr>
          <w:i/>
          <w:sz w:val="20"/>
          <w:lang w:val="fr-CA"/>
        </w:rPr>
        <w:noBreakHyphen/>
        <w:t>elle toujours valable? — Code criminel, L.R.C. 1985, c. C</w:t>
      </w:r>
      <w:r w:rsidRPr="00D22292">
        <w:rPr>
          <w:i/>
          <w:sz w:val="20"/>
          <w:lang w:val="fr-CA"/>
        </w:rPr>
        <w:noBreakHyphen/>
        <w:t xml:space="preserve">46, art. 258(1)c), g). </w:t>
      </w:r>
    </w:p>
    <w:p w:rsidR="00AB4C7B" w:rsidRPr="00D22292" w:rsidRDefault="00AB4C7B" w:rsidP="00AB4C7B">
      <w:pPr>
        <w:pStyle w:val="SCCNormalDoubleSpacing"/>
        <w:spacing w:line="240" w:lineRule="auto"/>
        <w:rPr>
          <w:i/>
          <w:sz w:val="20"/>
          <w:lang w:val="fr-CA"/>
        </w:rPr>
      </w:pPr>
    </w:p>
    <w:p w:rsidR="00AB4C7B" w:rsidRPr="00D22292" w:rsidRDefault="00AB4C7B" w:rsidP="00AB4C7B">
      <w:pPr>
        <w:pStyle w:val="SCCNormalDoubleSpacing"/>
        <w:spacing w:line="240" w:lineRule="auto"/>
        <w:rPr>
          <w:sz w:val="20"/>
          <w:lang w:val="fr-CA"/>
        </w:rPr>
      </w:pPr>
      <w:r w:rsidRPr="00D22292">
        <w:rPr>
          <w:sz w:val="20"/>
          <w:lang w:val="fr-CA"/>
        </w:rPr>
        <w:tab/>
        <w:t xml:space="preserve">Après avoir intercepté le véhicule de A, un policier a effectué un contrôle de routine en matière d’alcool au volant. Par suite d’un résultat positif à l’alcootest routier, A a fourni des échantillons d’haleine au poste de police et leur analyse a révélé une alcoolémie bien supérieure à la limite légale. A a été accusé de conduite avec une alcoolémie « supérieure à 80 mg », soit l’infraction prévue à l’art. 253 du </w:t>
      </w:r>
      <w:r w:rsidRPr="00D22292">
        <w:rPr>
          <w:i/>
          <w:sz w:val="20"/>
          <w:lang w:val="fr-CA"/>
        </w:rPr>
        <w:t>Code criminel</w:t>
      </w:r>
      <w:r w:rsidRPr="00D22292">
        <w:rPr>
          <w:sz w:val="20"/>
          <w:lang w:val="fr-CA"/>
        </w:rPr>
        <w:t xml:space="preserve">. Ni le prélèvement des échantillons au moyen d’un appareil approuvé manipulé par un technicien qualifié dans les délais prescrits, ni la fiabilité des résultats obtenus n’ont été contestés au procès. Dès lors que ces conditions sont réunies, le ministère public peut se prévaloir des raccourcis prévus aux al. 258(1)c) et g) du </w:t>
      </w:r>
      <w:r w:rsidRPr="00D22292">
        <w:rPr>
          <w:i/>
          <w:sz w:val="20"/>
          <w:lang w:val="fr-CA"/>
        </w:rPr>
        <w:t>Code</w:t>
      </w:r>
      <w:r w:rsidRPr="00D22292">
        <w:rPr>
          <w:sz w:val="20"/>
          <w:lang w:val="fr-CA"/>
        </w:rPr>
        <w:t xml:space="preserve"> pour établir par le dépôt d’un certificat attestant les résultats de l’analyse des échantillons d’haleine l’alcoolémie de l’accusé au moment où il aurait commis l’infraction. Le ministère public est alors dispensé de l’obligation de présenter deux témoins à chaque procès, à savoir un technicien d’alcootest et un toxicologue expert. Dans la présente affaire, le juge du procès a conclu qu’il n’y avait pas de motifs suffisants de donner l’ordre de se soumettre à l’alcootest routier, mais il a appliqué l’arrêt </w:t>
      </w:r>
      <w:r w:rsidRPr="00D22292">
        <w:rPr>
          <w:i/>
          <w:sz w:val="20"/>
          <w:lang w:val="fr-CA"/>
        </w:rPr>
        <w:t>Rilling c. La Reine</w:t>
      </w:r>
      <w:r w:rsidRPr="00D22292">
        <w:rPr>
          <w:sz w:val="20"/>
          <w:lang w:val="fr-CA"/>
        </w:rPr>
        <w:t>, [1976] 2 R.C.S. 183, selon lequel le ministère public n’a pas à établir la légalité de l’ordre pour bénéficier des raccourcis en matière de preuve. A a été déclaré coupable de conduite avec une alcoolémie « supérieure à 80 mg ». La Cour suprême de la Colombie</w:t>
      </w:r>
      <w:r w:rsidRPr="00D22292">
        <w:rPr>
          <w:sz w:val="20"/>
          <w:lang w:val="fr-CA"/>
        </w:rPr>
        <w:noBreakHyphen/>
        <w:t>Britannique puis la Cour d’appel de la même province ont rejeté les appels successifs de A.</w:t>
      </w:r>
    </w:p>
    <w:p w:rsidR="00AB4C7B" w:rsidRPr="00D22292" w:rsidRDefault="00AB4C7B" w:rsidP="00AB4C7B">
      <w:pPr>
        <w:pStyle w:val="SCCNormalDoubleSpacing"/>
        <w:spacing w:line="240" w:lineRule="auto"/>
        <w:rPr>
          <w:sz w:val="20"/>
          <w:lang w:val="fr-CA"/>
        </w:rPr>
      </w:pPr>
    </w:p>
    <w:p w:rsidR="00AB4C7B" w:rsidRPr="00D22292" w:rsidRDefault="00AB4C7B" w:rsidP="00AB4C7B">
      <w:pPr>
        <w:pStyle w:val="SCCNormalDoubleSpacing"/>
        <w:spacing w:line="240" w:lineRule="auto"/>
        <w:rPr>
          <w:sz w:val="20"/>
          <w:lang w:val="fr-CA"/>
        </w:rPr>
      </w:pPr>
      <w:r w:rsidRPr="00D22292">
        <w:rPr>
          <w:sz w:val="20"/>
          <w:lang w:val="fr-CA"/>
        </w:rPr>
        <w:tab/>
      </w:r>
      <w:r w:rsidRPr="00D22292">
        <w:rPr>
          <w:i/>
          <w:sz w:val="20"/>
          <w:lang w:val="fr-CA"/>
        </w:rPr>
        <w:t>Arrêt</w:t>
      </w:r>
      <w:r w:rsidRPr="00D22292">
        <w:rPr>
          <w:sz w:val="20"/>
          <w:lang w:val="fr-CA"/>
        </w:rPr>
        <w:t> (la juge en chef McLachlin et les juges Abella, Brown et Rowe sont dissidents) : Le pourvoi est rejeté.</w:t>
      </w:r>
    </w:p>
    <w:p w:rsidR="00AB4C7B" w:rsidRPr="00D22292" w:rsidRDefault="00AB4C7B" w:rsidP="00AB4C7B">
      <w:pPr>
        <w:pStyle w:val="SCCNormalDoubleSpacing"/>
        <w:spacing w:line="240" w:lineRule="auto"/>
        <w:rPr>
          <w:sz w:val="20"/>
          <w:lang w:val="fr-CA"/>
        </w:rPr>
      </w:pPr>
    </w:p>
    <w:p w:rsidR="00AB4C7B" w:rsidRPr="00D22292" w:rsidRDefault="00AB4C7B" w:rsidP="00AB4C7B">
      <w:pPr>
        <w:pStyle w:val="SCCNormalDoubleSpacing"/>
        <w:spacing w:line="240" w:lineRule="auto"/>
        <w:rPr>
          <w:sz w:val="20"/>
          <w:lang w:val="fr-CA"/>
        </w:rPr>
      </w:pPr>
      <w:r w:rsidRPr="00D22292">
        <w:rPr>
          <w:sz w:val="20"/>
          <w:lang w:val="fr-CA"/>
        </w:rPr>
        <w:tab/>
      </w:r>
      <w:r w:rsidRPr="00D22292">
        <w:rPr>
          <w:i/>
          <w:sz w:val="20"/>
          <w:lang w:val="fr-CA"/>
        </w:rPr>
        <w:t xml:space="preserve">Les </w:t>
      </w:r>
      <w:r w:rsidRPr="00D22292">
        <w:rPr>
          <w:sz w:val="20"/>
          <w:lang w:val="fr-CA"/>
        </w:rPr>
        <w:t xml:space="preserve">juges </w:t>
      </w:r>
      <w:r w:rsidRPr="00D22292">
        <w:rPr>
          <w:b/>
          <w:sz w:val="20"/>
          <w:lang w:val="fr-CA"/>
        </w:rPr>
        <w:t>Moldaver</w:t>
      </w:r>
      <w:r w:rsidRPr="00D22292">
        <w:rPr>
          <w:sz w:val="20"/>
          <w:lang w:val="fr-CA"/>
        </w:rPr>
        <w:t xml:space="preserve">, Karakatsanis, Wagner, Gascon et Côté : Le libellé des al. 258(1)c) et g) du </w:t>
      </w:r>
      <w:r w:rsidRPr="00D22292">
        <w:rPr>
          <w:i/>
          <w:sz w:val="20"/>
          <w:lang w:val="fr-CA"/>
        </w:rPr>
        <w:t>Code</w:t>
      </w:r>
      <w:r w:rsidRPr="00D22292">
        <w:rPr>
          <w:sz w:val="20"/>
          <w:lang w:val="fr-CA"/>
        </w:rPr>
        <w:t xml:space="preserve"> ne permet pas de conclure que l’application des raccourcis en matière de preuve est subordonnée à la légalité de l’ordre de fournir </w:t>
      </w:r>
      <w:r w:rsidRPr="00D22292">
        <w:rPr>
          <w:sz w:val="20"/>
          <w:lang w:val="fr-CA"/>
        </w:rPr>
        <w:lastRenderedPageBreak/>
        <w:t xml:space="preserve">un échantillon d’haleine. Premièrement, il aurait été facile au législateur de préciser que l’échantillon devait être prélevé « conformément à un ordre “légal” » comme il le fait ailleurs dans le </w:t>
      </w:r>
      <w:r w:rsidRPr="00D22292">
        <w:rPr>
          <w:i/>
          <w:sz w:val="20"/>
          <w:lang w:val="fr-CA"/>
        </w:rPr>
        <w:t>Code</w:t>
      </w:r>
      <w:r w:rsidRPr="00D22292">
        <w:rPr>
          <w:sz w:val="20"/>
          <w:lang w:val="fr-CA"/>
        </w:rPr>
        <w:t>. Deuxièmement, une interprétation en ce sens irait à l’encontre de l’organisation des dispositions, lesquelles renferment chacune un libellé introductif suivi de l’énumération des conditions qui doivent être réunies pour que les raccourcis puissent s’appliquer, et ces conditions ont toutes une incidence directe sur la fiabilité des raccourcis en matière de preuve. L’énoncé « conformément à un ordre donné en vertu du paragraphe 254(3) » précise simplement que la substance corporelle visée par la disposition est l’haleine, ce qui aurait pu ne pas être évident au moment de l’adoption initiale des dispositions en 1969. Quoi qu’il en soit, le sens ordinaire n’est pas en soi déterminant, et une entreprise d’interprétation législative demeure incomplète sans l’examen du contexte, de l’objet et des normes juridiques pertinentes.</w:t>
      </w:r>
    </w:p>
    <w:p w:rsidR="00AB4C7B" w:rsidRPr="00D22292" w:rsidRDefault="00AB4C7B" w:rsidP="00AB4C7B">
      <w:pPr>
        <w:pStyle w:val="SCCNormalDoubleSpacing"/>
        <w:spacing w:line="240" w:lineRule="auto"/>
        <w:rPr>
          <w:sz w:val="20"/>
          <w:lang w:val="fr-CA"/>
        </w:rPr>
      </w:pPr>
    </w:p>
    <w:p w:rsidR="00AB4C7B" w:rsidRPr="00D22292" w:rsidRDefault="00AB4C7B" w:rsidP="00AB4C7B">
      <w:pPr>
        <w:pStyle w:val="SCCNormalDoubleSpacing"/>
        <w:spacing w:line="240" w:lineRule="auto"/>
        <w:rPr>
          <w:sz w:val="20"/>
          <w:lang w:val="fr-CA"/>
        </w:rPr>
      </w:pPr>
      <w:r w:rsidRPr="00D22292">
        <w:rPr>
          <w:sz w:val="20"/>
          <w:lang w:val="fr-CA"/>
        </w:rPr>
        <w:tab/>
        <w:t>L’objet et le contexte des dispositions ne permettent pas de conclure que l’application des raccourcis en matière de preuve est subordonnée à la légalité de l’ordre. L’objectif primordial de ces raccourcis est de rationaliser le déroulement de l’instance en rendant certains témoignages superflus. Les conditions d’application des raccourcis ont trait à la fiabilité des résultats d’analyse des échantillons d’haleine et à leur corrélation avec l’alcoolémie de l’accusé au moment de l’infraction. La légalité de l’ordre n’a pas d’incidence à cet égard. Cet objectif diffère de celui du par. 254(3), lequel énonce et circonscrit les pouvoirs policiers, notamment les conditions de la légalité de l’ordre de fournir un échantillon d’haleine. L’objectif primordial des raccourcis en matière de preuve serait contrecarré si l’applicabilité des raccourcis tenait à la légalité de l’ordre de fournir un échantillon d’haleine. Exiger du ministère public qu’il présente deux témoins supplémentaires entraînera dans les affaires de conduite avec facultés affaiblies des délais déraisonnables qui nuiront à la bonne administration de la justice dans son ensemble et qui contrecarreront l’objectif du législateur.</w:t>
      </w:r>
    </w:p>
    <w:p w:rsidR="00AB4C7B" w:rsidRPr="00D22292" w:rsidRDefault="00AB4C7B" w:rsidP="00AB4C7B">
      <w:pPr>
        <w:pStyle w:val="SCCNormalDoubleSpacing"/>
        <w:spacing w:line="240" w:lineRule="auto"/>
        <w:rPr>
          <w:sz w:val="20"/>
          <w:lang w:val="fr-CA"/>
        </w:rPr>
      </w:pPr>
    </w:p>
    <w:p w:rsidR="00AB4C7B" w:rsidRPr="00D22292" w:rsidRDefault="00AB4C7B" w:rsidP="00AB4C7B">
      <w:pPr>
        <w:pStyle w:val="SCCNormalDoubleSpacing"/>
        <w:spacing w:line="240" w:lineRule="auto"/>
        <w:rPr>
          <w:sz w:val="20"/>
          <w:lang w:val="fr-CA"/>
        </w:rPr>
      </w:pPr>
      <w:r w:rsidRPr="00D22292">
        <w:rPr>
          <w:sz w:val="20"/>
          <w:lang w:val="fr-CA"/>
        </w:rPr>
        <w:tab/>
        <w:t>L’analogie avec l’infraction de refus d’obtempérer prévue au par. 254(5) est boiteuse. Bien qu’elle appartienne au même régime législatif, l’infraction de refus d’obtempérer diffère foncièrement des autres infractions de conduite avec facultés affaiblies. La perpétration de l’infraction de refus d’obtempérer tient à la désobéissance à une sommation légale, alors que la commission de l’infraction de conduite avec une alcoolémie « supérieure à 80 mg » tient au fait d’avoir pris le volant avec une alcoolémie supérieure à la limite légale. Il n’est donc pas injuste qu’une personne qui refuse d’obtempérer à un ordre illégal soit acquittée, alors que si la même personne obtempère et fait l’objet d’une accusation d’alcoolémie « supérieure à 80 mg », les raccourcis en matière de preuve demeurent applicables. Cela n’incitera pas à désobéir à un ordre de fournir un échantillon d’haleine. La personne qui refuse délibérément de se soumettre à l’alcootest routier fait un pari risqué. Si l’ordre est par la suite jugé légal, elle pourrait être déclarée coupable même si son alcoolémie était inférieure à la limite prescrite.</w:t>
      </w:r>
    </w:p>
    <w:p w:rsidR="00AB4C7B" w:rsidRPr="00D22292" w:rsidRDefault="00AB4C7B" w:rsidP="00AB4C7B">
      <w:pPr>
        <w:pStyle w:val="SCCNormalDoubleSpacing"/>
        <w:spacing w:line="240" w:lineRule="auto"/>
        <w:rPr>
          <w:sz w:val="20"/>
          <w:lang w:val="fr-CA"/>
        </w:rPr>
      </w:pPr>
    </w:p>
    <w:p w:rsidR="00AB4C7B" w:rsidRPr="00D22292" w:rsidRDefault="00AB4C7B" w:rsidP="00AB4C7B">
      <w:pPr>
        <w:pStyle w:val="SCCNormalDoubleSpacing"/>
        <w:spacing w:line="240" w:lineRule="auto"/>
        <w:rPr>
          <w:sz w:val="20"/>
          <w:lang w:val="fr-CA"/>
        </w:rPr>
      </w:pPr>
      <w:r w:rsidRPr="00D22292">
        <w:rPr>
          <w:sz w:val="20"/>
          <w:lang w:val="fr-CA"/>
        </w:rPr>
        <w:tab/>
        <w:t xml:space="preserve">Point n’est besoin de décider si l’arrêt </w:t>
      </w:r>
      <w:r w:rsidRPr="00D22292">
        <w:rPr>
          <w:i/>
          <w:sz w:val="20"/>
          <w:lang w:val="fr-CA"/>
        </w:rPr>
        <w:t>Rilling</w:t>
      </w:r>
      <w:r w:rsidRPr="00D22292">
        <w:rPr>
          <w:sz w:val="20"/>
          <w:lang w:val="fr-CA"/>
        </w:rPr>
        <w:t xml:space="preserve"> est erroné ou non selon le droit qui s’appliquait à l’époque, car la crainte exprimée par les juges minoritaires dans cet arrêt n’a plus lieu d’être de nos jours. La fiabilité scientifique des résultats d’un alcootest correctement utilisé ne fait plus aucun doute. Désormais, l’art. 8 de la </w:t>
      </w:r>
      <w:r w:rsidRPr="00D22292">
        <w:rPr>
          <w:i/>
          <w:sz w:val="20"/>
          <w:lang w:val="fr-CA"/>
        </w:rPr>
        <w:t>Charte canadienne des droits et libertés</w:t>
      </w:r>
      <w:r w:rsidRPr="00D22292">
        <w:rPr>
          <w:sz w:val="20"/>
          <w:lang w:val="fr-CA"/>
        </w:rPr>
        <w:t>, de pair avec son par. 24(2),</w:t>
      </w:r>
      <w:r w:rsidRPr="00D22292">
        <w:rPr>
          <w:i/>
          <w:sz w:val="20"/>
          <w:lang w:val="fr-CA"/>
        </w:rPr>
        <w:t xml:space="preserve"> </w:t>
      </w:r>
      <w:r w:rsidRPr="00D22292">
        <w:rPr>
          <w:sz w:val="20"/>
          <w:lang w:val="fr-CA"/>
        </w:rPr>
        <w:t>offre une protection complète et directe contre la fouille, la perquisition ou la saisie abusives, y compris celles visant un échantillon d’haleine. À l’opposé, l’impossibilité d’utiliser les raccourcis en matière de preuve de l’art. 258 ne constitue pas une véritable réparation dans le cas d’un ordre illégal de la police et ne confère aucun avantage de fond ou de procédure à l’accusé : elle ne fait qu’obliger le ministère public à présenter inutilement deux témoins pour parvenir au même résultat. Une telle approche irait à l’encontre d’un arrêt récent de la Cour qui souligne l’importance de la collaboration des participants au système de justice criminelle afin que justice soit rendue promptement et équitablement.</w:t>
      </w:r>
    </w:p>
    <w:p w:rsidR="00AB4C7B" w:rsidRPr="00D22292" w:rsidRDefault="00AB4C7B" w:rsidP="00AB4C7B">
      <w:pPr>
        <w:pStyle w:val="SCCNormalDoubleSpacing"/>
        <w:spacing w:line="240" w:lineRule="auto"/>
        <w:rPr>
          <w:sz w:val="20"/>
          <w:lang w:val="fr-CA"/>
        </w:rPr>
      </w:pPr>
    </w:p>
    <w:p w:rsidR="00AB4C7B" w:rsidRPr="00D22292" w:rsidRDefault="00AB4C7B" w:rsidP="00AB4C7B">
      <w:pPr>
        <w:pStyle w:val="SCCNormalDoubleSpacing"/>
        <w:spacing w:line="240" w:lineRule="auto"/>
        <w:rPr>
          <w:sz w:val="20"/>
          <w:lang w:val="fr-CA"/>
        </w:rPr>
      </w:pPr>
      <w:r w:rsidRPr="00D22292">
        <w:rPr>
          <w:sz w:val="20"/>
          <w:lang w:val="fr-CA"/>
        </w:rPr>
        <w:tab/>
        <w:t>L’application des raccourcis en matière de preuve de l’art. 258 n’étant pas subordonnée à la légalité de l’ordre, rien ne justifie en l’espèce une intervention en appel, et la déclaration de culpabilité de A doit être confirmée.</w:t>
      </w:r>
    </w:p>
    <w:p w:rsidR="00AB4C7B" w:rsidRPr="00D22292" w:rsidRDefault="00AB4C7B" w:rsidP="00AB4C7B">
      <w:pPr>
        <w:pStyle w:val="SCCNormalDoubleSpacing"/>
        <w:spacing w:line="240" w:lineRule="auto"/>
        <w:rPr>
          <w:sz w:val="20"/>
          <w:lang w:val="fr-CA"/>
        </w:rPr>
      </w:pPr>
    </w:p>
    <w:p w:rsidR="00AB4C7B" w:rsidRPr="00D22292" w:rsidRDefault="00AB4C7B" w:rsidP="00AB4C7B">
      <w:pPr>
        <w:pStyle w:val="SCCNormalDoubleSpacing"/>
        <w:spacing w:line="240" w:lineRule="auto"/>
        <w:rPr>
          <w:sz w:val="20"/>
          <w:lang w:val="fr-CA"/>
        </w:rPr>
      </w:pPr>
      <w:r w:rsidRPr="00D22292">
        <w:rPr>
          <w:sz w:val="20"/>
          <w:lang w:val="fr-CA"/>
        </w:rPr>
        <w:tab/>
      </w:r>
      <w:r w:rsidRPr="00D22292">
        <w:rPr>
          <w:i/>
          <w:sz w:val="20"/>
          <w:lang w:val="fr-CA"/>
        </w:rPr>
        <w:t>La</w:t>
      </w:r>
      <w:r w:rsidRPr="00D22292">
        <w:rPr>
          <w:sz w:val="20"/>
          <w:lang w:val="fr-CA"/>
        </w:rPr>
        <w:t xml:space="preserve"> juge en chef McLachlin et les juges Abella, Brown et </w:t>
      </w:r>
      <w:r w:rsidRPr="00D22292">
        <w:rPr>
          <w:b/>
          <w:sz w:val="20"/>
          <w:lang w:val="fr-CA"/>
        </w:rPr>
        <w:t>Rowe</w:t>
      </w:r>
      <w:r w:rsidRPr="00D22292">
        <w:rPr>
          <w:sz w:val="20"/>
          <w:lang w:val="fr-CA"/>
        </w:rPr>
        <w:t xml:space="preserve"> (dissidents) : L’existence de motifs raisonnables de donner l’ordre de fournir un échantillon d’haleine en application du par. 254(3) du </w:t>
      </w:r>
      <w:r w:rsidRPr="00D22292">
        <w:rPr>
          <w:i/>
          <w:sz w:val="20"/>
          <w:lang w:val="fr-CA"/>
        </w:rPr>
        <w:t>Code</w:t>
      </w:r>
      <w:r w:rsidRPr="00D22292">
        <w:rPr>
          <w:sz w:val="20"/>
          <w:lang w:val="fr-CA"/>
        </w:rPr>
        <w:t xml:space="preserve"> conditionne l’application des présomptions établies aux al. 258(1)c) et g). La règle établie dans l’arrêt </w:t>
      </w:r>
      <w:r w:rsidRPr="00D22292">
        <w:rPr>
          <w:i/>
          <w:sz w:val="20"/>
          <w:lang w:val="fr-CA"/>
        </w:rPr>
        <w:t>Rilling</w:t>
      </w:r>
      <w:r w:rsidRPr="00D22292">
        <w:rPr>
          <w:sz w:val="20"/>
          <w:lang w:val="fr-CA"/>
        </w:rPr>
        <w:t xml:space="preserve"> n’est donc plus valable. La mise en balance des valeurs que sont la justesse et la certitude permet de conclure que la nécessité de rectifier le droit l’emporte en l’espèce. C’est pourquoi l’appel de A devrait être accueilli, sa déclaration de culpabilité annulée et un nouveau procès ordonné.</w:t>
      </w:r>
    </w:p>
    <w:p w:rsidR="00AB4C7B" w:rsidRPr="00D22292" w:rsidRDefault="00AB4C7B" w:rsidP="00AB4C7B">
      <w:pPr>
        <w:pStyle w:val="SCCNormalDoubleSpacing"/>
        <w:spacing w:line="240" w:lineRule="auto"/>
        <w:rPr>
          <w:sz w:val="20"/>
          <w:lang w:val="fr-CA"/>
        </w:rPr>
      </w:pPr>
    </w:p>
    <w:p w:rsidR="00AB4C7B" w:rsidRPr="00D22292" w:rsidRDefault="00AB4C7B" w:rsidP="00AB4C7B">
      <w:pPr>
        <w:pStyle w:val="SCCNormalDoubleSpacing"/>
        <w:spacing w:line="240" w:lineRule="auto"/>
        <w:rPr>
          <w:sz w:val="20"/>
          <w:lang w:val="fr-CA"/>
        </w:rPr>
      </w:pPr>
      <w:r w:rsidRPr="00D22292">
        <w:rPr>
          <w:sz w:val="20"/>
          <w:lang w:val="fr-CA"/>
        </w:rPr>
        <w:tab/>
        <w:t xml:space="preserve">L’arrêt </w:t>
      </w:r>
      <w:r w:rsidRPr="00D22292">
        <w:rPr>
          <w:i/>
          <w:sz w:val="20"/>
          <w:lang w:val="fr-CA"/>
        </w:rPr>
        <w:t xml:space="preserve">Rilling </w:t>
      </w:r>
      <w:r w:rsidRPr="00D22292">
        <w:rPr>
          <w:sz w:val="20"/>
          <w:lang w:val="fr-CA"/>
        </w:rPr>
        <w:t xml:space="preserve">prend appui sur l’opinion erronée qu’un élément de preuve pertinent est admissible même s’il a été obtenu illégalement. Pareille interprétation assimile la question de l’admissibilité de la preuve en common law à celle </w:t>
      </w:r>
      <w:r w:rsidRPr="00D22292">
        <w:rPr>
          <w:sz w:val="20"/>
          <w:lang w:val="fr-CA"/>
        </w:rPr>
        <w:lastRenderedPageBreak/>
        <w:t xml:space="preserve">de l’application des raccourcis en matière de preuve suivant le par. 258(1) du </w:t>
      </w:r>
      <w:r w:rsidRPr="00D22292">
        <w:rPr>
          <w:i/>
          <w:sz w:val="20"/>
          <w:lang w:val="fr-CA"/>
        </w:rPr>
        <w:t>Code</w:t>
      </w:r>
      <w:r w:rsidRPr="00D22292">
        <w:rPr>
          <w:sz w:val="20"/>
          <w:lang w:val="fr-CA"/>
        </w:rPr>
        <w:t xml:space="preserve">. La valeur de cette interprétation a été affaiblie par un arrêt ultérieur </w:t>
      </w:r>
      <w:r w:rsidRPr="00D22292">
        <w:rPr>
          <w:spacing w:val="-3"/>
          <w:sz w:val="20"/>
          <w:lang w:val="fr-CA"/>
        </w:rPr>
        <w:t xml:space="preserve">dans lequel une </w:t>
      </w:r>
      <w:r w:rsidRPr="00D22292">
        <w:rPr>
          <w:sz w:val="20"/>
          <w:lang w:val="fr-CA"/>
        </w:rPr>
        <w:t>distinction</w:t>
      </w:r>
      <w:r w:rsidRPr="00D22292">
        <w:rPr>
          <w:spacing w:val="-3"/>
          <w:sz w:val="20"/>
          <w:lang w:val="fr-CA"/>
        </w:rPr>
        <w:t xml:space="preserve"> est établie entre l’admissibilité de la preuve et les conditions d’application des raccourcis en matière de preuve, de même que par l’importance de l’exigence légale de motifs raisonnables et probables pour que puisse être </w:t>
      </w:r>
      <w:r w:rsidRPr="00D22292">
        <w:rPr>
          <w:sz w:val="20"/>
          <w:lang w:val="fr-CA"/>
        </w:rPr>
        <w:t xml:space="preserve">effectuée une fouille, une perquisition ou une saisie légitime suivant l’art. 8 de la </w:t>
      </w:r>
      <w:r w:rsidRPr="00D22292">
        <w:rPr>
          <w:i/>
          <w:sz w:val="20"/>
          <w:lang w:val="fr-CA"/>
        </w:rPr>
        <w:t>Charte</w:t>
      </w:r>
      <w:r w:rsidRPr="00D22292">
        <w:rPr>
          <w:sz w:val="20"/>
          <w:lang w:val="fr-CA"/>
        </w:rPr>
        <w:t>. La méthode moderne d’interprétation des lois a aussi contribué à cet affaiblissement.</w:t>
      </w:r>
    </w:p>
    <w:p w:rsidR="00AB4C7B" w:rsidRPr="00D22292" w:rsidRDefault="00AB4C7B" w:rsidP="00AB4C7B">
      <w:pPr>
        <w:pStyle w:val="SCCNormalDoubleSpacing"/>
        <w:spacing w:line="240" w:lineRule="auto"/>
        <w:rPr>
          <w:sz w:val="20"/>
          <w:lang w:val="fr-CA"/>
        </w:rPr>
      </w:pPr>
    </w:p>
    <w:p w:rsidR="00AB4C7B" w:rsidRPr="00D22292" w:rsidRDefault="00AB4C7B" w:rsidP="00AB4C7B">
      <w:pPr>
        <w:pStyle w:val="SCCNormalDoubleSpacing"/>
        <w:spacing w:line="240" w:lineRule="auto"/>
        <w:rPr>
          <w:sz w:val="20"/>
          <w:lang w:val="fr-CA"/>
        </w:rPr>
      </w:pPr>
      <w:r w:rsidRPr="00D22292">
        <w:rPr>
          <w:sz w:val="20"/>
          <w:lang w:val="fr-CA"/>
        </w:rPr>
        <w:tab/>
        <w:t xml:space="preserve">Si on lit le libellé des al. 258(1)c) et g) dans son contexte global en suivant le sens ordinaire et grammatical qui s’harmonise avec l’économie de la loi, l’objet de la loi et l’intention du législateur, le raisonnement de la Cour dans </w:t>
      </w:r>
      <w:r w:rsidRPr="00D22292">
        <w:rPr>
          <w:i/>
          <w:sz w:val="20"/>
          <w:lang w:val="fr-CA"/>
        </w:rPr>
        <w:t xml:space="preserve">Rilling </w:t>
      </w:r>
      <w:r w:rsidRPr="00D22292">
        <w:rPr>
          <w:sz w:val="20"/>
          <w:lang w:val="fr-CA"/>
        </w:rPr>
        <w:t xml:space="preserve">ne résiste pas à l’analyse. L’énoncé « conformément à un ordre donné en vertu du paragraphe 254(3) » ne saurait seulement préciser la substance visée par la disposition. Que ces mots n’aient aucune raison d’être ne saurait être plausible. Retenir cette interprétation signifierait que les autres exigences du par. 254(3), par exemple que l’ordre soit donné par un agent de la paix ou qu’il le soit dans les meilleurs délais, ne conditionnent pas non plus l’application des raccourcis en matière de preuve. Le ministère public bénéficierait ainsi des présomptions en matière de preuve pour tout échantillon, peu importe les circonstances dans lesquelles l’ordre aurait été donné. Qui plus est, cette interprétation voulant que le syntagme « conformément à » fasse des exigences de l’art. 254 une condition de l’application des présomptions en matière de preuve établies au par. 258(1) s’accorde avec l’opinion minoritaire dans </w:t>
      </w:r>
      <w:r w:rsidRPr="00D22292">
        <w:rPr>
          <w:i/>
          <w:sz w:val="20"/>
          <w:lang w:val="fr-CA"/>
        </w:rPr>
        <w:t>Rilling</w:t>
      </w:r>
      <w:r w:rsidRPr="00D22292">
        <w:rPr>
          <w:sz w:val="20"/>
          <w:lang w:val="fr-CA"/>
        </w:rPr>
        <w:t xml:space="preserve"> et avec la décision subséquente d’une juridiction d’appel.</w:t>
      </w:r>
    </w:p>
    <w:p w:rsidR="00AB4C7B" w:rsidRPr="00D22292" w:rsidRDefault="00AB4C7B" w:rsidP="00AB4C7B">
      <w:pPr>
        <w:pStyle w:val="SCCNormalDoubleSpacing"/>
        <w:spacing w:line="240" w:lineRule="auto"/>
        <w:rPr>
          <w:sz w:val="20"/>
          <w:lang w:val="fr-CA"/>
        </w:rPr>
      </w:pPr>
    </w:p>
    <w:p w:rsidR="00AB4C7B" w:rsidRPr="00D22292" w:rsidRDefault="00AB4C7B" w:rsidP="00AB4C7B">
      <w:pPr>
        <w:pStyle w:val="SCCNormalDoubleSpacing"/>
        <w:spacing w:line="240" w:lineRule="auto"/>
        <w:rPr>
          <w:rFonts w:eastAsiaTheme="minorEastAsia"/>
          <w:sz w:val="20"/>
          <w:lang w:val="fr-CA" w:eastAsia="en-US"/>
        </w:rPr>
      </w:pPr>
      <w:r w:rsidRPr="00D22292">
        <w:rPr>
          <w:sz w:val="20"/>
          <w:lang w:val="fr-CA"/>
        </w:rPr>
        <w:tab/>
        <w:t xml:space="preserve">Écarter l’arrêt </w:t>
      </w:r>
      <w:r w:rsidRPr="00D22292">
        <w:rPr>
          <w:i/>
          <w:sz w:val="20"/>
          <w:lang w:val="fr-CA"/>
        </w:rPr>
        <w:t xml:space="preserve">Rilling </w:t>
      </w:r>
      <w:r w:rsidRPr="00D22292">
        <w:rPr>
          <w:sz w:val="20"/>
          <w:lang w:val="fr-CA"/>
        </w:rPr>
        <w:t>ne compromettrait pas le bon fonctionnement du régime législatif ni ne nuirait à la bonne administration de la justice. S’il dépose des accusations pour conduite avec une alcoolémie « supérieure à 80 mg » alors que l’agent de la paix a agi sans motifs raisonnables, le ministère public ne pourra recourir aux raccourcis en matière de preuve. Cependant, il pourra quand même établir sa preuve s’il a en main les éléments nécessaires, même s’il lui faudra plus de temps. Il n’y aura donc aucune injustice. Le ministère public en subira peut</w:t>
      </w:r>
      <w:r w:rsidRPr="00D22292">
        <w:rPr>
          <w:sz w:val="20"/>
          <w:lang w:val="fr-CA"/>
        </w:rPr>
        <w:noBreakHyphen/>
        <w:t xml:space="preserve">être certains inconvénients, mais il est plus important d’interpréter et d’appliquer correctement ces dispositions du </w:t>
      </w:r>
      <w:r w:rsidRPr="00D22292">
        <w:rPr>
          <w:i/>
          <w:sz w:val="20"/>
          <w:lang w:val="fr-CA"/>
        </w:rPr>
        <w:t>Code</w:t>
      </w:r>
      <w:r w:rsidRPr="00D22292">
        <w:rPr>
          <w:sz w:val="20"/>
          <w:lang w:val="fr-CA"/>
        </w:rPr>
        <w:t xml:space="preserve">. Aussi, l’encadrement procédural de l’instance criminelle diffère aujourd’hui de ce qu’il était lorsque l’arrêt </w:t>
      </w:r>
      <w:r w:rsidRPr="00D22292">
        <w:rPr>
          <w:i/>
          <w:sz w:val="20"/>
          <w:lang w:val="fr-CA"/>
        </w:rPr>
        <w:t xml:space="preserve">Rilling </w:t>
      </w:r>
      <w:r w:rsidRPr="00D22292">
        <w:rPr>
          <w:sz w:val="20"/>
          <w:lang w:val="fr-CA"/>
        </w:rPr>
        <w:t xml:space="preserve">a été rendu. Les mesures actuelles que sont par exemple la communication de la preuve, le filtrage des accusations et la conférence préparatoire permettent aux parties de connaître à l’avance les questions qui feront l’objet du procès. La question de la privation de l’accès aux présomptions en matière de preuve se distingue de celle de l’admissibilité du certificat, laquelle est régie par les règles de preuve, sous réserve de la présentation de demandes sous le régime de l’art. 8 de la </w:t>
      </w:r>
      <w:r w:rsidRPr="00D22292">
        <w:rPr>
          <w:i/>
          <w:sz w:val="20"/>
          <w:lang w:val="fr-CA"/>
        </w:rPr>
        <w:t>Charte</w:t>
      </w:r>
      <w:r w:rsidRPr="00D22292">
        <w:rPr>
          <w:sz w:val="20"/>
          <w:lang w:val="fr-CA"/>
        </w:rPr>
        <w:t xml:space="preserve">. Il n’y aura donc pas d’embuscade après que le ministère public aura clos sa preuve. </w:t>
      </w:r>
      <w:r w:rsidRPr="00D22292">
        <w:rPr>
          <w:rFonts w:eastAsiaTheme="minorEastAsia"/>
          <w:sz w:val="20"/>
          <w:lang w:val="fr-CA" w:eastAsia="en-US"/>
        </w:rPr>
        <w:t xml:space="preserve">Le régime législatif continuera de s’appliquer comme il se doit malgré la mise à l’écart de la règle de l’arrêt </w:t>
      </w:r>
      <w:r w:rsidRPr="00D22292">
        <w:rPr>
          <w:rFonts w:eastAsiaTheme="minorEastAsia"/>
          <w:i/>
          <w:sz w:val="20"/>
          <w:lang w:val="fr-CA" w:eastAsia="en-US"/>
        </w:rPr>
        <w:t>Rilling</w:t>
      </w:r>
      <w:r w:rsidRPr="00D22292">
        <w:rPr>
          <w:rFonts w:eastAsiaTheme="minorEastAsia"/>
          <w:sz w:val="20"/>
          <w:lang w:val="fr-CA" w:eastAsia="en-US"/>
        </w:rPr>
        <w:t xml:space="preserve">. </w:t>
      </w:r>
    </w:p>
    <w:p w:rsidR="00AB4C7B" w:rsidRPr="00D22292" w:rsidRDefault="00AB4C7B" w:rsidP="00AB4C7B">
      <w:pPr>
        <w:pStyle w:val="SCCNormalDoubleSpacing"/>
        <w:spacing w:line="240" w:lineRule="auto"/>
        <w:rPr>
          <w:rFonts w:eastAsiaTheme="minorEastAsia"/>
          <w:sz w:val="20"/>
          <w:lang w:val="fr-CA" w:eastAsia="en-US"/>
        </w:rPr>
      </w:pPr>
    </w:p>
    <w:p w:rsidR="00AB4C7B" w:rsidRPr="00D22292" w:rsidRDefault="00AB4C7B" w:rsidP="00AB4C7B">
      <w:pPr>
        <w:pStyle w:val="SCCNormalDoubleSpacing"/>
        <w:spacing w:line="240" w:lineRule="auto"/>
        <w:rPr>
          <w:sz w:val="20"/>
          <w:lang w:val="fr-CA"/>
        </w:rPr>
      </w:pPr>
      <w:r w:rsidRPr="00D22292">
        <w:rPr>
          <w:sz w:val="20"/>
          <w:lang w:val="fr-CA"/>
        </w:rPr>
        <w:tab/>
        <w:t>POURVOI contre un arrêt de la Cour d’appel de la Colombie</w:t>
      </w:r>
      <w:r w:rsidRPr="00D22292">
        <w:rPr>
          <w:sz w:val="20"/>
          <w:lang w:val="fr-CA"/>
        </w:rPr>
        <w:noBreakHyphen/>
        <w:t>Britannique (les juges Newbury, Harris et Goepel), 2015 BCCA 435, 377 B.C.A.C. 301, 648 W.A.C. 301, 328 C.C.C. (3d) 448, 24 C.R. (7th) 138, 344 C.R.R. (2d) 158, 86 M.V.R. (6th) 179, [2015] B.C.J. No. 2267 (QL), 2015 CarswellBC 3000 (WL Can.), qui a confirmé une décision du juge Schultes, 2014 BCSC 2328, 71 M.V.R. (6th) 228, [2014] B.C.J. No. 3036 (QL), 2014 CarswellBC 3675 (WL Can.), qui avait confirmé la déclaration de culpabilité par procédure sommaire de l’accusé pour conduite avec facultés affaiblies. Pourvoi rejeté, la juge en chef McLachlin et les juges Abella, Brown et Rowe sont dissidents.</w:t>
      </w:r>
    </w:p>
    <w:p w:rsidR="00AB4C7B" w:rsidRPr="00D22292" w:rsidRDefault="00AB4C7B" w:rsidP="00AB4C7B">
      <w:pPr>
        <w:pStyle w:val="SCCNormalDoubleSpacing"/>
        <w:spacing w:line="240" w:lineRule="auto"/>
        <w:rPr>
          <w:sz w:val="20"/>
          <w:lang w:val="fr-CA"/>
        </w:rPr>
      </w:pPr>
    </w:p>
    <w:p w:rsidR="00AB4C7B" w:rsidRPr="00D22292" w:rsidRDefault="00AB4C7B" w:rsidP="00AB4C7B">
      <w:pPr>
        <w:pStyle w:val="SCCNormalDoubleSpacing"/>
        <w:spacing w:line="240" w:lineRule="auto"/>
        <w:rPr>
          <w:rStyle w:val="SCCCounselPartyRoleChar"/>
          <w:sz w:val="20"/>
          <w:lang w:val="fr-CA"/>
        </w:rPr>
      </w:pPr>
      <w:r w:rsidRPr="00D22292">
        <w:rPr>
          <w:rStyle w:val="SCCCounselNameChar"/>
          <w:sz w:val="20"/>
          <w:lang w:val="fr-CA"/>
        </w:rPr>
        <w:tab/>
        <w:t>Michael F. Welsh</w:t>
      </w:r>
      <w:r w:rsidRPr="00D22292">
        <w:rPr>
          <w:rStyle w:val="SCCCounselPartyRoleChar"/>
          <w:sz w:val="20"/>
          <w:lang w:val="fr-CA"/>
        </w:rPr>
        <w:t>, pour l’appelant.</w:t>
      </w:r>
    </w:p>
    <w:p w:rsidR="00AB4C7B" w:rsidRPr="00D22292" w:rsidRDefault="00AB4C7B" w:rsidP="00AB4C7B">
      <w:pPr>
        <w:pStyle w:val="SCCNormalDoubleSpacing"/>
        <w:spacing w:line="240" w:lineRule="auto"/>
        <w:rPr>
          <w:sz w:val="20"/>
          <w:lang w:val="fr-CA"/>
        </w:rPr>
      </w:pPr>
    </w:p>
    <w:p w:rsidR="00AB4C7B" w:rsidRPr="00D22292" w:rsidRDefault="00AB4C7B" w:rsidP="00AB4C7B">
      <w:pPr>
        <w:pStyle w:val="SCCNormalDoubleSpacing"/>
        <w:spacing w:line="240" w:lineRule="auto"/>
        <w:rPr>
          <w:rStyle w:val="SCCCounselPartyRoleChar"/>
          <w:sz w:val="20"/>
          <w:lang w:val="fr-CA"/>
        </w:rPr>
      </w:pPr>
      <w:r w:rsidRPr="00D22292">
        <w:rPr>
          <w:rStyle w:val="SCCCounselNameChar"/>
          <w:sz w:val="20"/>
          <w:lang w:val="fr-CA"/>
        </w:rPr>
        <w:tab/>
        <w:t>Rodney Garson</w:t>
      </w:r>
      <w:r w:rsidRPr="00D22292">
        <w:rPr>
          <w:rStyle w:val="SCCCounselPartyRoleChar"/>
          <w:sz w:val="20"/>
          <w:lang w:val="fr-CA"/>
        </w:rPr>
        <w:t>, pour l’intimée.</w:t>
      </w:r>
    </w:p>
    <w:p w:rsidR="00AB4C7B" w:rsidRPr="00D22292" w:rsidRDefault="00AB4C7B" w:rsidP="00AB4C7B">
      <w:pPr>
        <w:pStyle w:val="SCCNormalDoubleSpacing"/>
        <w:spacing w:line="240" w:lineRule="auto"/>
        <w:rPr>
          <w:sz w:val="20"/>
          <w:lang w:val="fr-CA"/>
        </w:rPr>
      </w:pPr>
    </w:p>
    <w:p w:rsidR="00AB4C7B" w:rsidRPr="00D22292" w:rsidRDefault="00AB4C7B" w:rsidP="00AB4C7B">
      <w:pPr>
        <w:pStyle w:val="SCCNormalDoubleSpacing"/>
        <w:spacing w:line="240" w:lineRule="auto"/>
        <w:rPr>
          <w:rStyle w:val="SCCCounselPartyRoleChar"/>
          <w:sz w:val="20"/>
          <w:lang w:val="fr-CA"/>
        </w:rPr>
      </w:pPr>
      <w:r w:rsidRPr="00D22292">
        <w:rPr>
          <w:rStyle w:val="SCCCounselNameChar"/>
          <w:sz w:val="20"/>
          <w:lang w:val="fr-CA"/>
        </w:rPr>
        <w:tab/>
        <w:t>James V. Palangio</w:t>
      </w:r>
      <w:r w:rsidRPr="00D22292">
        <w:rPr>
          <w:rStyle w:val="SCCCounselSeparatorChar"/>
          <w:rFonts w:eastAsia="Calibri"/>
          <w:sz w:val="20"/>
        </w:rPr>
        <w:t xml:space="preserve"> et </w:t>
      </w:r>
      <w:r w:rsidRPr="00D22292">
        <w:rPr>
          <w:rStyle w:val="SCCCounselNameChar"/>
          <w:sz w:val="20"/>
          <w:lang w:val="fr-CA"/>
        </w:rPr>
        <w:t>Michael Medeiros</w:t>
      </w:r>
      <w:r w:rsidRPr="00D22292">
        <w:rPr>
          <w:rStyle w:val="SCCCounselPartyRoleChar"/>
          <w:sz w:val="20"/>
          <w:lang w:val="fr-CA"/>
        </w:rPr>
        <w:t>, pour l’intervenant le procureur général de l’Ontario.</w:t>
      </w:r>
    </w:p>
    <w:p w:rsidR="00AB4C7B" w:rsidRPr="00D22292" w:rsidRDefault="00AB4C7B" w:rsidP="00AB4C7B">
      <w:pPr>
        <w:pStyle w:val="SCCNormalDoubleSpacing"/>
        <w:spacing w:line="240" w:lineRule="auto"/>
        <w:rPr>
          <w:sz w:val="20"/>
          <w:lang w:val="fr-CA"/>
        </w:rPr>
      </w:pPr>
    </w:p>
    <w:p w:rsidR="00AB4C7B" w:rsidRPr="00D22292" w:rsidRDefault="00AB4C7B" w:rsidP="00AB4C7B">
      <w:pPr>
        <w:pStyle w:val="SCCNormalDoubleSpacing"/>
        <w:spacing w:line="240" w:lineRule="auto"/>
        <w:rPr>
          <w:sz w:val="20"/>
          <w:lang w:val="fr-CA"/>
        </w:rPr>
      </w:pPr>
      <w:r w:rsidRPr="00D22292">
        <w:rPr>
          <w:rStyle w:val="SCCCounselNameChar"/>
          <w:sz w:val="20"/>
          <w:lang w:val="fr-CA"/>
        </w:rPr>
        <w:tab/>
        <w:t>Adam Little</w:t>
      </w:r>
      <w:r w:rsidRPr="00D22292">
        <w:rPr>
          <w:rStyle w:val="SCCCounselSeparatorChar"/>
          <w:rFonts w:eastAsia="Calibri"/>
          <w:sz w:val="20"/>
        </w:rPr>
        <w:t xml:space="preserve">, </w:t>
      </w:r>
      <w:r w:rsidRPr="00D22292">
        <w:rPr>
          <w:rStyle w:val="SCCCounselNameChar"/>
          <w:sz w:val="20"/>
          <w:lang w:val="fr-CA"/>
        </w:rPr>
        <w:t>Jonathan M. Rosenthal</w:t>
      </w:r>
      <w:r w:rsidRPr="00D22292">
        <w:rPr>
          <w:rStyle w:val="SCCCounselSeparatorChar"/>
          <w:rFonts w:eastAsia="Calibri"/>
          <w:sz w:val="20"/>
        </w:rPr>
        <w:t xml:space="preserve"> et </w:t>
      </w:r>
      <w:r w:rsidRPr="00D22292">
        <w:rPr>
          <w:rStyle w:val="SCCCounselNameChar"/>
          <w:sz w:val="20"/>
          <w:lang w:val="fr-CA"/>
        </w:rPr>
        <w:t>Shannon S. W. O’Connor</w:t>
      </w:r>
      <w:r w:rsidRPr="00D22292">
        <w:rPr>
          <w:rStyle w:val="SCCCounselPartyRoleChar"/>
          <w:sz w:val="20"/>
          <w:lang w:val="fr-CA"/>
        </w:rPr>
        <w:t>, pour l’intervenante Criminal Lawyers’ Association (Ontario).</w:t>
      </w:r>
    </w:p>
    <w:p w:rsidR="00AB4C7B" w:rsidRPr="00D22292" w:rsidRDefault="00AB4C7B" w:rsidP="00AB4C7B">
      <w:pPr>
        <w:pStyle w:val="SCCNormalDoubleSpacing"/>
        <w:spacing w:line="240" w:lineRule="auto"/>
        <w:rPr>
          <w:sz w:val="20"/>
          <w:lang w:val="fr-CA"/>
        </w:rPr>
      </w:pPr>
    </w:p>
    <w:p w:rsidR="00DF7D39" w:rsidRPr="00D22292" w:rsidRDefault="00DF7D39" w:rsidP="005C6840">
      <w:pPr>
        <w:rPr>
          <w:rFonts w:cs="Times New Roman"/>
          <w:sz w:val="20"/>
          <w:szCs w:val="20"/>
          <w:lang w:val="fr-CA"/>
        </w:rPr>
      </w:pPr>
    </w:p>
    <w:p w:rsidR="005C6840" w:rsidRPr="00D22292" w:rsidRDefault="00D22292" w:rsidP="005C6840">
      <w:pPr>
        <w:rPr>
          <w:lang w:val="fr-CA"/>
        </w:rPr>
      </w:pPr>
      <w:r w:rsidRPr="00D22292">
        <w:rPr>
          <w:rFonts w:cs="Times New Roman"/>
          <w:sz w:val="20"/>
          <w:szCs w:val="20"/>
          <w:lang w:val="fr-CA"/>
        </w:rPr>
        <w:pict>
          <v:rect id="_x0000_i1061" style="width:144.3pt;height:1pt" o:hrpct="300" o:hralign="center" o:hrstd="t" o:hrnoshade="t" o:hr="t" fillcolor="black [3213]" stroked="f"/>
        </w:pict>
      </w:r>
      <w:r w:rsidR="005C6840" w:rsidRPr="00D22292">
        <w:rPr>
          <w:lang w:val="fr-CA"/>
        </w:rPr>
        <w:br w:type="page"/>
      </w:r>
    </w:p>
    <w:p w:rsidR="0052229C" w:rsidRPr="00D22292" w:rsidRDefault="00EA12A4" w:rsidP="0052229C">
      <w:pPr>
        <w:ind w:left="720" w:hanging="720"/>
        <w:rPr>
          <w:rFonts w:eastAsia="Calibri"/>
          <w:b/>
          <w:sz w:val="20"/>
          <w:szCs w:val="20"/>
        </w:rPr>
      </w:pPr>
      <w:r w:rsidRPr="00D22292">
        <w:rPr>
          <w:i/>
          <w:sz w:val="20"/>
          <w:szCs w:val="20"/>
        </w:rPr>
        <w:lastRenderedPageBreak/>
        <w:t>Barbara George</w:t>
      </w:r>
      <w:r w:rsidR="0052229C" w:rsidRPr="00D22292">
        <w:rPr>
          <w:i/>
          <w:sz w:val="20"/>
          <w:szCs w:val="20"/>
        </w:rPr>
        <w:t xml:space="preserve"> v. Her Majesty the Queen</w:t>
      </w:r>
      <w:r w:rsidR="0052229C" w:rsidRPr="00D22292">
        <w:rPr>
          <w:sz w:val="20"/>
          <w:szCs w:val="20"/>
        </w:rPr>
        <w:t xml:space="preserve"> (</w:t>
      </w:r>
      <w:r w:rsidRPr="00D22292">
        <w:rPr>
          <w:sz w:val="20"/>
          <w:szCs w:val="20"/>
        </w:rPr>
        <w:t>Sask</w:t>
      </w:r>
      <w:r w:rsidR="0052229C" w:rsidRPr="00D22292">
        <w:rPr>
          <w:sz w:val="20"/>
          <w:szCs w:val="20"/>
        </w:rPr>
        <w:t>.) (</w:t>
      </w:r>
      <w:hyperlink r:id="rId60" w:history="1">
        <w:r w:rsidR="0052229C" w:rsidRPr="00D22292">
          <w:rPr>
            <w:rStyle w:val="Hyperlink"/>
            <w:sz w:val="20"/>
            <w:szCs w:val="20"/>
          </w:rPr>
          <w:t>3</w:t>
        </w:r>
        <w:r w:rsidR="00570226" w:rsidRPr="00D22292">
          <w:rPr>
            <w:rStyle w:val="Hyperlink"/>
            <w:sz w:val="20"/>
            <w:szCs w:val="20"/>
          </w:rPr>
          <w:t>7372</w:t>
        </w:r>
      </w:hyperlink>
      <w:r w:rsidR="0052229C" w:rsidRPr="00D22292">
        <w:rPr>
          <w:sz w:val="20"/>
          <w:szCs w:val="20"/>
        </w:rPr>
        <w:t>)</w:t>
      </w:r>
    </w:p>
    <w:p w:rsidR="0052229C" w:rsidRPr="00D22292" w:rsidRDefault="0052229C" w:rsidP="0052229C">
      <w:pPr>
        <w:jc w:val="both"/>
        <w:rPr>
          <w:b/>
          <w:sz w:val="20"/>
          <w:szCs w:val="20"/>
        </w:rPr>
      </w:pPr>
      <w:r w:rsidRPr="00D22292">
        <w:rPr>
          <w:b/>
          <w:sz w:val="20"/>
          <w:szCs w:val="20"/>
        </w:rPr>
        <w:t xml:space="preserve">Indexed as: R. </w:t>
      </w:r>
      <w:r w:rsidRPr="00D22292">
        <w:rPr>
          <w:b/>
          <w:i/>
          <w:sz w:val="20"/>
          <w:szCs w:val="20"/>
        </w:rPr>
        <w:t xml:space="preserve">v. </w:t>
      </w:r>
      <w:r w:rsidR="00570226" w:rsidRPr="00D22292">
        <w:rPr>
          <w:rStyle w:val="SCCAppellantForIndexChar"/>
          <w:rFonts w:eastAsiaTheme="minorHAnsi"/>
          <w:sz w:val="20"/>
          <w:lang w:val="en-CA"/>
        </w:rPr>
        <w:t>George</w:t>
      </w:r>
      <w:r w:rsidRPr="00D22292">
        <w:rPr>
          <w:rStyle w:val="SCCAppellantForIndexChar"/>
          <w:rFonts w:eastAsiaTheme="minorHAnsi"/>
          <w:sz w:val="20"/>
          <w:lang w:val="en-CA"/>
        </w:rPr>
        <w:t xml:space="preserve"> / </w:t>
      </w:r>
      <w:r w:rsidRPr="00D22292">
        <w:rPr>
          <w:b/>
          <w:sz w:val="20"/>
          <w:szCs w:val="20"/>
        </w:rPr>
        <w:t xml:space="preserve">Répertorié : R. </w:t>
      </w:r>
      <w:r w:rsidRPr="00D22292">
        <w:rPr>
          <w:b/>
          <w:i/>
          <w:sz w:val="20"/>
          <w:szCs w:val="20"/>
        </w:rPr>
        <w:t xml:space="preserve">c. </w:t>
      </w:r>
      <w:r w:rsidR="00570226" w:rsidRPr="00D22292">
        <w:rPr>
          <w:rStyle w:val="SCCAppellantForIndexChar"/>
          <w:rFonts w:eastAsiaTheme="minorHAnsi"/>
          <w:sz w:val="20"/>
          <w:lang w:val="en-CA"/>
        </w:rPr>
        <w:t>George</w:t>
      </w:r>
    </w:p>
    <w:p w:rsidR="0052229C" w:rsidRPr="00D22292" w:rsidRDefault="0052229C" w:rsidP="0052229C">
      <w:pPr>
        <w:pStyle w:val="SCCSystemYear"/>
        <w:jc w:val="both"/>
        <w:rPr>
          <w:sz w:val="20"/>
        </w:rPr>
      </w:pPr>
      <w:r w:rsidRPr="00D22292">
        <w:rPr>
          <w:sz w:val="20"/>
        </w:rPr>
        <w:t xml:space="preserve">Neutral citation: </w:t>
      </w:r>
      <w:r w:rsidR="0030050B" w:rsidRPr="00D22292">
        <w:rPr>
          <w:sz w:val="20"/>
        </w:rPr>
        <w:t>201</w:t>
      </w:r>
      <w:r w:rsidR="0056248C" w:rsidRPr="00D22292">
        <w:rPr>
          <w:sz w:val="20"/>
        </w:rPr>
        <w:t>7</w:t>
      </w:r>
      <w:r w:rsidRPr="00D22292">
        <w:rPr>
          <w:sz w:val="20"/>
        </w:rPr>
        <w:t xml:space="preserve"> SCC </w:t>
      </w:r>
      <w:r w:rsidR="00232211" w:rsidRPr="00D22292">
        <w:rPr>
          <w:sz w:val="20"/>
        </w:rPr>
        <w:t>38</w:t>
      </w:r>
      <w:r w:rsidRPr="00D22292">
        <w:rPr>
          <w:sz w:val="20"/>
        </w:rPr>
        <w:t xml:space="preserve"> / Référence neutre : </w:t>
      </w:r>
      <w:r w:rsidR="0030050B" w:rsidRPr="00D22292">
        <w:rPr>
          <w:sz w:val="20"/>
        </w:rPr>
        <w:t>201</w:t>
      </w:r>
      <w:r w:rsidR="0056248C" w:rsidRPr="00D22292">
        <w:rPr>
          <w:sz w:val="20"/>
        </w:rPr>
        <w:t>7</w:t>
      </w:r>
      <w:r w:rsidRPr="00D22292">
        <w:rPr>
          <w:sz w:val="20"/>
        </w:rPr>
        <w:t xml:space="preserve"> CSC </w:t>
      </w:r>
      <w:r w:rsidR="00232211" w:rsidRPr="00D22292">
        <w:rPr>
          <w:sz w:val="20"/>
        </w:rPr>
        <w:t>38</w:t>
      </w:r>
    </w:p>
    <w:p w:rsidR="0052229C" w:rsidRPr="00D22292" w:rsidRDefault="0052229C" w:rsidP="0052229C">
      <w:pPr>
        <w:rPr>
          <w:sz w:val="20"/>
          <w:szCs w:val="20"/>
          <w:lang w:val="fr-CA"/>
        </w:rPr>
      </w:pPr>
      <w:r w:rsidRPr="00D22292">
        <w:rPr>
          <w:sz w:val="20"/>
          <w:szCs w:val="20"/>
          <w:lang w:val="fr-CA"/>
        </w:rPr>
        <w:t xml:space="preserve">Hearing: </w:t>
      </w:r>
      <w:r w:rsidR="00570226" w:rsidRPr="00D22292">
        <w:rPr>
          <w:sz w:val="20"/>
          <w:szCs w:val="20"/>
          <w:lang w:val="fr-CA"/>
        </w:rPr>
        <w:t>April</w:t>
      </w:r>
      <w:r w:rsidRPr="00D22292">
        <w:rPr>
          <w:sz w:val="20"/>
          <w:szCs w:val="20"/>
          <w:lang w:val="fr-CA"/>
        </w:rPr>
        <w:t xml:space="preserve"> </w:t>
      </w:r>
      <w:r w:rsidR="00570226" w:rsidRPr="00D22292">
        <w:rPr>
          <w:sz w:val="20"/>
          <w:szCs w:val="20"/>
          <w:lang w:val="fr-CA"/>
        </w:rPr>
        <w:t>28</w:t>
      </w:r>
      <w:r w:rsidRPr="00D22292">
        <w:rPr>
          <w:sz w:val="20"/>
          <w:szCs w:val="20"/>
          <w:lang w:val="fr-CA"/>
        </w:rPr>
        <w:t>, 201</w:t>
      </w:r>
      <w:r w:rsidR="00570226" w:rsidRPr="00D22292">
        <w:rPr>
          <w:sz w:val="20"/>
          <w:szCs w:val="20"/>
          <w:lang w:val="fr-CA"/>
        </w:rPr>
        <w:t>7</w:t>
      </w:r>
      <w:r w:rsidRPr="00D22292">
        <w:rPr>
          <w:sz w:val="20"/>
          <w:szCs w:val="20"/>
          <w:lang w:val="fr-CA"/>
        </w:rPr>
        <w:t xml:space="preserve"> / Judgment: J</w:t>
      </w:r>
      <w:r w:rsidR="00232211" w:rsidRPr="00D22292">
        <w:rPr>
          <w:sz w:val="20"/>
          <w:szCs w:val="20"/>
          <w:lang w:val="fr-CA"/>
        </w:rPr>
        <w:t>uly</w:t>
      </w:r>
      <w:r w:rsidRPr="00D22292">
        <w:rPr>
          <w:sz w:val="20"/>
          <w:szCs w:val="20"/>
          <w:lang w:val="fr-CA"/>
        </w:rPr>
        <w:t xml:space="preserve"> 7, </w:t>
      </w:r>
      <w:r w:rsidR="0030050B" w:rsidRPr="00D22292">
        <w:rPr>
          <w:sz w:val="20"/>
          <w:szCs w:val="20"/>
          <w:lang w:val="fr-CA"/>
        </w:rPr>
        <w:t>201</w:t>
      </w:r>
      <w:r w:rsidR="0056248C" w:rsidRPr="00D22292">
        <w:rPr>
          <w:sz w:val="20"/>
          <w:szCs w:val="20"/>
          <w:lang w:val="fr-CA"/>
        </w:rPr>
        <w:t>7</w:t>
      </w:r>
    </w:p>
    <w:p w:rsidR="0052229C" w:rsidRPr="00D22292" w:rsidRDefault="0052229C" w:rsidP="0052229C">
      <w:pPr>
        <w:rPr>
          <w:sz w:val="20"/>
          <w:szCs w:val="20"/>
          <w:lang w:val="fr-CA"/>
        </w:rPr>
      </w:pPr>
      <w:r w:rsidRPr="00D22292">
        <w:rPr>
          <w:sz w:val="20"/>
          <w:szCs w:val="20"/>
          <w:lang w:val="fr-CA"/>
        </w:rPr>
        <w:t xml:space="preserve">Audition : Le </w:t>
      </w:r>
      <w:r w:rsidR="00570226" w:rsidRPr="00D22292">
        <w:rPr>
          <w:sz w:val="20"/>
          <w:szCs w:val="20"/>
          <w:lang w:val="fr-CA"/>
        </w:rPr>
        <w:t>28</w:t>
      </w:r>
      <w:r w:rsidRPr="00D22292">
        <w:rPr>
          <w:sz w:val="20"/>
          <w:szCs w:val="20"/>
          <w:lang w:val="fr-CA"/>
        </w:rPr>
        <w:t xml:space="preserve"> </w:t>
      </w:r>
      <w:r w:rsidR="00570226" w:rsidRPr="00D22292">
        <w:rPr>
          <w:sz w:val="20"/>
          <w:szCs w:val="20"/>
          <w:lang w:val="fr-CA"/>
        </w:rPr>
        <w:t>avril</w:t>
      </w:r>
      <w:r w:rsidRPr="00D22292">
        <w:rPr>
          <w:sz w:val="20"/>
          <w:szCs w:val="20"/>
          <w:lang w:val="fr-CA"/>
        </w:rPr>
        <w:t xml:space="preserve"> 201</w:t>
      </w:r>
      <w:r w:rsidR="00570226" w:rsidRPr="00D22292">
        <w:rPr>
          <w:sz w:val="20"/>
          <w:szCs w:val="20"/>
          <w:lang w:val="fr-CA"/>
        </w:rPr>
        <w:t>7</w:t>
      </w:r>
      <w:r w:rsidRPr="00D22292">
        <w:rPr>
          <w:sz w:val="20"/>
          <w:szCs w:val="20"/>
          <w:lang w:val="fr-CA"/>
        </w:rPr>
        <w:t xml:space="preserve"> / Jugement : Le 7 j</w:t>
      </w:r>
      <w:r w:rsidR="00232211" w:rsidRPr="00D22292">
        <w:rPr>
          <w:sz w:val="20"/>
          <w:szCs w:val="20"/>
          <w:lang w:val="fr-CA"/>
        </w:rPr>
        <w:t>uillet</w:t>
      </w:r>
      <w:r w:rsidRPr="00D22292">
        <w:rPr>
          <w:sz w:val="20"/>
          <w:szCs w:val="20"/>
          <w:lang w:val="fr-CA"/>
        </w:rPr>
        <w:t xml:space="preserve"> </w:t>
      </w:r>
      <w:r w:rsidR="0030050B" w:rsidRPr="00D22292">
        <w:rPr>
          <w:sz w:val="20"/>
          <w:szCs w:val="20"/>
          <w:lang w:val="fr-CA"/>
        </w:rPr>
        <w:t>201</w:t>
      </w:r>
      <w:r w:rsidR="0056248C" w:rsidRPr="00D22292">
        <w:rPr>
          <w:sz w:val="20"/>
          <w:szCs w:val="20"/>
          <w:lang w:val="fr-CA"/>
        </w:rPr>
        <w:t>7</w:t>
      </w:r>
    </w:p>
    <w:p w:rsidR="005C6840" w:rsidRPr="00D22292" w:rsidRDefault="00D22292" w:rsidP="005C6840">
      <w:pPr>
        <w:rPr>
          <w:sz w:val="20"/>
          <w:szCs w:val="20"/>
          <w:lang w:val="fr-CA"/>
        </w:rPr>
      </w:pPr>
      <w:r w:rsidRPr="00D22292">
        <w:rPr>
          <w:i/>
          <w:sz w:val="20"/>
          <w:szCs w:val="20"/>
        </w:rPr>
        <w:pict>
          <v:rect id="_x0000_i1062" style="width:480.95pt;height:1pt" o:hralign="center" o:hrstd="t" o:hrnoshade="t" o:hr="t" fillcolor="black [3213]" stroked="f"/>
        </w:pict>
      </w:r>
    </w:p>
    <w:p w:rsidR="005C6840" w:rsidRPr="00D22292" w:rsidRDefault="005C6840" w:rsidP="005C6840">
      <w:pPr>
        <w:spacing w:line="0" w:lineRule="atLeast"/>
        <w:rPr>
          <w:sz w:val="20"/>
          <w:szCs w:val="20"/>
          <w:lang w:val="fr-CA"/>
        </w:rPr>
      </w:pPr>
    </w:p>
    <w:p w:rsidR="00635CDA" w:rsidRPr="00D22292" w:rsidRDefault="00635CDA" w:rsidP="00635CDA">
      <w:pPr>
        <w:jc w:val="both"/>
        <w:rPr>
          <w:sz w:val="20"/>
        </w:rPr>
      </w:pPr>
      <w:r w:rsidRPr="00D22292">
        <w:rPr>
          <w:sz w:val="20"/>
          <w:szCs w:val="20"/>
        </w:rPr>
        <w:t>Present: Abella, Moldaver, Karakatsanis, Gascon and Côté JJ.</w:t>
      </w:r>
    </w:p>
    <w:p w:rsidR="00635CDA" w:rsidRPr="00D22292" w:rsidRDefault="00635CDA" w:rsidP="00635CDA">
      <w:pPr>
        <w:jc w:val="both"/>
        <w:rPr>
          <w:sz w:val="20"/>
          <w:szCs w:val="20"/>
        </w:rPr>
      </w:pPr>
    </w:p>
    <w:p w:rsidR="00635CDA" w:rsidRPr="00D22292" w:rsidRDefault="00635CDA" w:rsidP="00635CDA">
      <w:pPr>
        <w:pStyle w:val="SCCNormalDoubleSpacing"/>
        <w:spacing w:line="240" w:lineRule="auto"/>
        <w:rPr>
          <w:i/>
          <w:sz w:val="20"/>
        </w:rPr>
      </w:pPr>
      <w:r w:rsidRPr="00D22292">
        <w:rPr>
          <w:sz w:val="20"/>
        </w:rPr>
        <w:tab/>
      </w:r>
      <w:r w:rsidRPr="00D22292">
        <w:rPr>
          <w:i/>
          <w:sz w:val="20"/>
        </w:rPr>
        <w:t xml:space="preserve">Criminal law — Defences — Mistake of age — Appeals — Jurisdiction of Court of Appeal — Verdict of acquittal — Accused charged with sexual offences against youth — Availability of mistake of age defence limited by requirement that accused </w:t>
      </w:r>
      <w:r w:rsidRPr="00D22292">
        <w:rPr>
          <w:i/>
          <w:sz w:val="20"/>
          <w:lang w:val="en"/>
        </w:rPr>
        <w:t xml:space="preserve">took all reasonable steps to ascertain complainant’s age </w:t>
      </w:r>
      <w:r w:rsidRPr="00D22292">
        <w:rPr>
          <w:i/>
          <w:sz w:val="20"/>
        </w:rPr>
        <w:t xml:space="preserve">— Whether trial judge made legal errors in </w:t>
      </w:r>
      <w:r w:rsidRPr="00D22292">
        <w:rPr>
          <w:i/>
          <w:sz w:val="20"/>
          <w:lang w:val="en"/>
        </w:rPr>
        <w:t xml:space="preserve">reasonable steps </w:t>
      </w:r>
      <w:r w:rsidRPr="00D22292">
        <w:rPr>
          <w:i/>
          <w:sz w:val="20"/>
        </w:rPr>
        <w:t>analysis</w:t>
      </w:r>
      <w:r w:rsidRPr="00D22292">
        <w:rPr>
          <w:i/>
          <w:sz w:val="20"/>
          <w:lang w:val="en"/>
        </w:rPr>
        <w:t xml:space="preserve"> </w:t>
      </w:r>
      <w:r w:rsidRPr="00D22292">
        <w:rPr>
          <w:i/>
          <w:sz w:val="20"/>
        </w:rPr>
        <w:t>— If so, whether errors were sufficiently material to justify appellate intervention — Criminal Code, R.S.C. 1985, c. C</w:t>
      </w:r>
      <w:r w:rsidRPr="00D22292">
        <w:rPr>
          <w:i/>
          <w:sz w:val="20"/>
        </w:rPr>
        <w:noBreakHyphen/>
        <w:t>46, s. 150.1(4).</w:t>
      </w:r>
    </w:p>
    <w:p w:rsidR="00635CDA" w:rsidRPr="00D22292" w:rsidRDefault="00635CDA" w:rsidP="00635CDA">
      <w:pPr>
        <w:pStyle w:val="SCCNormalDoubleSpacing"/>
        <w:spacing w:line="240" w:lineRule="auto"/>
        <w:rPr>
          <w:i/>
          <w:sz w:val="20"/>
        </w:rPr>
      </w:pPr>
    </w:p>
    <w:p w:rsidR="00635CDA" w:rsidRPr="00D22292" w:rsidRDefault="00635CDA" w:rsidP="00635CDA">
      <w:pPr>
        <w:pStyle w:val="SCCNormalDoubleSpacing"/>
        <w:spacing w:line="240" w:lineRule="auto"/>
        <w:rPr>
          <w:sz w:val="20"/>
        </w:rPr>
      </w:pPr>
      <w:r w:rsidRPr="00D22292">
        <w:rPr>
          <w:sz w:val="20"/>
        </w:rPr>
        <w:tab/>
        <w:t xml:space="preserve">When G was 35 years old, she had sex with C.D., a male youth who was approximately 14 and a half. At the time, she presumed that C.D. was around 17. G was charged with the offences of sexual interference and sexual assault. Her only available defence was mistake of age. Section 150.1(4) of the </w:t>
      </w:r>
      <w:r w:rsidRPr="00D22292">
        <w:rPr>
          <w:i/>
          <w:sz w:val="20"/>
        </w:rPr>
        <w:t>Criminal Code</w:t>
      </w:r>
      <w:r w:rsidRPr="00D22292">
        <w:rPr>
          <w:sz w:val="20"/>
        </w:rPr>
        <w:t xml:space="preserve"> limits the availability of the mistake of age defence by requiring that the accused took all</w:t>
      </w:r>
      <w:r w:rsidRPr="00D22292">
        <w:rPr>
          <w:sz w:val="20"/>
          <w:lang w:val="en"/>
        </w:rPr>
        <w:t xml:space="preserve"> reasonable steps to ascertain the age of the complainant</w:t>
      </w:r>
      <w:r w:rsidRPr="00D22292">
        <w:rPr>
          <w:sz w:val="20"/>
        </w:rPr>
        <w:t>. The trial judge acquitted G of both offences based on a reasonable doubt about whether the Crown proved that she had failed to take all reasonable steps to determine C.D.’s age. The majority of the Court of Appeal allowed an appeal, quashed the acquittals and ordered a new trial. </w:t>
      </w:r>
    </w:p>
    <w:p w:rsidR="00635CDA" w:rsidRPr="00D22292" w:rsidRDefault="00635CDA" w:rsidP="00635CDA">
      <w:pPr>
        <w:pStyle w:val="SCCNormalDoubleSpacing"/>
        <w:spacing w:line="240" w:lineRule="auto"/>
        <w:rPr>
          <w:sz w:val="20"/>
          <w:lang w:val="en-US"/>
        </w:rPr>
      </w:pPr>
    </w:p>
    <w:p w:rsidR="00635CDA" w:rsidRPr="00D22292" w:rsidRDefault="00635CDA" w:rsidP="00635CDA">
      <w:pPr>
        <w:pStyle w:val="SCCNormalDoubleSpacing"/>
        <w:spacing w:line="240" w:lineRule="auto"/>
        <w:rPr>
          <w:sz w:val="20"/>
        </w:rPr>
      </w:pPr>
      <w:r w:rsidRPr="00D22292">
        <w:rPr>
          <w:sz w:val="20"/>
        </w:rPr>
        <w:tab/>
      </w:r>
      <w:r w:rsidRPr="00D22292">
        <w:rPr>
          <w:i/>
          <w:sz w:val="20"/>
        </w:rPr>
        <w:t>Held</w:t>
      </w:r>
      <w:r w:rsidRPr="00D22292">
        <w:rPr>
          <w:sz w:val="20"/>
        </w:rPr>
        <w:t xml:space="preserve">: The appeal should be allowed and the acquittals restored. </w:t>
      </w:r>
    </w:p>
    <w:p w:rsidR="00635CDA" w:rsidRPr="00D22292" w:rsidRDefault="00635CDA" w:rsidP="00635CDA">
      <w:pPr>
        <w:pStyle w:val="SCCNormalDoubleSpacing"/>
        <w:spacing w:line="240" w:lineRule="auto"/>
        <w:rPr>
          <w:sz w:val="20"/>
        </w:rPr>
      </w:pPr>
    </w:p>
    <w:p w:rsidR="00635CDA" w:rsidRPr="00D22292" w:rsidRDefault="00635CDA" w:rsidP="00635CDA">
      <w:pPr>
        <w:pStyle w:val="SCCNormalDoubleSpacing"/>
        <w:spacing w:line="240" w:lineRule="auto"/>
        <w:rPr>
          <w:sz w:val="20"/>
        </w:rPr>
      </w:pPr>
      <w:r w:rsidRPr="00D22292">
        <w:rPr>
          <w:sz w:val="20"/>
        </w:rPr>
        <w:tab/>
        <w:t xml:space="preserve">Crown appeals against acquittals in proceedings by indictment are limited to questions of law alone. The trial judgment concerned indictable offences and contained no errors of law. As a result, the Court of Appeal lacked jurisdiction to interfere. </w:t>
      </w:r>
    </w:p>
    <w:p w:rsidR="00635CDA" w:rsidRPr="00D22292" w:rsidRDefault="00635CDA" w:rsidP="00635CDA">
      <w:pPr>
        <w:pStyle w:val="SCCNormalDoubleSpacing"/>
        <w:spacing w:line="240" w:lineRule="auto"/>
        <w:rPr>
          <w:sz w:val="20"/>
        </w:rPr>
      </w:pPr>
    </w:p>
    <w:p w:rsidR="00635CDA" w:rsidRPr="00D22292" w:rsidRDefault="00635CDA" w:rsidP="00635CDA">
      <w:pPr>
        <w:pStyle w:val="SCCNormalDoubleSpacing"/>
        <w:spacing w:line="240" w:lineRule="auto"/>
        <w:rPr>
          <w:sz w:val="20"/>
        </w:rPr>
      </w:pPr>
      <w:r w:rsidRPr="00D22292">
        <w:rPr>
          <w:sz w:val="20"/>
        </w:rPr>
        <w:tab/>
        <w:t>To convict an accused person who demonstrates an air of reality to the mistake of age defence, the Crown must prove beyond a reasonable doubt either that the accused person did not honestly believe the complainant was at least 16 or did not take all reasonable steps to ascertain the complainant’s age. Determining what raises a reasonable doubt is a highly contextual, fact</w:t>
      </w:r>
      <w:r w:rsidRPr="00D22292">
        <w:rPr>
          <w:sz w:val="20"/>
        </w:rPr>
        <w:noBreakHyphen/>
        <w:t xml:space="preserve">specific exercise. The more reasonable an accused’s perception of the complainant’s age, the fewer steps reasonably required of them. In this case, the trial judge considered various factors, including C.D.’s physical appearance, behaviour and activities, the age and appearance of C.D.’s social group, and the circumstances in which G had observed C.D. </w:t>
      </w:r>
    </w:p>
    <w:p w:rsidR="00635CDA" w:rsidRPr="00D22292" w:rsidRDefault="00635CDA" w:rsidP="00635CDA">
      <w:pPr>
        <w:pStyle w:val="SCCNormalDoubleSpacing"/>
        <w:spacing w:line="240" w:lineRule="auto"/>
        <w:rPr>
          <w:sz w:val="20"/>
        </w:rPr>
      </w:pPr>
    </w:p>
    <w:p w:rsidR="00635CDA" w:rsidRPr="00D22292" w:rsidRDefault="00635CDA" w:rsidP="00635CDA">
      <w:pPr>
        <w:pStyle w:val="SCCNormalDoubleSpacing"/>
        <w:spacing w:line="240" w:lineRule="auto"/>
        <w:rPr>
          <w:sz w:val="20"/>
        </w:rPr>
      </w:pPr>
      <w:r w:rsidRPr="00D22292">
        <w:rPr>
          <w:sz w:val="20"/>
        </w:rPr>
        <w:tab/>
        <w:t>Whether an error is legal generally turns on its character, not its severity. The majority of the Court of Appeal erred by translating strong opposition to the trial judge’s factual inferences into supposed legal errors. The trial judge did not rely on C.D.’s level of sexual experience as revealed by the sexual encounter itself. Rather, the trial judge considered information known to G before sexual contact, such as how C.D. came to her bedroom uninvited and spoke with her for several hours about various topics, many reflecting maturity, others suggestive in nature. No legal error arises from this. This was a reference to C.D.’s conduct in the hours before the sexual contact, a factor reasonably informing G’s perception of C.D.’s age before sexual contact. The trial judge also did not err by considering evidence that did not precede the sexual encounter. Reasonable steps must precede the sexual activity but requiring that the evidence to prove reasonable steps must also precede the sexual activity conflates the fact to be proven with the evidence that may be used to prove it. When determining the relevance of evidence, both its purpose and its timing must be considered. Evidence properly informing the credibility or reliability of any witness, even if that evidence arose after the sexual activity in question, may be considered by the trial judge. Similarly, evidence demonstrating the reasonableness of the accused person’s perception of the complainant’s age before sexual contact is relevant, even if that evidence happens to arise after the sexual activity or was not known to the accused before the sexual activity.</w:t>
      </w:r>
    </w:p>
    <w:p w:rsidR="00635CDA" w:rsidRPr="00D22292" w:rsidRDefault="00635CDA" w:rsidP="00635CDA">
      <w:pPr>
        <w:pStyle w:val="SCCNormalDoubleSpacing"/>
        <w:spacing w:line="240" w:lineRule="auto"/>
        <w:rPr>
          <w:sz w:val="20"/>
        </w:rPr>
      </w:pPr>
    </w:p>
    <w:p w:rsidR="00635CDA" w:rsidRPr="00D22292" w:rsidRDefault="00635CDA" w:rsidP="00635CDA">
      <w:pPr>
        <w:pStyle w:val="SCCNormalDoubleSpacing"/>
        <w:spacing w:line="240" w:lineRule="auto"/>
        <w:rPr>
          <w:sz w:val="20"/>
        </w:rPr>
      </w:pPr>
      <w:r w:rsidRPr="00D22292">
        <w:rPr>
          <w:sz w:val="20"/>
        </w:rPr>
        <w:tab/>
        <w:t xml:space="preserve">Even if the trial judge had made legal errors, they would not have justified the intervention of the Court of Appeal. The threshold of materiality required to justify appellate intervention in a Crown appeal from an acquittal is an </w:t>
      </w:r>
      <w:r w:rsidRPr="00D22292">
        <w:rPr>
          <w:sz w:val="20"/>
        </w:rPr>
        <w:lastRenderedPageBreak/>
        <w:t xml:space="preserve">error about which there is a reasonable degree of certainty of its materiality. That threshold is not met in this case. There was no reasonable degree of certainty that the alleged errors were material to the trial judge’s verdict. </w:t>
      </w:r>
    </w:p>
    <w:p w:rsidR="00635CDA" w:rsidRPr="00D22292" w:rsidRDefault="00635CDA" w:rsidP="00635CDA">
      <w:pPr>
        <w:pStyle w:val="SCCNormalDoubleSpacing"/>
        <w:spacing w:line="240" w:lineRule="auto"/>
        <w:rPr>
          <w:sz w:val="20"/>
        </w:rPr>
      </w:pPr>
    </w:p>
    <w:p w:rsidR="00635CDA" w:rsidRPr="00D22292" w:rsidRDefault="00635CDA" w:rsidP="00635CDA">
      <w:pPr>
        <w:pStyle w:val="SCCNormalDoubleSpacing"/>
        <w:spacing w:line="240" w:lineRule="auto"/>
        <w:rPr>
          <w:sz w:val="20"/>
          <w:lang w:val="en-US"/>
        </w:rPr>
      </w:pPr>
      <w:r w:rsidRPr="00D22292">
        <w:rPr>
          <w:sz w:val="20"/>
        </w:rPr>
        <w:tab/>
        <w:t xml:space="preserve">APPEAL from a judgment of the Saskatchewan Court of Appeal (Richards C.J. and Jackson and Whitmore JJ.A), </w:t>
      </w:r>
      <w:r w:rsidRPr="00D22292">
        <w:rPr>
          <w:sz w:val="20"/>
          <w:lang w:val="en-US"/>
        </w:rPr>
        <w:t>2016 SKCA 155, 344 C.C.C. (3d) 543, [2016] S.J. No. 637 (QL), 2016 CarswellSask 754 (WL Can.), setting aside the accused’s acquittals for sexual interference and sexual assault entered by Kovach J. and ordering a new trial. Appeal allowed.</w:t>
      </w:r>
    </w:p>
    <w:p w:rsidR="00635CDA" w:rsidRPr="00D22292" w:rsidRDefault="00635CDA" w:rsidP="00635CDA">
      <w:pPr>
        <w:pStyle w:val="SCCNormalDoubleSpacing"/>
        <w:spacing w:line="240" w:lineRule="auto"/>
        <w:rPr>
          <w:sz w:val="20"/>
          <w:lang w:val="en-US"/>
        </w:rPr>
      </w:pPr>
    </w:p>
    <w:p w:rsidR="00635CDA" w:rsidRPr="00D22292" w:rsidRDefault="00635CDA" w:rsidP="00635CDA">
      <w:pPr>
        <w:pStyle w:val="SCCNormalDoubleSpacing"/>
        <w:spacing w:line="240" w:lineRule="auto"/>
        <w:rPr>
          <w:rStyle w:val="SCCCounselPartyRoleChar"/>
          <w:sz w:val="20"/>
        </w:rPr>
      </w:pPr>
      <w:r w:rsidRPr="00D22292">
        <w:rPr>
          <w:rStyle w:val="SCCCounselNameChar"/>
          <w:sz w:val="20"/>
        </w:rPr>
        <w:tab/>
        <w:t>Ross Macnab</w:t>
      </w:r>
      <w:r w:rsidRPr="00D22292">
        <w:rPr>
          <w:rStyle w:val="SCCCounselPartyRoleChar"/>
          <w:sz w:val="20"/>
        </w:rPr>
        <w:t xml:space="preserve"> and </w:t>
      </w:r>
      <w:r w:rsidRPr="00D22292">
        <w:rPr>
          <w:rStyle w:val="SCCCounselPartyRoleChar"/>
          <w:i/>
          <w:sz w:val="20"/>
        </w:rPr>
        <w:t>Thomas Hynes</w:t>
      </w:r>
      <w:r w:rsidRPr="00D22292">
        <w:rPr>
          <w:rStyle w:val="SCCCounselPartyRoleChar"/>
          <w:sz w:val="20"/>
        </w:rPr>
        <w:t>, for the appellant.</w:t>
      </w:r>
    </w:p>
    <w:p w:rsidR="00635CDA" w:rsidRPr="00D22292" w:rsidRDefault="00635CDA" w:rsidP="00635CDA">
      <w:pPr>
        <w:pStyle w:val="SCCNormalDoubleSpacing"/>
        <w:spacing w:line="240" w:lineRule="auto"/>
        <w:rPr>
          <w:sz w:val="20"/>
        </w:rPr>
      </w:pPr>
    </w:p>
    <w:p w:rsidR="00635CDA" w:rsidRPr="00D22292" w:rsidRDefault="00635CDA" w:rsidP="00635CDA">
      <w:pPr>
        <w:pStyle w:val="SCCNormalDoubleSpacing"/>
        <w:spacing w:line="240" w:lineRule="auto"/>
        <w:rPr>
          <w:sz w:val="20"/>
        </w:rPr>
      </w:pPr>
      <w:r w:rsidRPr="00D22292">
        <w:rPr>
          <w:rStyle w:val="SCCCounselNameChar"/>
          <w:sz w:val="20"/>
        </w:rPr>
        <w:tab/>
        <w:t>Erin Bartsch</w:t>
      </w:r>
      <w:r w:rsidRPr="00D22292">
        <w:rPr>
          <w:rStyle w:val="SCCCounselPartyRoleChar"/>
          <w:sz w:val="20"/>
        </w:rPr>
        <w:t>, for the respondent.</w:t>
      </w:r>
    </w:p>
    <w:p w:rsidR="00635CDA" w:rsidRPr="00D22292" w:rsidRDefault="00635CDA" w:rsidP="00635CDA">
      <w:pPr>
        <w:pStyle w:val="SCCNormalDoubleSpacing"/>
        <w:spacing w:line="240" w:lineRule="auto"/>
        <w:rPr>
          <w:sz w:val="20"/>
        </w:rPr>
      </w:pPr>
    </w:p>
    <w:p w:rsidR="0052229C" w:rsidRPr="00D22292" w:rsidRDefault="0052229C" w:rsidP="0052229C">
      <w:pPr>
        <w:rPr>
          <w:sz w:val="20"/>
          <w:szCs w:val="20"/>
          <w:lang w:val="fr-CA"/>
        </w:rPr>
      </w:pPr>
      <w:r w:rsidRPr="00D22292">
        <w:rPr>
          <w:sz w:val="20"/>
          <w:szCs w:val="20"/>
          <w:lang w:val="fr-CA"/>
        </w:rPr>
        <w:t>________________________</w:t>
      </w:r>
    </w:p>
    <w:p w:rsidR="0052229C" w:rsidRPr="00D22292" w:rsidRDefault="0052229C" w:rsidP="0052229C">
      <w:pPr>
        <w:rPr>
          <w:sz w:val="20"/>
          <w:szCs w:val="20"/>
          <w:lang w:val="fr-CA"/>
        </w:rPr>
      </w:pPr>
    </w:p>
    <w:p w:rsidR="00635CDA" w:rsidRPr="00D22292" w:rsidRDefault="00635CDA" w:rsidP="00635CDA">
      <w:pPr>
        <w:jc w:val="both"/>
        <w:rPr>
          <w:sz w:val="20"/>
          <w:lang w:val="fr-CA"/>
        </w:rPr>
      </w:pPr>
      <w:r w:rsidRPr="00D22292">
        <w:rPr>
          <w:sz w:val="20"/>
          <w:szCs w:val="20"/>
          <w:lang w:val="fr-CA"/>
        </w:rPr>
        <w:t>Présents : Les juges Abella, Moldaver, Karakatsanis, Gascon et Côté.</w:t>
      </w:r>
    </w:p>
    <w:p w:rsidR="00635CDA" w:rsidRPr="00D22292" w:rsidRDefault="00635CDA" w:rsidP="00635CDA">
      <w:pPr>
        <w:jc w:val="both"/>
        <w:rPr>
          <w:sz w:val="20"/>
          <w:szCs w:val="20"/>
          <w:lang w:val="fr-CA"/>
        </w:rPr>
      </w:pPr>
    </w:p>
    <w:p w:rsidR="00635CDA" w:rsidRPr="00D22292" w:rsidRDefault="00635CDA" w:rsidP="00635CDA">
      <w:pPr>
        <w:jc w:val="both"/>
        <w:rPr>
          <w:smallCaps/>
          <w:sz w:val="20"/>
          <w:lang w:val="fr-CA"/>
        </w:rPr>
      </w:pPr>
      <w:r w:rsidRPr="00D22292">
        <w:rPr>
          <w:smallCaps/>
          <w:sz w:val="20"/>
          <w:szCs w:val="20"/>
          <w:lang w:val="fr-CA"/>
        </w:rPr>
        <w:t>en appel de la cour d’appel de la saskatchewan</w:t>
      </w:r>
    </w:p>
    <w:p w:rsidR="00635CDA" w:rsidRPr="00D22292" w:rsidRDefault="00635CDA" w:rsidP="00635CDA">
      <w:pPr>
        <w:jc w:val="both"/>
        <w:rPr>
          <w:smallCaps/>
          <w:sz w:val="20"/>
          <w:szCs w:val="20"/>
          <w:lang w:val="fr-CA"/>
        </w:rPr>
      </w:pPr>
    </w:p>
    <w:p w:rsidR="00635CDA" w:rsidRPr="00D22292" w:rsidRDefault="00635CDA" w:rsidP="00635CDA">
      <w:pPr>
        <w:pStyle w:val="SCCNormalDoubleSpacing"/>
        <w:spacing w:line="240" w:lineRule="auto"/>
        <w:rPr>
          <w:i/>
          <w:sz w:val="20"/>
          <w:lang w:val="fr-FR"/>
        </w:rPr>
      </w:pPr>
      <w:r w:rsidRPr="00D22292">
        <w:rPr>
          <w:sz w:val="20"/>
          <w:lang w:val="fr-CA"/>
        </w:rPr>
        <w:tab/>
      </w:r>
      <w:r w:rsidRPr="00D22292">
        <w:rPr>
          <w:i/>
          <w:sz w:val="20"/>
          <w:lang w:val="fr-CA"/>
        </w:rPr>
        <w:t>Droit criminel — Moyens de défense — Erreur sur l’âge — Appels — Compétence de la Cour d’appel — Verdict d’acquittement — Accusée inculpée d’infractions sexuelles contre un jeune — Ouverture de la défense d’erreur sur l’âge limitée par l’obligation faite aux accusés de démontrer qu’ils ont pris toutes les mesures raisonnables pour s’assurer de l’âge des plaignants — Le juge du procès a</w:t>
      </w:r>
      <w:r w:rsidRPr="00D22292">
        <w:rPr>
          <w:i/>
          <w:sz w:val="20"/>
          <w:lang w:val="fr-CA"/>
        </w:rPr>
        <w:noBreakHyphen/>
        <w:t>t</w:t>
      </w:r>
      <w:r w:rsidRPr="00D22292">
        <w:rPr>
          <w:i/>
          <w:sz w:val="20"/>
          <w:lang w:val="fr-CA"/>
        </w:rPr>
        <w:noBreakHyphen/>
        <w:t>il commis des erreurs de droit lors de son analyse des mesures raisonnables? — Dans l’affirmative, ces erreurs étaient</w:t>
      </w:r>
      <w:r w:rsidRPr="00D22292">
        <w:rPr>
          <w:i/>
          <w:sz w:val="20"/>
          <w:lang w:val="fr-CA"/>
        </w:rPr>
        <w:noBreakHyphen/>
        <w:t xml:space="preserve">elles suffisamment importantes pour justifier l’intervention de la Cour d’appel? </w:t>
      </w:r>
      <w:r w:rsidRPr="00D22292">
        <w:rPr>
          <w:i/>
          <w:sz w:val="20"/>
          <w:lang w:val="fr-FR"/>
        </w:rPr>
        <w:t>— Code criminel, L.R.C. 1985, c. C</w:t>
      </w:r>
      <w:r w:rsidRPr="00D22292">
        <w:rPr>
          <w:i/>
          <w:sz w:val="20"/>
          <w:lang w:val="fr-FR"/>
        </w:rPr>
        <w:noBreakHyphen/>
        <w:t>46, art. 150.1(4).</w:t>
      </w:r>
    </w:p>
    <w:p w:rsidR="00635CDA" w:rsidRPr="00D22292" w:rsidRDefault="00635CDA" w:rsidP="00635CDA">
      <w:pPr>
        <w:pStyle w:val="SCCNormalDoubleSpacing"/>
        <w:spacing w:line="240" w:lineRule="auto"/>
        <w:rPr>
          <w:i/>
          <w:sz w:val="20"/>
          <w:lang w:val="fr-FR"/>
        </w:rPr>
      </w:pPr>
    </w:p>
    <w:p w:rsidR="00635CDA" w:rsidRPr="00D22292" w:rsidRDefault="00635CDA" w:rsidP="00635CDA">
      <w:pPr>
        <w:pStyle w:val="SCCNormalDoubleSpacing"/>
        <w:spacing w:line="240" w:lineRule="auto"/>
        <w:rPr>
          <w:sz w:val="20"/>
          <w:lang w:val="fr-FR"/>
        </w:rPr>
      </w:pPr>
      <w:r w:rsidRPr="00D22292">
        <w:rPr>
          <w:sz w:val="20"/>
          <w:lang w:val="fr-FR"/>
        </w:rPr>
        <w:tab/>
        <w:t xml:space="preserve">Lorsque G était âgée de 35 ans, elle a eu des rapports sexuels avec C.D., un jeune d’approximativement 14 ans et demi. Au moment des faits, elle a présumé que C.D. avait environ 17 ans. G a été accusée de contacts sexuels et d’agression sexuelle. Le seul moyen de défense dont elle disposait était l’erreur sur l’âge. Le paragraphe 150.1(4) du </w:t>
      </w:r>
      <w:r w:rsidRPr="00D22292">
        <w:rPr>
          <w:i/>
          <w:sz w:val="20"/>
          <w:lang w:val="fr-CA"/>
        </w:rPr>
        <w:t>Code criminel</w:t>
      </w:r>
      <w:r w:rsidRPr="00D22292">
        <w:rPr>
          <w:sz w:val="20"/>
          <w:lang w:val="fr-CA"/>
        </w:rPr>
        <w:t xml:space="preserve"> limite l’ouverture de la défense d’erreur sur l’âge du fait qu’il exige de l’accusé qu’il ait pris toutes les mesures raisonnables pour s’assurer de l’âge du plaignant</w:t>
      </w:r>
      <w:r w:rsidRPr="00D22292">
        <w:rPr>
          <w:sz w:val="20"/>
          <w:lang w:val="fr-FR"/>
        </w:rPr>
        <w:t xml:space="preserve">. Le juge du procès </w:t>
      </w:r>
      <w:r w:rsidRPr="00D22292">
        <w:rPr>
          <w:sz w:val="20"/>
          <w:lang w:val="fr-CA"/>
        </w:rPr>
        <w:t>a acquitté G des deux infractions pour le motif qu’un doute raisonnable persistait relativement à la question de savoir si le ministère public avait prouvé que G avait omis de prendre toutes les mesures raisonnables pour déterminer l’âge de C.D. La Cour d’appel, à la majorité, a accueilli l’appel, annulé les acquittements et ordonné un nouveau procès</w:t>
      </w:r>
      <w:r w:rsidRPr="00D22292">
        <w:rPr>
          <w:sz w:val="20"/>
          <w:lang w:val="fr-FR"/>
        </w:rPr>
        <w:t xml:space="preserve">. </w:t>
      </w:r>
    </w:p>
    <w:p w:rsidR="00635CDA" w:rsidRPr="00D22292" w:rsidRDefault="00635CDA" w:rsidP="00635CDA">
      <w:pPr>
        <w:pStyle w:val="SCCNormalDoubleSpacing"/>
        <w:spacing w:line="240" w:lineRule="auto"/>
        <w:rPr>
          <w:sz w:val="20"/>
          <w:lang w:val="fr-FR"/>
        </w:rPr>
      </w:pPr>
    </w:p>
    <w:p w:rsidR="00635CDA" w:rsidRPr="00D22292" w:rsidRDefault="00635CDA" w:rsidP="00635CDA">
      <w:pPr>
        <w:pStyle w:val="SCCNormalDoubleSpacing"/>
        <w:spacing w:line="240" w:lineRule="auto"/>
        <w:rPr>
          <w:sz w:val="20"/>
          <w:lang w:val="fr-FR"/>
        </w:rPr>
      </w:pPr>
      <w:r w:rsidRPr="00D22292">
        <w:rPr>
          <w:sz w:val="20"/>
          <w:lang w:val="fr-FR"/>
        </w:rPr>
        <w:tab/>
      </w:r>
      <w:r w:rsidRPr="00D22292">
        <w:rPr>
          <w:i/>
          <w:sz w:val="20"/>
          <w:lang w:val="fr-FR"/>
        </w:rPr>
        <w:t>Arrêt </w:t>
      </w:r>
      <w:r w:rsidRPr="00D22292">
        <w:rPr>
          <w:sz w:val="20"/>
          <w:lang w:val="fr-FR"/>
        </w:rPr>
        <w:t xml:space="preserve">: L’appel est accueilli et les acquittements sont rétablis. </w:t>
      </w:r>
    </w:p>
    <w:p w:rsidR="00635CDA" w:rsidRPr="00D22292" w:rsidRDefault="00635CDA" w:rsidP="00635CDA">
      <w:pPr>
        <w:pStyle w:val="SCCNormalDoubleSpacing"/>
        <w:spacing w:line="240" w:lineRule="auto"/>
        <w:rPr>
          <w:sz w:val="20"/>
          <w:lang w:val="fr-FR"/>
        </w:rPr>
      </w:pPr>
    </w:p>
    <w:p w:rsidR="00635CDA" w:rsidRPr="00D22292" w:rsidRDefault="00635CDA" w:rsidP="00635CDA">
      <w:pPr>
        <w:pStyle w:val="SCCNormalDoubleSpacing"/>
        <w:spacing w:line="240" w:lineRule="auto"/>
        <w:rPr>
          <w:sz w:val="20"/>
          <w:lang w:val="fr-FR"/>
        </w:rPr>
      </w:pPr>
      <w:r w:rsidRPr="00D22292">
        <w:rPr>
          <w:sz w:val="20"/>
          <w:lang w:val="fr-FR"/>
        </w:rPr>
        <w:tab/>
        <w:t xml:space="preserve">Les </w:t>
      </w:r>
      <w:r w:rsidRPr="00D22292">
        <w:rPr>
          <w:sz w:val="20"/>
          <w:lang w:val="fr-CA"/>
        </w:rPr>
        <w:t>appels susceptibles d’être formés par le ministère public contre un acquittement prononcé à l’égard de procédures sur acte d’accusation se limitent aux appels fondés sur des questions de droit seulement</w:t>
      </w:r>
      <w:r w:rsidRPr="00D22292">
        <w:rPr>
          <w:sz w:val="20"/>
          <w:lang w:val="fr-FR"/>
        </w:rPr>
        <w:t>. L</w:t>
      </w:r>
      <w:r w:rsidRPr="00D22292">
        <w:rPr>
          <w:sz w:val="20"/>
          <w:lang w:val="fr-CA"/>
        </w:rPr>
        <w:t>e jugement de première instance concernait des actes criminels et ne comportait aucune erreur de droit</w:t>
      </w:r>
      <w:r w:rsidRPr="00D22292">
        <w:rPr>
          <w:sz w:val="20"/>
          <w:lang w:val="fr-FR"/>
        </w:rPr>
        <w:t xml:space="preserve">. </w:t>
      </w:r>
      <w:r w:rsidRPr="00D22292">
        <w:rPr>
          <w:sz w:val="20"/>
          <w:lang w:val="fr-CA"/>
        </w:rPr>
        <w:t>En conséquence, la Cour d’appel n’avait pas compétence pour intervenir à l’égard de ce jugement</w:t>
      </w:r>
      <w:r w:rsidRPr="00D22292">
        <w:rPr>
          <w:sz w:val="20"/>
          <w:lang w:val="fr-FR"/>
        </w:rPr>
        <w:t>.</w:t>
      </w:r>
    </w:p>
    <w:p w:rsidR="00635CDA" w:rsidRPr="00D22292" w:rsidRDefault="00635CDA" w:rsidP="00635CDA">
      <w:pPr>
        <w:pStyle w:val="SCCNormalDoubleSpacing"/>
        <w:spacing w:line="240" w:lineRule="auto"/>
        <w:rPr>
          <w:sz w:val="20"/>
          <w:lang w:val="fr-FR"/>
        </w:rPr>
      </w:pPr>
    </w:p>
    <w:p w:rsidR="00635CDA" w:rsidRPr="00D22292" w:rsidRDefault="00635CDA" w:rsidP="00635CDA">
      <w:pPr>
        <w:pStyle w:val="SCCNormalDoubleSpacing"/>
        <w:spacing w:line="240" w:lineRule="auto"/>
        <w:rPr>
          <w:sz w:val="20"/>
          <w:lang w:val="fr-FR"/>
        </w:rPr>
      </w:pPr>
      <w:r w:rsidRPr="00D22292">
        <w:rPr>
          <w:sz w:val="20"/>
          <w:lang w:val="fr-FR"/>
        </w:rPr>
        <w:tab/>
        <w:t>P</w:t>
      </w:r>
      <w:r w:rsidRPr="00D22292">
        <w:rPr>
          <w:sz w:val="20"/>
          <w:lang w:val="fr-CA"/>
        </w:rPr>
        <w:t>our que soit déclaré coupable un accusé qui démontre que sa défense d’erreur sur l’âge possède une apparence de vraisemblance, le ministère public doit prouver hors de tout doute raisonnable soit que l’accusé ne croyait pas sincèrement que le plaignant était âgé d’au moins 16 ans, soit que l’accusé n’a pas pris toutes les mesures raisonnables pour s’assurer de l’âge du plaignant</w:t>
      </w:r>
      <w:r w:rsidRPr="00D22292">
        <w:rPr>
          <w:sz w:val="20"/>
          <w:lang w:val="fr-FR"/>
        </w:rPr>
        <w:t xml:space="preserve">. </w:t>
      </w:r>
      <w:r w:rsidRPr="00D22292">
        <w:rPr>
          <w:sz w:val="20"/>
          <w:lang w:val="fr-CA"/>
        </w:rPr>
        <w:t>Déterminer s’il existe un doute raisonnable constitue une analyse éminemment contextuelle et tributaire des faits</w:t>
      </w:r>
      <w:r w:rsidRPr="00D22292">
        <w:rPr>
          <w:sz w:val="20"/>
          <w:lang w:val="fr-FR"/>
        </w:rPr>
        <w:t>. P</w:t>
      </w:r>
      <w:r w:rsidRPr="00D22292">
        <w:rPr>
          <w:sz w:val="20"/>
          <w:lang w:val="fr-CA"/>
        </w:rPr>
        <w:t>lus la perception qu’a l’accusé de l’âge du plaignant est raisonnable, moins le nombre de mesures raisonnablement requises de la part du premier sera élevé</w:t>
      </w:r>
      <w:r w:rsidRPr="00D22292">
        <w:rPr>
          <w:sz w:val="20"/>
          <w:lang w:val="fr-FR"/>
        </w:rPr>
        <w:t xml:space="preserve">. En l’espèce, le juge du procès a examiné </w:t>
      </w:r>
      <w:r w:rsidRPr="00D22292">
        <w:rPr>
          <w:sz w:val="20"/>
          <w:lang w:val="fr-CA"/>
        </w:rPr>
        <w:t>divers facteurs tels l’apparence physique, le comportement et les activités de C.D., l’âge et l’apparence des membres du groupe social de C.D., ainsi que les situations dans lesquelles G avait observé celui</w:t>
      </w:r>
      <w:r w:rsidRPr="00D22292">
        <w:rPr>
          <w:sz w:val="20"/>
          <w:lang w:val="fr-CA"/>
        </w:rPr>
        <w:noBreakHyphen/>
        <w:t>ci.</w:t>
      </w:r>
      <w:r w:rsidRPr="00D22292">
        <w:rPr>
          <w:sz w:val="20"/>
          <w:lang w:val="fr-FR"/>
        </w:rPr>
        <w:t xml:space="preserve"> </w:t>
      </w:r>
    </w:p>
    <w:p w:rsidR="00635CDA" w:rsidRPr="00D22292" w:rsidRDefault="00635CDA" w:rsidP="00635CDA">
      <w:pPr>
        <w:pStyle w:val="SCCNormalDoubleSpacing"/>
        <w:spacing w:line="240" w:lineRule="auto"/>
        <w:rPr>
          <w:sz w:val="20"/>
          <w:lang w:val="fr-FR"/>
        </w:rPr>
      </w:pPr>
    </w:p>
    <w:p w:rsidR="00635CDA" w:rsidRPr="00D22292" w:rsidRDefault="00635CDA" w:rsidP="00635CDA">
      <w:pPr>
        <w:pStyle w:val="SCCNormalDoubleSpacing"/>
        <w:spacing w:line="240" w:lineRule="auto"/>
        <w:rPr>
          <w:sz w:val="20"/>
          <w:lang w:val="fr-CA"/>
        </w:rPr>
      </w:pPr>
      <w:r w:rsidRPr="00D22292">
        <w:rPr>
          <w:sz w:val="20"/>
          <w:lang w:val="fr-FR"/>
        </w:rPr>
        <w:tab/>
      </w:r>
      <w:r w:rsidRPr="00D22292">
        <w:rPr>
          <w:sz w:val="20"/>
          <w:lang w:val="fr-CA"/>
        </w:rPr>
        <w:t>En général, la question de savoir si une erreur constitue une erreur de droit dépend de son caractère, et non de sa gravité</w:t>
      </w:r>
      <w:r w:rsidRPr="00D22292">
        <w:rPr>
          <w:sz w:val="20"/>
          <w:lang w:val="fr-FR"/>
        </w:rPr>
        <w:t>. L</w:t>
      </w:r>
      <w:r w:rsidRPr="00D22292">
        <w:rPr>
          <w:sz w:val="20"/>
          <w:lang w:val="fr-CA"/>
        </w:rPr>
        <w:t>a majorité de la Cour d’appel a fait erreur en assimilant sa forte opposition aux inférences factuelles du juge du procès à de prétendues erreurs de droit</w:t>
      </w:r>
      <w:r w:rsidRPr="00D22292">
        <w:rPr>
          <w:sz w:val="20"/>
          <w:lang w:val="fr-FR"/>
        </w:rPr>
        <w:t xml:space="preserve">. </w:t>
      </w:r>
      <w:r w:rsidRPr="00D22292">
        <w:rPr>
          <w:sz w:val="20"/>
          <w:lang w:val="fr-CA"/>
        </w:rPr>
        <w:t>Le juge du procès ne s’est pas appuyé sur le niveau d’expérience sexuelle de C.D. que révélait la relation sexuelle elle</w:t>
      </w:r>
      <w:r w:rsidRPr="00D22292">
        <w:rPr>
          <w:sz w:val="20"/>
          <w:lang w:val="fr-CA"/>
        </w:rPr>
        <w:noBreakHyphen/>
        <w:t>même</w:t>
      </w:r>
      <w:r w:rsidRPr="00D22292">
        <w:rPr>
          <w:sz w:val="20"/>
          <w:lang w:val="fr-FR"/>
        </w:rPr>
        <w:t>. Il a plutôt considéré l’information connue de G avant que ne se déroule l’activité sexuelle, par exemple le fait</w:t>
      </w:r>
      <w:r w:rsidRPr="00D22292">
        <w:rPr>
          <w:sz w:val="20"/>
          <w:lang w:val="fr-CA"/>
        </w:rPr>
        <w:t xml:space="preserve"> que C.D. était entré dans la chambre à coucher de G sans y être invité et qu’il avait </w:t>
      </w:r>
      <w:r w:rsidRPr="00D22292">
        <w:rPr>
          <w:sz w:val="20"/>
          <w:lang w:val="fr-CA"/>
        </w:rPr>
        <w:lastRenderedPageBreak/>
        <w:t>parlé avec elle pendant plusieurs heures de sujets variés, dont bon nombre révélaient de la maturité, alors que d’autres avaient un caractère suggestif.</w:t>
      </w:r>
      <w:r w:rsidRPr="00D22292">
        <w:rPr>
          <w:sz w:val="20"/>
          <w:lang w:val="fr-FR"/>
        </w:rPr>
        <w:t xml:space="preserve"> </w:t>
      </w:r>
      <w:r w:rsidRPr="00D22292">
        <w:rPr>
          <w:sz w:val="20"/>
          <w:lang w:val="fr-CA"/>
        </w:rPr>
        <w:t xml:space="preserve">Il n’en découle aucune erreur de droit. </w:t>
      </w:r>
      <w:r w:rsidRPr="00D22292">
        <w:rPr>
          <w:sz w:val="20"/>
          <w:lang w:val="fr-FR"/>
        </w:rPr>
        <w:t>Il s’agissait de mentions concernant la conduite de C.D. dans les heures qui ont précédé l’activité sexuelle, facteur ayant raisonnablement contribué, avant l’activité sexuelle, à la perception de G quant à l’âge de C.D. L</w:t>
      </w:r>
      <w:r w:rsidRPr="00D22292">
        <w:rPr>
          <w:sz w:val="20"/>
          <w:lang w:val="fr-CA"/>
        </w:rPr>
        <w:t>e juge du procès n’a pas non plus commis d’erreur en considérant des éléments de preuve qui n’étaient pas antérieurs à l’activité sexuelle. Les mesures raisonnables doivent avoir été prises avant l’activité sexuelle, mais exiger que la preuve visant à établir ces mesures soit elle aussi antérieure à l’activité sexuelle confond le fait qui doit être prouvé avec la preuve qui peut être utilisée à cette fin.</w:t>
      </w:r>
      <w:r w:rsidRPr="00D22292">
        <w:rPr>
          <w:sz w:val="20"/>
          <w:lang w:val="fr-FR"/>
        </w:rPr>
        <w:t xml:space="preserve"> </w:t>
      </w:r>
      <w:r w:rsidRPr="00D22292">
        <w:rPr>
          <w:sz w:val="20"/>
          <w:lang w:val="fr-CA"/>
        </w:rPr>
        <w:t>Le tribunal appelé à statuer sur la pertinence d’éléments de preuve doit tenir compte à la fois de l’objectif de ces éléments et de leur chronologie. Le juge du procès peut prendre en compte un élément de preuve qui étaye adéquatement la crédibilité ou la fiabilité de tout témoin, même si cet élément est postérieur à l’activité sexuelle en question. De même, un élément de preuve établissant le caractère raisonnable de la perception de l’accusé quant à l’âge du plaignant avant l’activité sexuelle est pertinent, même si cet élément de preuve est postérieur à l’activité sexuelle, ou n’était pas connu de l’accusé avant l’activité sexuelle.</w:t>
      </w:r>
    </w:p>
    <w:p w:rsidR="00635CDA" w:rsidRPr="00D22292" w:rsidRDefault="00635CDA" w:rsidP="00635CDA">
      <w:pPr>
        <w:pStyle w:val="SCCNormalDoubleSpacing"/>
        <w:spacing w:line="240" w:lineRule="auto"/>
        <w:rPr>
          <w:sz w:val="20"/>
          <w:lang w:val="fr-CA"/>
        </w:rPr>
      </w:pPr>
    </w:p>
    <w:p w:rsidR="00635CDA" w:rsidRPr="00D22292" w:rsidRDefault="00635CDA" w:rsidP="00635CDA">
      <w:pPr>
        <w:pStyle w:val="SCCNormalDoubleSpacing"/>
        <w:spacing w:line="240" w:lineRule="auto"/>
        <w:rPr>
          <w:sz w:val="20"/>
          <w:lang w:val="fr-FR"/>
        </w:rPr>
      </w:pPr>
      <w:r w:rsidRPr="00D22292">
        <w:rPr>
          <w:sz w:val="20"/>
          <w:lang w:val="fr-FR"/>
        </w:rPr>
        <w:tab/>
        <w:t>M</w:t>
      </w:r>
      <w:r w:rsidRPr="00D22292">
        <w:rPr>
          <w:sz w:val="20"/>
          <w:lang w:val="fr-CA"/>
        </w:rPr>
        <w:t xml:space="preserve">ême si le juge du procès avait commis des erreurs de droit, ces erreurs n’auraient pas justifié l’intervention de la Cour d’appel. </w:t>
      </w:r>
      <w:r w:rsidRPr="00D22292">
        <w:rPr>
          <w:sz w:val="20"/>
          <w:lang w:val="fr-FR"/>
        </w:rPr>
        <w:t>P</w:t>
      </w:r>
      <w:r w:rsidRPr="00D22292">
        <w:rPr>
          <w:sz w:val="20"/>
          <w:lang w:val="fr-CA"/>
        </w:rPr>
        <w:t>our qu’une erreur justifie une cour d’appel d’intervenir dans un appel interjeté par le ministère public contre un acquittement, il doit s’agir d’une erreur dont l’importance présente un degré raisonnable de certitude.</w:t>
      </w:r>
      <w:r w:rsidRPr="00D22292">
        <w:rPr>
          <w:sz w:val="20"/>
          <w:lang w:val="fr-FR"/>
        </w:rPr>
        <w:t xml:space="preserve"> </w:t>
      </w:r>
      <w:r w:rsidRPr="00D22292">
        <w:rPr>
          <w:sz w:val="20"/>
          <w:lang w:val="fr-CA"/>
        </w:rPr>
        <w:t xml:space="preserve">Ce seuil n’est pas atteint en l’espèce. </w:t>
      </w:r>
      <w:r w:rsidRPr="00D22292">
        <w:rPr>
          <w:sz w:val="20"/>
          <w:lang w:val="fr-FR"/>
        </w:rPr>
        <w:t>I</w:t>
      </w:r>
      <w:r w:rsidRPr="00D22292">
        <w:rPr>
          <w:sz w:val="20"/>
          <w:lang w:val="fr-CA"/>
        </w:rPr>
        <w:t xml:space="preserve">l n’est pas possible de conclure avec un degré raisonnable de certitude que les </w:t>
      </w:r>
      <w:r w:rsidRPr="00D22292">
        <w:rPr>
          <w:sz w:val="20"/>
          <w:lang w:val="fr-FR"/>
        </w:rPr>
        <w:t xml:space="preserve">erreurs reprochées au juge du procès </w:t>
      </w:r>
      <w:r w:rsidRPr="00D22292">
        <w:rPr>
          <w:sz w:val="20"/>
          <w:lang w:val="fr-CA"/>
        </w:rPr>
        <w:t>avaient une incidence substantielle sur son verdict.</w:t>
      </w:r>
      <w:r w:rsidRPr="00D22292">
        <w:rPr>
          <w:sz w:val="20"/>
          <w:lang w:val="fr-FR"/>
        </w:rPr>
        <w:t xml:space="preserve"> </w:t>
      </w:r>
    </w:p>
    <w:p w:rsidR="00635CDA" w:rsidRPr="00D22292" w:rsidRDefault="00635CDA" w:rsidP="00635CDA">
      <w:pPr>
        <w:pStyle w:val="SCCNormalDoubleSpacing"/>
        <w:spacing w:line="240" w:lineRule="auto"/>
        <w:rPr>
          <w:sz w:val="20"/>
          <w:lang w:val="fr-FR"/>
        </w:rPr>
      </w:pPr>
    </w:p>
    <w:p w:rsidR="00635CDA" w:rsidRPr="00D22292" w:rsidRDefault="00635CDA" w:rsidP="00635CDA">
      <w:pPr>
        <w:pStyle w:val="SCCNormalDoubleSpacing"/>
        <w:spacing w:line="240" w:lineRule="auto"/>
        <w:rPr>
          <w:sz w:val="20"/>
          <w:lang w:val="fr-FR"/>
        </w:rPr>
      </w:pPr>
      <w:r w:rsidRPr="00D22292">
        <w:rPr>
          <w:sz w:val="20"/>
          <w:lang w:val="fr-CA"/>
        </w:rPr>
        <w:tab/>
        <w:t xml:space="preserve">POURVOI contre un arrêt de la Cour d’appel de la Saskatchewan (le juge en chef Richards et les juges Jackson et Whitmore), 2016 SKCA 155, 344 C.C.C. (3d) 543, [2016] S.J. No. 637 (QL), 2016 CarswellSask 754 (WL Can.), qui a annulé les </w:t>
      </w:r>
      <w:r w:rsidRPr="00D22292">
        <w:rPr>
          <w:sz w:val="20"/>
          <w:lang w:val="fr-FR"/>
        </w:rPr>
        <w:t xml:space="preserve">acquittements prononcés en faveur de l’accusée </w:t>
      </w:r>
      <w:r w:rsidRPr="00D22292">
        <w:rPr>
          <w:sz w:val="20"/>
          <w:lang w:val="fr-CA"/>
        </w:rPr>
        <w:t xml:space="preserve">par le juge Kovach relativement à des accusations de contacts sexuels et d’agression sexuelle, et </w:t>
      </w:r>
      <w:r w:rsidRPr="00D22292">
        <w:rPr>
          <w:sz w:val="20"/>
          <w:lang w:val="fr-FR"/>
        </w:rPr>
        <w:t>qui a ordonné la tenue d’un nouveau procès. Pourvoi accueilli.</w:t>
      </w:r>
    </w:p>
    <w:p w:rsidR="00635CDA" w:rsidRPr="00D22292" w:rsidRDefault="00635CDA" w:rsidP="00635CDA">
      <w:pPr>
        <w:pStyle w:val="SCCNormalDoubleSpacing"/>
        <w:spacing w:line="240" w:lineRule="auto"/>
        <w:rPr>
          <w:sz w:val="20"/>
          <w:lang w:val="fr-CA"/>
        </w:rPr>
      </w:pPr>
    </w:p>
    <w:p w:rsidR="00635CDA" w:rsidRPr="00D22292" w:rsidRDefault="00635CDA" w:rsidP="00635CDA">
      <w:pPr>
        <w:pStyle w:val="SCCNormalDoubleSpacing"/>
        <w:spacing w:line="240" w:lineRule="auto"/>
        <w:rPr>
          <w:rStyle w:val="SCCCounselPartyRoleChar"/>
          <w:sz w:val="20"/>
          <w:lang w:val="fr-CA"/>
        </w:rPr>
      </w:pPr>
      <w:r w:rsidRPr="00D22292">
        <w:rPr>
          <w:rStyle w:val="SCCCounselNameChar"/>
          <w:sz w:val="20"/>
          <w:lang w:val="fr-CA"/>
        </w:rPr>
        <w:tab/>
        <w:t>Ross Macnab et Thomas Hynes</w:t>
      </w:r>
      <w:r w:rsidRPr="00D22292">
        <w:rPr>
          <w:rStyle w:val="SCCCounselPartyRoleChar"/>
          <w:sz w:val="20"/>
          <w:lang w:val="fr-CA"/>
        </w:rPr>
        <w:t>, pour l’appelante.</w:t>
      </w:r>
    </w:p>
    <w:p w:rsidR="00635CDA" w:rsidRPr="00D22292" w:rsidRDefault="00635CDA" w:rsidP="00635CDA">
      <w:pPr>
        <w:pStyle w:val="SCCNormalDoubleSpacing"/>
        <w:spacing w:line="240" w:lineRule="auto"/>
        <w:rPr>
          <w:sz w:val="20"/>
          <w:lang w:val="fr-CA"/>
        </w:rPr>
      </w:pPr>
    </w:p>
    <w:p w:rsidR="00635CDA" w:rsidRPr="00D22292" w:rsidRDefault="00635CDA" w:rsidP="00635CDA">
      <w:pPr>
        <w:pStyle w:val="SCCNormalDoubleSpacing"/>
        <w:spacing w:line="240" w:lineRule="auto"/>
        <w:rPr>
          <w:sz w:val="20"/>
          <w:lang w:val="fr-CA"/>
        </w:rPr>
      </w:pPr>
      <w:r w:rsidRPr="00D22292">
        <w:rPr>
          <w:rStyle w:val="SCCCounselNameChar"/>
          <w:sz w:val="20"/>
          <w:lang w:val="fr-CA"/>
        </w:rPr>
        <w:tab/>
        <w:t>Erin Bartsch</w:t>
      </w:r>
      <w:r w:rsidRPr="00D22292">
        <w:rPr>
          <w:rStyle w:val="SCCCounselPartyRoleChar"/>
          <w:sz w:val="20"/>
          <w:lang w:val="fr-CA"/>
        </w:rPr>
        <w:t>, pour l’intimée.</w:t>
      </w:r>
      <w:r w:rsidRPr="00D22292">
        <w:rPr>
          <w:sz w:val="20"/>
          <w:lang w:val="fr-CA"/>
        </w:rPr>
        <w:t xml:space="preserve"> </w:t>
      </w:r>
    </w:p>
    <w:p w:rsidR="00902E51" w:rsidRPr="00D22292" w:rsidRDefault="00902E51" w:rsidP="00902E51">
      <w:pPr>
        <w:rPr>
          <w:sz w:val="20"/>
          <w:szCs w:val="20"/>
          <w:lang w:val="fr-CA"/>
        </w:rPr>
      </w:pPr>
    </w:p>
    <w:p w:rsidR="00902E51" w:rsidRPr="00D22292" w:rsidRDefault="00D22292" w:rsidP="00902E51">
      <w:pPr>
        <w:rPr>
          <w:rFonts w:cs="Times New Roman"/>
          <w:sz w:val="20"/>
          <w:szCs w:val="20"/>
          <w:lang w:val="fr-CA"/>
        </w:rPr>
      </w:pPr>
      <w:r w:rsidRPr="00D22292">
        <w:rPr>
          <w:rFonts w:cs="Times New Roman"/>
          <w:sz w:val="20"/>
          <w:szCs w:val="20"/>
          <w:lang w:val="fr-CA"/>
        </w:rPr>
        <w:pict>
          <v:rect id="_x0000_i1063" style="width:144.3pt;height:1pt" o:hrpct="300" o:hralign="center" o:hrstd="t" o:hrnoshade="t" o:hr="t" fillcolor="black [3213]" stroked="f"/>
        </w:pict>
      </w:r>
    </w:p>
    <w:p w:rsidR="005C6840" w:rsidRPr="00D22292" w:rsidRDefault="005C6840" w:rsidP="005C6840">
      <w:pPr>
        <w:jc w:val="both"/>
        <w:rPr>
          <w:sz w:val="20"/>
          <w:szCs w:val="20"/>
        </w:rPr>
      </w:pPr>
    </w:p>
    <w:p w:rsidR="0056248C" w:rsidRPr="00D22292" w:rsidRDefault="0056248C" w:rsidP="005C6840">
      <w:pPr>
        <w:jc w:val="both"/>
        <w:rPr>
          <w:sz w:val="20"/>
          <w:szCs w:val="20"/>
        </w:rPr>
      </w:pPr>
    </w:p>
    <w:p w:rsidR="0056248C" w:rsidRPr="00D22292" w:rsidRDefault="0056248C" w:rsidP="005C6840">
      <w:pPr>
        <w:jc w:val="both"/>
        <w:rPr>
          <w:sz w:val="20"/>
          <w:szCs w:val="20"/>
        </w:rPr>
      </w:pPr>
    </w:p>
    <w:p w:rsidR="00102926" w:rsidRPr="00D22292" w:rsidRDefault="00102926" w:rsidP="00782AE4">
      <w:pPr>
        <w:jc w:val="both"/>
        <w:rPr>
          <w:sz w:val="20"/>
          <w:szCs w:val="20"/>
        </w:rPr>
        <w:sectPr w:rsidR="00102926" w:rsidRPr="00D22292" w:rsidSect="00782AE4">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576" w:footer="960" w:gutter="0"/>
          <w:cols w:space="720"/>
          <w:titlePg/>
          <w:docGrid w:linePitch="272"/>
        </w:sectPr>
      </w:pPr>
    </w:p>
    <w:bookmarkStart w:id="3" w:name="QuickMark"/>
    <w:bookmarkEnd w:id="3"/>
    <w:p w:rsidR="008902B1" w:rsidRPr="00D22292" w:rsidRDefault="008902B1" w:rsidP="008902B1">
      <w:pPr>
        <w:widowControl w:val="0"/>
        <w:spacing w:line="180" w:lineRule="auto"/>
        <w:jc w:val="center"/>
        <w:rPr>
          <w:rFonts w:asciiTheme="minorHAnsi" w:hAnsiTheme="minorHAnsi" w:cstheme="minorHAnsi"/>
          <w:b/>
          <w:szCs w:val="24"/>
        </w:rPr>
      </w:pPr>
      <w:r w:rsidRPr="00D22292">
        <w:rPr>
          <w:rFonts w:asciiTheme="minorHAnsi" w:hAnsiTheme="minorHAnsi" w:cstheme="minorHAnsi"/>
          <w:b/>
          <w:szCs w:val="24"/>
        </w:rPr>
        <w:lastRenderedPageBreak/>
        <w:fldChar w:fldCharType="begin"/>
      </w:r>
      <w:r w:rsidRPr="00D22292">
        <w:rPr>
          <w:rFonts w:asciiTheme="minorHAnsi" w:hAnsiTheme="minorHAnsi" w:cstheme="minorHAnsi"/>
          <w:b/>
          <w:szCs w:val="24"/>
        </w:rPr>
        <w:instrText xml:space="preserve"> SEQ CHAPTER \h \r 1</w:instrText>
      </w:r>
      <w:r w:rsidRPr="00D22292">
        <w:rPr>
          <w:rFonts w:asciiTheme="minorHAnsi" w:hAnsiTheme="minorHAnsi" w:cstheme="minorHAnsi"/>
          <w:b/>
          <w:szCs w:val="24"/>
        </w:rPr>
        <w:fldChar w:fldCharType="end"/>
      </w:r>
      <w:r w:rsidRPr="00D22292">
        <w:rPr>
          <w:rFonts w:asciiTheme="minorHAnsi" w:hAnsiTheme="minorHAnsi" w:cstheme="minorHAnsi"/>
          <w:b/>
          <w:szCs w:val="24"/>
        </w:rPr>
        <w:t>SUPREME COURT OF CANADA SCHEDULE / CALENDRIER DE LA COUR SUPREME</w:t>
      </w:r>
    </w:p>
    <w:p w:rsidR="0013595D" w:rsidRPr="00D22292" w:rsidRDefault="0013595D" w:rsidP="0013595D">
      <w:pPr>
        <w:widowControl w:val="0"/>
        <w:spacing w:line="180" w:lineRule="auto"/>
        <w:rPr>
          <w:rFonts w:asciiTheme="minorHAnsi" w:hAnsiTheme="minorHAnsi" w:cstheme="minorHAnsi"/>
          <w:szCs w:val="24"/>
        </w:rPr>
      </w:pPr>
    </w:p>
    <w:p w:rsidR="0013595D" w:rsidRPr="00D22292" w:rsidRDefault="0013595D" w:rsidP="00C01FCB">
      <w:pPr>
        <w:widowControl w:val="0"/>
        <w:tabs>
          <w:tab w:val="center" w:pos="5400"/>
          <w:tab w:val="right" w:pos="10440"/>
        </w:tabs>
        <w:jc w:val="center"/>
        <w:rPr>
          <w:rFonts w:ascii="Arial" w:hAnsi="Arial"/>
          <w:sz w:val="36"/>
          <w:szCs w:val="36"/>
        </w:rPr>
      </w:pPr>
      <w:r w:rsidRPr="00D22292">
        <w:rPr>
          <w:rFonts w:ascii="Arial" w:hAnsi="Arial"/>
          <w:i/>
          <w:sz w:val="36"/>
          <w:szCs w:val="36"/>
        </w:rPr>
        <w:t xml:space="preserve">- </w:t>
      </w:r>
      <w:r w:rsidRPr="00D22292">
        <w:rPr>
          <w:rFonts w:ascii="Arial" w:hAnsi="Arial"/>
          <w:b/>
          <w:i/>
          <w:sz w:val="36"/>
          <w:szCs w:val="36"/>
        </w:rPr>
        <w:t>2016</w:t>
      </w:r>
      <w:r w:rsidRPr="00D22292">
        <w:rPr>
          <w:rFonts w:ascii="Arial" w:hAnsi="Arial"/>
          <w:i/>
          <w:sz w:val="36"/>
          <w:szCs w:val="36"/>
        </w:rPr>
        <w:t xml:space="preserve"> </w:t>
      </w:r>
      <w:r w:rsidR="00C01FCB" w:rsidRPr="00D22292">
        <w:rPr>
          <w:rFonts w:ascii="Arial" w:hAnsi="Arial"/>
          <w:i/>
          <w:sz w:val="36"/>
          <w:szCs w:val="36"/>
        </w:rPr>
        <w:t>-</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D22292"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DECEMBER - DÉCEMBRE</w:t>
            </w:r>
          </w:p>
        </w:tc>
      </w:tr>
      <w:tr w:rsidR="0013595D" w:rsidRPr="00D22292"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D22292" w:rsidRDefault="0013595D" w:rsidP="00E942C2">
            <w:pPr>
              <w:tabs>
                <w:tab w:val="center" w:pos="5220"/>
                <w:tab w:val="right" w:pos="10440"/>
              </w:tabs>
              <w:jc w:val="center"/>
              <w:rPr>
                <w:rFonts w:ascii="Arial" w:hAnsi="Arial" w:cs="Arial"/>
                <w:b/>
                <w:sz w:val="14"/>
                <w:szCs w:val="14"/>
                <w:lang w:val="fr-FR"/>
              </w:rPr>
            </w:pPr>
            <w:r w:rsidRPr="00D22292">
              <w:rPr>
                <w:rFonts w:ascii="Arial" w:hAnsi="Arial" w:cs="Arial"/>
                <w:b/>
                <w:sz w:val="14"/>
                <w:szCs w:val="14"/>
                <w:lang w:val="fr-FR"/>
              </w:rPr>
              <w:t>S</w:t>
            </w:r>
          </w:p>
          <w:p w:rsidR="0013595D" w:rsidRPr="00D22292" w:rsidRDefault="0013595D" w:rsidP="00E942C2">
            <w:pPr>
              <w:tabs>
                <w:tab w:val="center" w:pos="5220"/>
                <w:tab w:val="right" w:pos="10440"/>
              </w:tabs>
              <w:jc w:val="center"/>
              <w:rPr>
                <w:rFonts w:ascii="Arial" w:hAnsi="Arial" w:cs="Arial"/>
                <w:b/>
                <w:sz w:val="14"/>
                <w:szCs w:val="14"/>
                <w:lang w:val="fr-FR"/>
              </w:rPr>
            </w:pPr>
            <w:r w:rsidRPr="00D22292">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M</w:t>
            </w:r>
          </w:p>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T</w:t>
            </w:r>
          </w:p>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W</w:t>
            </w:r>
          </w:p>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T</w:t>
            </w:r>
          </w:p>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F</w:t>
            </w:r>
          </w:p>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S</w:t>
            </w:r>
          </w:p>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D22292"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S</w:t>
            </w:r>
          </w:p>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M</w:t>
            </w:r>
          </w:p>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T</w:t>
            </w:r>
          </w:p>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W</w:t>
            </w:r>
          </w:p>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T</w:t>
            </w:r>
          </w:p>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F</w:t>
            </w:r>
          </w:p>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S</w:t>
            </w:r>
          </w:p>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S</w:t>
            </w:r>
          </w:p>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M</w:t>
            </w:r>
          </w:p>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lang w:val="fr-FR"/>
              </w:rPr>
            </w:pPr>
            <w:r w:rsidRPr="00D22292">
              <w:rPr>
                <w:rFonts w:ascii="Arial" w:hAnsi="Arial" w:cs="Arial"/>
                <w:b/>
                <w:sz w:val="13"/>
                <w:szCs w:val="13"/>
                <w:lang w:val="fr-FR"/>
              </w:rPr>
              <w:t>T</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W</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T</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F</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S</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S</w:t>
            </w:r>
          </w:p>
        </w:tc>
      </w:tr>
      <w:tr w:rsidR="0013595D" w:rsidRPr="00D22292"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3</w:t>
            </w:r>
          </w:p>
        </w:tc>
      </w:tr>
      <w:tr w:rsidR="0013595D" w:rsidRPr="00D22292"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D22292" w:rsidRDefault="0013595D" w:rsidP="00E942C2">
            <w:pPr>
              <w:jc w:val="center"/>
              <w:rPr>
                <w:rFonts w:ascii="Arial" w:hAnsi="Arial" w:cs="Arial"/>
                <w:b/>
                <w:sz w:val="12"/>
                <w:szCs w:val="12"/>
              </w:rPr>
            </w:pPr>
          </w:p>
          <w:p w:rsidR="0013595D" w:rsidRPr="00D22292" w:rsidRDefault="0013595D" w:rsidP="00E942C2">
            <w:pPr>
              <w:jc w:val="center"/>
              <w:rPr>
                <w:rFonts w:ascii="Arial" w:hAnsi="Arial" w:cs="Arial"/>
                <w:sz w:val="13"/>
                <w:szCs w:val="13"/>
              </w:rPr>
            </w:pPr>
            <w:r w:rsidRPr="00D22292">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D22292" w:rsidRDefault="0013595D" w:rsidP="00E942C2">
            <w:pPr>
              <w:jc w:val="center"/>
              <w:rPr>
                <w:rFonts w:ascii="Arial" w:hAnsi="Arial" w:cs="Arial"/>
                <w:b/>
                <w:sz w:val="13"/>
                <w:szCs w:val="13"/>
              </w:rPr>
            </w:pPr>
            <w:r w:rsidRPr="00D22292">
              <w:rPr>
                <w:rFonts w:ascii="Arial" w:hAnsi="Arial" w:cs="Arial"/>
                <w:b/>
                <w:sz w:val="13"/>
                <w:szCs w:val="13"/>
              </w:rPr>
              <w:t xml:space="preserve">H </w:t>
            </w:r>
          </w:p>
          <w:p w:rsidR="0013595D" w:rsidRPr="00D22292" w:rsidRDefault="0013595D" w:rsidP="00E942C2">
            <w:pPr>
              <w:jc w:val="center"/>
              <w:rPr>
                <w:rFonts w:ascii="Arial" w:hAnsi="Arial" w:cs="Arial"/>
                <w:sz w:val="13"/>
                <w:szCs w:val="13"/>
              </w:rPr>
            </w:pPr>
            <w:r w:rsidRPr="00D22292">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10</w:t>
            </w:r>
          </w:p>
        </w:tc>
      </w:tr>
      <w:tr w:rsidR="0013595D" w:rsidRPr="00D22292"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b/>
                <w:sz w:val="13"/>
                <w:szCs w:val="13"/>
              </w:rPr>
              <w:t xml:space="preserve">H </w:t>
            </w:r>
          </w:p>
          <w:p w:rsidR="0013595D" w:rsidRPr="00D22292" w:rsidRDefault="0013595D" w:rsidP="00E942C2">
            <w:pPr>
              <w:jc w:val="center"/>
              <w:rPr>
                <w:rFonts w:ascii="Arial" w:hAnsi="Arial" w:cs="Arial"/>
                <w:sz w:val="13"/>
                <w:szCs w:val="13"/>
              </w:rPr>
            </w:pPr>
            <w:r w:rsidRPr="00D22292">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11</w:t>
            </w:r>
          </w:p>
        </w:tc>
        <w:tc>
          <w:tcPr>
            <w:tcW w:w="209" w:type="pct"/>
            <w:shd w:val="pct20"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12</w:t>
            </w:r>
          </w:p>
        </w:tc>
        <w:tc>
          <w:tcPr>
            <w:tcW w:w="251" w:type="pct"/>
            <w:shd w:val="pct20"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13</w:t>
            </w:r>
          </w:p>
        </w:tc>
        <w:tc>
          <w:tcPr>
            <w:tcW w:w="210" w:type="pct"/>
            <w:shd w:val="pct20"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16</w:t>
            </w:r>
          </w:p>
        </w:tc>
        <w:tc>
          <w:tcPr>
            <w:tcW w:w="217" w:type="pct"/>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11</w:t>
            </w:r>
          </w:p>
        </w:tc>
        <w:tc>
          <w:tcPr>
            <w:tcW w:w="218" w:type="pct"/>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12</w:t>
            </w:r>
          </w:p>
        </w:tc>
        <w:tc>
          <w:tcPr>
            <w:tcW w:w="218" w:type="pct"/>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17</w:t>
            </w:r>
          </w:p>
        </w:tc>
      </w:tr>
      <w:tr w:rsidR="0013595D" w:rsidRPr="00D22292"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17</w:t>
            </w:r>
          </w:p>
        </w:tc>
        <w:tc>
          <w:tcPr>
            <w:tcW w:w="267" w:type="pct"/>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18</w:t>
            </w:r>
          </w:p>
        </w:tc>
        <w:tc>
          <w:tcPr>
            <w:tcW w:w="209" w:type="pct"/>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20</w:t>
            </w:r>
          </w:p>
        </w:tc>
        <w:tc>
          <w:tcPr>
            <w:tcW w:w="210" w:type="pct"/>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24</w:t>
            </w:r>
          </w:p>
        </w:tc>
      </w:tr>
      <w:tr w:rsidR="0013595D" w:rsidRPr="00D22292"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D22292" w:rsidRDefault="0013595D" w:rsidP="00E942C2">
            <w:pPr>
              <w:rPr>
                <w:rFonts w:ascii="Arial" w:hAnsi="Arial" w:cs="Arial"/>
                <w:sz w:val="13"/>
                <w:szCs w:val="13"/>
              </w:rPr>
            </w:pPr>
            <w:r w:rsidRPr="00D22292">
              <w:rPr>
                <w:rFonts w:ascii="Arial" w:hAnsi="Arial" w:cs="Arial"/>
                <w:sz w:val="13"/>
                <w:szCs w:val="13"/>
              </w:rPr>
              <w:t>23</w:t>
            </w:r>
          </w:p>
          <w:p w:rsidR="0013595D" w:rsidRPr="00D22292" w:rsidRDefault="0013595D" w:rsidP="00E942C2">
            <w:pPr>
              <w:jc w:val="center"/>
              <w:rPr>
                <w:rFonts w:ascii="Arial" w:hAnsi="Arial" w:cs="Arial"/>
                <w:sz w:val="13"/>
                <w:szCs w:val="13"/>
              </w:rPr>
            </w:pPr>
            <w:r w:rsidRPr="00D22292">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D22292" w:rsidRDefault="0013595D" w:rsidP="00E942C2">
            <w:pPr>
              <w:rPr>
                <w:rFonts w:ascii="Arial" w:hAnsi="Arial" w:cs="Arial"/>
                <w:sz w:val="13"/>
                <w:szCs w:val="13"/>
              </w:rPr>
            </w:pPr>
            <w:r w:rsidRPr="00D22292">
              <w:rPr>
                <w:rFonts w:ascii="Arial" w:hAnsi="Arial" w:cs="Arial"/>
                <w:sz w:val="13"/>
                <w:szCs w:val="13"/>
              </w:rPr>
              <w:t>24</w:t>
            </w:r>
          </w:p>
          <w:p w:rsidR="0013595D" w:rsidRPr="00D22292" w:rsidRDefault="0013595D" w:rsidP="00E942C2">
            <w:pPr>
              <w:rPr>
                <w:rFonts w:ascii="Arial" w:hAnsi="Arial" w:cs="Arial"/>
                <w:sz w:val="13"/>
                <w:szCs w:val="13"/>
              </w:rPr>
            </w:pPr>
            <w:r w:rsidRPr="00D22292">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b/>
                <w:sz w:val="13"/>
                <w:szCs w:val="13"/>
              </w:rPr>
            </w:pPr>
          </w:p>
          <w:p w:rsidR="0013595D" w:rsidRPr="00D22292" w:rsidRDefault="0013595D" w:rsidP="00E942C2">
            <w:pPr>
              <w:jc w:val="center"/>
              <w:rPr>
                <w:rFonts w:ascii="Arial" w:hAnsi="Arial" w:cs="Arial"/>
                <w:sz w:val="13"/>
                <w:szCs w:val="13"/>
              </w:rPr>
            </w:pPr>
            <w:r w:rsidRPr="00D22292">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b/>
                <w:sz w:val="13"/>
                <w:szCs w:val="13"/>
              </w:rPr>
            </w:pPr>
            <w:r w:rsidRPr="00D22292">
              <w:rPr>
                <w:rFonts w:ascii="Arial" w:hAnsi="Arial" w:cs="Arial"/>
                <w:b/>
                <w:sz w:val="13"/>
                <w:szCs w:val="13"/>
              </w:rPr>
              <w:t>H</w:t>
            </w:r>
          </w:p>
          <w:p w:rsidR="0013595D" w:rsidRPr="00D22292" w:rsidRDefault="0013595D" w:rsidP="00E942C2">
            <w:pPr>
              <w:jc w:val="center"/>
              <w:rPr>
                <w:rFonts w:ascii="Arial" w:hAnsi="Arial" w:cs="Arial"/>
                <w:sz w:val="13"/>
                <w:szCs w:val="13"/>
              </w:rPr>
            </w:pPr>
            <w:r w:rsidRPr="00D22292">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b/>
                <w:sz w:val="13"/>
                <w:szCs w:val="13"/>
              </w:rPr>
            </w:pPr>
            <w:r w:rsidRPr="00D22292">
              <w:rPr>
                <w:rFonts w:ascii="Arial" w:hAnsi="Arial" w:cs="Arial"/>
                <w:b/>
                <w:sz w:val="13"/>
                <w:szCs w:val="13"/>
              </w:rPr>
              <w:t>H</w:t>
            </w:r>
          </w:p>
          <w:p w:rsidR="0013595D" w:rsidRPr="00D22292" w:rsidRDefault="0013595D" w:rsidP="00E942C2">
            <w:pPr>
              <w:jc w:val="center"/>
              <w:rPr>
                <w:rFonts w:ascii="Arial" w:hAnsi="Arial" w:cs="Arial"/>
                <w:sz w:val="13"/>
                <w:szCs w:val="13"/>
              </w:rPr>
            </w:pPr>
            <w:r w:rsidRPr="00D22292">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31</w:t>
            </w:r>
          </w:p>
        </w:tc>
      </w:tr>
    </w:tbl>
    <w:p w:rsidR="0013595D" w:rsidRPr="00D22292" w:rsidRDefault="0013595D" w:rsidP="0013595D">
      <w:pPr>
        <w:tabs>
          <w:tab w:val="center" w:pos="5220"/>
          <w:tab w:val="right" w:pos="10440"/>
        </w:tabs>
        <w:jc w:val="center"/>
        <w:rPr>
          <w:rFonts w:ascii="Arial" w:hAnsi="Arial" w:cs="Arial"/>
          <w:sz w:val="36"/>
          <w:szCs w:val="36"/>
        </w:rPr>
      </w:pPr>
      <w:r w:rsidRPr="00D22292">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D22292"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MARCH - MARS</w:t>
            </w:r>
          </w:p>
        </w:tc>
      </w:tr>
      <w:tr w:rsidR="0013595D" w:rsidRPr="00D22292"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S</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M</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L</w:t>
            </w:r>
          </w:p>
        </w:tc>
        <w:tc>
          <w:tcPr>
            <w:tcW w:w="217" w:type="pct"/>
            <w:tcBorders>
              <w:top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T</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W</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T</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F</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S</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S</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D</w:t>
            </w:r>
          </w:p>
        </w:tc>
        <w:tc>
          <w:tcPr>
            <w:tcW w:w="208" w:type="pct"/>
            <w:tcBorders>
              <w:top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M</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L</w:t>
            </w:r>
          </w:p>
        </w:tc>
        <w:tc>
          <w:tcPr>
            <w:tcW w:w="249" w:type="pct"/>
            <w:tcBorders>
              <w:top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T</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M</w:t>
            </w:r>
          </w:p>
        </w:tc>
        <w:tc>
          <w:tcPr>
            <w:tcW w:w="250" w:type="pct"/>
            <w:tcBorders>
              <w:top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W</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M</w:t>
            </w:r>
          </w:p>
        </w:tc>
        <w:tc>
          <w:tcPr>
            <w:tcW w:w="216" w:type="pct"/>
            <w:tcBorders>
              <w:top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T</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J</w:t>
            </w:r>
          </w:p>
        </w:tc>
        <w:tc>
          <w:tcPr>
            <w:tcW w:w="217" w:type="pct"/>
            <w:tcBorders>
              <w:top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F</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S</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S</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D</w:t>
            </w:r>
          </w:p>
        </w:tc>
        <w:tc>
          <w:tcPr>
            <w:tcW w:w="223" w:type="pct"/>
            <w:tcBorders>
              <w:top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M</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L</w:t>
            </w:r>
          </w:p>
        </w:tc>
        <w:tc>
          <w:tcPr>
            <w:tcW w:w="208" w:type="pct"/>
            <w:tcBorders>
              <w:top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T</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M</w:t>
            </w:r>
          </w:p>
        </w:tc>
        <w:tc>
          <w:tcPr>
            <w:tcW w:w="208" w:type="pct"/>
            <w:tcBorders>
              <w:top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W</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M</w:t>
            </w:r>
          </w:p>
        </w:tc>
        <w:tc>
          <w:tcPr>
            <w:tcW w:w="208" w:type="pct"/>
            <w:tcBorders>
              <w:top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T</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J</w:t>
            </w:r>
          </w:p>
        </w:tc>
        <w:tc>
          <w:tcPr>
            <w:tcW w:w="208" w:type="pct"/>
            <w:tcBorders>
              <w:top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F</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S</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S</w:t>
            </w:r>
          </w:p>
        </w:tc>
      </w:tr>
      <w:tr w:rsidR="0013595D" w:rsidRPr="00D22292"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D22292" w:rsidRDefault="0013595D" w:rsidP="00E942C2">
            <w:pPr>
              <w:jc w:val="center"/>
              <w:rPr>
                <w:rFonts w:ascii="Arial" w:hAnsi="Arial" w:cs="Arial"/>
                <w:b/>
                <w:sz w:val="13"/>
                <w:szCs w:val="13"/>
              </w:rPr>
            </w:pPr>
          </w:p>
          <w:p w:rsidR="0013595D" w:rsidRPr="00D22292" w:rsidRDefault="0013595D" w:rsidP="00E942C2">
            <w:pPr>
              <w:jc w:val="center"/>
              <w:rPr>
                <w:rFonts w:ascii="Arial" w:hAnsi="Arial" w:cs="Arial"/>
                <w:sz w:val="13"/>
                <w:szCs w:val="13"/>
              </w:rPr>
            </w:pPr>
            <w:r w:rsidRPr="00D22292">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D22292" w:rsidRDefault="0013595D" w:rsidP="00E942C2">
            <w:pPr>
              <w:jc w:val="center"/>
              <w:rPr>
                <w:rFonts w:ascii="Arial" w:hAnsi="Arial" w:cs="Arial"/>
                <w:b/>
                <w:sz w:val="13"/>
                <w:szCs w:val="13"/>
              </w:rPr>
            </w:pPr>
            <w:r w:rsidRPr="00D22292">
              <w:rPr>
                <w:rFonts w:ascii="Arial" w:hAnsi="Arial" w:cs="Arial"/>
                <w:b/>
                <w:sz w:val="13"/>
                <w:szCs w:val="13"/>
              </w:rPr>
              <w:t>H</w:t>
            </w:r>
          </w:p>
          <w:p w:rsidR="0013595D" w:rsidRPr="00D22292" w:rsidRDefault="0013595D" w:rsidP="00E942C2">
            <w:pPr>
              <w:jc w:val="center"/>
              <w:rPr>
                <w:rFonts w:ascii="Arial" w:hAnsi="Arial" w:cs="Arial"/>
                <w:sz w:val="13"/>
                <w:szCs w:val="13"/>
              </w:rPr>
            </w:pPr>
            <w:r w:rsidRPr="00D22292">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D22292"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D22292"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3</w:t>
            </w:r>
          </w:p>
        </w:tc>
        <w:tc>
          <w:tcPr>
            <w:tcW w:w="225" w:type="pct"/>
            <w:tcBorders>
              <w:right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p>
        </w:tc>
        <w:tc>
          <w:tcPr>
            <w:tcW w:w="223" w:type="pct"/>
            <w:tcMar>
              <w:bottom w:w="43" w:type="dxa"/>
            </w:tcMar>
            <w:vAlign w:val="bottom"/>
          </w:tcPr>
          <w:p w:rsidR="0013595D" w:rsidRPr="00D22292" w:rsidRDefault="0013595D" w:rsidP="00E942C2">
            <w:pPr>
              <w:jc w:val="center"/>
              <w:rPr>
                <w:rFonts w:ascii="Arial" w:hAnsi="Arial" w:cs="Arial"/>
                <w:sz w:val="13"/>
                <w:szCs w:val="13"/>
              </w:rPr>
            </w:pPr>
          </w:p>
        </w:tc>
        <w:tc>
          <w:tcPr>
            <w:tcW w:w="208" w:type="pct"/>
            <w:tcMar>
              <w:bottom w:w="43" w:type="dxa"/>
            </w:tcMar>
            <w:vAlign w:val="bottom"/>
          </w:tcPr>
          <w:p w:rsidR="0013595D" w:rsidRPr="00D22292" w:rsidRDefault="0013595D" w:rsidP="00E942C2">
            <w:pPr>
              <w:jc w:val="center"/>
              <w:rPr>
                <w:rFonts w:ascii="Arial" w:hAnsi="Arial" w:cs="Arial"/>
                <w:sz w:val="13"/>
                <w:szCs w:val="13"/>
              </w:rPr>
            </w:pPr>
          </w:p>
        </w:tc>
        <w:tc>
          <w:tcPr>
            <w:tcW w:w="208" w:type="pct"/>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w:t>
            </w:r>
          </w:p>
        </w:tc>
        <w:tc>
          <w:tcPr>
            <w:tcW w:w="208" w:type="pct"/>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w:t>
            </w:r>
          </w:p>
        </w:tc>
        <w:tc>
          <w:tcPr>
            <w:tcW w:w="208" w:type="pct"/>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3</w:t>
            </w:r>
          </w:p>
        </w:tc>
        <w:tc>
          <w:tcPr>
            <w:tcW w:w="218" w:type="pct"/>
            <w:tcBorders>
              <w:right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4</w:t>
            </w:r>
          </w:p>
        </w:tc>
      </w:tr>
      <w:tr w:rsidR="0013595D" w:rsidRPr="00D22292"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13</w:t>
            </w:r>
          </w:p>
        </w:tc>
        <w:tc>
          <w:tcPr>
            <w:tcW w:w="247" w:type="pct"/>
            <w:tcBorders>
              <w:right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10</w:t>
            </w:r>
          </w:p>
        </w:tc>
        <w:tc>
          <w:tcPr>
            <w:tcW w:w="225" w:type="pct"/>
            <w:tcBorders>
              <w:right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5</w:t>
            </w:r>
          </w:p>
        </w:tc>
        <w:tc>
          <w:tcPr>
            <w:tcW w:w="223" w:type="pct"/>
            <w:tcBorders>
              <w:bottom w:val="single" w:sz="4"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10</w:t>
            </w:r>
          </w:p>
        </w:tc>
        <w:tc>
          <w:tcPr>
            <w:tcW w:w="218" w:type="pct"/>
            <w:tcBorders>
              <w:right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11</w:t>
            </w:r>
          </w:p>
        </w:tc>
      </w:tr>
      <w:tr w:rsidR="0013595D" w:rsidRPr="00D22292"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17</w:t>
            </w:r>
          </w:p>
        </w:tc>
        <w:tc>
          <w:tcPr>
            <w:tcW w:w="225" w:type="pct"/>
            <w:tcBorders>
              <w:right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17</w:t>
            </w:r>
          </w:p>
        </w:tc>
        <w:tc>
          <w:tcPr>
            <w:tcW w:w="218" w:type="pct"/>
            <w:tcBorders>
              <w:right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18</w:t>
            </w:r>
          </w:p>
        </w:tc>
      </w:tr>
      <w:tr w:rsidR="0013595D" w:rsidRPr="00D22292" w:rsidTr="00E942C2">
        <w:trPr>
          <w:trHeight w:val="288"/>
        </w:trPr>
        <w:tc>
          <w:tcPr>
            <w:tcW w:w="217" w:type="pct"/>
            <w:tcBorders>
              <w:left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20</w:t>
            </w:r>
          </w:p>
        </w:tc>
        <w:tc>
          <w:tcPr>
            <w:tcW w:w="249" w:type="pct"/>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21</w:t>
            </w:r>
          </w:p>
        </w:tc>
        <w:tc>
          <w:tcPr>
            <w:tcW w:w="250" w:type="pct"/>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22</w:t>
            </w:r>
          </w:p>
        </w:tc>
        <w:tc>
          <w:tcPr>
            <w:tcW w:w="216" w:type="pct"/>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23</w:t>
            </w:r>
          </w:p>
        </w:tc>
        <w:tc>
          <w:tcPr>
            <w:tcW w:w="217" w:type="pct"/>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24</w:t>
            </w:r>
          </w:p>
        </w:tc>
        <w:tc>
          <w:tcPr>
            <w:tcW w:w="225" w:type="pct"/>
            <w:tcBorders>
              <w:right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25</w:t>
            </w:r>
          </w:p>
        </w:tc>
      </w:tr>
      <w:tr w:rsidR="0013595D" w:rsidRPr="00D22292" w:rsidTr="00E942C2">
        <w:trPr>
          <w:trHeight w:val="288"/>
        </w:trPr>
        <w:tc>
          <w:tcPr>
            <w:tcW w:w="217" w:type="pct"/>
            <w:tcBorders>
              <w:left w:val="double" w:sz="6" w:space="0" w:color="auto"/>
              <w:bottom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29</w:t>
            </w:r>
          </w:p>
        </w:tc>
        <w:tc>
          <w:tcPr>
            <w:tcW w:w="217" w:type="pct"/>
            <w:tcBorders>
              <w:bottom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30</w:t>
            </w:r>
          </w:p>
        </w:tc>
        <w:tc>
          <w:tcPr>
            <w:tcW w:w="217" w:type="pct"/>
            <w:tcBorders>
              <w:bottom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31</w:t>
            </w:r>
          </w:p>
        </w:tc>
        <w:tc>
          <w:tcPr>
            <w:tcW w:w="233" w:type="pct"/>
            <w:tcBorders>
              <w:bottom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26</w:t>
            </w:r>
          </w:p>
        </w:tc>
        <w:tc>
          <w:tcPr>
            <w:tcW w:w="208" w:type="pct"/>
            <w:tcBorders>
              <w:bottom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27</w:t>
            </w:r>
          </w:p>
        </w:tc>
        <w:tc>
          <w:tcPr>
            <w:tcW w:w="249" w:type="pct"/>
            <w:tcBorders>
              <w:bottom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28</w:t>
            </w:r>
          </w:p>
        </w:tc>
        <w:tc>
          <w:tcPr>
            <w:tcW w:w="250" w:type="pct"/>
            <w:tcBorders>
              <w:bottom w:val="double" w:sz="6" w:space="0" w:color="auto"/>
            </w:tcBorders>
            <w:tcMar>
              <w:bottom w:w="43" w:type="dxa"/>
            </w:tcMar>
            <w:vAlign w:val="bottom"/>
          </w:tcPr>
          <w:p w:rsidR="0013595D" w:rsidRPr="00D22292"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p>
        </w:tc>
      </w:tr>
      <w:tr w:rsidR="0013595D" w:rsidRPr="00D22292"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JUNE – JUIN</w:t>
            </w:r>
          </w:p>
        </w:tc>
      </w:tr>
      <w:tr w:rsidR="0013595D" w:rsidRPr="00D22292" w:rsidTr="00E942C2">
        <w:trPr>
          <w:trHeight w:val="270"/>
        </w:trPr>
        <w:tc>
          <w:tcPr>
            <w:tcW w:w="217" w:type="pct"/>
            <w:tcBorders>
              <w:top w:val="double" w:sz="6" w:space="0" w:color="auto"/>
              <w:left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S</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D</w:t>
            </w:r>
          </w:p>
        </w:tc>
        <w:tc>
          <w:tcPr>
            <w:tcW w:w="217" w:type="pct"/>
            <w:tcBorders>
              <w:top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M</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L</w:t>
            </w:r>
          </w:p>
        </w:tc>
        <w:tc>
          <w:tcPr>
            <w:tcW w:w="217" w:type="pct"/>
            <w:tcBorders>
              <w:top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T</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M</w:t>
            </w:r>
          </w:p>
        </w:tc>
        <w:tc>
          <w:tcPr>
            <w:tcW w:w="233" w:type="pct"/>
            <w:tcBorders>
              <w:top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W</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M</w:t>
            </w:r>
          </w:p>
        </w:tc>
        <w:tc>
          <w:tcPr>
            <w:tcW w:w="221" w:type="pct"/>
            <w:tcBorders>
              <w:top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T</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F</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S</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S</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D</w:t>
            </w:r>
          </w:p>
        </w:tc>
        <w:tc>
          <w:tcPr>
            <w:tcW w:w="208" w:type="pct"/>
            <w:tcBorders>
              <w:top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M</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L</w:t>
            </w:r>
          </w:p>
        </w:tc>
        <w:tc>
          <w:tcPr>
            <w:tcW w:w="249" w:type="pct"/>
            <w:tcBorders>
              <w:top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T</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M</w:t>
            </w:r>
          </w:p>
        </w:tc>
        <w:tc>
          <w:tcPr>
            <w:tcW w:w="250" w:type="pct"/>
            <w:tcBorders>
              <w:top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W</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M</w:t>
            </w:r>
          </w:p>
        </w:tc>
        <w:tc>
          <w:tcPr>
            <w:tcW w:w="216" w:type="pct"/>
            <w:tcBorders>
              <w:top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T</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J</w:t>
            </w:r>
          </w:p>
        </w:tc>
        <w:tc>
          <w:tcPr>
            <w:tcW w:w="217" w:type="pct"/>
            <w:tcBorders>
              <w:top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F</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S</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S</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M</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T</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W</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T</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F</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S</w:t>
            </w:r>
          </w:p>
          <w:p w:rsidR="0013595D" w:rsidRPr="00D22292" w:rsidRDefault="0013595D" w:rsidP="00E942C2">
            <w:pPr>
              <w:tabs>
                <w:tab w:val="center" w:pos="5220"/>
                <w:tab w:val="right" w:pos="10440"/>
              </w:tabs>
              <w:jc w:val="center"/>
              <w:rPr>
                <w:rFonts w:ascii="Arial" w:hAnsi="Arial" w:cs="Arial"/>
                <w:b/>
                <w:sz w:val="13"/>
                <w:szCs w:val="13"/>
              </w:rPr>
            </w:pPr>
            <w:r w:rsidRPr="00D22292">
              <w:rPr>
                <w:rFonts w:ascii="Arial" w:hAnsi="Arial" w:cs="Arial"/>
                <w:b/>
                <w:sz w:val="13"/>
                <w:szCs w:val="13"/>
              </w:rPr>
              <w:t>S</w:t>
            </w:r>
          </w:p>
        </w:tc>
      </w:tr>
      <w:tr w:rsidR="0013595D" w:rsidRPr="00D22292" w:rsidTr="00E942C2">
        <w:trPr>
          <w:trHeight w:val="288"/>
        </w:trPr>
        <w:tc>
          <w:tcPr>
            <w:tcW w:w="217" w:type="pct"/>
            <w:tcBorders>
              <w:left w:val="double" w:sz="6"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3</w:t>
            </w:r>
          </w:p>
        </w:tc>
      </w:tr>
      <w:tr w:rsidR="0013595D" w:rsidRPr="00D22292"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10</w:t>
            </w:r>
          </w:p>
        </w:tc>
      </w:tr>
      <w:tr w:rsidR="0013595D" w:rsidRPr="00D22292"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D22292" w:rsidRDefault="0013595D" w:rsidP="00E942C2">
            <w:pPr>
              <w:jc w:val="center"/>
              <w:rPr>
                <w:rFonts w:ascii="Arial" w:hAnsi="Arial" w:cs="Arial"/>
                <w:b/>
                <w:sz w:val="13"/>
                <w:szCs w:val="13"/>
              </w:rPr>
            </w:pPr>
            <w:r w:rsidRPr="00D22292">
              <w:rPr>
                <w:rFonts w:ascii="Arial" w:hAnsi="Arial" w:cs="Arial"/>
                <w:b/>
                <w:sz w:val="13"/>
                <w:szCs w:val="13"/>
              </w:rPr>
              <w:t>H</w:t>
            </w:r>
          </w:p>
          <w:p w:rsidR="0013595D" w:rsidRPr="00D22292" w:rsidRDefault="0013595D" w:rsidP="00E942C2">
            <w:pPr>
              <w:jc w:val="center"/>
              <w:rPr>
                <w:rFonts w:ascii="Arial" w:hAnsi="Arial" w:cs="Arial"/>
                <w:sz w:val="13"/>
                <w:szCs w:val="13"/>
              </w:rPr>
            </w:pPr>
            <w:r w:rsidRPr="00D22292">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17</w:t>
            </w:r>
          </w:p>
        </w:tc>
      </w:tr>
      <w:tr w:rsidR="0013595D" w:rsidRPr="00D22292"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D22292" w:rsidRDefault="0013595D" w:rsidP="00E942C2">
            <w:pPr>
              <w:jc w:val="center"/>
              <w:rPr>
                <w:rFonts w:ascii="Arial" w:hAnsi="Arial" w:cs="Arial"/>
                <w:b/>
                <w:sz w:val="13"/>
                <w:szCs w:val="13"/>
              </w:rPr>
            </w:pPr>
          </w:p>
          <w:p w:rsidR="0013595D" w:rsidRPr="00D22292" w:rsidRDefault="0013595D" w:rsidP="00E942C2">
            <w:pPr>
              <w:jc w:val="center"/>
              <w:rPr>
                <w:rFonts w:ascii="Arial" w:hAnsi="Arial" w:cs="Arial"/>
                <w:sz w:val="13"/>
                <w:szCs w:val="13"/>
              </w:rPr>
            </w:pPr>
            <w:r w:rsidRPr="00D22292">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b/>
                <w:sz w:val="13"/>
                <w:szCs w:val="13"/>
              </w:rPr>
            </w:pPr>
            <w:r w:rsidRPr="00D22292">
              <w:rPr>
                <w:rFonts w:ascii="Arial" w:hAnsi="Arial" w:cs="Arial"/>
                <w:b/>
                <w:sz w:val="13"/>
                <w:szCs w:val="13"/>
              </w:rPr>
              <w:t>H</w:t>
            </w:r>
          </w:p>
          <w:p w:rsidR="0013595D" w:rsidRPr="00D22292" w:rsidRDefault="0013595D" w:rsidP="00E942C2">
            <w:pPr>
              <w:jc w:val="center"/>
              <w:rPr>
                <w:rFonts w:ascii="Arial" w:hAnsi="Arial" w:cs="Arial"/>
                <w:sz w:val="13"/>
                <w:szCs w:val="13"/>
              </w:rPr>
            </w:pPr>
            <w:r w:rsidRPr="00D22292">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22292" w:rsidRDefault="0013595D" w:rsidP="00E942C2">
            <w:pPr>
              <w:jc w:val="center"/>
              <w:rPr>
                <w:rFonts w:ascii="Arial" w:hAnsi="Arial" w:cs="Arial"/>
                <w:b/>
                <w:sz w:val="13"/>
                <w:szCs w:val="13"/>
              </w:rPr>
            </w:pPr>
            <w:r w:rsidRPr="00D22292">
              <w:rPr>
                <w:rFonts w:ascii="Arial" w:hAnsi="Arial" w:cs="Arial"/>
                <w:b/>
                <w:sz w:val="13"/>
                <w:szCs w:val="13"/>
              </w:rPr>
              <w:t>H</w:t>
            </w:r>
          </w:p>
          <w:p w:rsidR="0013595D" w:rsidRPr="00D22292" w:rsidRDefault="0013595D" w:rsidP="00E942C2">
            <w:pPr>
              <w:jc w:val="center"/>
              <w:rPr>
                <w:rFonts w:ascii="Arial" w:hAnsi="Arial" w:cs="Arial"/>
                <w:sz w:val="13"/>
                <w:szCs w:val="13"/>
              </w:rPr>
            </w:pPr>
            <w:r w:rsidRPr="00D22292">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23</w:t>
            </w:r>
          </w:p>
        </w:tc>
        <w:tc>
          <w:tcPr>
            <w:tcW w:w="250" w:type="pct"/>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24</w:t>
            </w:r>
          </w:p>
        </w:tc>
        <w:tc>
          <w:tcPr>
            <w:tcW w:w="216" w:type="pct"/>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25</w:t>
            </w:r>
          </w:p>
        </w:tc>
        <w:tc>
          <w:tcPr>
            <w:tcW w:w="217" w:type="pct"/>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19</w:t>
            </w:r>
          </w:p>
        </w:tc>
        <w:tc>
          <w:tcPr>
            <w:tcW w:w="208" w:type="pct"/>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20</w:t>
            </w:r>
          </w:p>
        </w:tc>
        <w:tc>
          <w:tcPr>
            <w:tcW w:w="208" w:type="pct"/>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21</w:t>
            </w:r>
          </w:p>
        </w:tc>
        <w:tc>
          <w:tcPr>
            <w:tcW w:w="208" w:type="pct"/>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22</w:t>
            </w:r>
          </w:p>
        </w:tc>
        <w:tc>
          <w:tcPr>
            <w:tcW w:w="208" w:type="pct"/>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24</w:t>
            </w:r>
          </w:p>
        </w:tc>
      </w:tr>
      <w:tr w:rsidR="0013595D" w:rsidRPr="00D22292"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D22292" w:rsidRDefault="0013595D" w:rsidP="00E942C2">
            <w:pPr>
              <w:rPr>
                <w:rFonts w:ascii="Arial" w:hAnsi="Arial" w:cs="Arial"/>
                <w:sz w:val="13"/>
                <w:szCs w:val="13"/>
              </w:rPr>
            </w:pPr>
            <w:r w:rsidRPr="00D22292">
              <w:rPr>
                <w:rFonts w:ascii="Arial" w:hAnsi="Arial" w:cs="Arial"/>
                <w:sz w:val="13"/>
                <w:szCs w:val="13"/>
              </w:rPr>
              <w:t>23</w:t>
            </w:r>
          </w:p>
          <w:p w:rsidR="0013595D" w:rsidRPr="00D22292" w:rsidRDefault="0013595D" w:rsidP="00E942C2">
            <w:pPr>
              <w:jc w:val="center"/>
              <w:rPr>
                <w:rFonts w:ascii="Arial" w:hAnsi="Arial" w:cs="Arial"/>
                <w:sz w:val="13"/>
                <w:szCs w:val="13"/>
              </w:rPr>
            </w:pPr>
            <w:r w:rsidRPr="00D22292">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29</w:t>
            </w:r>
          </w:p>
        </w:tc>
        <w:tc>
          <w:tcPr>
            <w:tcW w:w="249" w:type="pct"/>
            <w:tcBorders>
              <w:bottom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30</w:t>
            </w:r>
          </w:p>
        </w:tc>
        <w:tc>
          <w:tcPr>
            <w:tcW w:w="250" w:type="pct"/>
            <w:tcBorders>
              <w:bottom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31</w:t>
            </w:r>
          </w:p>
        </w:tc>
        <w:tc>
          <w:tcPr>
            <w:tcW w:w="216" w:type="pct"/>
            <w:tcBorders>
              <w:bottom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D22292"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25</w:t>
            </w:r>
          </w:p>
        </w:tc>
        <w:tc>
          <w:tcPr>
            <w:tcW w:w="223" w:type="pct"/>
            <w:tcBorders>
              <w:bottom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26</w:t>
            </w:r>
          </w:p>
        </w:tc>
        <w:tc>
          <w:tcPr>
            <w:tcW w:w="208" w:type="pct"/>
            <w:tcBorders>
              <w:bottom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27</w:t>
            </w:r>
          </w:p>
        </w:tc>
        <w:tc>
          <w:tcPr>
            <w:tcW w:w="208" w:type="pct"/>
            <w:tcBorders>
              <w:bottom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28</w:t>
            </w:r>
          </w:p>
        </w:tc>
        <w:tc>
          <w:tcPr>
            <w:tcW w:w="208" w:type="pct"/>
            <w:tcBorders>
              <w:bottom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29</w:t>
            </w:r>
          </w:p>
        </w:tc>
        <w:tc>
          <w:tcPr>
            <w:tcW w:w="208" w:type="pct"/>
            <w:tcBorders>
              <w:bottom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r w:rsidRPr="00D22292">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D22292" w:rsidRDefault="0013595D" w:rsidP="00E942C2">
            <w:pPr>
              <w:jc w:val="center"/>
              <w:rPr>
                <w:rFonts w:ascii="Arial" w:hAnsi="Arial" w:cs="Arial"/>
                <w:sz w:val="13"/>
                <w:szCs w:val="13"/>
              </w:rPr>
            </w:pPr>
          </w:p>
        </w:tc>
      </w:tr>
    </w:tbl>
    <w:p w:rsidR="0013595D" w:rsidRPr="00D22292" w:rsidRDefault="0013595D" w:rsidP="0013595D">
      <w:pPr>
        <w:widowControl w:val="0"/>
        <w:tabs>
          <w:tab w:val="center" w:pos="5400"/>
          <w:tab w:val="right" w:pos="10440"/>
        </w:tabs>
        <w:rPr>
          <w:rFonts w:ascii="Arial" w:hAnsi="Arial"/>
          <w:sz w:val="18"/>
        </w:rPr>
      </w:pPr>
    </w:p>
    <w:p w:rsidR="0013595D" w:rsidRPr="00D22292"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D22292"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D22292" w:rsidRDefault="0013595D" w:rsidP="00E942C2">
            <w:pPr>
              <w:widowControl w:val="0"/>
              <w:rPr>
                <w:rFonts w:ascii="Arial" w:hAnsi="Arial"/>
                <w:sz w:val="16"/>
              </w:rPr>
            </w:pPr>
            <w:r w:rsidRPr="00D22292">
              <w:rPr>
                <w:rFonts w:ascii="Arial" w:hAnsi="Arial"/>
                <w:sz w:val="16"/>
              </w:rPr>
              <w:t>Sittings of the Court:</w:t>
            </w:r>
          </w:p>
          <w:p w:rsidR="0013595D" w:rsidRPr="00D22292" w:rsidRDefault="0013595D" w:rsidP="00E942C2">
            <w:pPr>
              <w:widowControl w:val="0"/>
              <w:rPr>
                <w:rFonts w:ascii="Arial" w:hAnsi="Arial"/>
                <w:sz w:val="16"/>
              </w:rPr>
            </w:pPr>
            <w:r w:rsidRPr="00D22292">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D22292" w:rsidRDefault="0013595D" w:rsidP="00E942C2">
            <w:pPr>
              <w:widowControl w:val="0"/>
              <w:rPr>
                <w:rFonts w:ascii="Arial" w:hAnsi="Arial"/>
                <w:sz w:val="16"/>
              </w:rPr>
            </w:pPr>
          </w:p>
          <w:p w:rsidR="0013595D" w:rsidRPr="00D22292"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D22292"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D22292">
              <w:rPr>
                <w:rFonts w:ascii="Arial" w:hAnsi="Arial"/>
                <w:b/>
                <w:sz w:val="16"/>
                <w:lang w:val="fr-CA"/>
              </w:rPr>
              <w:t>18  sitting weeks / semaines séances de la cour</w:t>
            </w:r>
          </w:p>
          <w:p w:rsidR="0013595D" w:rsidRPr="00D22292"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D22292">
              <w:rPr>
                <w:rFonts w:ascii="Arial" w:hAnsi="Arial"/>
                <w:b/>
                <w:sz w:val="16"/>
                <w:lang w:val="fr-CA"/>
              </w:rPr>
              <w:t>86  sitting days / journées séances de la cour</w:t>
            </w:r>
          </w:p>
          <w:p w:rsidR="0013595D" w:rsidRPr="00D22292"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D22292">
              <w:rPr>
                <w:rFonts w:ascii="Arial" w:hAnsi="Arial"/>
                <w:b/>
                <w:sz w:val="16"/>
                <w:lang w:val="fr-CA"/>
              </w:rPr>
              <w:t>4</w:t>
            </w:r>
            <w:r w:rsidRPr="00D22292">
              <w:rPr>
                <w:rFonts w:ascii="Arial" w:hAnsi="Arial"/>
                <w:b/>
                <w:sz w:val="16"/>
              </w:rPr>
              <w:t xml:space="preserve">    holidays during sitting days / jours fériés durant les sessions</w:t>
            </w:r>
          </w:p>
          <w:p w:rsidR="0013595D" w:rsidRPr="00D22292"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D22292"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D22292">
              <w:rPr>
                <w:rFonts w:ascii="Arial" w:hAnsi="Arial"/>
                <w:sz w:val="16"/>
              </w:rPr>
              <w:t>Holidays:</w:t>
            </w:r>
          </w:p>
          <w:p w:rsidR="0013595D" w:rsidRPr="00D22292"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D22292">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D22292">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67"/>
      <w:footerReference w:type="default" r:id="rId68"/>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3E7" w:rsidRDefault="005C43E7" w:rsidP="00A87207">
      <w:r>
        <w:separator/>
      </w:r>
    </w:p>
  </w:endnote>
  <w:endnote w:type="continuationSeparator" w:id="0">
    <w:p w:rsidR="005C43E7" w:rsidRDefault="005C43E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E7" w:rsidRDefault="00D22292" w:rsidP="00A87207">
    <w:pPr>
      <w:pStyle w:val="Footer"/>
    </w:pPr>
    <w:r>
      <w:pict>
        <v:rect id="_x0000_i1029" style="width:480.95pt;height:1pt" o:hralign="center" o:hrstd="t" o:hrnoshade="t" o:hr="t" fillcolor="black [3213]" stroked="f"/>
      </w:pict>
    </w:r>
  </w:p>
  <w:p w:rsidR="005C43E7" w:rsidRPr="00B7374B" w:rsidRDefault="005C43E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E7" w:rsidRDefault="00D22292" w:rsidP="00EB2B90">
    <w:pPr>
      <w:tabs>
        <w:tab w:val="center" w:pos="4680"/>
      </w:tabs>
    </w:pPr>
    <w:r>
      <w:pict>
        <v:rect id="_x0000_i1055" style="width:480.95pt;height:1pt" o:hralign="center" o:hrstd="t" o:hrnoshade="t" o:hr="t" fillcolor="black [3213]" stroked="f"/>
      </w:pict>
    </w:r>
  </w:p>
  <w:p w:rsidR="005C43E7" w:rsidRPr="0031432F" w:rsidRDefault="005C43E7" w:rsidP="00EB2B90">
    <w:pPr>
      <w:tabs>
        <w:tab w:val="center" w:pos="4680"/>
      </w:tabs>
    </w:pPr>
    <w:r>
      <w:tab/>
      <w:t xml:space="preserve">- </w:t>
    </w:r>
    <w:r>
      <w:fldChar w:fldCharType="begin"/>
    </w:r>
    <w:r>
      <w:instrText xml:space="preserve"> PAGE   \* MERGEFORMAT </w:instrText>
    </w:r>
    <w:r>
      <w:fldChar w:fldCharType="separate"/>
    </w:r>
    <w:r w:rsidR="00D22292">
      <w:rPr>
        <w:noProof/>
      </w:rPr>
      <w:t>1105</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E7" w:rsidRDefault="005C43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C43E7" w:rsidRDefault="005C43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C43E7" w:rsidRDefault="005C43E7">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E7" w:rsidRDefault="00D22292" w:rsidP="00732DB7">
    <w:r>
      <w:pict>
        <v:rect id="_x0000_i1058" style="width:480.95pt;height:1pt" o:hralign="center" o:hrstd="t" o:hrnoshade="t" o:hr="t" fillcolor="black" stroked="f"/>
      </w:pict>
    </w:r>
  </w:p>
  <w:p w:rsidR="005C43E7" w:rsidRDefault="005C43E7">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E7" w:rsidRDefault="00D22292">
    <w:pPr>
      <w:pStyle w:val="Footer"/>
    </w:pPr>
    <w:r>
      <w:pict>
        <v:rect id="_x0000_i1059" style="width:480.95pt;height:1pt" o:hralign="center" o:hrstd="t" o:hrnoshade="t" o:hr="t" fillcolor="black [3213]" stroked="f"/>
      </w:pict>
    </w:r>
  </w:p>
  <w:p w:rsidR="005C43E7" w:rsidRPr="003C2C0F" w:rsidRDefault="005C43E7" w:rsidP="00697C62">
    <w:pPr>
      <w:tabs>
        <w:tab w:val="center" w:pos="4680"/>
      </w:tabs>
    </w:pPr>
    <w:r>
      <w:tab/>
      <w:t xml:space="preserve">- </w:t>
    </w:r>
    <w:r>
      <w:fldChar w:fldCharType="begin"/>
    </w:r>
    <w:r>
      <w:instrText xml:space="preserve"> PAGE   \* MERGEFORMAT </w:instrText>
    </w:r>
    <w:r>
      <w:fldChar w:fldCharType="separate"/>
    </w:r>
    <w:r w:rsidR="00D22292">
      <w:rPr>
        <w:noProof/>
      </w:rPr>
      <w:t>1107</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E7" w:rsidRDefault="005C43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C43E7" w:rsidRDefault="005C43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C43E7" w:rsidRDefault="005C43E7">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E7" w:rsidRDefault="005C43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C43E7" w:rsidRDefault="00D22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4" style="width:480.95pt;height:1pt" o:hralign="center" o:hrstd="t" o:hrnoshade="t" o:hr="t" fillcolor="black [3213]" stroked="f"/>
      </w:pict>
    </w:r>
  </w:p>
  <w:p w:rsidR="005C43E7" w:rsidRDefault="005C43E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D22292">
      <w:rPr>
        <w:noProof/>
        <w:szCs w:val="24"/>
      </w:rPr>
      <w:t>1115</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E7" w:rsidRDefault="00D22292" w:rsidP="00782AE4">
    <w:pPr>
      <w:tabs>
        <w:tab w:val="center" w:pos="4680"/>
      </w:tabs>
    </w:pPr>
    <w:r>
      <w:pict>
        <v:rect id="_x0000_i1065" style="width:480.95pt;height:1pt" o:hralign="center" o:hrstd="t" o:hrnoshade="t" o:hr="t" fillcolor="black [3213]" stroked="f"/>
      </w:pict>
    </w:r>
  </w:p>
  <w:p w:rsidR="005C43E7" w:rsidRDefault="005C43E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D22292">
      <w:rPr>
        <w:noProof/>
        <w:szCs w:val="24"/>
      </w:rPr>
      <w:t>1108</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E7" w:rsidRPr="00924065" w:rsidRDefault="005C43E7"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E7" w:rsidRDefault="00D22292" w:rsidP="00755F22">
    <w:pPr>
      <w:tabs>
        <w:tab w:val="left" w:pos="-1440"/>
        <w:tab w:val="left" w:pos="-720"/>
      </w:tabs>
    </w:pPr>
    <w:r>
      <w:pict>
        <v:rect id="_x0000_i1030" style="width:480.95pt;height:1pt" o:hralign="center" o:hrstd="t" o:hrnoshade="t" o:hr="t" fillcolor="black [3213]" stroked="f"/>
      </w:pict>
    </w:r>
  </w:p>
  <w:p w:rsidR="005C43E7" w:rsidRPr="00954D22" w:rsidRDefault="005C43E7"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D22292">
      <w:rPr>
        <w:noProof/>
        <w:szCs w:val="24"/>
      </w:rPr>
      <w:t>1089</w:t>
    </w:r>
    <w:r>
      <w:rPr>
        <w:szCs w:val="24"/>
      </w:rPr>
      <w:fldChar w:fldCharType="end"/>
    </w:r>
    <w:r w:rsidRPr="00954D22">
      <w:rPr>
        <w:szCs w:val="24"/>
      </w:rPr>
      <w:t xml:space="preserve"> -</w:t>
    </w:r>
  </w:p>
  <w:p w:rsidR="005C43E7" w:rsidRDefault="005C43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E7" w:rsidRDefault="00D22292" w:rsidP="00A87207">
    <w:pPr>
      <w:pStyle w:val="Footer"/>
    </w:pPr>
    <w:r>
      <w:pict>
        <v:rect id="_x0000_i1032" style="width:480.95pt;height:1pt" o:hralign="center" o:hrstd="t" o:hrnoshade="t" o:hr="t" fillcolor="black [3213]" stroked="f"/>
      </w:pict>
    </w:r>
  </w:p>
  <w:p w:rsidR="005C43E7" w:rsidRPr="00B7374B" w:rsidRDefault="005C43E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1091</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E7" w:rsidRDefault="00D22292"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3" style="width:480.95pt;height:1pt" o:hralign="center" o:hrstd="t" o:hrnoshade="t" o:hr="t" fillcolor="black [3213]" stroked="f"/>
      </w:pict>
    </w:r>
  </w:p>
  <w:p w:rsidR="005C43E7" w:rsidRPr="00954D22" w:rsidRDefault="005C43E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22292">
      <w:rPr>
        <w:noProof/>
        <w:szCs w:val="24"/>
      </w:rPr>
      <w:t>1090</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E7" w:rsidRDefault="005C43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C43E7" w:rsidRDefault="005C43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C43E7" w:rsidRDefault="005C43E7">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E7" w:rsidRDefault="00D22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0" style="width:480.95pt;height:1pt" o:hralign="center" o:hrstd="t" o:hrnoshade="t" o:hr="t" fillcolor="black [3213]" stroked="f"/>
      </w:pict>
    </w:r>
  </w:p>
  <w:p w:rsidR="005C43E7" w:rsidRPr="0009648D" w:rsidRDefault="005C43E7" w:rsidP="00ED7E83">
    <w:pPr>
      <w:tabs>
        <w:tab w:val="center" w:pos="4680"/>
      </w:tabs>
    </w:pPr>
    <w:r>
      <w:tab/>
    </w:r>
    <w:r w:rsidRPr="0009648D">
      <w:t xml:space="preserve">- </w:t>
    </w:r>
    <w:r>
      <w:fldChar w:fldCharType="begin"/>
    </w:r>
    <w:r>
      <w:instrText xml:space="preserve"> PAGE   \* MERGEFORMAT </w:instrText>
    </w:r>
    <w:r>
      <w:fldChar w:fldCharType="separate"/>
    </w:r>
    <w:r w:rsidR="00D22292">
      <w:rPr>
        <w:noProof/>
      </w:rPr>
      <w:t>1101</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E7" w:rsidRDefault="00D22292">
    <w:pPr>
      <w:pStyle w:val="Footer"/>
      <w:rPr>
        <w:lang w:val="fr-CA"/>
      </w:rPr>
    </w:pPr>
    <w:r>
      <w:rPr>
        <w:lang w:val="fr-CA"/>
      </w:rPr>
      <w:pict>
        <v:rect id="_x0000_i1051" style="width:480.95pt;height:1pt" o:hralign="center" o:hrstd="t" o:hrnoshade="t" o:hr="t" fillcolor="black [3213]" stroked="f"/>
      </w:pict>
    </w:r>
  </w:p>
  <w:p w:rsidR="005C43E7" w:rsidRDefault="005C43E7" w:rsidP="00245129">
    <w:pPr>
      <w:tabs>
        <w:tab w:val="center" w:pos="4680"/>
      </w:tabs>
    </w:pPr>
    <w:r>
      <w:tab/>
    </w:r>
    <w:r w:rsidRPr="0009648D">
      <w:t xml:space="preserve">- </w:t>
    </w:r>
    <w:r>
      <w:fldChar w:fldCharType="begin"/>
    </w:r>
    <w:r>
      <w:instrText xml:space="preserve"> PAGE   \* MERGEFORMAT </w:instrText>
    </w:r>
    <w:r>
      <w:fldChar w:fldCharType="separate"/>
    </w:r>
    <w:r w:rsidR="00D22292">
      <w:rPr>
        <w:noProof/>
      </w:rPr>
      <w:t>1091</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E7" w:rsidRDefault="005C43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C43E7" w:rsidRDefault="005C43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C43E7" w:rsidRDefault="005C43E7">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E7" w:rsidRDefault="00D22292" w:rsidP="00755F22">
    <w:pPr>
      <w:tabs>
        <w:tab w:val="left" w:pos="-1440"/>
        <w:tab w:val="left" w:pos="-720"/>
      </w:tabs>
    </w:pPr>
    <w:r>
      <w:pict>
        <v:rect id="_x0000_i1054" style="width:480.95pt;height:1pt" o:hralign="center" o:hrstd="t" o:hrnoshade="t" o:hr="t" fillcolor="black [3213]" stroked="f"/>
      </w:pict>
    </w:r>
  </w:p>
  <w:p w:rsidR="005C43E7" w:rsidRDefault="005C43E7" w:rsidP="00EB2B90">
    <w:pPr>
      <w:tabs>
        <w:tab w:val="center" w:pos="4680"/>
      </w:tabs>
    </w:pPr>
    <w:r>
      <w:tab/>
      <w:t xml:space="preserve">- </w:t>
    </w:r>
    <w:r>
      <w:fldChar w:fldCharType="begin"/>
    </w:r>
    <w:r>
      <w:instrText xml:space="preserve"> PAGE   \* MERGEFORMAT </w:instrText>
    </w:r>
    <w:r>
      <w:fldChar w:fldCharType="separate"/>
    </w:r>
    <w:r w:rsidR="00D22292">
      <w:rPr>
        <w:noProof/>
      </w:rPr>
      <w:t>1106</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3E7" w:rsidRDefault="005C43E7" w:rsidP="00A87207">
      <w:r>
        <w:separator/>
      </w:r>
    </w:p>
  </w:footnote>
  <w:footnote w:type="continuationSeparator" w:id="0">
    <w:p w:rsidR="005C43E7" w:rsidRDefault="005C43E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C43E7" w:rsidRPr="0044776A" w:rsidTr="00245129">
      <w:tc>
        <w:tcPr>
          <w:tcW w:w="4290" w:type="dxa"/>
          <w:tcMar>
            <w:left w:w="0" w:type="dxa"/>
            <w:right w:w="0" w:type="dxa"/>
          </w:tcMar>
        </w:tcPr>
        <w:p w:rsidR="005C43E7" w:rsidRPr="0044776A" w:rsidRDefault="005C43E7"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5C43E7" w:rsidRPr="0044776A" w:rsidRDefault="005C43E7" w:rsidP="002E2327">
          <w:pPr>
            <w:keepNext/>
            <w:keepLines/>
            <w:tabs>
              <w:tab w:val="left" w:pos="-1440"/>
              <w:tab w:val="left" w:pos="-720"/>
            </w:tabs>
            <w:jc w:val="center"/>
            <w:rPr>
              <w:sz w:val="20"/>
              <w:szCs w:val="20"/>
            </w:rPr>
          </w:pPr>
        </w:p>
        <w:p w:rsidR="005C43E7" w:rsidRPr="0044776A" w:rsidRDefault="005C43E7" w:rsidP="002E2327">
          <w:pPr>
            <w:keepNext/>
            <w:keepLines/>
            <w:tabs>
              <w:tab w:val="left" w:pos="-1440"/>
              <w:tab w:val="left" w:pos="-720"/>
            </w:tabs>
            <w:jc w:val="center"/>
            <w:rPr>
              <w:sz w:val="20"/>
              <w:szCs w:val="20"/>
            </w:rPr>
          </w:pPr>
        </w:p>
        <w:p w:rsidR="005C43E7" w:rsidRPr="0044776A" w:rsidRDefault="005C43E7" w:rsidP="002E2327">
          <w:pPr>
            <w:keepNext/>
            <w:keepLines/>
            <w:tabs>
              <w:tab w:val="left" w:pos="-1440"/>
              <w:tab w:val="left" w:pos="-720"/>
            </w:tabs>
            <w:jc w:val="center"/>
            <w:rPr>
              <w:sz w:val="20"/>
              <w:szCs w:val="20"/>
            </w:rPr>
          </w:pPr>
        </w:p>
      </w:tc>
      <w:tc>
        <w:tcPr>
          <w:tcW w:w="4320" w:type="dxa"/>
          <w:tcMar>
            <w:left w:w="0" w:type="dxa"/>
            <w:right w:w="0" w:type="dxa"/>
          </w:tcMar>
        </w:tcPr>
        <w:p w:rsidR="005C43E7" w:rsidRPr="0044776A" w:rsidRDefault="005C43E7" w:rsidP="002E2327">
          <w:pPr>
            <w:keepLines/>
            <w:rPr>
              <w:sz w:val="20"/>
              <w:szCs w:val="20"/>
              <w:lang w:val="fr-CA"/>
            </w:rPr>
          </w:pPr>
          <w:r w:rsidRPr="0044776A">
            <w:rPr>
              <w:sz w:val="20"/>
              <w:szCs w:val="20"/>
              <w:lang w:val="fr-CA"/>
            </w:rPr>
            <w:t>DEMANDES D'AUTORISATION D'APPEL DÉPOSÉES</w:t>
          </w:r>
        </w:p>
      </w:tc>
    </w:tr>
  </w:tbl>
  <w:p w:rsidR="005C43E7" w:rsidRDefault="005C43E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E7" w:rsidRDefault="005C43E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C43E7" w:rsidRPr="00635CDA">
      <w:tc>
        <w:tcPr>
          <w:tcW w:w="4200" w:type="dxa"/>
          <w:tcMar>
            <w:left w:w="0" w:type="dxa"/>
            <w:right w:w="0" w:type="dxa"/>
          </w:tcMar>
        </w:tcPr>
        <w:p w:rsidR="005C43E7" w:rsidRDefault="005C43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5C43E7" w:rsidRDefault="005C43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5C43E7" w:rsidRDefault="005C43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5C43E7" w:rsidRPr="003C2C0F" w:rsidRDefault="005C43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5C43E7" w:rsidRPr="003C2C0F" w:rsidRDefault="005C43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5C43E7" w:rsidRPr="003C2C0F" w:rsidRDefault="005C43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C43E7" w:rsidRPr="00635CDA" w:rsidTr="00245129">
      <w:tc>
        <w:tcPr>
          <w:tcW w:w="4200" w:type="dxa"/>
          <w:tcMar>
            <w:left w:w="0" w:type="dxa"/>
            <w:right w:w="0" w:type="dxa"/>
          </w:tcMar>
        </w:tcPr>
        <w:p w:rsidR="005C43E7" w:rsidRPr="00FF6EEC" w:rsidRDefault="005C43E7" w:rsidP="00FF6EEC">
          <w:pPr>
            <w:rPr>
              <w:sz w:val="20"/>
              <w:szCs w:val="20"/>
            </w:rPr>
          </w:pPr>
          <w:r w:rsidRPr="00FF6EEC">
            <w:rPr>
              <w:sz w:val="20"/>
              <w:szCs w:val="20"/>
            </w:rPr>
            <w:t>PRONOUNCEMENTS OF APPEALS RESERVED</w:t>
          </w:r>
        </w:p>
      </w:tc>
      <w:tc>
        <w:tcPr>
          <w:tcW w:w="1200" w:type="dxa"/>
          <w:tcMar>
            <w:left w:w="0" w:type="dxa"/>
            <w:right w:w="0" w:type="dxa"/>
          </w:tcMar>
        </w:tcPr>
        <w:p w:rsidR="005C43E7" w:rsidRPr="00FF6EEC" w:rsidRDefault="005C43E7" w:rsidP="00FF6EEC">
          <w:pPr>
            <w:jc w:val="center"/>
            <w:rPr>
              <w:sz w:val="20"/>
              <w:szCs w:val="20"/>
            </w:rPr>
          </w:pPr>
        </w:p>
        <w:p w:rsidR="005C43E7" w:rsidRPr="00FF6EEC" w:rsidRDefault="005C43E7" w:rsidP="00FF6EEC">
          <w:pPr>
            <w:jc w:val="center"/>
            <w:rPr>
              <w:sz w:val="20"/>
              <w:szCs w:val="20"/>
            </w:rPr>
          </w:pPr>
        </w:p>
        <w:p w:rsidR="005C43E7" w:rsidRPr="00FF6EEC" w:rsidRDefault="005C43E7" w:rsidP="00FF6EEC">
          <w:pPr>
            <w:jc w:val="center"/>
            <w:rPr>
              <w:sz w:val="20"/>
              <w:szCs w:val="20"/>
            </w:rPr>
          </w:pPr>
        </w:p>
      </w:tc>
      <w:tc>
        <w:tcPr>
          <w:tcW w:w="4080" w:type="dxa"/>
          <w:tcMar>
            <w:left w:w="0" w:type="dxa"/>
            <w:right w:w="0" w:type="dxa"/>
          </w:tcMar>
        </w:tcPr>
        <w:p w:rsidR="005C43E7" w:rsidRPr="00FF6EEC" w:rsidRDefault="005C43E7" w:rsidP="00FF6EEC">
          <w:pPr>
            <w:rPr>
              <w:sz w:val="20"/>
              <w:szCs w:val="20"/>
              <w:lang w:val="fr-CA"/>
            </w:rPr>
          </w:pPr>
          <w:r w:rsidRPr="00FF6EEC">
            <w:rPr>
              <w:sz w:val="20"/>
              <w:szCs w:val="20"/>
              <w:lang w:val="fr-CA"/>
            </w:rPr>
            <w:t>JUGEMENTS RENDUS SUR LES APPELS EN DÉLIBÉRÉ</w:t>
          </w:r>
        </w:p>
      </w:tc>
    </w:tr>
  </w:tbl>
  <w:p w:rsidR="005C43E7" w:rsidRPr="003C2C0F" w:rsidRDefault="005C43E7"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E7" w:rsidRDefault="005C43E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C43E7">
      <w:tc>
        <w:tcPr>
          <w:tcW w:w="4230" w:type="dxa"/>
          <w:tcMar>
            <w:left w:w="0" w:type="dxa"/>
            <w:right w:w="0" w:type="dxa"/>
          </w:tcMar>
        </w:tcPr>
        <w:p w:rsidR="005C43E7" w:rsidRDefault="005C43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5C43E7" w:rsidRDefault="005C43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5C43E7" w:rsidRDefault="005C43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5C43E7" w:rsidRDefault="005C43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C43E7" w:rsidRDefault="005C43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5C43E7" w:rsidRDefault="005C43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5C43E7" w:rsidRDefault="005C43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C43E7" w:rsidRDefault="005C43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C43E7" w:rsidRPr="00782AE4" w:rsidTr="00245129">
      <w:tc>
        <w:tcPr>
          <w:tcW w:w="4230" w:type="dxa"/>
          <w:tcMar>
            <w:left w:w="0" w:type="dxa"/>
            <w:right w:w="0" w:type="dxa"/>
          </w:tcMar>
        </w:tcPr>
        <w:p w:rsidR="005C43E7" w:rsidRPr="00782AE4" w:rsidRDefault="005C43E7" w:rsidP="00102926">
          <w:pPr>
            <w:keepNext/>
            <w:keepLines/>
            <w:tabs>
              <w:tab w:val="left" w:pos="-1440"/>
              <w:tab w:val="left" w:pos="-720"/>
            </w:tabs>
            <w:rPr>
              <w:sz w:val="20"/>
              <w:szCs w:val="20"/>
            </w:rPr>
          </w:pPr>
          <w:r w:rsidRPr="00782AE4">
            <w:rPr>
              <w:sz w:val="20"/>
              <w:szCs w:val="20"/>
            </w:rPr>
            <w:t xml:space="preserve">HEADNOTES OF RECENT </w:t>
          </w:r>
        </w:p>
        <w:p w:rsidR="005C43E7" w:rsidRPr="00782AE4" w:rsidRDefault="005C43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5C43E7" w:rsidRDefault="005C43E7" w:rsidP="00102926">
          <w:pPr>
            <w:keepNext/>
            <w:keepLines/>
            <w:tabs>
              <w:tab w:val="left" w:pos="-1440"/>
              <w:tab w:val="left" w:pos="-720"/>
            </w:tabs>
            <w:jc w:val="center"/>
            <w:rPr>
              <w:sz w:val="20"/>
              <w:szCs w:val="20"/>
            </w:rPr>
          </w:pPr>
        </w:p>
        <w:p w:rsidR="005C43E7" w:rsidRDefault="005C43E7" w:rsidP="00102926">
          <w:pPr>
            <w:keepNext/>
            <w:keepLines/>
            <w:tabs>
              <w:tab w:val="left" w:pos="-1440"/>
              <w:tab w:val="left" w:pos="-720"/>
            </w:tabs>
            <w:jc w:val="center"/>
            <w:rPr>
              <w:sz w:val="20"/>
              <w:szCs w:val="20"/>
            </w:rPr>
          </w:pPr>
        </w:p>
        <w:p w:rsidR="005C43E7" w:rsidRPr="00782AE4" w:rsidRDefault="005C43E7" w:rsidP="00102926">
          <w:pPr>
            <w:keepNext/>
            <w:keepLines/>
            <w:tabs>
              <w:tab w:val="left" w:pos="-1440"/>
              <w:tab w:val="left" w:pos="-720"/>
            </w:tabs>
            <w:jc w:val="center"/>
            <w:rPr>
              <w:sz w:val="20"/>
              <w:szCs w:val="20"/>
            </w:rPr>
          </w:pPr>
        </w:p>
      </w:tc>
      <w:tc>
        <w:tcPr>
          <w:tcW w:w="4080" w:type="dxa"/>
          <w:tcMar>
            <w:left w:w="0" w:type="dxa"/>
            <w:right w:w="0" w:type="dxa"/>
          </w:tcMar>
        </w:tcPr>
        <w:p w:rsidR="005C43E7" w:rsidRPr="00102926" w:rsidRDefault="005C43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5C43E7" w:rsidRPr="00782AE4" w:rsidRDefault="005C43E7" w:rsidP="00102926">
          <w:pPr>
            <w:keepLines/>
            <w:tabs>
              <w:tab w:val="left" w:pos="-1440"/>
              <w:tab w:val="left" w:pos="-720"/>
            </w:tabs>
            <w:rPr>
              <w:sz w:val="20"/>
              <w:szCs w:val="20"/>
            </w:rPr>
          </w:pPr>
          <w:r w:rsidRPr="00102926">
            <w:rPr>
              <w:sz w:val="20"/>
              <w:szCs w:val="20"/>
              <w:lang w:val="fr-CA"/>
            </w:rPr>
            <w:t>RÉCENTS</w:t>
          </w:r>
        </w:p>
      </w:tc>
    </w:tr>
  </w:tbl>
  <w:p w:rsidR="005C43E7" w:rsidRDefault="005C43E7"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E7" w:rsidRDefault="005C43E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E7" w:rsidRDefault="005C4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E7" w:rsidRDefault="005C43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C43E7" w:rsidRPr="00635CDA" w:rsidTr="00245129">
      <w:tc>
        <w:tcPr>
          <w:tcW w:w="4200" w:type="dxa"/>
          <w:tcMar>
            <w:left w:w="0" w:type="dxa"/>
            <w:right w:w="0" w:type="dxa"/>
          </w:tcMar>
        </w:tcPr>
        <w:p w:rsidR="005C43E7" w:rsidRPr="0044776A" w:rsidRDefault="005C43E7" w:rsidP="0044776A">
          <w:pPr>
            <w:keepNext/>
            <w:keepLines/>
            <w:widowControl w:val="0"/>
            <w:rPr>
              <w:sz w:val="20"/>
              <w:szCs w:val="20"/>
            </w:rPr>
          </w:pPr>
          <w:r>
            <w:rPr>
              <w:sz w:val="20"/>
              <w:szCs w:val="20"/>
            </w:rPr>
            <w:t>APPLICATIONS FOR LEAVE</w:t>
          </w:r>
        </w:p>
        <w:p w:rsidR="005C43E7" w:rsidRPr="0044776A" w:rsidRDefault="005C43E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C43E7" w:rsidRPr="0044776A" w:rsidRDefault="005C43E7" w:rsidP="0044776A">
          <w:pPr>
            <w:keepNext/>
            <w:keepLines/>
            <w:widowControl w:val="0"/>
            <w:jc w:val="center"/>
            <w:rPr>
              <w:sz w:val="20"/>
              <w:szCs w:val="20"/>
            </w:rPr>
          </w:pPr>
        </w:p>
        <w:p w:rsidR="005C43E7" w:rsidRPr="0044776A" w:rsidRDefault="005C43E7" w:rsidP="0044776A">
          <w:pPr>
            <w:keepNext/>
            <w:keepLines/>
            <w:widowControl w:val="0"/>
            <w:jc w:val="center"/>
            <w:rPr>
              <w:sz w:val="20"/>
              <w:szCs w:val="20"/>
            </w:rPr>
          </w:pPr>
        </w:p>
        <w:p w:rsidR="005C43E7" w:rsidRPr="0044776A" w:rsidRDefault="005C43E7" w:rsidP="0044776A">
          <w:pPr>
            <w:keepNext/>
            <w:keepLines/>
            <w:widowControl w:val="0"/>
            <w:jc w:val="center"/>
            <w:rPr>
              <w:sz w:val="20"/>
              <w:szCs w:val="20"/>
            </w:rPr>
          </w:pPr>
        </w:p>
      </w:tc>
      <w:tc>
        <w:tcPr>
          <w:tcW w:w="4080" w:type="dxa"/>
          <w:tcMar>
            <w:left w:w="0" w:type="dxa"/>
            <w:right w:w="0" w:type="dxa"/>
          </w:tcMar>
        </w:tcPr>
        <w:p w:rsidR="005C43E7" w:rsidRPr="0044776A" w:rsidRDefault="005C43E7" w:rsidP="0044776A">
          <w:pPr>
            <w:keepLines/>
            <w:widowControl w:val="0"/>
            <w:rPr>
              <w:sz w:val="20"/>
              <w:szCs w:val="20"/>
              <w:lang w:val="fr-CA"/>
            </w:rPr>
          </w:pPr>
          <w:r w:rsidRPr="0044776A">
            <w:rPr>
              <w:sz w:val="20"/>
              <w:szCs w:val="20"/>
              <w:lang w:val="fr-CA"/>
            </w:rPr>
            <w:t>DEMANDES SOUMISES À LA COUR DEPUIS LA DERNIÈRE PARUTION</w:t>
          </w:r>
        </w:p>
        <w:p w:rsidR="005C43E7" w:rsidRPr="0044776A" w:rsidRDefault="005C43E7" w:rsidP="0044776A">
          <w:pPr>
            <w:widowControl w:val="0"/>
            <w:rPr>
              <w:sz w:val="20"/>
              <w:szCs w:val="20"/>
              <w:lang w:val="fr-CA"/>
            </w:rPr>
          </w:pPr>
        </w:p>
      </w:tc>
    </w:tr>
  </w:tbl>
  <w:p w:rsidR="005C43E7" w:rsidRPr="002E2327" w:rsidRDefault="005C43E7">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E7" w:rsidRDefault="005C43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C43E7" w:rsidRPr="00635CDA">
      <w:tc>
        <w:tcPr>
          <w:tcW w:w="4200" w:type="dxa"/>
          <w:tcMar>
            <w:left w:w="0" w:type="dxa"/>
            <w:right w:w="0" w:type="dxa"/>
          </w:tcMar>
        </w:tcPr>
        <w:p w:rsidR="005C43E7" w:rsidRDefault="005C43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C43E7" w:rsidRDefault="005C43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C43E7" w:rsidRDefault="005C43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C43E7" w:rsidRPr="00FF6BA5" w:rsidRDefault="005C43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C43E7" w:rsidRPr="00FF6BA5" w:rsidRDefault="005C43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C43E7" w:rsidRPr="00FF6BA5" w:rsidRDefault="005C43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C43E7" w:rsidRPr="00FF6BA5" w:rsidRDefault="005C43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C43E7" w:rsidRPr="00635CDA" w:rsidTr="00245129">
      <w:tc>
        <w:tcPr>
          <w:tcW w:w="4200" w:type="dxa"/>
          <w:tcMar>
            <w:left w:w="0" w:type="dxa"/>
            <w:right w:w="0" w:type="dxa"/>
          </w:tcMar>
        </w:tcPr>
        <w:p w:rsidR="005C43E7" w:rsidRPr="00755F22" w:rsidRDefault="005C43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5C43E7" w:rsidRPr="00755F22" w:rsidRDefault="005C43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5C43E7" w:rsidRPr="00755F22" w:rsidRDefault="005C43E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C43E7" w:rsidRPr="00755F22" w:rsidRDefault="005C43E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C43E7" w:rsidRPr="00755F22" w:rsidRDefault="005C43E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C43E7" w:rsidRPr="00755F22" w:rsidRDefault="005C43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5C43E7" w:rsidRPr="00FF6BA5" w:rsidRDefault="005C43E7"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E7" w:rsidRDefault="005C43E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C43E7">
      <w:tc>
        <w:tcPr>
          <w:tcW w:w="4230" w:type="dxa"/>
          <w:tcMar>
            <w:left w:w="0" w:type="dxa"/>
            <w:right w:w="0" w:type="dxa"/>
          </w:tcMar>
        </w:tcPr>
        <w:p w:rsidR="005C43E7" w:rsidRDefault="005C43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C43E7" w:rsidRDefault="005C43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C43E7" w:rsidRDefault="005C43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C43E7">
      <w:trPr>
        <w:gridAfter w:val="2"/>
        <w:wAfter w:w="5250" w:type="dxa"/>
      </w:trPr>
      <w:tc>
        <w:tcPr>
          <w:tcW w:w="4230" w:type="dxa"/>
          <w:tcMar>
            <w:left w:w="0" w:type="dxa"/>
            <w:right w:w="0" w:type="dxa"/>
          </w:tcMar>
        </w:tcPr>
        <w:p w:rsidR="005C43E7" w:rsidRDefault="005C43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C43E7" w:rsidRDefault="005C43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C43E7" w:rsidRPr="00755F22" w:rsidTr="00245129">
      <w:tc>
        <w:tcPr>
          <w:tcW w:w="4230" w:type="dxa"/>
          <w:tcMar>
            <w:left w:w="0" w:type="dxa"/>
            <w:right w:w="0" w:type="dxa"/>
          </w:tcMar>
        </w:tcPr>
        <w:p w:rsidR="005C43E7" w:rsidRPr="00755F22" w:rsidRDefault="005C43E7" w:rsidP="00831CA9">
          <w:pPr>
            <w:keepNext/>
            <w:keepLines/>
            <w:rPr>
              <w:sz w:val="20"/>
              <w:szCs w:val="20"/>
            </w:rPr>
          </w:pPr>
          <w:r w:rsidRPr="00755F22">
            <w:rPr>
              <w:sz w:val="20"/>
              <w:szCs w:val="20"/>
            </w:rPr>
            <w:t>MOTIONS</w:t>
          </w:r>
        </w:p>
      </w:tc>
      <w:tc>
        <w:tcPr>
          <w:tcW w:w="1170" w:type="dxa"/>
          <w:tcMar>
            <w:left w:w="0" w:type="dxa"/>
            <w:right w:w="0" w:type="dxa"/>
          </w:tcMar>
        </w:tcPr>
        <w:p w:rsidR="005C43E7" w:rsidRPr="00755F22" w:rsidRDefault="005C43E7" w:rsidP="00831CA9">
          <w:pPr>
            <w:keepLines/>
            <w:jc w:val="center"/>
            <w:rPr>
              <w:sz w:val="20"/>
              <w:szCs w:val="20"/>
            </w:rPr>
          </w:pPr>
        </w:p>
        <w:p w:rsidR="005C43E7" w:rsidRPr="00755F22" w:rsidRDefault="005C43E7" w:rsidP="00831CA9">
          <w:pPr>
            <w:keepLines/>
            <w:tabs>
              <w:tab w:val="left" w:pos="-1440"/>
              <w:tab w:val="left" w:pos="-720"/>
            </w:tabs>
            <w:jc w:val="center"/>
            <w:rPr>
              <w:sz w:val="20"/>
              <w:szCs w:val="20"/>
            </w:rPr>
          </w:pPr>
        </w:p>
      </w:tc>
      <w:tc>
        <w:tcPr>
          <w:tcW w:w="4080" w:type="dxa"/>
          <w:tcMar>
            <w:left w:w="0" w:type="dxa"/>
            <w:right w:w="0" w:type="dxa"/>
          </w:tcMar>
        </w:tcPr>
        <w:p w:rsidR="005C43E7" w:rsidRPr="00BA6468" w:rsidRDefault="005C43E7" w:rsidP="00BA6468">
          <w:pPr>
            <w:keepLines/>
            <w:rPr>
              <w:sz w:val="20"/>
              <w:szCs w:val="20"/>
              <w:lang w:val="fr-CA"/>
            </w:rPr>
          </w:pPr>
          <w:r w:rsidRPr="00BA6468">
            <w:rPr>
              <w:sz w:val="20"/>
              <w:szCs w:val="20"/>
              <w:lang w:val="fr-CA"/>
            </w:rPr>
            <w:t>REQUÊTES</w:t>
          </w:r>
        </w:p>
      </w:tc>
    </w:tr>
  </w:tbl>
  <w:p w:rsidR="005C43E7" w:rsidRDefault="005C43E7"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62AB2"/>
    <w:multiLevelType w:val="hybridMultilevel"/>
    <w:tmpl w:val="2F7E3F46"/>
    <w:lvl w:ilvl="0" w:tplc="ACE4231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08802BF"/>
    <w:multiLevelType w:val="hybridMultilevel"/>
    <w:tmpl w:val="B23E85BC"/>
    <w:lvl w:ilvl="0" w:tplc="3B582C1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ttachedTemplate r:id="rId1"/>
  <w:defaultTabStop w:val="720"/>
  <w:drawingGridHorizontalSpacing w:val="120"/>
  <w:displayHorizontalDrawingGridEvery w:val="2"/>
  <w:characterSpacingControl w:val="doNotCompress"/>
  <w:hdrShapeDefaults>
    <o:shapedefaults v:ext="edit" spidmax="184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B4"/>
    <w:rsid w:val="00002704"/>
    <w:rsid w:val="00007C8C"/>
    <w:rsid w:val="000116EA"/>
    <w:rsid w:val="00020DC3"/>
    <w:rsid w:val="0003223B"/>
    <w:rsid w:val="000327B2"/>
    <w:rsid w:val="0004528B"/>
    <w:rsid w:val="0006408A"/>
    <w:rsid w:val="00064FBA"/>
    <w:rsid w:val="00091FA6"/>
    <w:rsid w:val="00096BD9"/>
    <w:rsid w:val="000B3C9A"/>
    <w:rsid w:val="000B40A2"/>
    <w:rsid w:val="000B4624"/>
    <w:rsid w:val="000B5D9F"/>
    <w:rsid w:val="000C0ACD"/>
    <w:rsid w:val="000C0D2A"/>
    <w:rsid w:val="000C5CE8"/>
    <w:rsid w:val="000C7A20"/>
    <w:rsid w:val="000E27A5"/>
    <w:rsid w:val="000E2959"/>
    <w:rsid w:val="000E5E13"/>
    <w:rsid w:val="000F0B60"/>
    <w:rsid w:val="000F63B4"/>
    <w:rsid w:val="00102926"/>
    <w:rsid w:val="0010587F"/>
    <w:rsid w:val="00111C6B"/>
    <w:rsid w:val="0012102B"/>
    <w:rsid w:val="0013369E"/>
    <w:rsid w:val="0013595D"/>
    <w:rsid w:val="001469C7"/>
    <w:rsid w:val="00164E6D"/>
    <w:rsid w:val="00183454"/>
    <w:rsid w:val="001949C0"/>
    <w:rsid w:val="001A7A81"/>
    <w:rsid w:val="001B157C"/>
    <w:rsid w:val="001B4006"/>
    <w:rsid w:val="001B5C23"/>
    <w:rsid w:val="001D0D5F"/>
    <w:rsid w:val="001D6B8C"/>
    <w:rsid w:val="001F1F83"/>
    <w:rsid w:val="001F3145"/>
    <w:rsid w:val="001F40DF"/>
    <w:rsid w:val="001F43F8"/>
    <w:rsid w:val="001F6B2D"/>
    <w:rsid w:val="001F7E04"/>
    <w:rsid w:val="002021A9"/>
    <w:rsid w:val="002139A7"/>
    <w:rsid w:val="00215F7C"/>
    <w:rsid w:val="0022323B"/>
    <w:rsid w:val="00232211"/>
    <w:rsid w:val="002410B8"/>
    <w:rsid w:val="00242AEE"/>
    <w:rsid w:val="00245129"/>
    <w:rsid w:val="00245879"/>
    <w:rsid w:val="00253236"/>
    <w:rsid w:val="00254CC1"/>
    <w:rsid w:val="00267FD5"/>
    <w:rsid w:val="00274D34"/>
    <w:rsid w:val="00283ED8"/>
    <w:rsid w:val="002868D0"/>
    <w:rsid w:val="0029518F"/>
    <w:rsid w:val="002A008C"/>
    <w:rsid w:val="002A27D1"/>
    <w:rsid w:val="002A4AFA"/>
    <w:rsid w:val="002B516C"/>
    <w:rsid w:val="002C57BA"/>
    <w:rsid w:val="002D72EB"/>
    <w:rsid w:val="002E2327"/>
    <w:rsid w:val="002E3583"/>
    <w:rsid w:val="002E5576"/>
    <w:rsid w:val="0030050B"/>
    <w:rsid w:val="00317D57"/>
    <w:rsid w:val="00320EB6"/>
    <w:rsid w:val="00331B52"/>
    <w:rsid w:val="003359D3"/>
    <w:rsid w:val="00355967"/>
    <w:rsid w:val="003626AE"/>
    <w:rsid w:val="00382C47"/>
    <w:rsid w:val="00384384"/>
    <w:rsid w:val="003866AE"/>
    <w:rsid w:val="003925B5"/>
    <w:rsid w:val="003B0E28"/>
    <w:rsid w:val="003B3977"/>
    <w:rsid w:val="003C05DC"/>
    <w:rsid w:val="003E1D4C"/>
    <w:rsid w:val="003F579C"/>
    <w:rsid w:val="004137A0"/>
    <w:rsid w:val="00422D9A"/>
    <w:rsid w:val="00432989"/>
    <w:rsid w:val="00440E24"/>
    <w:rsid w:val="0044776A"/>
    <w:rsid w:val="00460AFC"/>
    <w:rsid w:val="0047471F"/>
    <w:rsid w:val="004B195E"/>
    <w:rsid w:val="004B66B4"/>
    <w:rsid w:val="004B681C"/>
    <w:rsid w:val="004B7F60"/>
    <w:rsid w:val="004C1AAC"/>
    <w:rsid w:val="004E1E0A"/>
    <w:rsid w:val="004F090E"/>
    <w:rsid w:val="00501F3C"/>
    <w:rsid w:val="00514C0D"/>
    <w:rsid w:val="0052229C"/>
    <w:rsid w:val="00527CC7"/>
    <w:rsid w:val="0056248C"/>
    <w:rsid w:val="00570226"/>
    <w:rsid w:val="00571CA4"/>
    <w:rsid w:val="005730AE"/>
    <w:rsid w:val="00582136"/>
    <w:rsid w:val="005B42BD"/>
    <w:rsid w:val="005C43E7"/>
    <w:rsid w:val="005C6840"/>
    <w:rsid w:val="005F1ED8"/>
    <w:rsid w:val="005F263E"/>
    <w:rsid w:val="005F2A9C"/>
    <w:rsid w:val="00600252"/>
    <w:rsid w:val="00612A40"/>
    <w:rsid w:val="00624F9B"/>
    <w:rsid w:val="0062714A"/>
    <w:rsid w:val="00635CDA"/>
    <w:rsid w:val="0064683F"/>
    <w:rsid w:val="00675479"/>
    <w:rsid w:val="00680709"/>
    <w:rsid w:val="00681F61"/>
    <w:rsid w:val="00696BF9"/>
    <w:rsid w:val="00697C62"/>
    <w:rsid w:val="006A1CA8"/>
    <w:rsid w:val="006A329B"/>
    <w:rsid w:val="006A7EB8"/>
    <w:rsid w:val="006B6926"/>
    <w:rsid w:val="006C3F47"/>
    <w:rsid w:val="006C5F7A"/>
    <w:rsid w:val="006E06AF"/>
    <w:rsid w:val="006F350F"/>
    <w:rsid w:val="00721473"/>
    <w:rsid w:val="00732DB7"/>
    <w:rsid w:val="0074238B"/>
    <w:rsid w:val="00745EF7"/>
    <w:rsid w:val="00755995"/>
    <w:rsid w:val="00755F22"/>
    <w:rsid w:val="00762008"/>
    <w:rsid w:val="00766E4A"/>
    <w:rsid w:val="007820CE"/>
    <w:rsid w:val="00782AE4"/>
    <w:rsid w:val="0079724F"/>
    <w:rsid w:val="007A3EAE"/>
    <w:rsid w:val="007C04FC"/>
    <w:rsid w:val="007C3DB0"/>
    <w:rsid w:val="007C47C2"/>
    <w:rsid w:val="007D3E0F"/>
    <w:rsid w:val="007D7FB6"/>
    <w:rsid w:val="007E4282"/>
    <w:rsid w:val="007F387B"/>
    <w:rsid w:val="00801006"/>
    <w:rsid w:val="00802863"/>
    <w:rsid w:val="008112A9"/>
    <w:rsid w:val="0081473A"/>
    <w:rsid w:val="00815B3C"/>
    <w:rsid w:val="0081610A"/>
    <w:rsid w:val="0082783A"/>
    <w:rsid w:val="00831CA9"/>
    <w:rsid w:val="00850E1F"/>
    <w:rsid w:val="0085476B"/>
    <w:rsid w:val="00857A3C"/>
    <w:rsid w:val="0086340B"/>
    <w:rsid w:val="00873AAA"/>
    <w:rsid w:val="008902B1"/>
    <w:rsid w:val="00890FEB"/>
    <w:rsid w:val="00895E7E"/>
    <w:rsid w:val="008A5636"/>
    <w:rsid w:val="008A5C1A"/>
    <w:rsid w:val="008D292F"/>
    <w:rsid w:val="008E03DC"/>
    <w:rsid w:val="008F309C"/>
    <w:rsid w:val="008F5017"/>
    <w:rsid w:val="0090159B"/>
    <w:rsid w:val="00902E51"/>
    <w:rsid w:val="0090638A"/>
    <w:rsid w:val="00914665"/>
    <w:rsid w:val="00924065"/>
    <w:rsid w:val="00930D68"/>
    <w:rsid w:val="00932756"/>
    <w:rsid w:val="00932DB4"/>
    <w:rsid w:val="00941A4B"/>
    <w:rsid w:val="00946242"/>
    <w:rsid w:val="0095096B"/>
    <w:rsid w:val="0096758A"/>
    <w:rsid w:val="00970CD3"/>
    <w:rsid w:val="009723FA"/>
    <w:rsid w:val="00984546"/>
    <w:rsid w:val="00996510"/>
    <w:rsid w:val="009975CC"/>
    <w:rsid w:val="009B7EC2"/>
    <w:rsid w:val="009D1F15"/>
    <w:rsid w:val="009D555E"/>
    <w:rsid w:val="009F3024"/>
    <w:rsid w:val="009F39BA"/>
    <w:rsid w:val="009F4715"/>
    <w:rsid w:val="009F5C90"/>
    <w:rsid w:val="00A01869"/>
    <w:rsid w:val="00A0355E"/>
    <w:rsid w:val="00A14F7D"/>
    <w:rsid w:val="00A375D1"/>
    <w:rsid w:val="00A51D10"/>
    <w:rsid w:val="00A52A83"/>
    <w:rsid w:val="00A6552C"/>
    <w:rsid w:val="00A87207"/>
    <w:rsid w:val="00A935AA"/>
    <w:rsid w:val="00A956D3"/>
    <w:rsid w:val="00AB2201"/>
    <w:rsid w:val="00AB4C7B"/>
    <w:rsid w:val="00AD1D34"/>
    <w:rsid w:val="00AD3259"/>
    <w:rsid w:val="00AF1715"/>
    <w:rsid w:val="00AF3904"/>
    <w:rsid w:val="00B010C0"/>
    <w:rsid w:val="00B10409"/>
    <w:rsid w:val="00B22DF9"/>
    <w:rsid w:val="00B24ACF"/>
    <w:rsid w:val="00B24FB8"/>
    <w:rsid w:val="00B4740D"/>
    <w:rsid w:val="00B61629"/>
    <w:rsid w:val="00B6682F"/>
    <w:rsid w:val="00B7374B"/>
    <w:rsid w:val="00B82B88"/>
    <w:rsid w:val="00B90DC0"/>
    <w:rsid w:val="00BA116A"/>
    <w:rsid w:val="00BA5582"/>
    <w:rsid w:val="00BA6468"/>
    <w:rsid w:val="00BB1D44"/>
    <w:rsid w:val="00BC3E55"/>
    <w:rsid w:val="00BD06DA"/>
    <w:rsid w:val="00BD4217"/>
    <w:rsid w:val="00BF1A9C"/>
    <w:rsid w:val="00BF25F3"/>
    <w:rsid w:val="00C01FCB"/>
    <w:rsid w:val="00C1697B"/>
    <w:rsid w:val="00C21644"/>
    <w:rsid w:val="00C21CB5"/>
    <w:rsid w:val="00C46376"/>
    <w:rsid w:val="00C50A5C"/>
    <w:rsid w:val="00C50FDF"/>
    <w:rsid w:val="00C51FDE"/>
    <w:rsid w:val="00C63381"/>
    <w:rsid w:val="00C661B7"/>
    <w:rsid w:val="00C73D06"/>
    <w:rsid w:val="00C73E1B"/>
    <w:rsid w:val="00C7556C"/>
    <w:rsid w:val="00C759B4"/>
    <w:rsid w:val="00C77713"/>
    <w:rsid w:val="00C85BB7"/>
    <w:rsid w:val="00CA0DF0"/>
    <w:rsid w:val="00CA2DEA"/>
    <w:rsid w:val="00CB3520"/>
    <w:rsid w:val="00CB43D5"/>
    <w:rsid w:val="00CC4D84"/>
    <w:rsid w:val="00CE198A"/>
    <w:rsid w:val="00CF08C8"/>
    <w:rsid w:val="00D004FC"/>
    <w:rsid w:val="00D22292"/>
    <w:rsid w:val="00D46FF2"/>
    <w:rsid w:val="00D64901"/>
    <w:rsid w:val="00D726AF"/>
    <w:rsid w:val="00D76BDF"/>
    <w:rsid w:val="00D818B6"/>
    <w:rsid w:val="00D862C1"/>
    <w:rsid w:val="00D93B50"/>
    <w:rsid w:val="00D94028"/>
    <w:rsid w:val="00D94670"/>
    <w:rsid w:val="00DA381F"/>
    <w:rsid w:val="00DA46F6"/>
    <w:rsid w:val="00DA756F"/>
    <w:rsid w:val="00DD0B49"/>
    <w:rsid w:val="00DE0502"/>
    <w:rsid w:val="00DE0C8C"/>
    <w:rsid w:val="00DE349D"/>
    <w:rsid w:val="00DE3FAB"/>
    <w:rsid w:val="00DF1CC5"/>
    <w:rsid w:val="00DF7D39"/>
    <w:rsid w:val="00E06772"/>
    <w:rsid w:val="00E06DFA"/>
    <w:rsid w:val="00E20A0A"/>
    <w:rsid w:val="00E240C2"/>
    <w:rsid w:val="00E356C7"/>
    <w:rsid w:val="00E414CA"/>
    <w:rsid w:val="00E41A5A"/>
    <w:rsid w:val="00E45FE4"/>
    <w:rsid w:val="00E46300"/>
    <w:rsid w:val="00E64FA7"/>
    <w:rsid w:val="00E75CFD"/>
    <w:rsid w:val="00E770CB"/>
    <w:rsid w:val="00E808EC"/>
    <w:rsid w:val="00E8544A"/>
    <w:rsid w:val="00E903A1"/>
    <w:rsid w:val="00E940EB"/>
    <w:rsid w:val="00E942C2"/>
    <w:rsid w:val="00E9703F"/>
    <w:rsid w:val="00EA12A4"/>
    <w:rsid w:val="00EA637F"/>
    <w:rsid w:val="00EA7175"/>
    <w:rsid w:val="00EB2B90"/>
    <w:rsid w:val="00ED7E83"/>
    <w:rsid w:val="00EE091F"/>
    <w:rsid w:val="00EF4B63"/>
    <w:rsid w:val="00F0068D"/>
    <w:rsid w:val="00F0576D"/>
    <w:rsid w:val="00F14E6D"/>
    <w:rsid w:val="00F15EA8"/>
    <w:rsid w:val="00F16C18"/>
    <w:rsid w:val="00F16C8D"/>
    <w:rsid w:val="00F26C61"/>
    <w:rsid w:val="00F33CCE"/>
    <w:rsid w:val="00F40249"/>
    <w:rsid w:val="00F416F0"/>
    <w:rsid w:val="00F526C8"/>
    <w:rsid w:val="00F761A3"/>
    <w:rsid w:val="00F9272D"/>
    <w:rsid w:val="00F92AD7"/>
    <w:rsid w:val="00F9518C"/>
    <w:rsid w:val="00FA316E"/>
    <w:rsid w:val="00FA3373"/>
    <w:rsid w:val="00FA59EF"/>
    <w:rsid w:val="00FB19A2"/>
    <w:rsid w:val="00FB4A2E"/>
    <w:rsid w:val="00FC264B"/>
    <w:rsid w:val="00FF5880"/>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character" w:styleId="FollowedHyperlink">
    <w:name w:val="FollowedHyperlink"/>
    <w:basedOn w:val="DefaultParagraphFont"/>
    <w:uiPriority w:val="99"/>
    <w:semiHidden/>
    <w:unhideWhenUsed/>
    <w:rsid w:val="00755995"/>
    <w:rPr>
      <w:color w:val="800080"/>
      <w:u w:val="single"/>
    </w:rPr>
  </w:style>
  <w:style w:type="paragraph" w:customStyle="1" w:styleId="SCCBanSummary">
    <w:name w:val="SCC.BanSummary"/>
    <w:basedOn w:val="Normal"/>
    <w:next w:val="Normal"/>
    <w:link w:val="SCCBanSummaryChar"/>
    <w:rsid w:val="00755995"/>
    <w:pPr>
      <w:jc w:val="both"/>
    </w:pPr>
    <w:rPr>
      <w:rFonts w:eastAsia="Calibri" w:cs="Times New Roman"/>
      <w:smallCaps/>
    </w:rPr>
  </w:style>
  <w:style w:type="character" w:customStyle="1" w:styleId="SCCBanSummaryChar">
    <w:name w:val="SCC.BanSummary Char"/>
    <w:basedOn w:val="DefaultParagraphFont"/>
    <w:link w:val="SCCBanSummary"/>
    <w:rsid w:val="00755995"/>
    <w:rPr>
      <w:rFonts w:eastAsia="Calibri" w:cs="Times New Roman"/>
      <w:smallCaps/>
      <w:lang w:val="en-CA"/>
    </w:rPr>
  </w:style>
  <w:style w:type="paragraph" w:styleId="NoSpacing">
    <w:name w:val="No Spacing"/>
    <w:uiPriority w:val="1"/>
    <w:qFormat/>
    <w:rsid w:val="00755995"/>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755995"/>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755995"/>
    <w:rPr>
      <w:rFonts w:eastAsia="Calibri" w:cs="Times New Roman"/>
      <w:szCs w:val="24"/>
      <w:lang w:val="en-CA"/>
    </w:rPr>
  </w:style>
  <w:style w:type="paragraph" w:styleId="DocumentMap">
    <w:name w:val="Document Map"/>
    <w:basedOn w:val="Normal"/>
    <w:link w:val="DocumentMapChar"/>
    <w:uiPriority w:val="99"/>
    <w:semiHidden/>
    <w:unhideWhenUsed/>
    <w:rsid w:val="00755995"/>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755995"/>
    <w:rPr>
      <w:rFonts w:ascii="Tahoma" w:eastAsia="Times New Roman" w:hAnsi="Tahoma" w:cs="Tahoma"/>
      <w:sz w:val="16"/>
      <w:szCs w:val="16"/>
    </w:rPr>
  </w:style>
  <w:style w:type="paragraph" w:customStyle="1" w:styleId="Style268435469">
    <w:name w:val="Style268435469"/>
    <w:rsid w:val="00755995"/>
    <w:pPr>
      <w:autoSpaceDE w:val="0"/>
      <w:autoSpaceDN w:val="0"/>
      <w:adjustRightInd w:val="0"/>
    </w:pPr>
    <w:rPr>
      <w:rFonts w:ascii="Arial" w:eastAsia="Calibri" w:hAnsi="Arial" w:cs="Arial"/>
      <w:szCs w:val="24"/>
      <w:lang w:val="en-CA"/>
    </w:rPr>
  </w:style>
  <w:style w:type="paragraph" w:styleId="BalloonText">
    <w:name w:val="Balloon Text"/>
    <w:basedOn w:val="Normal"/>
    <w:link w:val="BalloonTextChar"/>
    <w:uiPriority w:val="99"/>
    <w:semiHidden/>
    <w:unhideWhenUsed/>
    <w:rsid w:val="00755995"/>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755995"/>
    <w:rPr>
      <w:rFonts w:ascii="Tahoma" w:eastAsia="Times New Roman" w:hAnsi="Tahoma" w:cs="Tahoma"/>
      <w:sz w:val="16"/>
      <w:szCs w:val="16"/>
    </w:rPr>
  </w:style>
  <w:style w:type="paragraph" w:styleId="PlainText">
    <w:name w:val="Plain Text"/>
    <w:basedOn w:val="Normal"/>
    <w:link w:val="PlainTextChar"/>
    <w:uiPriority w:val="99"/>
    <w:semiHidden/>
    <w:unhideWhenUsed/>
    <w:rsid w:val="00755995"/>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755995"/>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755995"/>
    <w:rPr>
      <w:sz w:val="16"/>
      <w:szCs w:val="16"/>
    </w:rPr>
  </w:style>
  <w:style w:type="paragraph" w:styleId="CommentText">
    <w:name w:val="annotation text"/>
    <w:basedOn w:val="Normal"/>
    <w:link w:val="CommentTextChar"/>
    <w:uiPriority w:val="99"/>
    <w:semiHidden/>
    <w:unhideWhenUsed/>
    <w:rsid w:val="00755995"/>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75599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5995"/>
    <w:rPr>
      <w:b/>
      <w:bCs/>
    </w:rPr>
  </w:style>
  <w:style w:type="character" w:customStyle="1" w:styleId="CommentSubjectChar">
    <w:name w:val="Comment Subject Char"/>
    <w:basedOn w:val="CommentTextChar"/>
    <w:link w:val="CommentSubject"/>
    <w:uiPriority w:val="99"/>
    <w:semiHidden/>
    <w:rsid w:val="00755995"/>
    <w:rPr>
      <w:rFonts w:eastAsia="Times New Roman" w:cs="Times New Roman"/>
      <w:b/>
      <w:bCs/>
      <w:sz w:val="20"/>
      <w:szCs w:val="20"/>
    </w:rPr>
  </w:style>
  <w:style w:type="character" w:customStyle="1" w:styleId="solext0">
    <w:name w:val="solext0"/>
    <w:basedOn w:val="DefaultParagraphFont"/>
    <w:rsid w:val="00755995"/>
  </w:style>
  <w:style w:type="character" w:customStyle="1" w:styleId="solext2">
    <w:name w:val="solext2"/>
    <w:basedOn w:val="DefaultParagraphFont"/>
    <w:rsid w:val="00755995"/>
  </w:style>
  <w:style w:type="paragraph" w:customStyle="1" w:styleId="SCCAppellantInfoSectionTitle">
    <w:name w:val="SCC.AppellantInfo.SectionTitle"/>
    <w:basedOn w:val="Normal"/>
    <w:next w:val="Normal"/>
    <w:link w:val="SCCAppellantInfoSectionTitleChar"/>
    <w:rsid w:val="00254CC1"/>
    <w:pPr>
      <w:jc w:val="center"/>
    </w:pPr>
    <w:rPr>
      <w:b/>
      <w:szCs w:val="24"/>
      <w:u w:val="single"/>
    </w:rPr>
  </w:style>
  <w:style w:type="character" w:customStyle="1" w:styleId="SCCAppellantInfoSectionTitleChar">
    <w:name w:val="SCC.AppellantInfo.SectionTitle Char"/>
    <w:basedOn w:val="DefaultParagraphFont"/>
    <w:link w:val="SCCAppellantInfoSectionTitle"/>
    <w:rsid w:val="00254CC1"/>
    <w:rPr>
      <w:b/>
      <w:szCs w:val="24"/>
      <w:u w:val="single"/>
      <w:lang w:val="en-CA"/>
    </w:rPr>
  </w:style>
  <w:style w:type="paragraph" w:customStyle="1" w:styleId="SCCAppellantInfoCoram">
    <w:name w:val="SCC.AppellantInfo.Coram"/>
    <w:basedOn w:val="Normal"/>
    <w:next w:val="Normal"/>
    <w:link w:val="SCCAppellantInfoCoramChar"/>
    <w:rsid w:val="00254CC1"/>
    <w:rPr>
      <w:b/>
      <w:szCs w:val="24"/>
    </w:rPr>
  </w:style>
  <w:style w:type="character" w:customStyle="1" w:styleId="SCCAppellantInfoCoramChar">
    <w:name w:val="SCC.AppellantInfo.Coram Char"/>
    <w:basedOn w:val="DefaultParagraphFont"/>
    <w:link w:val="SCCAppellantInfoCoram"/>
    <w:rsid w:val="00254CC1"/>
    <w:rPr>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 w:id="178153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www.canlii.org/fr/qc/qcca/doc/2016/2016qcca1496/2016qcca1496.html" TargetMode="External"/><Relationship Id="rId39" Type="http://schemas.openxmlformats.org/officeDocument/2006/relationships/hyperlink" Target="https://www.canlii.org/en/pe/pesctd/doc/2014/2014pesc16/2014pesc16.html?resultIndex=1" TargetMode="External"/><Relationship Id="rId21" Type="http://schemas.openxmlformats.org/officeDocument/2006/relationships/hyperlink" Target="https://www.canlii.org/fr/qc/qccs/doc/2015/2015canlii98802/2015canlii98802.html" TargetMode="External"/><Relationship Id="rId34" Type="http://schemas.openxmlformats.org/officeDocument/2006/relationships/hyperlink" Target="https://www.canlii.org/en/on/onca/doc/2017/2017onca7/2017onca7.html?resultIndex=1" TargetMode="External"/><Relationship Id="rId42" Type="http://schemas.openxmlformats.org/officeDocument/2006/relationships/header" Target="header6.xml"/><Relationship Id="rId47" Type="http://schemas.openxmlformats.org/officeDocument/2006/relationships/header" Target="header8.xml"/><Relationship Id="rId50" Type="http://schemas.openxmlformats.org/officeDocument/2006/relationships/footer" Target="footer9.xml"/><Relationship Id="rId55" Type="http://schemas.openxmlformats.org/officeDocument/2006/relationships/footer" Target="footer11.xml"/><Relationship Id="rId63" Type="http://schemas.openxmlformats.org/officeDocument/2006/relationships/footer" Target="footer14.xml"/><Relationship Id="rId68"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en/qc/qccs/doc/2014/2014qccs5917/2014qccs591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fr/qc/qcca/doc/2017/2017qcca95/2017qcca95.html?autocompleteStr=badamshin&amp;autocompletePos=1" TargetMode="External"/><Relationship Id="rId32" Type="http://schemas.openxmlformats.org/officeDocument/2006/relationships/hyperlink" Target="http://www.canlii.org/fr/qc/qcca/doc/2016/2016qcca1497/2016qcca1497.html" TargetMode="External"/><Relationship Id="rId37" Type="http://schemas.openxmlformats.org/officeDocument/2006/relationships/hyperlink" Target="https://www.canlii.org/en/pe/pescad/doc/2016/2016peca5/2016peca5.html?resultIndex=1" TargetMode="External"/><Relationship Id="rId40" Type="http://schemas.openxmlformats.org/officeDocument/2006/relationships/hyperlink" Target="https://www.canlii.org/en/pe/pescad/doc/2016/2016peca5/2016peca5.html?resultIndex=1" TargetMode="External"/><Relationship Id="rId45" Type="http://schemas.openxmlformats.org/officeDocument/2006/relationships/header" Target="header7.xml"/><Relationship Id="rId53" Type="http://schemas.openxmlformats.org/officeDocument/2006/relationships/header" Target="header11.xml"/><Relationship Id="rId58" Type="http://schemas.openxmlformats.org/officeDocument/2006/relationships/footer" Target="footer13.xml"/><Relationship Id="rId66"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anlii.org/fr/qc/qccs/doc/2015/2015canlii98802/2015canlii98802.html" TargetMode="External"/><Relationship Id="rId28" Type="http://schemas.openxmlformats.org/officeDocument/2006/relationships/hyperlink" Target="http://www.canlii.org/fr/qc/qcca/doc/2016/2016qcca1496/2016qcca1496.html" TargetMode="External"/><Relationship Id="rId36" Type="http://schemas.openxmlformats.org/officeDocument/2006/relationships/hyperlink" Target="https://www.canlii.org/en/pe/pesctd/doc/2014/2014pesc16/2014pesc16.html?resultIndex=1" TargetMode="External"/><Relationship Id="rId49" Type="http://schemas.openxmlformats.org/officeDocument/2006/relationships/footer" Target="footer8.xml"/><Relationship Id="rId57" Type="http://schemas.openxmlformats.org/officeDocument/2006/relationships/header" Target="header13.xml"/><Relationship Id="rId61" Type="http://schemas.openxmlformats.org/officeDocument/2006/relationships/header" Target="header14.xml"/><Relationship Id="rId10" Type="http://schemas.openxmlformats.org/officeDocument/2006/relationships/hyperlink" Target="http://www.scc-csc.ca" TargetMode="External"/><Relationship Id="rId19" Type="http://schemas.openxmlformats.org/officeDocument/2006/relationships/hyperlink" Target="https://www.canlii.org/fr/qc/qcca/doc/2017/2017qcca195/2017qcca195.html?resultIndex=8" TargetMode="External"/><Relationship Id="rId31" Type="http://schemas.openxmlformats.org/officeDocument/2006/relationships/hyperlink" Target="http://www.canlii.org/fr/qc/qccs/doc/2014/2014qccs5917/2014qccs5917.html" TargetMode="External"/><Relationship Id="rId44" Type="http://schemas.openxmlformats.org/officeDocument/2006/relationships/footer" Target="footer6.xml"/><Relationship Id="rId52" Type="http://schemas.openxmlformats.org/officeDocument/2006/relationships/footer" Target="footer10.xml"/><Relationship Id="rId60" Type="http://schemas.openxmlformats.org/officeDocument/2006/relationships/hyperlink" Target="http://www.scc-csc.ca/case-dossier/info/sum-som-eng.aspx?cas=37372" TargetMode="External"/><Relationship Id="rId65"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s://www.canlii.org/fr/qc/qcca/doc/2017/2017qcca95/2017qcca95.html?autocompleteStr=badamshin&amp;autocompletePos=1" TargetMode="External"/><Relationship Id="rId27" Type="http://schemas.openxmlformats.org/officeDocument/2006/relationships/hyperlink" Target="http://www.canlii.org/fr/qc/qccs/doc/2014/2014qccs4236/2014qccs4236.html" TargetMode="External"/><Relationship Id="rId30" Type="http://schemas.openxmlformats.org/officeDocument/2006/relationships/hyperlink" Target="http://www.canlii.org/fr/qc/qcca/doc/2016/2016qcca1497/2016qcca1497.html" TargetMode="External"/><Relationship Id="rId35" Type="http://schemas.openxmlformats.org/officeDocument/2006/relationships/hyperlink" Target="https://www.canlii.org/en/pe/pesctd/doc/2014/2014pesc4/2014pesc4.html?resultIndex=1" TargetMode="External"/><Relationship Id="rId43" Type="http://schemas.openxmlformats.org/officeDocument/2006/relationships/footer" Target="footer5.xml"/><Relationship Id="rId48" Type="http://schemas.openxmlformats.org/officeDocument/2006/relationships/header" Target="header9.xml"/><Relationship Id="rId56" Type="http://schemas.openxmlformats.org/officeDocument/2006/relationships/footer" Target="footer12.xml"/><Relationship Id="rId64" Type="http://schemas.openxmlformats.org/officeDocument/2006/relationships/footer" Target="footer15.xml"/><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eader" Target="header1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canlii.org/fr/qc/qccs/doc/2014/2014qccs4236/2014qccs4236.html" TargetMode="External"/><Relationship Id="rId33" Type="http://schemas.openxmlformats.org/officeDocument/2006/relationships/hyperlink" Target="https://www.canlii.org/en/on/onca/doc/2017/2017onca7/2017onca7.html?resultIndex=1" TargetMode="External"/><Relationship Id="rId38" Type="http://schemas.openxmlformats.org/officeDocument/2006/relationships/hyperlink" Target="https://www.canlii.org/en/pe/pesctd/doc/2014/2014pesc4/2014pesc4.html?resultIndex=1" TargetMode="External"/><Relationship Id="rId46" Type="http://schemas.openxmlformats.org/officeDocument/2006/relationships/footer" Target="footer7.xml"/><Relationship Id="rId59" Type="http://schemas.openxmlformats.org/officeDocument/2006/relationships/hyperlink" Target="http://www.scc-csc.ca/case-dossier/info/sum-som-eng.aspx?cas=36771" TargetMode="External"/><Relationship Id="rId67" Type="http://schemas.openxmlformats.org/officeDocument/2006/relationships/header" Target="header17.xml"/><Relationship Id="rId20" Type="http://schemas.openxmlformats.org/officeDocument/2006/relationships/hyperlink" Target="https://www.canlii.org/fr/qc/qcca/doc/2017/2017qcca195/2017qcca195.html?resultIndex=8" TargetMode="External"/><Relationship Id="rId41" Type="http://schemas.openxmlformats.org/officeDocument/2006/relationships/header" Target="header5.xml"/><Relationship Id="rId54" Type="http://schemas.openxmlformats.org/officeDocument/2006/relationships/header" Target="header12.xml"/><Relationship Id="rId62" Type="http://schemas.openxmlformats.org/officeDocument/2006/relationships/header" Target="header15.xm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4138F-E6B2-4D9F-8742-649A15A9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30</Pages>
  <Words>12376</Words>
  <Characters>70549</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2017-06-26T18:18:00Z</dcterms:created>
  <dcterms:modified xsi:type="dcterms:W3CDTF">2017-07-07T16:46:00Z</dcterms:modified>
</cp:coreProperties>
</file>