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D1F0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D1F0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D1F0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D1F0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D1F08"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D1F0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D1F08"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E0AE6" w:rsidP="00F0068D">
      <w:pPr>
        <w:pBdr>
          <w:bottom w:val="single" w:sz="6" w:space="1" w:color="auto"/>
        </w:pBdr>
        <w:tabs>
          <w:tab w:val="center" w:pos="4680"/>
          <w:tab w:val="right" w:pos="9360"/>
        </w:tabs>
        <w:rPr>
          <w:lang w:val="fr-CA"/>
        </w:rPr>
      </w:pPr>
      <w:r>
        <w:rPr>
          <w:lang w:val="fr-CA"/>
        </w:rPr>
        <w:t>November 17</w:t>
      </w:r>
      <w:r w:rsidR="00440E24" w:rsidRPr="00675479">
        <w:rPr>
          <w:lang w:val="fr-CA"/>
        </w:rPr>
        <w:t>, 201</w:t>
      </w:r>
      <w:r w:rsidR="00E8544A">
        <w:rPr>
          <w:lang w:val="fr-CA"/>
        </w:rPr>
        <w:t>7</w:t>
      </w:r>
      <w:r w:rsidR="00F0068D" w:rsidRPr="00675479">
        <w:rPr>
          <w:lang w:val="fr-CA"/>
        </w:rPr>
        <w:tab/>
        <w:t>1</w:t>
      </w:r>
      <w:r>
        <w:rPr>
          <w:lang w:val="fr-CA"/>
        </w:rPr>
        <w:t>563</w:t>
      </w:r>
      <w:r w:rsidR="00F0068D" w:rsidRPr="00675479">
        <w:rPr>
          <w:lang w:val="fr-CA"/>
        </w:rPr>
        <w:t xml:space="preserve"> - </w:t>
      </w:r>
      <w:r w:rsidR="008A1795">
        <w:rPr>
          <w:lang w:val="fr-CA"/>
        </w:rPr>
        <w:t>1601</w:t>
      </w:r>
      <w:r w:rsidR="00440E24" w:rsidRPr="00675479">
        <w:rPr>
          <w:lang w:val="fr-CA"/>
        </w:rPr>
        <w:tab/>
      </w:r>
      <w:r w:rsidR="00440E24" w:rsidRPr="002E2327">
        <w:rPr>
          <w:lang w:val="fr-CA"/>
        </w:rPr>
        <w:t>Le</w:t>
      </w:r>
      <w:r w:rsidR="00C73D06">
        <w:rPr>
          <w:lang w:val="fr-CA"/>
        </w:rPr>
        <w:t xml:space="preserve"> </w:t>
      </w:r>
      <w:r>
        <w:rPr>
          <w:lang w:val="fr-CA"/>
        </w:rPr>
        <w:t>17 novembre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A87207" w:rsidRPr="002E2327" w:rsidRDefault="00A87207" w:rsidP="008619BA">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B97421">
              <w:rPr>
                <w:rFonts w:cs="Times New Roman"/>
                <w:sz w:val="20"/>
                <w:szCs w:val="20"/>
              </w:rPr>
              <w:t>1563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7421" w:rsidP="0095096B">
            <w:pPr>
              <w:jc w:val="center"/>
              <w:rPr>
                <w:rFonts w:cs="Times New Roman"/>
                <w:sz w:val="20"/>
                <w:szCs w:val="20"/>
              </w:rPr>
            </w:pPr>
            <w:r>
              <w:rPr>
                <w:rFonts w:cs="Times New Roman"/>
                <w:sz w:val="20"/>
                <w:szCs w:val="20"/>
              </w:rPr>
              <w:t>1564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7421" w:rsidP="0095096B">
            <w:pPr>
              <w:jc w:val="center"/>
              <w:rPr>
                <w:rFonts w:cs="Times New Roman"/>
                <w:sz w:val="20"/>
                <w:szCs w:val="20"/>
              </w:rPr>
            </w:pPr>
            <w:r>
              <w:rPr>
                <w:rFonts w:cs="Times New Roman"/>
                <w:sz w:val="20"/>
                <w:szCs w:val="20"/>
              </w:rPr>
              <w:t xml:space="preserve">1565 </w:t>
            </w:r>
            <w:r w:rsidR="0095096B" w:rsidRPr="002E2327">
              <w:rPr>
                <w:rFonts w:cs="Times New Roman"/>
                <w:sz w:val="20"/>
                <w:szCs w:val="20"/>
              </w:rPr>
              <w:t>-</w:t>
            </w:r>
            <w:r>
              <w:rPr>
                <w:rFonts w:cs="Times New Roman"/>
                <w:sz w:val="20"/>
                <w:szCs w:val="20"/>
              </w:rPr>
              <w:t xml:space="preserve"> 1578</w:t>
            </w:r>
          </w:p>
          <w:p w:rsidR="0095096B" w:rsidRDefault="0095096B" w:rsidP="0095096B">
            <w:pPr>
              <w:jc w:val="center"/>
              <w:rPr>
                <w:rFonts w:cs="Times New Roman"/>
                <w:sz w:val="20"/>
                <w:szCs w:val="20"/>
              </w:rPr>
            </w:pPr>
          </w:p>
          <w:p w:rsidR="00B97421" w:rsidRPr="002E2327" w:rsidRDefault="00B97421" w:rsidP="0095096B">
            <w:pPr>
              <w:jc w:val="center"/>
              <w:rPr>
                <w:rFonts w:cs="Times New Roman"/>
                <w:sz w:val="20"/>
                <w:szCs w:val="20"/>
              </w:rPr>
            </w:pPr>
          </w:p>
          <w:p w:rsidR="0095096B" w:rsidRPr="002E2327" w:rsidRDefault="00B97421" w:rsidP="0095096B">
            <w:pPr>
              <w:jc w:val="center"/>
              <w:rPr>
                <w:rFonts w:cs="Times New Roman"/>
                <w:sz w:val="20"/>
                <w:szCs w:val="20"/>
              </w:rPr>
            </w:pPr>
            <w:r>
              <w:rPr>
                <w:rFonts w:cs="Times New Roman"/>
                <w:sz w:val="20"/>
                <w:szCs w:val="20"/>
              </w:rPr>
              <w:t xml:space="preserve">1579 </w:t>
            </w:r>
            <w:r w:rsidR="0095096B" w:rsidRPr="002E2327">
              <w:rPr>
                <w:rFonts w:cs="Times New Roman"/>
                <w:sz w:val="20"/>
                <w:szCs w:val="20"/>
              </w:rPr>
              <w:t>-</w:t>
            </w:r>
            <w:r>
              <w:rPr>
                <w:rFonts w:cs="Times New Roman"/>
                <w:sz w:val="20"/>
                <w:szCs w:val="20"/>
              </w:rPr>
              <w:t xml:space="preserve"> 1585</w:t>
            </w:r>
          </w:p>
          <w:p w:rsidR="0095096B" w:rsidRPr="002E2327" w:rsidRDefault="0095096B" w:rsidP="0095096B">
            <w:pPr>
              <w:jc w:val="center"/>
              <w:rPr>
                <w:rFonts w:cs="Times New Roman"/>
                <w:sz w:val="20"/>
                <w:szCs w:val="20"/>
              </w:rPr>
            </w:pPr>
          </w:p>
          <w:p w:rsidR="0095096B" w:rsidRPr="002E2327" w:rsidRDefault="00B97421" w:rsidP="0095096B">
            <w:pPr>
              <w:jc w:val="center"/>
              <w:rPr>
                <w:rFonts w:cs="Times New Roman"/>
                <w:sz w:val="20"/>
                <w:szCs w:val="20"/>
              </w:rPr>
            </w:pPr>
            <w:r>
              <w:rPr>
                <w:rFonts w:cs="Times New Roman"/>
                <w:sz w:val="20"/>
                <w:szCs w:val="20"/>
              </w:rPr>
              <w:t>1586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7421" w:rsidP="0095096B">
            <w:pPr>
              <w:jc w:val="center"/>
              <w:rPr>
                <w:rFonts w:cs="Times New Roman"/>
                <w:sz w:val="20"/>
                <w:szCs w:val="20"/>
              </w:rPr>
            </w:pPr>
            <w:r>
              <w:rPr>
                <w:rFonts w:cs="Times New Roman"/>
                <w:sz w:val="20"/>
                <w:szCs w:val="20"/>
              </w:rPr>
              <w:t>1587</w:t>
            </w:r>
          </w:p>
          <w:p w:rsidR="0095096B" w:rsidRPr="002E2327" w:rsidRDefault="0095096B" w:rsidP="0095096B">
            <w:pPr>
              <w:jc w:val="center"/>
              <w:rPr>
                <w:rFonts w:cs="Times New Roman"/>
                <w:sz w:val="20"/>
                <w:szCs w:val="20"/>
              </w:rPr>
            </w:pPr>
          </w:p>
          <w:p w:rsidR="0095096B" w:rsidRPr="002E2327" w:rsidRDefault="00B97421" w:rsidP="00B97421">
            <w:pPr>
              <w:jc w:val="center"/>
              <w:rPr>
                <w:rFonts w:cs="Times New Roman"/>
                <w:sz w:val="20"/>
                <w:szCs w:val="20"/>
              </w:rPr>
            </w:pPr>
            <w:r>
              <w:rPr>
                <w:rFonts w:cs="Times New Roman"/>
                <w:sz w:val="20"/>
                <w:szCs w:val="20"/>
              </w:rPr>
              <w:t xml:space="preserve">1588 </w:t>
            </w:r>
            <w:r w:rsidR="0095096B" w:rsidRPr="002E2327">
              <w:rPr>
                <w:rFonts w:cs="Times New Roman"/>
                <w:sz w:val="20"/>
                <w:szCs w:val="20"/>
              </w:rPr>
              <w:t>-</w:t>
            </w:r>
            <w:r>
              <w:rPr>
                <w:rFonts w:cs="Times New Roman"/>
                <w:sz w:val="20"/>
                <w:szCs w:val="20"/>
              </w:rPr>
              <w:t xml:space="preserve"> 1601</w:t>
            </w:r>
          </w:p>
          <w:p w:rsidR="0095096B" w:rsidRPr="002E2327" w:rsidRDefault="0095096B" w:rsidP="0095096B">
            <w:pPr>
              <w:jc w:val="center"/>
              <w:rPr>
                <w:rFonts w:cs="Times New Roman"/>
                <w:sz w:val="20"/>
                <w:szCs w:val="20"/>
              </w:rPr>
            </w:pPr>
          </w:p>
          <w:p w:rsidR="00A87207" w:rsidRPr="002E2327" w:rsidRDefault="00A87207" w:rsidP="008619BA">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A87207" w:rsidRPr="002E2327" w:rsidRDefault="00A87207" w:rsidP="008619BA">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ED1F0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8619BA" w:rsidTr="003B3977">
        <w:tc>
          <w:tcPr>
            <w:tcW w:w="4320" w:type="dxa"/>
            <w:shd w:val="clear" w:color="auto" w:fill="auto"/>
          </w:tcPr>
          <w:p w:rsidR="003E0AE6" w:rsidRDefault="008619BA" w:rsidP="005F1ED8">
            <w:pPr>
              <w:rPr>
                <w:b/>
                <w:sz w:val="20"/>
                <w:szCs w:val="20"/>
              </w:rPr>
            </w:pPr>
            <w:r>
              <w:rPr>
                <w:b/>
                <w:sz w:val="20"/>
                <w:szCs w:val="20"/>
              </w:rPr>
              <w:t>S.D.</w:t>
            </w:r>
          </w:p>
          <w:p w:rsidR="008619BA" w:rsidRDefault="008619BA" w:rsidP="005F1ED8">
            <w:pPr>
              <w:rPr>
                <w:sz w:val="20"/>
                <w:szCs w:val="20"/>
              </w:rPr>
            </w:pPr>
            <w:r>
              <w:rPr>
                <w:sz w:val="20"/>
                <w:szCs w:val="20"/>
              </w:rPr>
              <w:tab/>
              <w:t xml:space="preserve">Sonia </w:t>
            </w:r>
            <w:proofErr w:type="spellStart"/>
            <w:r>
              <w:rPr>
                <w:sz w:val="20"/>
                <w:szCs w:val="20"/>
              </w:rPr>
              <w:t>Heyeur</w:t>
            </w:r>
            <w:proofErr w:type="spellEnd"/>
          </w:p>
          <w:p w:rsidR="008619BA" w:rsidRPr="008619BA" w:rsidRDefault="008619BA" w:rsidP="005F1ED8">
            <w:pPr>
              <w:rPr>
                <w:sz w:val="20"/>
                <w:szCs w:val="20"/>
              </w:rPr>
            </w:pPr>
            <w:r>
              <w:rPr>
                <w:sz w:val="20"/>
                <w:szCs w:val="20"/>
              </w:rPr>
              <w:tab/>
            </w:r>
            <w:proofErr w:type="spellStart"/>
            <w:r>
              <w:rPr>
                <w:sz w:val="20"/>
                <w:szCs w:val="20"/>
              </w:rPr>
              <w:t>Heyeur</w:t>
            </w:r>
            <w:proofErr w:type="spellEnd"/>
            <w:r>
              <w:rPr>
                <w:sz w:val="20"/>
                <w:szCs w:val="20"/>
              </w:rPr>
              <w:t xml:space="preserve"> Jessop</w:t>
            </w:r>
          </w:p>
          <w:p w:rsidR="003E0AE6" w:rsidRDefault="003E0AE6" w:rsidP="005F1ED8">
            <w:pPr>
              <w:rPr>
                <w:b/>
                <w:sz w:val="20"/>
                <w:szCs w:val="20"/>
              </w:rPr>
            </w:pPr>
          </w:p>
          <w:p w:rsidR="003E0AE6" w:rsidRPr="008619BA" w:rsidRDefault="008619BA" w:rsidP="005F1ED8">
            <w:pPr>
              <w:rPr>
                <w:sz w:val="20"/>
                <w:szCs w:val="20"/>
              </w:rPr>
            </w:pPr>
            <w:r>
              <w:rPr>
                <w:b/>
                <w:sz w:val="20"/>
                <w:szCs w:val="20"/>
              </w:rPr>
              <w:tab/>
            </w:r>
            <w:r>
              <w:rPr>
                <w:sz w:val="20"/>
                <w:szCs w:val="20"/>
              </w:rPr>
              <w:t>c. (37731)</w:t>
            </w:r>
          </w:p>
          <w:p w:rsidR="003E0AE6" w:rsidRDefault="003E0AE6" w:rsidP="005F1ED8">
            <w:pPr>
              <w:rPr>
                <w:b/>
                <w:sz w:val="20"/>
                <w:szCs w:val="20"/>
              </w:rPr>
            </w:pPr>
          </w:p>
          <w:p w:rsidR="003E0AE6" w:rsidRDefault="008619BA" w:rsidP="005F1ED8">
            <w:pPr>
              <w:rPr>
                <w:b/>
                <w:sz w:val="20"/>
                <w:szCs w:val="20"/>
              </w:rPr>
            </w:pPr>
            <w:r>
              <w:rPr>
                <w:b/>
                <w:sz w:val="20"/>
                <w:szCs w:val="20"/>
              </w:rPr>
              <w:t>S.M. (Qc)</w:t>
            </w:r>
          </w:p>
          <w:p w:rsidR="008619BA" w:rsidRDefault="008619BA" w:rsidP="005F1ED8">
            <w:pPr>
              <w:rPr>
                <w:sz w:val="20"/>
                <w:szCs w:val="20"/>
              </w:rPr>
            </w:pPr>
            <w:r>
              <w:rPr>
                <w:sz w:val="20"/>
                <w:szCs w:val="20"/>
              </w:rPr>
              <w:tab/>
              <w:t>Pamela O’Reilly</w:t>
            </w:r>
          </w:p>
          <w:p w:rsidR="008619BA" w:rsidRDefault="008619BA" w:rsidP="005F1ED8">
            <w:pPr>
              <w:rPr>
                <w:sz w:val="20"/>
                <w:szCs w:val="20"/>
              </w:rPr>
            </w:pPr>
          </w:p>
          <w:p w:rsidR="008619BA" w:rsidRDefault="008619BA" w:rsidP="005F1ED8">
            <w:pPr>
              <w:rPr>
                <w:sz w:val="20"/>
                <w:szCs w:val="20"/>
              </w:rPr>
            </w:pPr>
            <w:r>
              <w:rPr>
                <w:sz w:val="20"/>
                <w:szCs w:val="20"/>
              </w:rPr>
              <w:t>DATE DE PRODUCTION : 06.11.2017</w:t>
            </w:r>
          </w:p>
          <w:p w:rsidR="008619BA" w:rsidRPr="008619BA" w:rsidRDefault="008619BA" w:rsidP="005F1ED8">
            <w:pPr>
              <w:rPr>
                <w:sz w:val="20"/>
                <w:szCs w:val="20"/>
              </w:rPr>
            </w:pPr>
          </w:p>
          <w:p w:rsidR="00C21644" w:rsidRDefault="00ED1F08" w:rsidP="005F1ED8">
            <w:pPr>
              <w:rPr>
                <w:sz w:val="20"/>
                <w:szCs w:val="20"/>
                <w:lang w:val="fr-CA"/>
              </w:rPr>
            </w:pPr>
            <w:r>
              <w:rPr>
                <w:sz w:val="20"/>
                <w:szCs w:val="20"/>
                <w:lang w:val="fr-CA"/>
              </w:rPr>
              <w:pict>
                <v:rect id="_x0000_i1025" style="width:108pt;height:1pt" o:hrpct="0" o:hralign="center" o:hrstd="t" o:hrnoshade="t" o:hr="t" fillcolor="black [3213]" stroked="f"/>
              </w:pict>
            </w:r>
          </w:p>
          <w:p w:rsidR="008619BA" w:rsidRPr="00A935AA" w:rsidRDefault="008619BA"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9E0AA9" w:rsidRDefault="008619BA" w:rsidP="003E0AE6">
            <w:pPr>
              <w:rPr>
                <w:b/>
                <w:sz w:val="20"/>
                <w:szCs w:val="20"/>
                <w:lang w:val="en-US"/>
              </w:rPr>
            </w:pPr>
            <w:r w:rsidRPr="009E0AA9">
              <w:rPr>
                <w:b/>
                <w:sz w:val="20"/>
                <w:szCs w:val="20"/>
                <w:lang w:val="en-US"/>
              </w:rPr>
              <w:t xml:space="preserve">Mary </w:t>
            </w:r>
            <w:proofErr w:type="spellStart"/>
            <w:r w:rsidRPr="009E0AA9">
              <w:rPr>
                <w:b/>
                <w:sz w:val="20"/>
                <w:szCs w:val="20"/>
                <w:lang w:val="en-US"/>
              </w:rPr>
              <w:t>Ranieri</w:t>
            </w:r>
            <w:proofErr w:type="spellEnd"/>
          </w:p>
          <w:p w:rsidR="008619BA" w:rsidRPr="009E0AA9" w:rsidRDefault="008619BA" w:rsidP="003E0AE6">
            <w:pPr>
              <w:rPr>
                <w:sz w:val="20"/>
                <w:szCs w:val="20"/>
                <w:lang w:val="en-US"/>
              </w:rPr>
            </w:pPr>
            <w:r w:rsidRPr="009E0AA9">
              <w:rPr>
                <w:b/>
                <w:sz w:val="20"/>
                <w:szCs w:val="20"/>
                <w:lang w:val="en-US"/>
              </w:rPr>
              <w:tab/>
            </w:r>
            <w:r w:rsidRPr="009E0AA9">
              <w:rPr>
                <w:sz w:val="20"/>
                <w:szCs w:val="20"/>
                <w:lang w:val="en-US"/>
              </w:rPr>
              <w:t xml:space="preserve">Mary </w:t>
            </w:r>
            <w:proofErr w:type="spellStart"/>
            <w:r w:rsidRPr="009E0AA9">
              <w:rPr>
                <w:sz w:val="20"/>
                <w:szCs w:val="20"/>
                <w:lang w:val="en-US"/>
              </w:rPr>
              <w:t>Ranieri</w:t>
            </w:r>
            <w:proofErr w:type="spellEnd"/>
          </w:p>
          <w:p w:rsidR="008619BA" w:rsidRPr="009E0AA9" w:rsidRDefault="008619BA" w:rsidP="003E0AE6">
            <w:pPr>
              <w:rPr>
                <w:sz w:val="20"/>
                <w:szCs w:val="20"/>
                <w:lang w:val="en-US"/>
              </w:rPr>
            </w:pPr>
          </w:p>
          <w:p w:rsidR="008619BA" w:rsidRPr="009E0AA9" w:rsidRDefault="008619BA" w:rsidP="003E0AE6">
            <w:pPr>
              <w:rPr>
                <w:sz w:val="20"/>
                <w:szCs w:val="20"/>
                <w:lang w:val="en-US"/>
              </w:rPr>
            </w:pPr>
            <w:r w:rsidRPr="009E0AA9">
              <w:rPr>
                <w:sz w:val="20"/>
                <w:szCs w:val="20"/>
                <w:lang w:val="en-US"/>
              </w:rPr>
              <w:tab/>
              <w:t>v. (37796)</w:t>
            </w:r>
          </w:p>
          <w:p w:rsidR="008619BA" w:rsidRPr="009E0AA9" w:rsidRDefault="008619BA" w:rsidP="003E0AE6">
            <w:pPr>
              <w:rPr>
                <w:sz w:val="20"/>
                <w:szCs w:val="20"/>
                <w:lang w:val="en-US"/>
              </w:rPr>
            </w:pPr>
          </w:p>
          <w:p w:rsidR="008619BA" w:rsidRPr="009E0AA9" w:rsidRDefault="008619BA" w:rsidP="003E0AE6">
            <w:pPr>
              <w:rPr>
                <w:b/>
                <w:sz w:val="20"/>
                <w:szCs w:val="20"/>
                <w:lang w:val="en-US"/>
              </w:rPr>
            </w:pPr>
            <w:proofErr w:type="spellStart"/>
            <w:r w:rsidRPr="009E0AA9">
              <w:rPr>
                <w:b/>
                <w:sz w:val="20"/>
                <w:szCs w:val="20"/>
                <w:lang w:val="en-US"/>
              </w:rPr>
              <w:t>Satyadev</w:t>
            </w:r>
            <w:proofErr w:type="spellEnd"/>
            <w:r w:rsidRPr="009E0AA9">
              <w:rPr>
                <w:b/>
                <w:sz w:val="20"/>
                <w:szCs w:val="20"/>
                <w:lang w:val="en-US"/>
              </w:rPr>
              <w:t xml:space="preserve"> </w:t>
            </w:r>
            <w:proofErr w:type="spellStart"/>
            <w:r w:rsidRPr="009E0AA9">
              <w:rPr>
                <w:b/>
                <w:sz w:val="20"/>
                <w:szCs w:val="20"/>
                <w:lang w:val="en-US"/>
              </w:rPr>
              <w:t>Nagari</w:t>
            </w:r>
            <w:proofErr w:type="spellEnd"/>
            <w:r w:rsidRPr="009E0AA9">
              <w:rPr>
                <w:b/>
                <w:sz w:val="20"/>
                <w:szCs w:val="20"/>
                <w:lang w:val="en-US"/>
              </w:rPr>
              <w:t xml:space="preserve"> (Ont.)</w:t>
            </w:r>
          </w:p>
          <w:p w:rsidR="008619BA" w:rsidRPr="009E0AA9" w:rsidRDefault="008619BA" w:rsidP="003E0AE6">
            <w:pPr>
              <w:rPr>
                <w:sz w:val="20"/>
                <w:szCs w:val="20"/>
                <w:lang w:val="en-US"/>
              </w:rPr>
            </w:pPr>
            <w:r w:rsidRPr="009E0AA9">
              <w:rPr>
                <w:sz w:val="20"/>
                <w:szCs w:val="20"/>
                <w:lang w:val="en-US"/>
              </w:rPr>
              <w:tab/>
              <w:t>Janice E. Blackburn</w:t>
            </w:r>
          </w:p>
          <w:p w:rsidR="008619BA" w:rsidRPr="009E0AA9" w:rsidRDefault="008619BA" w:rsidP="003E0AE6">
            <w:pPr>
              <w:rPr>
                <w:sz w:val="20"/>
                <w:szCs w:val="20"/>
                <w:lang w:val="en-US"/>
              </w:rPr>
            </w:pPr>
            <w:r w:rsidRPr="009E0AA9">
              <w:rPr>
                <w:sz w:val="20"/>
                <w:szCs w:val="20"/>
                <w:lang w:val="en-US"/>
              </w:rPr>
              <w:tab/>
            </w:r>
            <w:proofErr w:type="spellStart"/>
            <w:r w:rsidRPr="009E0AA9">
              <w:rPr>
                <w:sz w:val="20"/>
                <w:szCs w:val="20"/>
                <w:lang w:val="en-US"/>
              </w:rPr>
              <w:t>Bersenas</w:t>
            </w:r>
            <w:proofErr w:type="spellEnd"/>
            <w:r w:rsidRPr="009E0AA9">
              <w:rPr>
                <w:sz w:val="20"/>
                <w:szCs w:val="20"/>
                <w:lang w:val="en-US"/>
              </w:rPr>
              <w:t xml:space="preserve"> Jacobsen </w:t>
            </w:r>
            <w:proofErr w:type="spellStart"/>
            <w:r w:rsidRPr="009E0AA9">
              <w:rPr>
                <w:sz w:val="20"/>
                <w:szCs w:val="20"/>
                <w:lang w:val="en-US"/>
              </w:rPr>
              <w:t>Chouest</w:t>
            </w:r>
            <w:proofErr w:type="spellEnd"/>
            <w:r w:rsidRPr="009E0AA9">
              <w:rPr>
                <w:sz w:val="20"/>
                <w:szCs w:val="20"/>
                <w:lang w:val="en-US"/>
              </w:rPr>
              <w:t xml:space="preserve"> Thomson </w:t>
            </w:r>
            <w:r w:rsidRPr="009E0AA9">
              <w:rPr>
                <w:sz w:val="20"/>
                <w:szCs w:val="20"/>
                <w:lang w:val="en-US"/>
              </w:rPr>
              <w:tab/>
              <w:t>Blackburn LLP</w:t>
            </w:r>
          </w:p>
          <w:p w:rsidR="008619BA" w:rsidRPr="009E0AA9" w:rsidRDefault="008619BA" w:rsidP="003E0AE6">
            <w:pPr>
              <w:rPr>
                <w:sz w:val="20"/>
                <w:szCs w:val="20"/>
                <w:lang w:val="en-US"/>
              </w:rPr>
            </w:pPr>
          </w:p>
          <w:p w:rsidR="008619BA" w:rsidRDefault="008619BA" w:rsidP="003E0AE6">
            <w:pPr>
              <w:rPr>
                <w:sz w:val="20"/>
                <w:szCs w:val="20"/>
                <w:lang w:val="fr-CA"/>
              </w:rPr>
            </w:pPr>
            <w:r>
              <w:rPr>
                <w:sz w:val="20"/>
                <w:szCs w:val="20"/>
                <w:lang w:val="fr-CA"/>
              </w:rPr>
              <w:t>FILING DATE : 11.09.2017</w:t>
            </w:r>
          </w:p>
          <w:p w:rsidR="008619BA" w:rsidRPr="008619BA" w:rsidRDefault="00ED1F08" w:rsidP="003E0AE6">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8619BA" w:rsidTr="003B3977">
        <w:tc>
          <w:tcPr>
            <w:tcW w:w="4320" w:type="dxa"/>
            <w:shd w:val="clear" w:color="auto" w:fill="auto"/>
          </w:tcPr>
          <w:p w:rsidR="00C21644" w:rsidRPr="008619BA" w:rsidRDefault="00C21644" w:rsidP="003B3977">
            <w:pPr>
              <w:rPr>
                <w:sz w:val="20"/>
                <w:szCs w:val="20"/>
                <w:lang w:val="fr-CA"/>
              </w:rPr>
            </w:pPr>
          </w:p>
        </w:tc>
        <w:tc>
          <w:tcPr>
            <w:tcW w:w="1181" w:type="dxa"/>
            <w:shd w:val="clear" w:color="auto" w:fill="auto"/>
          </w:tcPr>
          <w:p w:rsidR="00C21644" w:rsidRPr="008619BA" w:rsidRDefault="00C21644" w:rsidP="00242AEE">
            <w:pPr>
              <w:jc w:val="center"/>
              <w:rPr>
                <w:sz w:val="20"/>
                <w:szCs w:val="20"/>
                <w:lang w:val="fr-CA"/>
              </w:rPr>
            </w:pPr>
          </w:p>
        </w:tc>
        <w:tc>
          <w:tcPr>
            <w:tcW w:w="4320" w:type="dxa"/>
            <w:shd w:val="clear" w:color="auto" w:fill="auto"/>
          </w:tcPr>
          <w:p w:rsidR="00C21644" w:rsidRPr="008619BA" w:rsidRDefault="00C21644" w:rsidP="003E0AE6">
            <w:pPr>
              <w:rPr>
                <w:sz w:val="20"/>
                <w:szCs w:val="20"/>
                <w:lang w:val="fr-CA"/>
              </w:rPr>
            </w:pPr>
          </w:p>
        </w:tc>
      </w:tr>
      <w:tr w:rsidR="00C21644" w:rsidRPr="008619BA" w:rsidTr="003B3977">
        <w:tc>
          <w:tcPr>
            <w:tcW w:w="4320" w:type="dxa"/>
            <w:shd w:val="clear" w:color="auto" w:fill="auto"/>
          </w:tcPr>
          <w:p w:rsidR="00C21644" w:rsidRPr="008619BA" w:rsidRDefault="00C21644" w:rsidP="005F1ED8">
            <w:pPr>
              <w:rPr>
                <w:sz w:val="20"/>
                <w:szCs w:val="20"/>
                <w:lang w:val="fr-CA"/>
              </w:rPr>
            </w:pPr>
          </w:p>
        </w:tc>
        <w:tc>
          <w:tcPr>
            <w:tcW w:w="1181" w:type="dxa"/>
            <w:shd w:val="clear" w:color="auto" w:fill="auto"/>
          </w:tcPr>
          <w:p w:rsidR="00C21644" w:rsidRPr="008619BA" w:rsidRDefault="00C21644" w:rsidP="00242AEE">
            <w:pPr>
              <w:jc w:val="center"/>
              <w:rPr>
                <w:sz w:val="20"/>
                <w:szCs w:val="20"/>
                <w:lang w:val="fr-CA"/>
              </w:rPr>
            </w:pPr>
          </w:p>
        </w:tc>
        <w:tc>
          <w:tcPr>
            <w:tcW w:w="4320" w:type="dxa"/>
            <w:shd w:val="clear" w:color="auto" w:fill="auto"/>
          </w:tcPr>
          <w:p w:rsidR="00C21644" w:rsidRPr="008619BA" w:rsidRDefault="00C21644" w:rsidP="005F1ED8">
            <w:pPr>
              <w:rPr>
                <w:sz w:val="20"/>
                <w:szCs w:val="20"/>
                <w:lang w:val="fr-CA"/>
              </w:rPr>
            </w:pPr>
          </w:p>
        </w:tc>
      </w:tr>
    </w:tbl>
    <w:p w:rsidR="00242AEE" w:rsidRPr="008619BA" w:rsidRDefault="00242AEE" w:rsidP="0095096B">
      <w:pPr>
        <w:tabs>
          <w:tab w:val="right" w:pos="9360"/>
        </w:tabs>
        <w:rPr>
          <w:sz w:val="20"/>
          <w:szCs w:val="20"/>
          <w:lang w:val="fr-CA"/>
        </w:rPr>
      </w:pPr>
    </w:p>
    <w:p w:rsidR="00C01FCB" w:rsidRPr="008619BA" w:rsidRDefault="00C01FCB" w:rsidP="0095096B">
      <w:pPr>
        <w:tabs>
          <w:tab w:val="right" w:pos="9360"/>
        </w:tabs>
        <w:rPr>
          <w:sz w:val="20"/>
          <w:szCs w:val="20"/>
          <w:lang w:val="fr-CA"/>
        </w:rPr>
      </w:pPr>
    </w:p>
    <w:p w:rsidR="00C01FCB" w:rsidRPr="008619BA" w:rsidRDefault="00C01FCB" w:rsidP="0095096B">
      <w:pPr>
        <w:tabs>
          <w:tab w:val="right" w:pos="9360"/>
        </w:tabs>
        <w:rPr>
          <w:sz w:val="20"/>
          <w:szCs w:val="20"/>
          <w:lang w:val="fr-CA"/>
        </w:rPr>
      </w:pPr>
    </w:p>
    <w:p w:rsidR="00242AEE" w:rsidRPr="008619BA" w:rsidRDefault="00242AEE" w:rsidP="0095096B">
      <w:pPr>
        <w:tabs>
          <w:tab w:val="right" w:pos="9360"/>
        </w:tabs>
        <w:rPr>
          <w:sz w:val="20"/>
          <w:szCs w:val="20"/>
          <w:lang w:val="fr-CA"/>
        </w:rPr>
        <w:sectPr w:rsidR="00242AEE" w:rsidRPr="008619BA" w:rsidSect="008A1795">
          <w:headerReference w:type="default" r:id="rId10"/>
          <w:footerReference w:type="default" r:id="rId11"/>
          <w:headerReference w:type="first" r:id="rId12"/>
          <w:footerReference w:type="first" r:id="rId13"/>
          <w:pgSz w:w="12240" w:h="15840"/>
          <w:pgMar w:top="720" w:right="965" w:bottom="1080" w:left="1656" w:header="706" w:footer="706" w:gutter="0"/>
          <w:pgNumType w:start="156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D1F08" w:rsidTr="00BA6468">
        <w:trPr>
          <w:trHeight w:val="900"/>
        </w:trPr>
        <w:tc>
          <w:tcPr>
            <w:tcW w:w="4200" w:type="dxa"/>
            <w:tcMar>
              <w:left w:w="0" w:type="dxa"/>
              <w:right w:w="0" w:type="dxa"/>
            </w:tcMar>
          </w:tcPr>
          <w:p w:rsidR="002E2327" w:rsidRPr="009E0AA9" w:rsidRDefault="002E2327" w:rsidP="002E2327">
            <w:pPr>
              <w:keepNext/>
              <w:keepLines/>
              <w:widowControl w:val="0"/>
              <w:rPr>
                <w:b/>
                <w:szCs w:val="24"/>
                <w:lang w:val="en-US"/>
              </w:rPr>
            </w:pPr>
            <w:r w:rsidRPr="009E0AA9">
              <w:rPr>
                <w:b/>
                <w:szCs w:val="24"/>
                <w:lang w:val="en-US"/>
              </w:rPr>
              <w:lastRenderedPageBreak/>
              <w:t>APPLICATIONS FOR LEAVE SUBMITTED TO COURT SINCE LAST ISSUE</w:t>
            </w:r>
          </w:p>
        </w:tc>
        <w:tc>
          <w:tcPr>
            <w:tcW w:w="1200" w:type="dxa"/>
            <w:tcMar>
              <w:left w:w="0" w:type="dxa"/>
              <w:right w:w="0" w:type="dxa"/>
            </w:tcMar>
          </w:tcPr>
          <w:p w:rsidR="002E2327" w:rsidRPr="009E0AA9" w:rsidRDefault="002E2327" w:rsidP="002E2327">
            <w:pPr>
              <w:keepNext/>
              <w:keepLines/>
              <w:widowControl w:val="0"/>
              <w:jc w:val="center"/>
              <w:rPr>
                <w:b/>
                <w:szCs w:val="24"/>
                <w:lang w:val="en-US"/>
              </w:rPr>
            </w:pPr>
          </w:p>
          <w:p w:rsidR="001D0D5F" w:rsidRPr="009E0AA9" w:rsidRDefault="001D0D5F" w:rsidP="002E2327">
            <w:pPr>
              <w:keepNext/>
              <w:keepLines/>
              <w:widowControl w:val="0"/>
              <w:jc w:val="center"/>
              <w:rPr>
                <w:b/>
                <w:szCs w:val="24"/>
                <w:lang w:val="en-US"/>
              </w:rPr>
            </w:pPr>
          </w:p>
          <w:p w:rsidR="001D0D5F" w:rsidRPr="009E0AA9" w:rsidRDefault="001D0D5F" w:rsidP="002E2327">
            <w:pPr>
              <w:keepNext/>
              <w:keepLines/>
              <w:widowControl w:val="0"/>
              <w:jc w:val="center"/>
              <w:rPr>
                <w:b/>
                <w:szCs w:val="24"/>
                <w:lang w:val="en-US"/>
              </w:rPr>
            </w:pPr>
          </w:p>
          <w:p w:rsidR="001D0D5F" w:rsidRPr="009E0AA9"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EE6E8A" w:rsidRDefault="00EE6E8A" w:rsidP="00CB3520">
      <w:pPr>
        <w:widowControl w:val="0"/>
        <w:rPr>
          <w:b/>
          <w:sz w:val="20"/>
          <w:szCs w:val="20"/>
        </w:rPr>
      </w:pPr>
      <w:r w:rsidRPr="00EE6E8A">
        <w:rPr>
          <w:b/>
          <w:sz w:val="20"/>
          <w:szCs w:val="20"/>
        </w:rPr>
        <w:t>NOVEMBER 14</w:t>
      </w:r>
      <w:r w:rsidR="00CB3520" w:rsidRPr="00EE6E8A">
        <w:rPr>
          <w:b/>
          <w:sz w:val="20"/>
          <w:szCs w:val="20"/>
        </w:rPr>
        <w:t>, 201</w:t>
      </w:r>
      <w:r w:rsidR="00E8544A" w:rsidRPr="00EE6E8A">
        <w:rPr>
          <w:b/>
          <w:sz w:val="20"/>
          <w:szCs w:val="20"/>
        </w:rPr>
        <w:t>7</w:t>
      </w:r>
      <w:r w:rsidR="00CB3520" w:rsidRPr="00EE6E8A">
        <w:rPr>
          <w:b/>
          <w:sz w:val="20"/>
          <w:szCs w:val="20"/>
        </w:rPr>
        <w:t xml:space="preserve"> / LE </w:t>
      </w:r>
      <w:r w:rsidRPr="00EE6E8A">
        <w:rPr>
          <w:b/>
          <w:sz w:val="20"/>
          <w:szCs w:val="20"/>
        </w:rPr>
        <w:t>14 NOVEMBRE</w:t>
      </w:r>
      <w:r w:rsidR="00CB3520" w:rsidRPr="00EE6E8A">
        <w:rPr>
          <w:b/>
          <w:sz w:val="20"/>
          <w:szCs w:val="20"/>
        </w:rPr>
        <w:t xml:space="preserve"> 201</w:t>
      </w:r>
      <w:r w:rsidR="00E8544A" w:rsidRPr="00EE6E8A">
        <w:rPr>
          <w:b/>
          <w:sz w:val="20"/>
          <w:szCs w:val="20"/>
        </w:rPr>
        <w:t>7</w:t>
      </w:r>
    </w:p>
    <w:p w:rsidR="00C661B7" w:rsidRPr="00EE6E8A"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945B7" w:rsidRPr="00ED1F08" w:rsidTr="00EE6E8A">
        <w:trPr>
          <w:cantSplit/>
        </w:trPr>
        <w:tc>
          <w:tcPr>
            <w:tcW w:w="508" w:type="dxa"/>
          </w:tcPr>
          <w:p w:rsidR="001945B7" w:rsidRPr="00EE6E8A" w:rsidRDefault="001945B7" w:rsidP="00EE6E8A">
            <w:pPr>
              <w:rPr>
                <w:sz w:val="20"/>
                <w:szCs w:val="20"/>
                <w:lang w:val="fr-CA"/>
              </w:rPr>
            </w:pPr>
          </w:p>
        </w:tc>
        <w:tc>
          <w:tcPr>
            <w:tcW w:w="810" w:type="dxa"/>
          </w:tcPr>
          <w:p w:rsidR="001945B7" w:rsidRPr="00EE6E8A" w:rsidRDefault="001945B7" w:rsidP="00EE6E8A">
            <w:pPr>
              <w:rPr>
                <w:sz w:val="20"/>
                <w:szCs w:val="20"/>
                <w:lang w:val="fr-CA"/>
              </w:rPr>
            </w:pPr>
          </w:p>
        </w:tc>
        <w:tc>
          <w:tcPr>
            <w:tcW w:w="8258" w:type="dxa"/>
            <w:gridSpan w:val="3"/>
          </w:tcPr>
          <w:p w:rsidR="001945B7" w:rsidRPr="00EE6E8A" w:rsidRDefault="001945B7" w:rsidP="001945B7">
            <w:pPr>
              <w:jc w:val="center"/>
              <w:rPr>
                <w:b/>
                <w:bCs/>
                <w:sz w:val="20"/>
                <w:szCs w:val="20"/>
              </w:rPr>
            </w:pPr>
            <w:r w:rsidRPr="00EE6E8A">
              <w:rPr>
                <w:b/>
                <w:bCs/>
                <w:sz w:val="20"/>
                <w:szCs w:val="20"/>
              </w:rPr>
              <w:t>CORAM:  Chief Justice McLachlin and Côté and Brown JJ.</w:t>
            </w:r>
          </w:p>
          <w:p w:rsidR="001945B7" w:rsidRPr="00EE6E8A" w:rsidRDefault="001945B7" w:rsidP="001945B7">
            <w:pPr>
              <w:jc w:val="center"/>
              <w:rPr>
                <w:sz w:val="20"/>
                <w:szCs w:val="20"/>
                <w:lang w:val="fr-CA"/>
              </w:rPr>
            </w:pPr>
            <w:r w:rsidRPr="00EE6E8A">
              <w:rPr>
                <w:b/>
                <w:bCs/>
                <w:sz w:val="20"/>
                <w:szCs w:val="20"/>
                <w:lang w:val="fr-CA"/>
              </w:rPr>
              <w:t>La juge en chef McLachlin et les juges Côté et Brown</w:t>
            </w:r>
          </w:p>
          <w:p w:rsidR="001945B7" w:rsidRPr="00EE6E8A" w:rsidRDefault="001945B7" w:rsidP="00EE6E8A">
            <w:pPr>
              <w:rPr>
                <w:sz w:val="20"/>
                <w:szCs w:val="20"/>
                <w:lang w:val="fr-CA"/>
              </w:rPr>
            </w:pPr>
          </w:p>
        </w:tc>
      </w:tr>
      <w:tr w:rsidR="001945B7" w:rsidRPr="004C1BAF" w:rsidTr="00EE6E8A">
        <w:trPr>
          <w:cantSplit/>
        </w:trPr>
        <w:tc>
          <w:tcPr>
            <w:tcW w:w="508" w:type="dxa"/>
          </w:tcPr>
          <w:p w:rsidR="001945B7" w:rsidRPr="00EE6E8A" w:rsidRDefault="001945B7" w:rsidP="00EE6E8A">
            <w:pPr>
              <w:rPr>
                <w:sz w:val="20"/>
                <w:szCs w:val="20"/>
              </w:rPr>
            </w:pPr>
            <w:r w:rsidRPr="00EE6E8A">
              <w:rPr>
                <w:sz w:val="20"/>
                <w:szCs w:val="20"/>
              </w:rPr>
              <w:t>1.</w:t>
            </w:r>
          </w:p>
        </w:tc>
        <w:tc>
          <w:tcPr>
            <w:tcW w:w="810" w:type="dxa"/>
          </w:tcPr>
          <w:p w:rsidR="001945B7" w:rsidRPr="00EE6E8A" w:rsidRDefault="001945B7" w:rsidP="00EE6E8A">
            <w:pPr>
              <w:rPr>
                <w:sz w:val="20"/>
                <w:szCs w:val="20"/>
              </w:rPr>
            </w:pPr>
            <w:r w:rsidRPr="00EE6E8A">
              <w:rPr>
                <w:sz w:val="20"/>
                <w:szCs w:val="20"/>
              </w:rPr>
              <w:t>37614</w:t>
            </w:r>
          </w:p>
        </w:tc>
        <w:tc>
          <w:tcPr>
            <w:tcW w:w="4050" w:type="dxa"/>
          </w:tcPr>
          <w:p w:rsidR="001945B7" w:rsidRPr="00EE6E8A" w:rsidRDefault="001945B7" w:rsidP="00EE6E8A">
            <w:pPr>
              <w:pStyle w:val="SCCAppellantInfoAppellantInfo"/>
              <w:rPr>
                <w:sz w:val="20"/>
                <w:szCs w:val="20"/>
              </w:rPr>
            </w:pPr>
            <w:r w:rsidRPr="00EE6E8A">
              <w:rPr>
                <w:sz w:val="20"/>
                <w:szCs w:val="20"/>
              </w:rPr>
              <w:t>Colin Hugh Martin</w:t>
            </w:r>
          </w:p>
          <w:p w:rsidR="001945B7" w:rsidRPr="00EE6E8A" w:rsidRDefault="001945B7" w:rsidP="00EE6E8A">
            <w:pPr>
              <w:pStyle w:val="SCCAppellantInfoAppellantInfo"/>
              <w:rPr>
                <w:sz w:val="20"/>
                <w:szCs w:val="20"/>
              </w:rPr>
            </w:pPr>
            <w:r w:rsidRPr="00EE6E8A">
              <w:rPr>
                <w:sz w:val="20"/>
                <w:szCs w:val="20"/>
              </w:rPr>
              <w:t>(B.C.) (Criminal) (By Leave)</w:t>
            </w:r>
          </w:p>
        </w:tc>
        <w:tc>
          <w:tcPr>
            <w:tcW w:w="360" w:type="dxa"/>
          </w:tcPr>
          <w:p w:rsidR="001945B7" w:rsidRPr="00EE6E8A" w:rsidRDefault="001945B7" w:rsidP="00EE6E8A">
            <w:pPr>
              <w:rPr>
                <w:sz w:val="20"/>
                <w:szCs w:val="20"/>
              </w:rPr>
            </w:pPr>
            <w:r w:rsidRPr="00EE6E8A">
              <w:rPr>
                <w:sz w:val="20"/>
                <w:szCs w:val="20"/>
              </w:rPr>
              <w:t>v.</w:t>
            </w:r>
          </w:p>
        </w:tc>
        <w:tc>
          <w:tcPr>
            <w:tcW w:w="3848" w:type="dxa"/>
          </w:tcPr>
          <w:p w:rsidR="001945B7" w:rsidRPr="004C1BAF" w:rsidRDefault="001945B7" w:rsidP="00EE6E8A">
            <w:pPr>
              <w:pStyle w:val="SCCAppellantInfoAppellantInfo"/>
              <w:rPr>
                <w:sz w:val="20"/>
                <w:szCs w:val="20"/>
              </w:rPr>
            </w:pPr>
            <w:r w:rsidRPr="00EE6E8A">
              <w:rPr>
                <w:sz w:val="20"/>
                <w:szCs w:val="20"/>
              </w:rPr>
              <w:t>Canada (Minister of Justice)</w:t>
            </w: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2.</w:t>
            </w:r>
          </w:p>
        </w:tc>
        <w:tc>
          <w:tcPr>
            <w:tcW w:w="810" w:type="dxa"/>
          </w:tcPr>
          <w:p w:rsidR="001945B7" w:rsidRPr="004C1BAF" w:rsidRDefault="001945B7" w:rsidP="00EE6E8A">
            <w:pPr>
              <w:rPr>
                <w:sz w:val="20"/>
                <w:szCs w:val="20"/>
              </w:rPr>
            </w:pPr>
            <w:r w:rsidRPr="004C1BAF">
              <w:rPr>
                <w:sz w:val="20"/>
                <w:szCs w:val="20"/>
              </w:rPr>
              <w:t>37735</w:t>
            </w:r>
          </w:p>
        </w:tc>
        <w:tc>
          <w:tcPr>
            <w:tcW w:w="4050" w:type="dxa"/>
          </w:tcPr>
          <w:p w:rsidR="001945B7" w:rsidRPr="004C1BAF" w:rsidRDefault="001945B7" w:rsidP="00EE6E8A">
            <w:pPr>
              <w:pStyle w:val="SCCAppellantInfoAppellantInfo"/>
              <w:rPr>
                <w:sz w:val="20"/>
                <w:szCs w:val="20"/>
              </w:rPr>
            </w:pPr>
            <w:r w:rsidRPr="004C1BAF">
              <w:rPr>
                <w:sz w:val="20"/>
                <w:szCs w:val="20"/>
              </w:rPr>
              <w:t>Kyla Lee, et al.</w:t>
            </w:r>
          </w:p>
          <w:p w:rsidR="001945B7" w:rsidRPr="004C1BAF" w:rsidRDefault="001945B7" w:rsidP="00EE6E8A">
            <w:pPr>
              <w:pStyle w:val="SCCAppellantInfoAppellantInfo"/>
              <w:rPr>
                <w:sz w:val="20"/>
                <w:szCs w:val="20"/>
              </w:rPr>
            </w:pPr>
            <w:r w:rsidRPr="004C1BAF">
              <w:rPr>
                <w:sz w:val="20"/>
                <w:szCs w:val="20"/>
              </w:rPr>
              <w:t>(B.C.) (Civil) (By Leave)</w:t>
            </w:r>
          </w:p>
        </w:tc>
        <w:tc>
          <w:tcPr>
            <w:tcW w:w="360" w:type="dxa"/>
          </w:tcPr>
          <w:p w:rsidR="001945B7" w:rsidRPr="004C1BAF" w:rsidRDefault="001945B7" w:rsidP="00EE6E8A">
            <w:pPr>
              <w:rPr>
                <w:sz w:val="20"/>
                <w:szCs w:val="20"/>
              </w:rPr>
            </w:pPr>
            <w:r w:rsidRPr="004C1BAF">
              <w:rPr>
                <w:sz w:val="20"/>
                <w:szCs w:val="20"/>
              </w:rPr>
              <w:t>v.</w:t>
            </w:r>
          </w:p>
        </w:tc>
        <w:tc>
          <w:tcPr>
            <w:tcW w:w="3848" w:type="dxa"/>
          </w:tcPr>
          <w:p w:rsidR="001945B7" w:rsidRPr="004C1BAF" w:rsidRDefault="001945B7" w:rsidP="00EE6E8A">
            <w:pPr>
              <w:pStyle w:val="SCCAppellantInfoAppellantInfo"/>
              <w:rPr>
                <w:sz w:val="20"/>
                <w:szCs w:val="20"/>
              </w:rPr>
            </w:pPr>
            <w:r w:rsidRPr="004C1BAF">
              <w:rPr>
                <w:sz w:val="20"/>
                <w:szCs w:val="20"/>
              </w:rPr>
              <w:t>Attorney General of British Columbia</w:t>
            </w: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3.</w:t>
            </w:r>
          </w:p>
        </w:tc>
        <w:tc>
          <w:tcPr>
            <w:tcW w:w="810" w:type="dxa"/>
          </w:tcPr>
          <w:p w:rsidR="001945B7" w:rsidRPr="004C1BAF" w:rsidRDefault="001945B7" w:rsidP="00EE6E8A">
            <w:pPr>
              <w:rPr>
                <w:sz w:val="20"/>
                <w:szCs w:val="20"/>
              </w:rPr>
            </w:pPr>
            <w:r w:rsidRPr="004C1BAF">
              <w:rPr>
                <w:sz w:val="20"/>
                <w:szCs w:val="20"/>
              </w:rPr>
              <w:t>37758</w:t>
            </w:r>
          </w:p>
        </w:tc>
        <w:tc>
          <w:tcPr>
            <w:tcW w:w="4050" w:type="dxa"/>
          </w:tcPr>
          <w:p w:rsidR="001945B7" w:rsidRPr="004C1BAF" w:rsidRDefault="001945B7" w:rsidP="00EE6E8A">
            <w:pPr>
              <w:pStyle w:val="SCCAppellantInfoAppellantInfo"/>
              <w:rPr>
                <w:sz w:val="20"/>
                <w:szCs w:val="20"/>
                <w:lang w:val="fr-CA"/>
              </w:rPr>
            </w:pPr>
            <w:r w:rsidRPr="004C1BAF">
              <w:rPr>
                <w:sz w:val="20"/>
                <w:szCs w:val="20"/>
                <w:lang w:val="fr-CA"/>
              </w:rPr>
              <w:t>Pierre Martel</w:t>
            </w:r>
          </w:p>
          <w:p w:rsidR="001945B7" w:rsidRPr="004C1BAF" w:rsidRDefault="001945B7" w:rsidP="00EE6E8A">
            <w:pPr>
              <w:pStyle w:val="SCCAppellantInfoAppellantInfo"/>
              <w:rPr>
                <w:sz w:val="20"/>
                <w:szCs w:val="20"/>
                <w:lang w:val="fr-CA"/>
              </w:rPr>
            </w:pPr>
            <w:r w:rsidRPr="004C1BAF">
              <w:rPr>
                <w:sz w:val="20"/>
                <w:szCs w:val="20"/>
                <w:lang w:val="fr-CA"/>
              </w:rPr>
              <w:t>(Qc) (Civile) (Autorisation)</w:t>
            </w:r>
          </w:p>
        </w:tc>
        <w:tc>
          <w:tcPr>
            <w:tcW w:w="360" w:type="dxa"/>
          </w:tcPr>
          <w:p w:rsidR="001945B7" w:rsidRPr="004C1BAF" w:rsidRDefault="001945B7" w:rsidP="00EE6E8A">
            <w:pPr>
              <w:rPr>
                <w:sz w:val="20"/>
                <w:szCs w:val="20"/>
              </w:rPr>
            </w:pPr>
            <w:r w:rsidRPr="004C1BAF">
              <w:rPr>
                <w:sz w:val="20"/>
                <w:szCs w:val="20"/>
              </w:rPr>
              <w:t>c.</w:t>
            </w:r>
          </w:p>
        </w:tc>
        <w:tc>
          <w:tcPr>
            <w:tcW w:w="3848" w:type="dxa"/>
          </w:tcPr>
          <w:p w:rsidR="001945B7" w:rsidRPr="004C1BAF" w:rsidRDefault="001945B7" w:rsidP="00EE6E8A">
            <w:pPr>
              <w:pStyle w:val="SCCAppellantInfoAppellantInfo"/>
              <w:rPr>
                <w:sz w:val="20"/>
                <w:szCs w:val="20"/>
              </w:rPr>
            </w:pPr>
            <w:proofErr w:type="spellStart"/>
            <w:r w:rsidRPr="004C1BAF">
              <w:rPr>
                <w:sz w:val="20"/>
                <w:szCs w:val="20"/>
              </w:rPr>
              <w:t>Loto</w:t>
            </w:r>
            <w:proofErr w:type="spellEnd"/>
            <w:r w:rsidRPr="004C1BAF">
              <w:rPr>
                <w:sz w:val="20"/>
                <w:szCs w:val="20"/>
              </w:rPr>
              <w:t>-Québec, et al.</w:t>
            </w:r>
          </w:p>
        </w:tc>
      </w:tr>
      <w:tr w:rsidR="001945B7" w:rsidRPr="00ED1F08" w:rsidTr="00EE6E8A">
        <w:trPr>
          <w:cantSplit/>
        </w:trPr>
        <w:tc>
          <w:tcPr>
            <w:tcW w:w="508" w:type="dxa"/>
          </w:tcPr>
          <w:p w:rsidR="001945B7" w:rsidRPr="004C1BAF" w:rsidRDefault="001945B7" w:rsidP="00EE6E8A">
            <w:pPr>
              <w:rPr>
                <w:sz w:val="20"/>
                <w:szCs w:val="20"/>
              </w:rPr>
            </w:pPr>
          </w:p>
        </w:tc>
        <w:tc>
          <w:tcPr>
            <w:tcW w:w="810" w:type="dxa"/>
          </w:tcPr>
          <w:p w:rsidR="001945B7" w:rsidRPr="004C1BAF" w:rsidRDefault="001945B7" w:rsidP="00EE6E8A">
            <w:pPr>
              <w:rPr>
                <w:sz w:val="20"/>
                <w:szCs w:val="20"/>
              </w:rPr>
            </w:pPr>
          </w:p>
        </w:tc>
        <w:tc>
          <w:tcPr>
            <w:tcW w:w="8258" w:type="dxa"/>
            <w:gridSpan w:val="3"/>
          </w:tcPr>
          <w:p w:rsidR="001945B7" w:rsidRDefault="001945B7" w:rsidP="001945B7">
            <w:pPr>
              <w:jc w:val="center"/>
              <w:rPr>
                <w:b/>
                <w:bCs/>
                <w:sz w:val="20"/>
                <w:szCs w:val="20"/>
                <w:lang w:val="en-US"/>
              </w:rPr>
            </w:pPr>
            <w:r>
              <w:rPr>
                <w:b/>
                <w:bCs/>
                <w:sz w:val="20"/>
                <w:szCs w:val="20"/>
              </w:rPr>
              <w:t>CORAM: Abella, Gascon and Rowe JJ.</w:t>
            </w:r>
          </w:p>
          <w:p w:rsidR="001945B7" w:rsidRDefault="001945B7" w:rsidP="001945B7">
            <w:pPr>
              <w:jc w:val="center"/>
              <w:rPr>
                <w:b/>
                <w:bCs/>
                <w:sz w:val="20"/>
                <w:szCs w:val="20"/>
                <w:lang w:val="fr-CA"/>
              </w:rPr>
            </w:pPr>
            <w:r>
              <w:rPr>
                <w:b/>
                <w:bCs/>
                <w:sz w:val="20"/>
                <w:szCs w:val="20"/>
                <w:lang w:val="fr-CA"/>
              </w:rPr>
              <w:t>Les juges Abella, Gascon et Rowe</w:t>
            </w:r>
          </w:p>
          <w:p w:rsidR="001945B7" w:rsidRPr="001945B7" w:rsidRDefault="001945B7" w:rsidP="00EE6E8A">
            <w:pPr>
              <w:rPr>
                <w:sz w:val="20"/>
                <w:szCs w:val="20"/>
                <w:lang w:val="fr-CA"/>
              </w:rPr>
            </w:pP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4.</w:t>
            </w:r>
          </w:p>
        </w:tc>
        <w:tc>
          <w:tcPr>
            <w:tcW w:w="810" w:type="dxa"/>
          </w:tcPr>
          <w:p w:rsidR="001945B7" w:rsidRPr="004C1BAF" w:rsidRDefault="001945B7" w:rsidP="00EE6E8A">
            <w:pPr>
              <w:rPr>
                <w:sz w:val="20"/>
                <w:szCs w:val="20"/>
              </w:rPr>
            </w:pPr>
            <w:r w:rsidRPr="004C1BAF">
              <w:rPr>
                <w:sz w:val="20"/>
                <w:szCs w:val="20"/>
              </w:rPr>
              <w:t>37608</w:t>
            </w:r>
          </w:p>
        </w:tc>
        <w:tc>
          <w:tcPr>
            <w:tcW w:w="4050" w:type="dxa"/>
          </w:tcPr>
          <w:p w:rsidR="001945B7" w:rsidRPr="004C1BAF" w:rsidRDefault="001945B7" w:rsidP="00EE6E8A">
            <w:pPr>
              <w:pStyle w:val="SCCAppellantInfoAppellantInfo"/>
              <w:rPr>
                <w:sz w:val="20"/>
                <w:szCs w:val="20"/>
              </w:rPr>
            </w:pPr>
            <w:r w:rsidRPr="004C1BAF">
              <w:rPr>
                <w:sz w:val="20"/>
                <w:szCs w:val="20"/>
              </w:rPr>
              <w:t xml:space="preserve">Seamus John </w:t>
            </w:r>
            <w:proofErr w:type="spellStart"/>
            <w:r w:rsidRPr="004C1BAF">
              <w:rPr>
                <w:sz w:val="20"/>
                <w:szCs w:val="20"/>
              </w:rPr>
              <w:t>Neary</w:t>
            </w:r>
            <w:proofErr w:type="spellEnd"/>
          </w:p>
          <w:p w:rsidR="001945B7" w:rsidRPr="004C1BAF" w:rsidRDefault="001945B7" w:rsidP="00EE6E8A">
            <w:pPr>
              <w:pStyle w:val="SCCAppellantInfoAppellantInfo"/>
              <w:rPr>
                <w:sz w:val="20"/>
                <w:szCs w:val="20"/>
              </w:rPr>
            </w:pPr>
            <w:r w:rsidRPr="004C1BAF">
              <w:rPr>
                <w:sz w:val="20"/>
                <w:szCs w:val="20"/>
              </w:rPr>
              <w:t>(Sask.) (Criminal) (By Leave)</w:t>
            </w:r>
          </w:p>
        </w:tc>
        <w:tc>
          <w:tcPr>
            <w:tcW w:w="360" w:type="dxa"/>
          </w:tcPr>
          <w:p w:rsidR="001945B7" w:rsidRPr="004C1BAF" w:rsidRDefault="001945B7" w:rsidP="00EE6E8A">
            <w:pPr>
              <w:rPr>
                <w:sz w:val="20"/>
                <w:szCs w:val="20"/>
              </w:rPr>
            </w:pPr>
            <w:r w:rsidRPr="004C1BAF">
              <w:rPr>
                <w:sz w:val="20"/>
                <w:szCs w:val="20"/>
              </w:rPr>
              <w:t>v.</w:t>
            </w:r>
          </w:p>
        </w:tc>
        <w:tc>
          <w:tcPr>
            <w:tcW w:w="3848" w:type="dxa"/>
          </w:tcPr>
          <w:p w:rsidR="001945B7" w:rsidRPr="004C1BAF" w:rsidRDefault="001945B7" w:rsidP="00EE6E8A">
            <w:pPr>
              <w:pStyle w:val="SCCAppellantInfoAppellantInfo"/>
              <w:rPr>
                <w:sz w:val="20"/>
                <w:szCs w:val="20"/>
              </w:rPr>
            </w:pPr>
            <w:r w:rsidRPr="004C1BAF">
              <w:rPr>
                <w:sz w:val="20"/>
                <w:szCs w:val="20"/>
              </w:rPr>
              <w:t>Her Majesty the Queen</w:t>
            </w: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5.</w:t>
            </w:r>
          </w:p>
        </w:tc>
        <w:tc>
          <w:tcPr>
            <w:tcW w:w="810" w:type="dxa"/>
          </w:tcPr>
          <w:p w:rsidR="001945B7" w:rsidRPr="004C1BAF" w:rsidRDefault="001945B7" w:rsidP="00EE6E8A">
            <w:pPr>
              <w:rPr>
                <w:sz w:val="20"/>
                <w:szCs w:val="20"/>
              </w:rPr>
            </w:pPr>
            <w:r w:rsidRPr="004C1BAF">
              <w:rPr>
                <w:sz w:val="20"/>
                <w:szCs w:val="20"/>
              </w:rPr>
              <w:t>37700</w:t>
            </w:r>
          </w:p>
        </w:tc>
        <w:tc>
          <w:tcPr>
            <w:tcW w:w="4050" w:type="dxa"/>
          </w:tcPr>
          <w:p w:rsidR="001945B7" w:rsidRPr="004C1BAF" w:rsidRDefault="001945B7" w:rsidP="00EE6E8A">
            <w:pPr>
              <w:pStyle w:val="SCCAppellantInfoAppellantInfo"/>
              <w:rPr>
                <w:sz w:val="20"/>
                <w:szCs w:val="20"/>
              </w:rPr>
            </w:pPr>
            <w:r w:rsidRPr="004C1BAF">
              <w:rPr>
                <w:sz w:val="20"/>
                <w:szCs w:val="20"/>
              </w:rPr>
              <w:t>David Joseph Douglas</w:t>
            </w:r>
          </w:p>
          <w:p w:rsidR="001945B7" w:rsidRPr="004C1BAF" w:rsidRDefault="001945B7" w:rsidP="00EE6E8A">
            <w:pPr>
              <w:pStyle w:val="SCCAppellantInfoAppellantInfo"/>
              <w:rPr>
                <w:sz w:val="20"/>
                <w:szCs w:val="20"/>
              </w:rPr>
            </w:pPr>
            <w:r w:rsidRPr="004C1BAF">
              <w:rPr>
                <w:sz w:val="20"/>
                <w:szCs w:val="20"/>
              </w:rPr>
              <w:t>(Man.) (Criminal) (By Leave)</w:t>
            </w:r>
          </w:p>
        </w:tc>
        <w:tc>
          <w:tcPr>
            <w:tcW w:w="360" w:type="dxa"/>
          </w:tcPr>
          <w:p w:rsidR="001945B7" w:rsidRPr="004C1BAF" w:rsidRDefault="001945B7" w:rsidP="00EE6E8A">
            <w:pPr>
              <w:rPr>
                <w:sz w:val="20"/>
                <w:szCs w:val="20"/>
              </w:rPr>
            </w:pPr>
            <w:r w:rsidRPr="004C1BAF">
              <w:rPr>
                <w:sz w:val="20"/>
                <w:szCs w:val="20"/>
              </w:rPr>
              <w:t>v.</w:t>
            </w:r>
          </w:p>
        </w:tc>
        <w:tc>
          <w:tcPr>
            <w:tcW w:w="3848" w:type="dxa"/>
          </w:tcPr>
          <w:p w:rsidR="001945B7" w:rsidRPr="004C1BAF" w:rsidRDefault="001945B7" w:rsidP="00EE6E8A">
            <w:pPr>
              <w:pStyle w:val="SCCAppellantInfoAppellantInfo"/>
              <w:rPr>
                <w:sz w:val="20"/>
                <w:szCs w:val="20"/>
              </w:rPr>
            </w:pPr>
            <w:r w:rsidRPr="004C1BAF">
              <w:rPr>
                <w:sz w:val="20"/>
                <w:szCs w:val="20"/>
              </w:rPr>
              <w:t>Her Majesty the Queen</w:t>
            </w: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6.</w:t>
            </w:r>
          </w:p>
        </w:tc>
        <w:tc>
          <w:tcPr>
            <w:tcW w:w="810" w:type="dxa"/>
          </w:tcPr>
          <w:p w:rsidR="001945B7" w:rsidRPr="004C1BAF" w:rsidRDefault="001945B7" w:rsidP="00EE6E8A">
            <w:pPr>
              <w:rPr>
                <w:sz w:val="20"/>
                <w:szCs w:val="20"/>
              </w:rPr>
            </w:pPr>
            <w:r w:rsidRPr="004C1BAF">
              <w:rPr>
                <w:sz w:val="20"/>
                <w:szCs w:val="20"/>
              </w:rPr>
              <w:t>37730</w:t>
            </w:r>
          </w:p>
        </w:tc>
        <w:tc>
          <w:tcPr>
            <w:tcW w:w="4050" w:type="dxa"/>
          </w:tcPr>
          <w:p w:rsidR="001945B7" w:rsidRPr="004C1BAF" w:rsidRDefault="001945B7" w:rsidP="00EE6E8A">
            <w:pPr>
              <w:pStyle w:val="SCCAppellantInfoAppellantInfo"/>
              <w:rPr>
                <w:sz w:val="20"/>
                <w:szCs w:val="20"/>
                <w:lang w:val="fr-CA"/>
              </w:rPr>
            </w:pPr>
            <w:r w:rsidRPr="004C1BAF">
              <w:rPr>
                <w:sz w:val="20"/>
                <w:szCs w:val="20"/>
                <w:lang w:val="fr-CA"/>
              </w:rPr>
              <w:t xml:space="preserve">Réjean </w:t>
            </w:r>
            <w:proofErr w:type="spellStart"/>
            <w:r w:rsidRPr="004C1BAF">
              <w:rPr>
                <w:sz w:val="20"/>
                <w:szCs w:val="20"/>
                <w:lang w:val="fr-CA"/>
              </w:rPr>
              <w:t>Kègle</w:t>
            </w:r>
            <w:proofErr w:type="spellEnd"/>
          </w:p>
          <w:p w:rsidR="001945B7" w:rsidRPr="004C1BAF" w:rsidRDefault="001945B7" w:rsidP="00EE6E8A">
            <w:pPr>
              <w:pStyle w:val="SCCAppellantInfoAppellantInfo"/>
              <w:rPr>
                <w:sz w:val="20"/>
                <w:szCs w:val="20"/>
                <w:lang w:val="fr-CA"/>
              </w:rPr>
            </w:pPr>
            <w:r w:rsidRPr="004C1BAF">
              <w:rPr>
                <w:sz w:val="20"/>
                <w:szCs w:val="20"/>
                <w:lang w:val="fr-CA"/>
              </w:rPr>
              <w:t>(Qc) (Civile) (Autorisation)</w:t>
            </w:r>
          </w:p>
        </w:tc>
        <w:tc>
          <w:tcPr>
            <w:tcW w:w="360" w:type="dxa"/>
          </w:tcPr>
          <w:p w:rsidR="001945B7" w:rsidRPr="004C1BAF" w:rsidRDefault="001945B7" w:rsidP="00EE6E8A">
            <w:pPr>
              <w:rPr>
                <w:sz w:val="20"/>
                <w:szCs w:val="20"/>
              </w:rPr>
            </w:pPr>
            <w:r w:rsidRPr="004C1BAF">
              <w:rPr>
                <w:sz w:val="20"/>
                <w:szCs w:val="20"/>
              </w:rPr>
              <w:t>c.</w:t>
            </w:r>
          </w:p>
        </w:tc>
        <w:tc>
          <w:tcPr>
            <w:tcW w:w="3848" w:type="dxa"/>
          </w:tcPr>
          <w:p w:rsidR="001945B7" w:rsidRPr="004C1BAF" w:rsidRDefault="001945B7" w:rsidP="00EE6E8A">
            <w:pPr>
              <w:pStyle w:val="SCCAppellantInfoAppellantInfo"/>
              <w:rPr>
                <w:sz w:val="20"/>
                <w:szCs w:val="20"/>
              </w:rPr>
            </w:pPr>
            <w:r w:rsidRPr="004C1BAF">
              <w:rPr>
                <w:sz w:val="20"/>
                <w:szCs w:val="20"/>
              </w:rPr>
              <w:t>Stan O'Neil</w:t>
            </w:r>
          </w:p>
        </w:tc>
      </w:tr>
      <w:tr w:rsidR="001945B7" w:rsidRPr="00ED1F08" w:rsidTr="00EE6E8A">
        <w:trPr>
          <w:cantSplit/>
        </w:trPr>
        <w:tc>
          <w:tcPr>
            <w:tcW w:w="508" w:type="dxa"/>
          </w:tcPr>
          <w:p w:rsidR="001945B7" w:rsidRPr="004C1BAF" w:rsidRDefault="001945B7" w:rsidP="00EE6E8A">
            <w:pPr>
              <w:rPr>
                <w:sz w:val="20"/>
                <w:szCs w:val="20"/>
              </w:rPr>
            </w:pPr>
          </w:p>
        </w:tc>
        <w:tc>
          <w:tcPr>
            <w:tcW w:w="810" w:type="dxa"/>
          </w:tcPr>
          <w:p w:rsidR="001945B7" w:rsidRPr="004C1BAF" w:rsidRDefault="001945B7" w:rsidP="00EE6E8A">
            <w:pPr>
              <w:rPr>
                <w:sz w:val="20"/>
                <w:szCs w:val="20"/>
              </w:rPr>
            </w:pPr>
          </w:p>
        </w:tc>
        <w:tc>
          <w:tcPr>
            <w:tcW w:w="8258" w:type="dxa"/>
            <w:gridSpan w:val="3"/>
          </w:tcPr>
          <w:p w:rsidR="001945B7" w:rsidRDefault="001945B7" w:rsidP="001945B7">
            <w:pPr>
              <w:jc w:val="center"/>
              <w:rPr>
                <w:b/>
                <w:bCs/>
                <w:sz w:val="20"/>
                <w:szCs w:val="20"/>
                <w:lang w:val="en-US"/>
              </w:rPr>
            </w:pPr>
            <w:r>
              <w:rPr>
                <w:b/>
                <w:bCs/>
                <w:sz w:val="20"/>
                <w:szCs w:val="20"/>
              </w:rPr>
              <w:t>CORAM: Moldaver, Karakatsanis and Wagner JJ.</w:t>
            </w:r>
          </w:p>
          <w:p w:rsidR="001945B7" w:rsidRDefault="001945B7" w:rsidP="001945B7">
            <w:pPr>
              <w:jc w:val="center"/>
              <w:rPr>
                <w:b/>
                <w:bCs/>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p w:rsidR="00EE6E8A" w:rsidRPr="001945B7" w:rsidRDefault="00EE6E8A" w:rsidP="001945B7">
            <w:pPr>
              <w:jc w:val="center"/>
              <w:rPr>
                <w:sz w:val="20"/>
                <w:szCs w:val="20"/>
                <w:lang w:val="fr-CA"/>
              </w:rPr>
            </w:pP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7.</w:t>
            </w:r>
          </w:p>
        </w:tc>
        <w:tc>
          <w:tcPr>
            <w:tcW w:w="810" w:type="dxa"/>
          </w:tcPr>
          <w:p w:rsidR="001945B7" w:rsidRPr="004C1BAF" w:rsidRDefault="001945B7" w:rsidP="00EE6E8A">
            <w:pPr>
              <w:rPr>
                <w:sz w:val="20"/>
                <w:szCs w:val="20"/>
              </w:rPr>
            </w:pPr>
            <w:r w:rsidRPr="004C1BAF">
              <w:rPr>
                <w:sz w:val="20"/>
                <w:szCs w:val="20"/>
              </w:rPr>
              <w:t>37779</w:t>
            </w:r>
          </w:p>
        </w:tc>
        <w:tc>
          <w:tcPr>
            <w:tcW w:w="4050" w:type="dxa"/>
          </w:tcPr>
          <w:p w:rsidR="001945B7" w:rsidRPr="004C1BAF" w:rsidRDefault="001945B7" w:rsidP="00EE6E8A">
            <w:pPr>
              <w:pStyle w:val="SCCAppellantInfoAppellantInfo"/>
              <w:rPr>
                <w:sz w:val="20"/>
                <w:szCs w:val="20"/>
                <w:lang w:val="fr-CA"/>
              </w:rPr>
            </w:pPr>
            <w:r w:rsidRPr="004C1BAF">
              <w:rPr>
                <w:sz w:val="20"/>
                <w:szCs w:val="20"/>
                <w:lang w:val="fr-CA"/>
              </w:rPr>
              <w:t>Michel Ledoux</w:t>
            </w:r>
          </w:p>
          <w:p w:rsidR="001945B7" w:rsidRPr="004C1BAF" w:rsidRDefault="001945B7" w:rsidP="00EE6E8A">
            <w:pPr>
              <w:pStyle w:val="SCCAppellantInfoAppellantInfo"/>
              <w:rPr>
                <w:sz w:val="20"/>
                <w:szCs w:val="20"/>
                <w:lang w:val="fr-CA"/>
              </w:rPr>
            </w:pPr>
            <w:r w:rsidRPr="004C1BAF">
              <w:rPr>
                <w:sz w:val="20"/>
                <w:szCs w:val="20"/>
                <w:lang w:val="fr-CA"/>
              </w:rPr>
              <w:t>(Qc) (Criminelle) (Autorisation)</w:t>
            </w:r>
          </w:p>
        </w:tc>
        <w:tc>
          <w:tcPr>
            <w:tcW w:w="360" w:type="dxa"/>
          </w:tcPr>
          <w:p w:rsidR="001945B7" w:rsidRPr="004C1BAF" w:rsidRDefault="001945B7" w:rsidP="00EE6E8A">
            <w:pPr>
              <w:rPr>
                <w:sz w:val="20"/>
                <w:szCs w:val="20"/>
              </w:rPr>
            </w:pPr>
            <w:r w:rsidRPr="004C1BAF">
              <w:rPr>
                <w:sz w:val="20"/>
                <w:szCs w:val="20"/>
              </w:rPr>
              <w:t>c.</w:t>
            </w:r>
          </w:p>
        </w:tc>
        <w:tc>
          <w:tcPr>
            <w:tcW w:w="3848" w:type="dxa"/>
          </w:tcPr>
          <w:p w:rsidR="001945B7" w:rsidRPr="004C1BAF" w:rsidRDefault="001945B7" w:rsidP="00EE6E8A">
            <w:pPr>
              <w:pStyle w:val="SCCAppellantInfoAppellantInfo"/>
              <w:rPr>
                <w:sz w:val="20"/>
                <w:szCs w:val="20"/>
              </w:rPr>
            </w:pPr>
            <w:r w:rsidRPr="004C1BAF">
              <w:rPr>
                <w:sz w:val="20"/>
                <w:szCs w:val="20"/>
              </w:rPr>
              <w:t xml:space="preserve">Sa </w:t>
            </w:r>
            <w:proofErr w:type="spellStart"/>
            <w:r w:rsidRPr="004C1BAF">
              <w:rPr>
                <w:sz w:val="20"/>
                <w:szCs w:val="20"/>
              </w:rPr>
              <w:t>Majesté</w:t>
            </w:r>
            <w:proofErr w:type="spellEnd"/>
            <w:r w:rsidRPr="004C1BAF">
              <w:rPr>
                <w:sz w:val="20"/>
                <w:szCs w:val="20"/>
              </w:rPr>
              <w:t xml:space="preserve"> la </w:t>
            </w:r>
            <w:proofErr w:type="spellStart"/>
            <w:r w:rsidRPr="004C1BAF">
              <w:rPr>
                <w:sz w:val="20"/>
                <w:szCs w:val="20"/>
              </w:rPr>
              <w:t>Reine</w:t>
            </w:r>
            <w:proofErr w:type="spellEnd"/>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8.</w:t>
            </w:r>
          </w:p>
        </w:tc>
        <w:tc>
          <w:tcPr>
            <w:tcW w:w="810" w:type="dxa"/>
          </w:tcPr>
          <w:p w:rsidR="001945B7" w:rsidRPr="004C1BAF" w:rsidRDefault="001945B7" w:rsidP="00EE6E8A">
            <w:pPr>
              <w:rPr>
                <w:sz w:val="20"/>
                <w:szCs w:val="20"/>
              </w:rPr>
            </w:pPr>
            <w:r w:rsidRPr="004C1BAF">
              <w:rPr>
                <w:sz w:val="20"/>
                <w:szCs w:val="20"/>
              </w:rPr>
              <w:t>37674</w:t>
            </w:r>
          </w:p>
        </w:tc>
        <w:tc>
          <w:tcPr>
            <w:tcW w:w="4050" w:type="dxa"/>
          </w:tcPr>
          <w:p w:rsidR="001945B7" w:rsidRPr="004C1BAF" w:rsidRDefault="001945B7" w:rsidP="00EE6E8A">
            <w:pPr>
              <w:pStyle w:val="SCCAppellantInfoAppellantInfo"/>
              <w:rPr>
                <w:sz w:val="20"/>
                <w:szCs w:val="20"/>
              </w:rPr>
            </w:pPr>
            <w:r w:rsidRPr="004C1BAF">
              <w:rPr>
                <w:sz w:val="20"/>
                <w:szCs w:val="20"/>
              </w:rPr>
              <w:t>Pembina County Water Resource District, et al.</w:t>
            </w:r>
          </w:p>
          <w:p w:rsidR="001945B7" w:rsidRPr="004C1BAF" w:rsidRDefault="001945B7" w:rsidP="00EE6E8A">
            <w:pPr>
              <w:pStyle w:val="SCCAppellantInfoAppellantInfo"/>
              <w:rPr>
                <w:sz w:val="20"/>
                <w:szCs w:val="20"/>
              </w:rPr>
            </w:pPr>
            <w:r w:rsidRPr="004C1BAF">
              <w:rPr>
                <w:sz w:val="20"/>
                <w:szCs w:val="20"/>
              </w:rPr>
              <w:t>(FC) (Civil) (By Leave)</w:t>
            </w:r>
          </w:p>
        </w:tc>
        <w:tc>
          <w:tcPr>
            <w:tcW w:w="360" w:type="dxa"/>
          </w:tcPr>
          <w:p w:rsidR="001945B7" w:rsidRPr="004C1BAF" w:rsidRDefault="001945B7" w:rsidP="00EE6E8A">
            <w:pPr>
              <w:rPr>
                <w:sz w:val="20"/>
                <w:szCs w:val="20"/>
              </w:rPr>
            </w:pPr>
            <w:r w:rsidRPr="004C1BAF">
              <w:rPr>
                <w:sz w:val="20"/>
                <w:szCs w:val="20"/>
              </w:rPr>
              <w:t>v.</w:t>
            </w:r>
          </w:p>
        </w:tc>
        <w:tc>
          <w:tcPr>
            <w:tcW w:w="3848" w:type="dxa"/>
          </w:tcPr>
          <w:p w:rsidR="001945B7" w:rsidRPr="004C1BAF" w:rsidRDefault="001945B7" w:rsidP="00EE6E8A">
            <w:pPr>
              <w:pStyle w:val="SCCAppellantInfoAppellantInfo"/>
              <w:rPr>
                <w:sz w:val="20"/>
                <w:szCs w:val="20"/>
              </w:rPr>
            </w:pPr>
            <w:r w:rsidRPr="004C1BAF">
              <w:rPr>
                <w:sz w:val="20"/>
                <w:szCs w:val="20"/>
              </w:rPr>
              <w:t>Government of Manitoba, et al.</w:t>
            </w:r>
          </w:p>
        </w:tc>
      </w:tr>
      <w:tr w:rsidR="001945B7" w:rsidRPr="004C1BAF" w:rsidTr="00EE6E8A">
        <w:trPr>
          <w:cantSplit/>
        </w:trPr>
        <w:tc>
          <w:tcPr>
            <w:tcW w:w="508" w:type="dxa"/>
          </w:tcPr>
          <w:p w:rsidR="001945B7" w:rsidRPr="004C1BAF" w:rsidRDefault="001945B7" w:rsidP="00EE6E8A">
            <w:pPr>
              <w:rPr>
                <w:sz w:val="20"/>
                <w:szCs w:val="20"/>
              </w:rPr>
            </w:pPr>
            <w:r w:rsidRPr="004C1BAF">
              <w:rPr>
                <w:sz w:val="20"/>
                <w:szCs w:val="20"/>
              </w:rPr>
              <w:t>9.</w:t>
            </w:r>
          </w:p>
        </w:tc>
        <w:tc>
          <w:tcPr>
            <w:tcW w:w="810" w:type="dxa"/>
          </w:tcPr>
          <w:p w:rsidR="001945B7" w:rsidRPr="004C1BAF" w:rsidRDefault="001945B7" w:rsidP="00EE6E8A">
            <w:pPr>
              <w:rPr>
                <w:sz w:val="20"/>
                <w:szCs w:val="20"/>
              </w:rPr>
            </w:pPr>
            <w:r w:rsidRPr="004C1BAF">
              <w:rPr>
                <w:sz w:val="20"/>
                <w:szCs w:val="20"/>
              </w:rPr>
              <w:t>37628</w:t>
            </w:r>
          </w:p>
        </w:tc>
        <w:tc>
          <w:tcPr>
            <w:tcW w:w="4050" w:type="dxa"/>
          </w:tcPr>
          <w:p w:rsidR="001945B7" w:rsidRPr="004C1BAF" w:rsidRDefault="001945B7" w:rsidP="00EE6E8A">
            <w:pPr>
              <w:pStyle w:val="SCCAppellantInfoAppellantInfo"/>
              <w:rPr>
                <w:sz w:val="20"/>
                <w:szCs w:val="20"/>
              </w:rPr>
            </w:pPr>
            <w:r w:rsidRPr="004C1BAF">
              <w:rPr>
                <w:sz w:val="20"/>
                <w:szCs w:val="20"/>
              </w:rPr>
              <w:t>ExxonMobil Canada Properties</w:t>
            </w:r>
          </w:p>
          <w:p w:rsidR="001945B7" w:rsidRPr="004C1BAF" w:rsidRDefault="001945B7" w:rsidP="00EE6E8A">
            <w:pPr>
              <w:pStyle w:val="SCCAppellantInfoAppellantInfo"/>
              <w:rPr>
                <w:sz w:val="20"/>
                <w:szCs w:val="20"/>
              </w:rPr>
            </w:pPr>
            <w:r w:rsidRPr="004C1BAF">
              <w:rPr>
                <w:sz w:val="20"/>
                <w:szCs w:val="20"/>
              </w:rPr>
              <w:t>(N.L.) (Civil) (By Leave)</w:t>
            </w:r>
          </w:p>
        </w:tc>
        <w:tc>
          <w:tcPr>
            <w:tcW w:w="360" w:type="dxa"/>
          </w:tcPr>
          <w:p w:rsidR="001945B7" w:rsidRPr="004C1BAF" w:rsidRDefault="001945B7" w:rsidP="00EE6E8A">
            <w:pPr>
              <w:rPr>
                <w:sz w:val="20"/>
                <w:szCs w:val="20"/>
              </w:rPr>
            </w:pPr>
            <w:r w:rsidRPr="004C1BAF">
              <w:rPr>
                <w:sz w:val="20"/>
                <w:szCs w:val="20"/>
              </w:rPr>
              <w:t>v.</w:t>
            </w:r>
          </w:p>
        </w:tc>
        <w:tc>
          <w:tcPr>
            <w:tcW w:w="3848" w:type="dxa"/>
          </w:tcPr>
          <w:p w:rsidR="001945B7" w:rsidRPr="004C1BAF" w:rsidRDefault="001945B7" w:rsidP="00EE6E8A">
            <w:pPr>
              <w:pStyle w:val="SCCAppellantInfoAppellantInfo"/>
              <w:rPr>
                <w:sz w:val="20"/>
                <w:szCs w:val="20"/>
              </w:rPr>
            </w:pPr>
            <w:r w:rsidRPr="004C1BAF">
              <w:rPr>
                <w:sz w:val="20"/>
                <w:szCs w:val="20"/>
              </w:rPr>
              <w:t>Hebron Project Employers’ Association Inc., et al.</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ED1F08" w:rsidP="002E2327">
      <w:pPr>
        <w:widowControl w:val="0"/>
        <w:rPr>
          <w:sz w:val="20"/>
          <w:szCs w:val="20"/>
        </w:rPr>
      </w:pPr>
      <w:r>
        <w:rPr>
          <w:sz w:val="20"/>
          <w:szCs w:val="20"/>
        </w:rPr>
        <w:pict>
          <v:rect id="_x0000_i102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D1F0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3E0AE6" w:rsidP="000E2959">
      <w:pPr>
        <w:rPr>
          <w:b/>
          <w:sz w:val="20"/>
          <w:szCs w:val="20"/>
        </w:rPr>
      </w:pPr>
      <w:r>
        <w:rPr>
          <w:b/>
          <w:sz w:val="20"/>
          <w:szCs w:val="20"/>
        </w:rPr>
        <w:t>NOVEMBER 16</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16 NOVEMBRE</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15"/>
        <w:gridCol w:w="3609"/>
        <w:gridCol w:w="463"/>
        <w:gridCol w:w="4440"/>
      </w:tblGrid>
      <w:tr w:rsidR="00EE6E8A" w:rsidRPr="00F109C5" w:rsidTr="00EE6E8A">
        <w:tc>
          <w:tcPr>
            <w:tcW w:w="533" w:type="pct"/>
          </w:tcPr>
          <w:p w:rsidR="00EE6E8A" w:rsidRPr="00F109C5" w:rsidRDefault="00EE6E8A" w:rsidP="00EE6E8A">
            <w:pPr>
              <w:jc w:val="both"/>
              <w:rPr>
                <w:sz w:val="20"/>
                <w:szCs w:val="20"/>
              </w:rPr>
            </w:pPr>
            <w:r w:rsidRPr="00F109C5">
              <w:rPr>
                <w:rStyle w:val="SCCFileNumberChar"/>
                <w:sz w:val="20"/>
                <w:szCs w:val="20"/>
              </w:rPr>
              <w:t>37551</w:t>
            </w:r>
          </w:p>
        </w:tc>
        <w:tc>
          <w:tcPr>
            <w:tcW w:w="4467" w:type="pct"/>
            <w:gridSpan w:val="3"/>
          </w:tcPr>
          <w:p w:rsidR="00EE6E8A" w:rsidRPr="00F109C5" w:rsidRDefault="00EE6E8A" w:rsidP="00EE6E8A">
            <w:pPr>
              <w:pStyle w:val="SCCLsocParty"/>
              <w:jc w:val="both"/>
              <w:rPr>
                <w:b/>
                <w:sz w:val="20"/>
                <w:szCs w:val="20"/>
                <w:lang w:val="en-US"/>
              </w:rPr>
            </w:pPr>
            <w:r w:rsidRPr="00F109C5">
              <w:rPr>
                <w:b/>
                <w:sz w:val="20"/>
                <w:szCs w:val="20"/>
                <w:lang w:val="en-US"/>
              </w:rPr>
              <w:t xml:space="preserve">S.A. v. Metro Vancouver Housing Corporation </w:t>
            </w:r>
          </w:p>
          <w:p w:rsidR="00EE6E8A" w:rsidRPr="00F109C5" w:rsidRDefault="00EE6E8A" w:rsidP="00EE6E8A">
            <w:pPr>
              <w:jc w:val="both"/>
              <w:rPr>
                <w:sz w:val="20"/>
                <w:szCs w:val="20"/>
              </w:rPr>
            </w:pPr>
            <w:r w:rsidRPr="00F109C5">
              <w:rPr>
                <w:sz w:val="20"/>
                <w:szCs w:val="20"/>
              </w:rPr>
              <w:t>(B.C.) (Civil) (By Leave)</w:t>
            </w:r>
          </w:p>
        </w:tc>
      </w:tr>
      <w:tr w:rsidR="00EE6E8A" w:rsidRPr="00F109C5" w:rsidTr="00EE6E8A">
        <w:tc>
          <w:tcPr>
            <w:tcW w:w="533" w:type="pct"/>
          </w:tcPr>
          <w:p w:rsidR="00EE6E8A" w:rsidRPr="00F109C5" w:rsidRDefault="00EE6E8A" w:rsidP="00EE6E8A">
            <w:pPr>
              <w:jc w:val="both"/>
              <w:rPr>
                <w:rStyle w:val="SCCFileNumberChar"/>
                <w:sz w:val="20"/>
                <w:szCs w:val="20"/>
              </w:rPr>
            </w:pPr>
            <w:r>
              <w:rPr>
                <w:rStyle w:val="SCCFileNumberChar"/>
                <w:sz w:val="20"/>
                <w:szCs w:val="20"/>
              </w:rPr>
              <w:t>Coram:</w:t>
            </w:r>
          </w:p>
        </w:tc>
        <w:tc>
          <w:tcPr>
            <w:tcW w:w="4467" w:type="pct"/>
            <w:gridSpan w:val="3"/>
          </w:tcPr>
          <w:p w:rsidR="00EE6E8A" w:rsidRDefault="00E02E61" w:rsidP="00EE6E8A">
            <w:pPr>
              <w:pStyle w:val="SCCLsocParty"/>
              <w:jc w:val="both"/>
              <w:rPr>
                <w:sz w:val="20"/>
                <w:szCs w:val="20"/>
                <w:lang w:val="en-US"/>
              </w:rPr>
            </w:pPr>
            <w:r w:rsidRPr="00E02E61">
              <w:rPr>
                <w:sz w:val="20"/>
                <w:szCs w:val="20"/>
                <w:lang w:val="en-US"/>
              </w:rPr>
              <w:t>McLachlin C.J. and Abella, Moldaver, Karakatsanis, Wagner, Gascon, Côté, Brown and Rowe JJ.</w:t>
            </w:r>
          </w:p>
          <w:p w:rsidR="00E02E61" w:rsidRPr="00E02E61" w:rsidRDefault="00E02E61" w:rsidP="00E02E61">
            <w:pPr>
              <w:rPr>
                <w:lang w:val="en-US"/>
              </w:rPr>
            </w:pPr>
          </w:p>
        </w:tc>
      </w:tr>
      <w:tr w:rsidR="00EE6E8A" w:rsidRPr="00F109C5" w:rsidTr="00EE6E8A">
        <w:tc>
          <w:tcPr>
            <w:tcW w:w="5000" w:type="pct"/>
            <w:gridSpan w:val="4"/>
          </w:tcPr>
          <w:p w:rsidR="00EE6E8A" w:rsidRDefault="00E02E61" w:rsidP="00EE6E8A">
            <w:pPr>
              <w:pStyle w:val="SCCLsocParty"/>
              <w:jc w:val="both"/>
              <w:rPr>
                <w:sz w:val="20"/>
                <w:szCs w:val="20"/>
                <w:lang w:val="en-US"/>
              </w:rPr>
            </w:pPr>
            <w:r w:rsidRPr="00E02E61">
              <w:rPr>
                <w:sz w:val="20"/>
                <w:szCs w:val="20"/>
                <w:lang w:val="en-US"/>
              </w:rPr>
              <w:t>The motion for an extension of time to serve and file the application for leave to appeal is granted.  The motion to use initials in place of the applicant and family members’ names and to amend the style of cause accordingly is granted. The motion for a publication ban is dismissed. The application for leave to appeal from the judgment of the</w:t>
            </w:r>
            <w:bookmarkStart w:id="1" w:name="BM_1_"/>
            <w:bookmarkEnd w:id="1"/>
            <w:r w:rsidRPr="00E02E61">
              <w:rPr>
                <w:sz w:val="20"/>
                <w:szCs w:val="20"/>
                <w:lang w:val="en-US"/>
              </w:rPr>
              <w:t xml:space="preserve"> Court of Appeal for British Columbia (Vancouver), Numbers CA43354 and CA43355, 2017 BCCA 2, dated January 6, 2017, is granted and costs are reserved to the panel on the appeal.</w:t>
            </w:r>
          </w:p>
          <w:p w:rsidR="00E02E61" w:rsidRPr="00E02E61" w:rsidRDefault="00E02E61" w:rsidP="00E02E61">
            <w:pPr>
              <w:rPr>
                <w:lang w:val="en-US"/>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Contracts – Interpretation – Breach – Trusts – Whether the assets held in discretionary trust are the assets of a trust beneficiary when determining entitlement to social assistance benefits.</w:t>
            </w:r>
          </w:p>
        </w:tc>
      </w:tr>
      <w:tr w:rsidR="00EE6E8A" w:rsidRPr="00F109C5" w:rsidTr="00EE6E8A">
        <w:tc>
          <w:tcPr>
            <w:tcW w:w="5000" w:type="pct"/>
            <w:gridSpan w:val="4"/>
          </w:tcPr>
          <w:p w:rsidR="00EE6E8A" w:rsidRPr="00F109C5" w:rsidRDefault="00EE6E8A" w:rsidP="00EE6E8A">
            <w:pPr>
              <w:jc w:val="both"/>
              <w:rPr>
                <w:sz w:val="20"/>
                <w:szCs w:val="20"/>
              </w:rPr>
            </w:pPr>
          </w:p>
          <w:p w:rsidR="00EE6E8A" w:rsidRPr="00F109C5" w:rsidRDefault="00EE6E8A" w:rsidP="00EE6E8A">
            <w:pPr>
              <w:jc w:val="both"/>
              <w:rPr>
                <w:sz w:val="20"/>
                <w:szCs w:val="20"/>
              </w:rPr>
            </w:pPr>
            <w:r w:rsidRPr="00F109C5">
              <w:rPr>
                <w:sz w:val="20"/>
                <w:szCs w:val="20"/>
              </w:rPr>
              <w:t xml:space="preserve">The applicant is a 56 year old woman with disabilities and cannot work. She receives benefits pursuant to the </w:t>
            </w:r>
            <w:r w:rsidRPr="00F109C5">
              <w:rPr>
                <w:i/>
                <w:sz w:val="20"/>
                <w:szCs w:val="20"/>
              </w:rPr>
              <w:t>Employment and Assistance for Persons with Disabilities Act</w:t>
            </w:r>
            <w:r w:rsidRPr="00F109C5">
              <w:rPr>
                <w:sz w:val="20"/>
                <w:szCs w:val="20"/>
              </w:rPr>
              <w:t xml:space="preserve">, S.B.C. 2002, </w:t>
            </w:r>
            <w:proofErr w:type="gramStart"/>
            <w:r w:rsidRPr="00F109C5">
              <w:rPr>
                <w:sz w:val="20"/>
                <w:szCs w:val="20"/>
              </w:rPr>
              <w:t>c</w:t>
            </w:r>
            <w:proofErr w:type="gramEnd"/>
            <w:r w:rsidRPr="00F109C5">
              <w:rPr>
                <w:sz w:val="20"/>
                <w:szCs w:val="20"/>
              </w:rPr>
              <w:t>. 41. She is the sole beneficiary of a discretionary trust set up through a variation of her deceased father’s will by court order dated 2012 (the “Trust”), of which she and her sister are co-trustees. The respondent (“MVHC”) operates non-profit subsidized housing facilities in Vancouver, including the place where the applicant has resided since 1992. In addition to providing affordable housing, MVHC has an additional rental assistance program. Due to its policy of precluding subsidized rent to persons with assets greater than $25,000, MVHC demanded the applicant provide information about the Trust, including the amount held in trust. When she refused, she was informed that her subsidized rent would end. She has paid the rent differential under protest.</w:t>
            </w:r>
          </w:p>
          <w:p w:rsidR="00EE6E8A" w:rsidRPr="00F109C5" w:rsidRDefault="00EE6E8A" w:rsidP="00EE6E8A">
            <w:pPr>
              <w:jc w:val="both"/>
              <w:rPr>
                <w:sz w:val="20"/>
                <w:szCs w:val="20"/>
              </w:rPr>
            </w:pPr>
          </w:p>
          <w:p w:rsidR="00EE6E8A" w:rsidRPr="00F109C5" w:rsidRDefault="00EE6E8A" w:rsidP="00EE6E8A">
            <w:pPr>
              <w:jc w:val="both"/>
              <w:rPr>
                <w:sz w:val="20"/>
                <w:szCs w:val="20"/>
              </w:rPr>
            </w:pPr>
            <w:r w:rsidRPr="00F109C5">
              <w:rPr>
                <w:sz w:val="20"/>
                <w:szCs w:val="20"/>
              </w:rPr>
              <w:t>The applicant brought a petition for a declaration that the Trust is not an asset for the purposes of determining her subsidized rent, and for reimbursement of the additional amount she has paid. MVHC brought a petition seeking declarations that the disclosure of financial information to qualify for subsidized rent requires the disclosure of beneficial interests in assets, including the Trust, and that MVHC is contractually entitled to that financial information. The British Columbia Supreme Court dismissed the applicant’s petition and allowed MVHC’s petition. The British Columbia Court of Appeal dismissed the appeals.</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December 3, 2015</w:t>
            </w:r>
          </w:p>
          <w:p w:rsidR="00EE6E8A" w:rsidRPr="00F109C5" w:rsidRDefault="00EE6E8A" w:rsidP="00EE6E8A">
            <w:pPr>
              <w:jc w:val="both"/>
              <w:rPr>
                <w:sz w:val="20"/>
                <w:szCs w:val="20"/>
              </w:rPr>
            </w:pPr>
            <w:r w:rsidRPr="00F109C5">
              <w:rPr>
                <w:sz w:val="20"/>
                <w:szCs w:val="20"/>
              </w:rPr>
              <w:t>Supreme Court of British Columbia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Steeves</w:t>
            </w:r>
            <w:proofErr w:type="spellEnd"/>
            <w:r w:rsidRPr="00F109C5">
              <w:rPr>
                <w:sz w:val="20"/>
                <w:szCs w:val="20"/>
              </w:rPr>
              <w:t xml:space="preserve"> J.)</w:t>
            </w:r>
          </w:p>
          <w:p w:rsidR="00EE6E8A" w:rsidRPr="00F109C5" w:rsidRDefault="00EE6E8A" w:rsidP="00EE6E8A">
            <w:pPr>
              <w:jc w:val="both"/>
              <w:rPr>
                <w:rStyle w:val="reflex3-alt"/>
                <w:sz w:val="20"/>
                <w:szCs w:val="20"/>
                <w:lang w:val="en"/>
              </w:rPr>
            </w:pPr>
            <w:r w:rsidRPr="00F109C5">
              <w:rPr>
                <w:rStyle w:val="reflex3-alt"/>
                <w:sz w:val="20"/>
                <w:szCs w:val="20"/>
                <w:lang w:val="en"/>
              </w:rPr>
              <w:t xml:space="preserve">2015 BCSC 2260 </w:t>
            </w:r>
          </w:p>
          <w:p w:rsidR="00EE6E8A" w:rsidRPr="00F109C5" w:rsidRDefault="00EE6E8A" w:rsidP="00EE6E8A">
            <w:pPr>
              <w:jc w:val="both"/>
              <w:rPr>
                <w:rStyle w:val="reflex3-alt"/>
                <w:sz w:val="20"/>
                <w:szCs w:val="20"/>
                <w:lang w:val="en"/>
              </w:rPr>
            </w:pPr>
            <w:r w:rsidRPr="00F109C5">
              <w:rPr>
                <w:sz w:val="20"/>
                <w:szCs w:val="20"/>
              </w:rPr>
              <w:t>S155776; S156499</w:t>
            </w:r>
          </w:p>
          <w:p w:rsidR="00EE6E8A" w:rsidRPr="00F109C5" w:rsidRDefault="00EE6E8A" w:rsidP="00EE6E8A">
            <w:pPr>
              <w:jc w:val="both"/>
              <w:rPr>
                <w:sz w:val="20"/>
                <w:szCs w:val="20"/>
                <w:lang w:val="en"/>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Applicant’s petition dismissed, Respondent’s petition granted</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January 6, 2017</w:t>
            </w:r>
          </w:p>
          <w:p w:rsidR="00EE6E8A" w:rsidRPr="00F109C5" w:rsidRDefault="00EE6E8A" w:rsidP="00EE6E8A">
            <w:pPr>
              <w:jc w:val="both"/>
              <w:rPr>
                <w:sz w:val="20"/>
                <w:szCs w:val="20"/>
              </w:rPr>
            </w:pPr>
            <w:r w:rsidRPr="00F109C5">
              <w:rPr>
                <w:sz w:val="20"/>
                <w:szCs w:val="20"/>
              </w:rPr>
              <w:t>Court of Appeal for British Columbia</w:t>
            </w:r>
          </w:p>
          <w:p w:rsidR="00EE6E8A" w:rsidRPr="00F109C5" w:rsidRDefault="00EE6E8A" w:rsidP="00EE6E8A">
            <w:pPr>
              <w:jc w:val="both"/>
              <w:rPr>
                <w:sz w:val="20"/>
                <w:szCs w:val="20"/>
              </w:rPr>
            </w:pPr>
            <w:r w:rsidRPr="00F109C5">
              <w:rPr>
                <w:sz w:val="20"/>
                <w:szCs w:val="20"/>
              </w:rPr>
              <w:t>(Vancouver)</w:t>
            </w:r>
          </w:p>
          <w:p w:rsidR="00EE6E8A" w:rsidRPr="00F109C5" w:rsidRDefault="00EE6E8A" w:rsidP="00EE6E8A">
            <w:pPr>
              <w:jc w:val="both"/>
              <w:rPr>
                <w:sz w:val="20"/>
                <w:szCs w:val="20"/>
              </w:rPr>
            </w:pPr>
            <w:r w:rsidRPr="00F109C5">
              <w:rPr>
                <w:sz w:val="20"/>
                <w:szCs w:val="20"/>
              </w:rPr>
              <w:t xml:space="preserve">(Smith, Bennett and </w:t>
            </w:r>
            <w:proofErr w:type="spellStart"/>
            <w:r w:rsidRPr="00F109C5">
              <w:rPr>
                <w:sz w:val="20"/>
                <w:szCs w:val="20"/>
              </w:rPr>
              <w:t>Goepel</w:t>
            </w:r>
            <w:proofErr w:type="spellEnd"/>
            <w:r w:rsidRPr="00F109C5">
              <w:rPr>
                <w:sz w:val="20"/>
                <w:szCs w:val="20"/>
              </w:rPr>
              <w:t xml:space="preserve"> JJ.A.)</w:t>
            </w:r>
          </w:p>
          <w:p w:rsidR="00EE6E8A" w:rsidRPr="00F109C5" w:rsidRDefault="00ED1F08" w:rsidP="00EE6E8A">
            <w:pPr>
              <w:jc w:val="both"/>
              <w:rPr>
                <w:sz w:val="20"/>
                <w:szCs w:val="20"/>
              </w:rPr>
            </w:pPr>
            <w:hyperlink r:id="rId18" w:history="1">
              <w:r w:rsidR="00EE6E8A" w:rsidRPr="00F109C5">
                <w:rPr>
                  <w:rStyle w:val="Hyperlink"/>
                  <w:sz w:val="20"/>
                  <w:szCs w:val="20"/>
                </w:rPr>
                <w:t>2017 BCCA 2</w:t>
              </w:r>
            </w:hyperlink>
            <w:r w:rsidR="00EE6E8A" w:rsidRPr="00F109C5">
              <w:rPr>
                <w:sz w:val="20"/>
                <w:szCs w:val="20"/>
              </w:rPr>
              <w:t>; CA43354; CA43355</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Appeals dismissed</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May 1, 2017</w:t>
            </w:r>
          </w:p>
          <w:p w:rsidR="00EE6E8A" w:rsidRPr="00F109C5" w:rsidRDefault="00EE6E8A" w:rsidP="00EE6E8A">
            <w:pPr>
              <w:jc w:val="both"/>
              <w:rPr>
                <w:sz w:val="20"/>
                <w:szCs w:val="20"/>
              </w:rPr>
            </w:pPr>
            <w:r w:rsidRPr="00F109C5">
              <w:rPr>
                <w:sz w:val="20"/>
                <w:szCs w:val="20"/>
              </w:rPr>
              <w:t>Supreme Court of Canada</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Motions for an extension of time to serve and file the application and for an anonymity order and publication ban, and application for leave to appeal filed</w:t>
            </w:r>
          </w:p>
        </w:tc>
      </w:tr>
    </w:tbl>
    <w:p w:rsidR="00EE6E8A" w:rsidRPr="00F109C5" w:rsidRDefault="00ED1F08" w:rsidP="00EE6E8A">
      <w:pPr>
        <w:jc w:val="both"/>
        <w:rPr>
          <w:sz w:val="20"/>
          <w:szCs w:val="20"/>
        </w:rPr>
      </w:pPr>
      <w:r>
        <w:rPr>
          <w:sz w:val="20"/>
          <w:szCs w:val="20"/>
        </w:rPr>
        <w:pict>
          <v:rect id="_x0000_i1032" style="width:2in;height:1pt" o:hrpct="0" o:hralign="center" o:hrstd="t" o:hrnoshade="t" o:hr="t" fillcolor="black [3213]" stroked="f"/>
        </w:pict>
      </w:r>
    </w:p>
    <w:p w:rsidR="00EE6E8A" w:rsidRPr="00F109C5" w:rsidRDefault="00EE6E8A" w:rsidP="00EE6E8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17"/>
        <w:gridCol w:w="3607"/>
        <w:gridCol w:w="463"/>
        <w:gridCol w:w="4440"/>
      </w:tblGrid>
      <w:tr w:rsidR="00EE6E8A" w:rsidRPr="00ED1F08" w:rsidTr="00EE6E8A">
        <w:tc>
          <w:tcPr>
            <w:tcW w:w="534" w:type="pct"/>
          </w:tcPr>
          <w:p w:rsidR="00EE6E8A" w:rsidRPr="00F109C5" w:rsidRDefault="00EE6E8A" w:rsidP="00EE6E8A">
            <w:pPr>
              <w:jc w:val="both"/>
              <w:rPr>
                <w:sz w:val="20"/>
                <w:szCs w:val="20"/>
                <w:lang w:val="fr-CA"/>
              </w:rPr>
            </w:pPr>
            <w:r w:rsidRPr="00F109C5">
              <w:rPr>
                <w:rStyle w:val="SCCFileNumberChar"/>
                <w:sz w:val="20"/>
                <w:szCs w:val="20"/>
                <w:lang w:val="fr-CA"/>
              </w:rPr>
              <w:lastRenderedPageBreak/>
              <w:t>37551</w:t>
            </w:r>
          </w:p>
        </w:tc>
        <w:tc>
          <w:tcPr>
            <w:tcW w:w="4466" w:type="pct"/>
            <w:gridSpan w:val="3"/>
          </w:tcPr>
          <w:p w:rsidR="00EE6E8A" w:rsidRPr="00F109C5" w:rsidRDefault="00EE6E8A" w:rsidP="00EE6E8A">
            <w:pPr>
              <w:pStyle w:val="SCCLsocParty"/>
              <w:jc w:val="both"/>
              <w:rPr>
                <w:b/>
                <w:sz w:val="20"/>
                <w:szCs w:val="20"/>
                <w:lang w:val="en-US"/>
              </w:rPr>
            </w:pPr>
            <w:r w:rsidRPr="00F109C5">
              <w:rPr>
                <w:b/>
                <w:sz w:val="20"/>
                <w:szCs w:val="20"/>
                <w:lang w:val="en-US"/>
              </w:rPr>
              <w:t xml:space="preserve">S.A. c. Metro Vancouver Housing Corporation </w:t>
            </w:r>
          </w:p>
          <w:p w:rsidR="00EE6E8A" w:rsidRPr="00F109C5" w:rsidRDefault="00EE6E8A" w:rsidP="00EE6E8A">
            <w:pPr>
              <w:jc w:val="both"/>
              <w:rPr>
                <w:sz w:val="20"/>
                <w:szCs w:val="20"/>
                <w:lang w:val="fr-CA"/>
              </w:rPr>
            </w:pPr>
            <w:r w:rsidRPr="00F109C5">
              <w:rPr>
                <w:sz w:val="20"/>
                <w:szCs w:val="20"/>
              </w:rPr>
              <w:t xml:space="preserve"> </w:t>
            </w:r>
            <w:r w:rsidRPr="00F109C5">
              <w:rPr>
                <w:sz w:val="20"/>
                <w:szCs w:val="20"/>
                <w:lang w:val="fr-CA"/>
              </w:rPr>
              <w:t>(C.-B.) (Civile) (Sur autorisation)</w:t>
            </w:r>
          </w:p>
        </w:tc>
      </w:tr>
      <w:tr w:rsidR="00E02E61" w:rsidRPr="00ED1F08" w:rsidTr="00EE6E8A">
        <w:tc>
          <w:tcPr>
            <w:tcW w:w="534" w:type="pct"/>
          </w:tcPr>
          <w:p w:rsidR="00E02E61" w:rsidRPr="00F109C5" w:rsidRDefault="00E02E61" w:rsidP="00EE6E8A">
            <w:pPr>
              <w:jc w:val="both"/>
              <w:rPr>
                <w:rStyle w:val="SCCFileNumberChar"/>
                <w:sz w:val="20"/>
                <w:szCs w:val="20"/>
                <w:lang w:val="fr-CA"/>
              </w:rPr>
            </w:pPr>
            <w:r>
              <w:rPr>
                <w:rStyle w:val="SCCFileNumberChar"/>
                <w:sz w:val="20"/>
                <w:szCs w:val="20"/>
                <w:lang w:val="fr-CA"/>
              </w:rPr>
              <w:t>Coram :</w:t>
            </w:r>
          </w:p>
        </w:tc>
        <w:tc>
          <w:tcPr>
            <w:tcW w:w="4466" w:type="pct"/>
            <w:gridSpan w:val="3"/>
          </w:tcPr>
          <w:p w:rsidR="00E02E61" w:rsidRDefault="00E02E61" w:rsidP="00EE6E8A">
            <w:pPr>
              <w:pStyle w:val="SCCLsocParty"/>
              <w:jc w:val="both"/>
              <w:rPr>
                <w:sz w:val="20"/>
                <w:szCs w:val="20"/>
                <w:lang w:val="fr-FR"/>
              </w:rPr>
            </w:pPr>
            <w:r w:rsidRPr="00503399">
              <w:rPr>
                <w:sz w:val="20"/>
                <w:szCs w:val="20"/>
                <w:lang w:val="fr-FR"/>
              </w:rPr>
              <w:t>La juge en chef McLachlin et les juges Abella, Moldaver, Karakatsanis, Wagner, Gascon, Côté, Brown et Rowe</w:t>
            </w:r>
          </w:p>
          <w:p w:rsidR="00E02E61" w:rsidRPr="00E02E61" w:rsidRDefault="00E02E61" w:rsidP="00E02E61">
            <w:pPr>
              <w:rPr>
                <w:lang w:val="fr-FR"/>
              </w:rPr>
            </w:pPr>
          </w:p>
        </w:tc>
      </w:tr>
      <w:tr w:rsidR="00E02E61" w:rsidRPr="00ED1F08" w:rsidTr="00E02E61">
        <w:tc>
          <w:tcPr>
            <w:tcW w:w="5000" w:type="pct"/>
            <w:gridSpan w:val="4"/>
          </w:tcPr>
          <w:p w:rsidR="00E02E61" w:rsidRDefault="00E02E61" w:rsidP="00EE6E8A">
            <w:pPr>
              <w:pStyle w:val="SCCLsocParty"/>
              <w:jc w:val="both"/>
              <w:rPr>
                <w:sz w:val="20"/>
                <w:szCs w:val="20"/>
              </w:rPr>
            </w:pPr>
            <w:r w:rsidRPr="00503399">
              <w:rPr>
                <w:sz w:val="20"/>
                <w:szCs w:val="20"/>
              </w:rPr>
              <w:t xml:space="preserve">La requête en prorogation du délai de signification et de dépôt de la demande d’autorisation d’appel est accueillie. La requête visant l’emploi d’initiales en lieu et place des noms de la demanderesse et des membres de sa famille ainsi que la modification de l’intitulé de la cause en conséquence est accueillie. La requête pour une ordonnance de non-publication est rejetée. La demande d’autorisation d’appel de l’arrêt de la </w:t>
            </w:r>
            <w:r w:rsidRPr="00503399">
              <w:rPr>
                <w:sz w:val="20"/>
                <w:szCs w:val="20"/>
                <w:lang w:val="fr-FR"/>
              </w:rPr>
              <w:t>Cour d’appel de la Colombie-Britannique (Vancouver)</w:t>
            </w:r>
            <w:r w:rsidRPr="00503399">
              <w:rPr>
                <w:sz w:val="20"/>
                <w:szCs w:val="20"/>
              </w:rPr>
              <w:t xml:space="preserve">, numéros </w:t>
            </w:r>
            <w:r w:rsidRPr="00503399">
              <w:rPr>
                <w:sz w:val="20"/>
                <w:szCs w:val="20"/>
                <w:lang w:val="fr-FR"/>
              </w:rPr>
              <w:t xml:space="preserve"> CA43354 et CA43355</w:t>
            </w:r>
            <w:r w:rsidRPr="00503399">
              <w:rPr>
                <w:sz w:val="20"/>
                <w:szCs w:val="20"/>
              </w:rPr>
              <w:t xml:space="preserve">, </w:t>
            </w:r>
            <w:r w:rsidRPr="00503399">
              <w:rPr>
                <w:sz w:val="20"/>
                <w:szCs w:val="20"/>
                <w:lang w:val="fr-FR"/>
              </w:rPr>
              <w:t xml:space="preserve">2017 BCCA 2, </w:t>
            </w:r>
            <w:r w:rsidRPr="00503399">
              <w:rPr>
                <w:sz w:val="20"/>
                <w:szCs w:val="20"/>
              </w:rPr>
              <w:t xml:space="preserve">daté du </w:t>
            </w:r>
            <w:r w:rsidRPr="00503399">
              <w:rPr>
                <w:sz w:val="20"/>
                <w:szCs w:val="20"/>
                <w:lang w:val="fr-FR"/>
              </w:rPr>
              <w:t>6 janvier 2017</w:t>
            </w:r>
            <w:r w:rsidRPr="00503399">
              <w:rPr>
                <w:sz w:val="20"/>
                <w:szCs w:val="20"/>
              </w:rPr>
              <w:t>, est accueillie et la décision sur les dépens sera rendue par la formation qui entendra l’appel.</w:t>
            </w:r>
          </w:p>
          <w:p w:rsidR="00E02E61" w:rsidRPr="00E02E61" w:rsidRDefault="00E02E61" w:rsidP="00E02E61">
            <w:pPr>
              <w:rPr>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Contrats – Interprétation – Violation – Fiducies – Les éléments d’actif détenus dans une fiducie discrétionnaire sont-ils les éléments d’actif d’un bénéficiaire de la fiducie dans la détermination du droit à des prestations d’aide sociale?</w:t>
            </w:r>
          </w:p>
        </w:tc>
      </w:tr>
      <w:tr w:rsidR="00EE6E8A" w:rsidRPr="00ED1F08" w:rsidTr="00EE6E8A">
        <w:tc>
          <w:tcPr>
            <w:tcW w:w="5000" w:type="pct"/>
            <w:gridSpan w:val="4"/>
          </w:tcPr>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r w:rsidRPr="00F109C5">
              <w:rPr>
                <w:sz w:val="20"/>
                <w:szCs w:val="20"/>
                <w:lang w:val="fr-CA"/>
              </w:rPr>
              <w:t>La demanderesse, une femme âgée de 56 ans, a des incapacités et ne peut travailler. Elle reçoit des prestations sous le régime de l’</w:t>
            </w:r>
            <w:proofErr w:type="spellStart"/>
            <w:r w:rsidRPr="00F109C5">
              <w:rPr>
                <w:i/>
                <w:sz w:val="20"/>
                <w:szCs w:val="20"/>
                <w:lang w:val="fr-CA"/>
              </w:rPr>
              <w:t>Employment</w:t>
            </w:r>
            <w:proofErr w:type="spellEnd"/>
            <w:r w:rsidRPr="00F109C5">
              <w:rPr>
                <w:i/>
                <w:sz w:val="20"/>
                <w:szCs w:val="20"/>
                <w:lang w:val="fr-CA"/>
              </w:rPr>
              <w:t xml:space="preserve"> and Assistance for </w:t>
            </w:r>
            <w:proofErr w:type="spellStart"/>
            <w:r w:rsidRPr="00F109C5">
              <w:rPr>
                <w:i/>
                <w:sz w:val="20"/>
                <w:szCs w:val="20"/>
                <w:lang w:val="fr-CA"/>
              </w:rPr>
              <w:t>Persons</w:t>
            </w:r>
            <w:proofErr w:type="spellEnd"/>
            <w:r w:rsidRPr="00F109C5">
              <w:rPr>
                <w:i/>
                <w:sz w:val="20"/>
                <w:szCs w:val="20"/>
                <w:lang w:val="fr-CA"/>
              </w:rPr>
              <w:t xml:space="preserve"> </w:t>
            </w:r>
            <w:proofErr w:type="spellStart"/>
            <w:r w:rsidRPr="00F109C5">
              <w:rPr>
                <w:i/>
                <w:sz w:val="20"/>
                <w:szCs w:val="20"/>
                <w:lang w:val="fr-CA"/>
              </w:rPr>
              <w:t>with</w:t>
            </w:r>
            <w:proofErr w:type="spellEnd"/>
            <w:r w:rsidRPr="00F109C5">
              <w:rPr>
                <w:i/>
                <w:sz w:val="20"/>
                <w:szCs w:val="20"/>
                <w:lang w:val="fr-CA"/>
              </w:rPr>
              <w:t xml:space="preserve"> </w:t>
            </w:r>
            <w:proofErr w:type="spellStart"/>
            <w:r w:rsidRPr="00F109C5">
              <w:rPr>
                <w:i/>
                <w:sz w:val="20"/>
                <w:szCs w:val="20"/>
                <w:lang w:val="fr-CA"/>
              </w:rPr>
              <w:t>Disabilities</w:t>
            </w:r>
            <w:proofErr w:type="spellEnd"/>
            <w:r w:rsidRPr="00F109C5">
              <w:rPr>
                <w:i/>
                <w:sz w:val="20"/>
                <w:szCs w:val="20"/>
                <w:lang w:val="fr-CA"/>
              </w:rPr>
              <w:t xml:space="preserve"> </w:t>
            </w:r>
            <w:proofErr w:type="spellStart"/>
            <w:r w:rsidRPr="00F109C5">
              <w:rPr>
                <w:i/>
                <w:sz w:val="20"/>
                <w:szCs w:val="20"/>
                <w:lang w:val="fr-CA"/>
              </w:rPr>
              <w:t>Act</w:t>
            </w:r>
            <w:proofErr w:type="spellEnd"/>
            <w:r w:rsidRPr="00F109C5">
              <w:rPr>
                <w:sz w:val="20"/>
                <w:szCs w:val="20"/>
                <w:lang w:val="fr-CA"/>
              </w:rPr>
              <w:t xml:space="preserve">, S.B.C. 2002, ch. 41. Elle est l’unique bénéficiaire d’une fiducie discrétionnaire établie par une modification du testament de son défunt père par ordonnance judiciaire datée de 2012 (la « fiducie »), dont elle et sa sœur sont les </w:t>
            </w:r>
            <w:proofErr w:type="spellStart"/>
            <w:r w:rsidRPr="00F109C5">
              <w:rPr>
                <w:sz w:val="20"/>
                <w:szCs w:val="20"/>
                <w:lang w:val="fr-CA"/>
              </w:rPr>
              <w:t>cofiduciaires</w:t>
            </w:r>
            <w:proofErr w:type="spellEnd"/>
            <w:r w:rsidRPr="00F109C5">
              <w:rPr>
                <w:sz w:val="20"/>
                <w:szCs w:val="20"/>
                <w:lang w:val="fr-CA"/>
              </w:rPr>
              <w:t>. L’intimée (« MVHC ») exploite des habitations subventionnées sans but lucratif à Vancouver, y compris l’endroit où habite la demanderesse depuis 1992. En plus de fournir des logements abordables, MVHC a un programme additionnel de subvention de logements locatifs. En raison de sa politique qui empêche les personnes ayant plus de 25 000 $ d’actif de bénéficier de loyers subventionnés, MVHC a demandé à la demanderesse des renseignements sur la fiducie, y compris le montant détenu en fiducie. Lorsqu’elle a refusé, elle a été informée que son loyer cesserait d’être subventionné.  Elle a payé le plein loyer sous toute réserve.</w:t>
            </w:r>
          </w:p>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r w:rsidRPr="00F109C5">
              <w:rPr>
                <w:sz w:val="20"/>
                <w:szCs w:val="20"/>
                <w:lang w:val="fr-CA"/>
              </w:rPr>
              <w:t>La demanderesse a présenté une requête en jugement déclarant que la fiducie n’est pas un élément d’actif aux fins de déterminer son loyer subventionné et pour obtenir le remboursement du montant additionnel qu’elle a payé.  MVHC a présenté une requête en jugement déclarant que la communication de renseignements financiers pour avoir droit au loyer subventionné oblige la communication des intérêts bénéficiaires à l’égard d’éléments d’actif, y compris la fiducie, et que la MVHC a contractuellement le droit à ces renseignements financiers. La Cour suprême de la Colombie-Britannique a rejeté la requête de la demanderesse et a accueilli celle de MVHC. La Cour d’appel de la Colombie-Britannique a rejeté les appels.</w:t>
            </w: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3 décembre 2015</w:t>
            </w:r>
          </w:p>
          <w:p w:rsidR="00EE6E8A" w:rsidRPr="00F109C5" w:rsidRDefault="00EE6E8A" w:rsidP="00EE6E8A">
            <w:pPr>
              <w:jc w:val="both"/>
              <w:rPr>
                <w:sz w:val="20"/>
                <w:szCs w:val="20"/>
                <w:lang w:val="fr-CA"/>
              </w:rPr>
            </w:pPr>
            <w:r w:rsidRPr="00F109C5">
              <w:rPr>
                <w:sz w:val="20"/>
                <w:szCs w:val="20"/>
                <w:lang w:val="fr-CA"/>
              </w:rPr>
              <w:t>Cour suprême de la Colombie-Britannique</w:t>
            </w:r>
          </w:p>
          <w:p w:rsidR="00EE6E8A" w:rsidRPr="00F109C5" w:rsidRDefault="00EE6E8A" w:rsidP="00EE6E8A">
            <w:pPr>
              <w:jc w:val="both"/>
              <w:rPr>
                <w:sz w:val="20"/>
                <w:szCs w:val="20"/>
                <w:lang w:val="fr-CA"/>
              </w:rPr>
            </w:pPr>
            <w:r w:rsidRPr="00F109C5">
              <w:rPr>
                <w:sz w:val="20"/>
                <w:szCs w:val="20"/>
                <w:lang w:val="fr-CA"/>
              </w:rPr>
              <w:t xml:space="preserve">(Juge </w:t>
            </w:r>
            <w:proofErr w:type="spellStart"/>
            <w:r w:rsidRPr="00F109C5">
              <w:rPr>
                <w:sz w:val="20"/>
                <w:szCs w:val="20"/>
                <w:lang w:val="fr-CA"/>
              </w:rPr>
              <w:t>Steeves</w:t>
            </w:r>
            <w:proofErr w:type="spellEnd"/>
            <w:r w:rsidRPr="00F109C5">
              <w:rPr>
                <w:sz w:val="20"/>
                <w:szCs w:val="20"/>
                <w:lang w:val="fr-CA"/>
              </w:rPr>
              <w:t>)</w:t>
            </w:r>
          </w:p>
          <w:p w:rsidR="00EE6E8A" w:rsidRPr="00F109C5" w:rsidRDefault="00EE6E8A" w:rsidP="00EE6E8A">
            <w:pPr>
              <w:jc w:val="both"/>
              <w:rPr>
                <w:rStyle w:val="reflex3-alt"/>
                <w:sz w:val="20"/>
                <w:szCs w:val="20"/>
                <w:lang w:val="fr-CA"/>
              </w:rPr>
            </w:pPr>
            <w:r w:rsidRPr="00F109C5">
              <w:rPr>
                <w:rStyle w:val="reflex3-alt"/>
                <w:sz w:val="20"/>
                <w:szCs w:val="20"/>
                <w:lang w:val="fr-CA"/>
              </w:rPr>
              <w:t xml:space="preserve">2015 BCSC 2260 </w:t>
            </w:r>
          </w:p>
          <w:p w:rsidR="00EE6E8A" w:rsidRPr="00F109C5" w:rsidRDefault="00EE6E8A" w:rsidP="00EE6E8A">
            <w:pPr>
              <w:jc w:val="both"/>
              <w:rPr>
                <w:rStyle w:val="reflex3-alt"/>
                <w:sz w:val="20"/>
                <w:szCs w:val="20"/>
                <w:lang w:val="fr-CA"/>
              </w:rPr>
            </w:pPr>
            <w:r w:rsidRPr="00F109C5">
              <w:rPr>
                <w:sz w:val="20"/>
                <w:szCs w:val="20"/>
                <w:lang w:val="fr-CA"/>
              </w:rPr>
              <w:t>S155776; S156499</w:t>
            </w:r>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Jugement rejetant la requête de la demanderesse et accueillant la requête de l’intimée</w:t>
            </w:r>
          </w:p>
          <w:p w:rsidR="00EE6E8A" w:rsidRPr="00F109C5" w:rsidRDefault="00EE6E8A" w:rsidP="00EE6E8A">
            <w:pPr>
              <w:jc w:val="both"/>
              <w:rPr>
                <w:sz w:val="20"/>
                <w:szCs w:val="20"/>
                <w:lang w:val="fr-CA"/>
              </w:rPr>
            </w:pPr>
          </w:p>
        </w:tc>
      </w:tr>
    </w:tbl>
    <w:p w:rsidR="00E02E61" w:rsidRPr="009E0AA9" w:rsidRDefault="00E02E61">
      <w:pPr>
        <w:rPr>
          <w:lang w:val="fr-CA"/>
        </w:rPr>
      </w:pPr>
      <w:r w:rsidRPr="009E0AA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E8A" w:rsidRPr="00F109C5" w:rsidTr="00EE6E8A">
        <w:tc>
          <w:tcPr>
            <w:tcW w:w="2427" w:type="pct"/>
          </w:tcPr>
          <w:p w:rsidR="00EE6E8A" w:rsidRPr="00F109C5" w:rsidRDefault="00EE6E8A" w:rsidP="00EE6E8A">
            <w:pPr>
              <w:jc w:val="both"/>
              <w:rPr>
                <w:sz w:val="20"/>
                <w:szCs w:val="20"/>
                <w:lang w:val="fr-CA"/>
              </w:rPr>
            </w:pPr>
            <w:r w:rsidRPr="00F109C5">
              <w:rPr>
                <w:sz w:val="20"/>
                <w:szCs w:val="20"/>
                <w:lang w:val="fr-CA"/>
              </w:rPr>
              <w:lastRenderedPageBreak/>
              <w:t>6 janvier 2017</w:t>
            </w:r>
          </w:p>
          <w:p w:rsidR="00EE6E8A" w:rsidRPr="00F109C5" w:rsidRDefault="00EE6E8A" w:rsidP="00EE6E8A">
            <w:pPr>
              <w:jc w:val="both"/>
              <w:rPr>
                <w:sz w:val="20"/>
                <w:szCs w:val="20"/>
                <w:lang w:val="fr-CA"/>
              </w:rPr>
            </w:pPr>
            <w:r w:rsidRPr="00F109C5">
              <w:rPr>
                <w:sz w:val="20"/>
                <w:szCs w:val="20"/>
                <w:lang w:val="fr-CA"/>
              </w:rPr>
              <w:t>Cour d’appel de la Colombie-Britannique</w:t>
            </w:r>
          </w:p>
          <w:p w:rsidR="00EE6E8A" w:rsidRPr="00F109C5" w:rsidRDefault="00EE6E8A" w:rsidP="00EE6E8A">
            <w:pPr>
              <w:jc w:val="both"/>
              <w:rPr>
                <w:sz w:val="20"/>
                <w:szCs w:val="20"/>
                <w:lang w:val="fr-CA"/>
              </w:rPr>
            </w:pPr>
            <w:r w:rsidRPr="00F109C5">
              <w:rPr>
                <w:sz w:val="20"/>
                <w:szCs w:val="20"/>
                <w:lang w:val="fr-CA"/>
              </w:rPr>
              <w:t>(Vancouver)</w:t>
            </w:r>
          </w:p>
          <w:p w:rsidR="00EE6E8A" w:rsidRPr="00F109C5" w:rsidRDefault="00EE6E8A" w:rsidP="00EE6E8A">
            <w:pPr>
              <w:jc w:val="both"/>
              <w:rPr>
                <w:sz w:val="20"/>
                <w:szCs w:val="20"/>
                <w:lang w:val="fr-CA"/>
              </w:rPr>
            </w:pPr>
            <w:r w:rsidRPr="00F109C5">
              <w:rPr>
                <w:sz w:val="20"/>
                <w:szCs w:val="20"/>
                <w:lang w:val="fr-CA"/>
              </w:rPr>
              <w:t xml:space="preserve">(Juges Smith, Bennett et </w:t>
            </w:r>
            <w:proofErr w:type="spellStart"/>
            <w:r w:rsidRPr="00F109C5">
              <w:rPr>
                <w:sz w:val="20"/>
                <w:szCs w:val="20"/>
                <w:lang w:val="fr-CA"/>
              </w:rPr>
              <w:t>Goepel</w:t>
            </w:r>
            <w:proofErr w:type="spellEnd"/>
            <w:r w:rsidRPr="00F109C5">
              <w:rPr>
                <w:sz w:val="20"/>
                <w:szCs w:val="20"/>
                <w:lang w:val="fr-CA"/>
              </w:rPr>
              <w:t>)</w:t>
            </w:r>
          </w:p>
          <w:p w:rsidR="00EE6E8A" w:rsidRPr="00F109C5" w:rsidRDefault="00ED1F08" w:rsidP="00EE6E8A">
            <w:pPr>
              <w:jc w:val="both"/>
              <w:rPr>
                <w:sz w:val="20"/>
                <w:szCs w:val="20"/>
                <w:lang w:val="fr-CA"/>
              </w:rPr>
            </w:pPr>
            <w:hyperlink r:id="rId19" w:history="1">
              <w:r w:rsidR="00EE6E8A" w:rsidRPr="00F109C5">
                <w:rPr>
                  <w:rStyle w:val="Hyperlink"/>
                  <w:sz w:val="20"/>
                  <w:szCs w:val="20"/>
                  <w:lang w:val="fr-CA"/>
                </w:rPr>
                <w:t>2017 BCCA 2</w:t>
              </w:r>
            </w:hyperlink>
            <w:r w:rsidR="00EE6E8A" w:rsidRPr="00F109C5">
              <w:rPr>
                <w:sz w:val="20"/>
                <w:szCs w:val="20"/>
                <w:lang w:val="fr-CA"/>
              </w:rPr>
              <w:t>; CA43354; CA43355</w:t>
            </w:r>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Rejet des appels</w:t>
            </w:r>
          </w:p>
          <w:p w:rsidR="00EE6E8A" w:rsidRPr="00F109C5" w:rsidRDefault="00EE6E8A" w:rsidP="00EE6E8A">
            <w:pPr>
              <w:jc w:val="both"/>
              <w:rPr>
                <w:sz w:val="20"/>
                <w:szCs w:val="20"/>
                <w:lang w:val="fr-CA"/>
              </w:rPr>
            </w:pPr>
          </w:p>
        </w:tc>
      </w:tr>
      <w:tr w:rsidR="00EE6E8A" w:rsidRPr="00ED1F08" w:rsidTr="00EE6E8A">
        <w:tc>
          <w:tcPr>
            <w:tcW w:w="2427" w:type="pct"/>
          </w:tcPr>
          <w:p w:rsidR="00EE6E8A" w:rsidRPr="00F109C5" w:rsidRDefault="00EE6E8A" w:rsidP="00EE6E8A">
            <w:pPr>
              <w:jc w:val="both"/>
              <w:rPr>
                <w:sz w:val="20"/>
                <w:szCs w:val="20"/>
                <w:lang w:val="fr-CA"/>
              </w:rPr>
            </w:pPr>
            <w:r w:rsidRPr="00F109C5">
              <w:rPr>
                <w:sz w:val="20"/>
                <w:szCs w:val="20"/>
                <w:lang w:val="fr-CA"/>
              </w:rPr>
              <w:t>1</w:t>
            </w:r>
            <w:r w:rsidRPr="00F109C5">
              <w:rPr>
                <w:sz w:val="20"/>
                <w:szCs w:val="20"/>
                <w:vertAlign w:val="superscript"/>
                <w:lang w:val="fr-CA"/>
              </w:rPr>
              <w:t>er</w:t>
            </w:r>
            <w:r w:rsidRPr="00F109C5">
              <w:rPr>
                <w:sz w:val="20"/>
                <w:szCs w:val="20"/>
                <w:lang w:val="fr-CA"/>
              </w:rPr>
              <w:t xml:space="preserve"> mai 2017</w:t>
            </w:r>
          </w:p>
          <w:p w:rsidR="00EE6E8A" w:rsidRPr="00F109C5" w:rsidRDefault="00EE6E8A" w:rsidP="00EE6E8A">
            <w:pPr>
              <w:jc w:val="both"/>
              <w:rPr>
                <w:sz w:val="20"/>
                <w:szCs w:val="20"/>
                <w:lang w:val="fr-CA"/>
              </w:rPr>
            </w:pPr>
            <w:r w:rsidRPr="00F109C5">
              <w:rPr>
                <w:sz w:val="20"/>
                <w:szCs w:val="20"/>
                <w:lang w:val="fr-CA"/>
              </w:rPr>
              <w:t>Cour suprême du Canada</w:t>
            </w: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Dépôt des requêtes en prorogation du délai de signification et de dépôt de la demande et en vue d’obtenir une ordonnance d’anonymat et d’ordonnance de non-publication et de la demande d’autorisation d’appel</w:t>
            </w:r>
          </w:p>
        </w:tc>
      </w:tr>
    </w:tbl>
    <w:p w:rsidR="00EE6E8A" w:rsidRPr="00F109C5" w:rsidRDefault="00ED1F08" w:rsidP="00EE6E8A">
      <w:pPr>
        <w:jc w:val="both"/>
        <w:rPr>
          <w:sz w:val="20"/>
          <w:szCs w:val="20"/>
          <w:lang w:val="fr-CA"/>
        </w:rPr>
      </w:pPr>
      <w:r>
        <w:rPr>
          <w:sz w:val="20"/>
          <w:szCs w:val="20"/>
        </w:rPr>
        <w:pict>
          <v:rect id="_x0000_i1033" style="width:2in;height:1pt" o:hrpct="0" o:hralign="center" o:hrstd="t" o:hrnoshade="t" o:hr="t" fillcolor="black [3213]" stroked="f"/>
        </w:pict>
      </w:r>
    </w:p>
    <w:p w:rsidR="00EE6E8A" w:rsidRPr="00F109C5" w:rsidRDefault="00EE6E8A" w:rsidP="00EE6E8A">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37566</w:t>
            </w:r>
          </w:p>
        </w:tc>
        <w:tc>
          <w:tcPr>
            <w:tcW w:w="4457" w:type="pct"/>
            <w:gridSpan w:val="3"/>
          </w:tcPr>
          <w:p w:rsidR="00EE6E8A" w:rsidRPr="00F109C5" w:rsidRDefault="00E02E61" w:rsidP="00EE6E8A">
            <w:pPr>
              <w:jc w:val="both"/>
              <w:rPr>
                <w:sz w:val="20"/>
                <w:szCs w:val="20"/>
              </w:rPr>
            </w:pPr>
            <w:r w:rsidRPr="00E02E61">
              <w:rPr>
                <w:rFonts w:eastAsia="Calibri" w:cs="Times New Roman"/>
                <w:b/>
                <w:sz w:val="20"/>
                <w:szCs w:val="20"/>
              </w:rPr>
              <w:t xml:space="preserve">Yves Brunette, in his capacity as trustee of </w:t>
            </w:r>
            <w:proofErr w:type="spellStart"/>
            <w:r w:rsidRPr="00E02E61">
              <w:rPr>
                <w:rFonts w:eastAsia="Calibri" w:cs="Times New Roman"/>
                <w:b/>
                <w:sz w:val="20"/>
                <w:szCs w:val="20"/>
              </w:rPr>
              <w:t>Fiducie</w:t>
            </w:r>
            <w:proofErr w:type="spellEnd"/>
            <w:r w:rsidRPr="00E02E61">
              <w:rPr>
                <w:rFonts w:eastAsia="Calibri" w:cs="Times New Roman"/>
                <w:b/>
                <w:sz w:val="20"/>
                <w:szCs w:val="20"/>
              </w:rPr>
              <w:t xml:space="preserve"> Maynard 2004 and Jean M. Maynard, in his capacity as trustee of </w:t>
            </w:r>
            <w:proofErr w:type="spellStart"/>
            <w:r w:rsidRPr="00E02E61">
              <w:rPr>
                <w:rFonts w:eastAsia="Calibri" w:cs="Times New Roman"/>
                <w:b/>
                <w:sz w:val="20"/>
                <w:szCs w:val="20"/>
              </w:rPr>
              <w:t>Fiducie</w:t>
            </w:r>
            <w:proofErr w:type="spellEnd"/>
            <w:r w:rsidRPr="00E02E61">
              <w:rPr>
                <w:rFonts w:eastAsia="Calibri" w:cs="Times New Roman"/>
                <w:b/>
                <w:sz w:val="20"/>
                <w:szCs w:val="20"/>
              </w:rPr>
              <w:t xml:space="preserve"> Maynard 2004 v. Legault Joly </w:t>
            </w:r>
            <w:proofErr w:type="spellStart"/>
            <w:r w:rsidRPr="00E02E61">
              <w:rPr>
                <w:rFonts w:eastAsia="Calibri" w:cs="Times New Roman"/>
                <w:b/>
                <w:sz w:val="20"/>
                <w:szCs w:val="20"/>
              </w:rPr>
              <w:t>Thiffault</w:t>
            </w:r>
            <w:proofErr w:type="spellEnd"/>
            <w:r w:rsidRPr="00E02E61">
              <w:rPr>
                <w:rFonts w:eastAsia="Calibri" w:cs="Times New Roman"/>
                <w:b/>
                <w:sz w:val="20"/>
                <w:szCs w:val="20"/>
              </w:rPr>
              <w:t xml:space="preserve">, </w:t>
            </w:r>
            <w:proofErr w:type="spellStart"/>
            <w:r w:rsidRPr="00E02E61">
              <w:rPr>
                <w:rFonts w:eastAsia="Calibri" w:cs="Times New Roman"/>
                <w:b/>
                <w:sz w:val="20"/>
                <w:szCs w:val="20"/>
              </w:rPr>
              <w:t>s.e.n.c.r.l</w:t>
            </w:r>
            <w:proofErr w:type="spellEnd"/>
            <w:r w:rsidRPr="00E02E61">
              <w:rPr>
                <w:rFonts w:eastAsia="Calibri" w:cs="Times New Roman"/>
                <w:b/>
                <w:sz w:val="20"/>
                <w:szCs w:val="20"/>
              </w:rPr>
              <w:t xml:space="preserve">., LJT </w:t>
            </w:r>
            <w:proofErr w:type="spellStart"/>
            <w:r w:rsidRPr="00E02E61">
              <w:rPr>
                <w:rFonts w:eastAsia="Calibri" w:cs="Times New Roman"/>
                <w:b/>
                <w:sz w:val="20"/>
                <w:szCs w:val="20"/>
              </w:rPr>
              <w:t>Fiscalité</w:t>
            </w:r>
            <w:proofErr w:type="spellEnd"/>
            <w:r w:rsidRPr="00E02E61">
              <w:rPr>
                <w:rFonts w:eastAsia="Calibri" w:cs="Times New Roman"/>
                <w:b/>
                <w:sz w:val="20"/>
                <w:szCs w:val="20"/>
              </w:rPr>
              <w:t xml:space="preserve"> Inc., LJT </w:t>
            </w:r>
            <w:proofErr w:type="spellStart"/>
            <w:r w:rsidRPr="00E02E61">
              <w:rPr>
                <w:rFonts w:eastAsia="Calibri" w:cs="Times New Roman"/>
                <w:b/>
                <w:sz w:val="20"/>
                <w:szCs w:val="20"/>
              </w:rPr>
              <w:t>Corporatif</w:t>
            </w:r>
            <w:proofErr w:type="spellEnd"/>
            <w:r w:rsidRPr="00E02E61">
              <w:rPr>
                <w:rFonts w:eastAsia="Calibri" w:cs="Times New Roman"/>
                <w:b/>
                <w:sz w:val="20"/>
                <w:szCs w:val="20"/>
              </w:rPr>
              <w:t xml:space="preserve"> Inc., LJT </w:t>
            </w:r>
            <w:proofErr w:type="spellStart"/>
            <w:r w:rsidRPr="00E02E61">
              <w:rPr>
                <w:rFonts w:eastAsia="Calibri" w:cs="Times New Roman"/>
                <w:b/>
                <w:sz w:val="20"/>
                <w:szCs w:val="20"/>
              </w:rPr>
              <w:t>Conseil</w:t>
            </w:r>
            <w:proofErr w:type="spellEnd"/>
            <w:r w:rsidRPr="00E02E61">
              <w:rPr>
                <w:rFonts w:eastAsia="Calibri" w:cs="Times New Roman"/>
                <w:b/>
                <w:sz w:val="20"/>
                <w:szCs w:val="20"/>
              </w:rPr>
              <w:t xml:space="preserve"> Inc., LJT </w:t>
            </w:r>
            <w:proofErr w:type="spellStart"/>
            <w:r w:rsidRPr="00E02E61">
              <w:rPr>
                <w:rFonts w:eastAsia="Calibri" w:cs="Times New Roman"/>
                <w:b/>
                <w:sz w:val="20"/>
                <w:szCs w:val="20"/>
              </w:rPr>
              <w:t>Litige</w:t>
            </w:r>
            <w:proofErr w:type="spellEnd"/>
            <w:r w:rsidRPr="00E02E61">
              <w:rPr>
                <w:rFonts w:eastAsia="Calibri" w:cs="Times New Roman"/>
                <w:b/>
                <w:sz w:val="20"/>
                <w:szCs w:val="20"/>
              </w:rPr>
              <w:t xml:space="preserve"> Inc., LJT </w:t>
            </w:r>
            <w:proofErr w:type="spellStart"/>
            <w:r w:rsidRPr="00E02E61">
              <w:rPr>
                <w:rFonts w:eastAsia="Calibri" w:cs="Times New Roman"/>
                <w:b/>
                <w:sz w:val="20"/>
                <w:szCs w:val="20"/>
              </w:rPr>
              <w:t>Immobilier</w:t>
            </w:r>
            <w:proofErr w:type="spellEnd"/>
            <w:r w:rsidRPr="00E02E61">
              <w:rPr>
                <w:rFonts w:eastAsia="Calibri" w:cs="Times New Roman"/>
                <w:b/>
                <w:sz w:val="20"/>
                <w:szCs w:val="20"/>
              </w:rPr>
              <w:t xml:space="preserve"> Inc., </w:t>
            </w:r>
            <w:proofErr w:type="spellStart"/>
            <w:r w:rsidRPr="00E02E61">
              <w:rPr>
                <w:rFonts w:eastAsia="Calibri" w:cs="Times New Roman"/>
                <w:b/>
                <w:sz w:val="20"/>
                <w:szCs w:val="20"/>
              </w:rPr>
              <w:t>Lehoux</w:t>
            </w:r>
            <w:proofErr w:type="spellEnd"/>
            <w:r w:rsidRPr="00E02E61">
              <w:rPr>
                <w:rFonts w:eastAsia="Calibri" w:cs="Times New Roman"/>
                <w:b/>
                <w:sz w:val="20"/>
                <w:szCs w:val="20"/>
              </w:rPr>
              <w:t xml:space="preserve"> </w:t>
            </w:r>
            <w:proofErr w:type="spellStart"/>
            <w:r w:rsidRPr="00E02E61">
              <w:rPr>
                <w:rFonts w:eastAsia="Calibri" w:cs="Times New Roman"/>
                <w:b/>
                <w:sz w:val="20"/>
                <w:szCs w:val="20"/>
              </w:rPr>
              <w:t>Boivin</w:t>
            </w:r>
            <w:proofErr w:type="spellEnd"/>
            <w:r w:rsidRPr="00E02E61">
              <w:rPr>
                <w:rFonts w:eastAsia="Calibri" w:cs="Times New Roman"/>
                <w:b/>
                <w:sz w:val="20"/>
                <w:szCs w:val="20"/>
              </w:rPr>
              <w:t xml:space="preserve"> </w:t>
            </w:r>
            <w:proofErr w:type="spellStart"/>
            <w:r w:rsidRPr="00E02E61">
              <w:rPr>
                <w:rFonts w:eastAsia="Calibri" w:cs="Times New Roman"/>
                <w:b/>
                <w:sz w:val="20"/>
                <w:szCs w:val="20"/>
              </w:rPr>
              <w:t>Comptables</w:t>
            </w:r>
            <w:proofErr w:type="spellEnd"/>
            <w:r w:rsidRPr="00E02E61">
              <w:rPr>
                <w:rFonts w:eastAsia="Calibri" w:cs="Times New Roman"/>
                <w:b/>
                <w:sz w:val="20"/>
                <w:szCs w:val="20"/>
              </w:rPr>
              <w:t xml:space="preserve"> </w:t>
            </w:r>
            <w:proofErr w:type="spellStart"/>
            <w:r w:rsidRPr="00E02E61">
              <w:rPr>
                <w:rFonts w:eastAsia="Calibri" w:cs="Times New Roman"/>
                <w:b/>
                <w:sz w:val="20"/>
                <w:szCs w:val="20"/>
              </w:rPr>
              <w:t>Agréés</w:t>
            </w:r>
            <w:proofErr w:type="spellEnd"/>
            <w:r w:rsidRPr="00E02E61">
              <w:rPr>
                <w:rFonts w:eastAsia="Calibri" w:cs="Times New Roman"/>
                <w:b/>
                <w:sz w:val="20"/>
                <w:szCs w:val="20"/>
              </w:rPr>
              <w:t xml:space="preserve">, s.e.n.c., Marcel </w:t>
            </w:r>
            <w:proofErr w:type="spellStart"/>
            <w:r w:rsidRPr="00E02E61">
              <w:rPr>
                <w:rFonts w:eastAsia="Calibri" w:cs="Times New Roman"/>
                <w:b/>
                <w:sz w:val="20"/>
                <w:szCs w:val="20"/>
              </w:rPr>
              <w:t>Chaput</w:t>
            </w:r>
            <w:proofErr w:type="spellEnd"/>
            <w:r w:rsidRPr="00E02E61">
              <w:rPr>
                <w:rFonts w:eastAsia="Calibri" w:cs="Times New Roman"/>
                <w:b/>
                <w:sz w:val="20"/>
                <w:szCs w:val="20"/>
              </w:rPr>
              <w:t xml:space="preserve"> and </w:t>
            </w:r>
            <w:proofErr w:type="spellStart"/>
            <w:r w:rsidRPr="00E02E61">
              <w:rPr>
                <w:rFonts w:eastAsia="Calibri" w:cs="Times New Roman"/>
                <w:b/>
                <w:sz w:val="20"/>
                <w:szCs w:val="20"/>
              </w:rPr>
              <w:t>Fiscaliste</w:t>
            </w:r>
            <w:proofErr w:type="spellEnd"/>
            <w:r w:rsidRPr="00E02E61">
              <w:rPr>
                <w:rFonts w:eastAsia="Calibri" w:cs="Times New Roman"/>
                <w:b/>
                <w:sz w:val="20"/>
                <w:szCs w:val="20"/>
              </w:rPr>
              <w:t xml:space="preserve"> M.C. Inc. </w:t>
            </w:r>
            <w:r w:rsidR="00EE6E8A" w:rsidRPr="00F109C5">
              <w:rPr>
                <w:sz w:val="20"/>
                <w:szCs w:val="20"/>
              </w:rPr>
              <w:t>(Que.) (Civil) (By Leave)</w:t>
            </w:r>
          </w:p>
        </w:tc>
      </w:tr>
      <w:tr w:rsidR="00E02E61" w:rsidRPr="00F109C5" w:rsidTr="00EE6E8A">
        <w:tc>
          <w:tcPr>
            <w:tcW w:w="543" w:type="pct"/>
          </w:tcPr>
          <w:p w:rsidR="00E02E61" w:rsidRPr="00F109C5" w:rsidRDefault="00E02E61" w:rsidP="00EE6E8A">
            <w:pPr>
              <w:jc w:val="both"/>
              <w:rPr>
                <w:rStyle w:val="SCCFileNumberChar"/>
                <w:sz w:val="20"/>
                <w:szCs w:val="20"/>
              </w:rPr>
            </w:pPr>
            <w:r>
              <w:rPr>
                <w:rStyle w:val="SCCFileNumberChar"/>
                <w:sz w:val="20"/>
                <w:szCs w:val="20"/>
              </w:rPr>
              <w:t>Coram:</w:t>
            </w:r>
          </w:p>
        </w:tc>
        <w:tc>
          <w:tcPr>
            <w:tcW w:w="4457" w:type="pct"/>
            <w:gridSpan w:val="3"/>
          </w:tcPr>
          <w:p w:rsidR="00E02E61" w:rsidRDefault="00E02E61" w:rsidP="00EE6E8A">
            <w:pPr>
              <w:jc w:val="both"/>
              <w:rPr>
                <w:sz w:val="20"/>
                <w:szCs w:val="20"/>
              </w:rPr>
            </w:pPr>
            <w:r w:rsidRPr="00727522">
              <w:rPr>
                <w:sz w:val="20"/>
                <w:szCs w:val="20"/>
              </w:rPr>
              <w:t>McLachlin C.J. and Abella, Moldaver, Karakatsanis, Wagner, Gascon, Côté, Brown and Rowe JJ.</w:t>
            </w:r>
          </w:p>
          <w:p w:rsidR="00E02E61" w:rsidRPr="00E02E61" w:rsidRDefault="00E02E61" w:rsidP="00EE6E8A">
            <w:pPr>
              <w:jc w:val="both"/>
              <w:rPr>
                <w:rFonts w:eastAsia="Calibri" w:cs="Times New Roman"/>
                <w:b/>
                <w:sz w:val="20"/>
                <w:szCs w:val="20"/>
              </w:rPr>
            </w:pPr>
          </w:p>
        </w:tc>
      </w:tr>
      <w:tr w:rsidR="00E02E61" w:rsidRPr="00F109C5" w:rsidTr="00E02E61">
        <w:tc>
          <w:tcPr>
            <w:tcW w:w="5000" w:type="pct"/>
            <w:gridSpan w:val="4"/>
          </w:tcPr>
          <w:p w:rsidR="00E02E61" w:rsidRDefault="00E02E61" w:rsidP="00EE6E8A">
            <w:pPr>
              <w:jc w:val="both"/>
              <w:rPr>
                <w:sz w:val="20"/>
                <w:szCs w:val="20"/>
              </w:rPr>
            </w:pPr>
            <w:r w:rsidRPr="00727522">
              <w:rPr>
                <w:sz w:val="20"/>
                <w:szCs w:val="20"/>
              </w:rPr>
              <w:t xml:space="preserve">The application for leave to appeal from the judgment of the Court of Appeal of Quebec (Montréal), Number 500-09-025562-158, </w:t>
            </w:r>
            <w:proofErr w:type="gramStart"/>
            <w:r w:rsidRPr="00727522">
              <w:rPr>
                <w:sz w:val="20"/>
                <w:szCs w:val="20"/>
              </w:rPr>
              <w:t>2017</w:t>
            </w:r>
            <w:proofErr w:type="gramEnd"/>
            <w:r w:rsidRPr="00727522">
              <w:rPr>
                <w:sz w:val="20"/>
                <w:szCs w:val="20"/>
              </w:rPr>
              <w:t xml:space="preserve"> QCCA 391, dated March 8, 2017 is granted with costs in the cause.</w:t>
            </w:r>
          </w:p>
          <w:p w:rsidR="00E02E61" w:rsidRPr="00E02E61" w:rsidRDefault="00E02E61" w:rsidP="00EE6E8A">
            <w:pPr>
              <w:jc w:val="both"/>
              <w:rPr>
                <w:rFonts w:eastAsia="Calibri" w:cs="Times New Roman"/>
                <w:b/>
                <w:sz w:val="20"/>
                <w:szCs w:val="20"/>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 xml:space="preserve">Civil liability — Commercial law — Corporations — Corporate veil  — Shareholders’ personal interests separate from those of corporation — Whether there is categorical rule in Quebec civil law to effect that shareholder may not sue party for loss in value of shareholder’s shares as result of breach of contract by that party in relation to corporation — Whether action may be dismissed at preliminary exception stage, without any substantive analysis of causation, solely because injury suffered is considered </w:t>
            </w:r>
            <w:r w:rsidRPr="00F109C5">
              <w:rPr>
                <w:i/>
                <w:sz w:val="20"/>
                <w:szCs w:val="20"/>
              </w:rPr>
              <w:t>prima facie</w:t>
            </w:r>
            <w:r w:rsidRPr="00F109C5">
              <w:rPr>
                <w:sz w:val="20"/>
                <w:szCs w:val="20"/>
              </w:rPr>
              <w:t xml:space="preserve"> indirect.</w:t>
            </w:r>
          </w:p>
        </w:tc>
      </w:tr>
      <w:tr w:rsidR="00EE6E8A" w:rsidRPr="00F109C5" w:rsidTr="00EE6E8A">
        <w:tc>
          <w:tcPr>
            <w:tcW w:w="5000" w:type="pct"/>
            <w:gridSpan w:val="4"/>
          </w:tcPr>
          <w:p w:rsidR="00EE6E8A" w:rsidRPr="00F109C5" w:rsidRDefault="00EE6E8A" w:rsidP="00EE6E8A">
            <w:pPr>
              <w:jc w:val="both"/>
              <w:rPr>
                <w:sz w:val="20"/>
                <w:szCs w:val="20"/>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 xml:space="preserve">Between 2004 and 2008, the </w:t>
            </w:r>
            <w:proofErr w:type="spellStart"/>
            <w:r w:rsidRPr="00F109C5">
              <w:rPr>
                <w:sz w:val="20"/>
                <w:szCs w:val="20"/>
              </w:rPr>
              <w:t>Melior</w:t>
            </w:r>
            <w:proofErr w:type="spellEnd"/>
            <w:r w:rsidRPr="00F109C5">
              <w:rPr>
                <w:sz w:val="20"/>
                <w:szCs w:val="20"/>
              </w:rPr>
              <w:t xml:space="preserve"> Group, which was made up of a large number of corporations whose share capital was held in whole or in part by 9143</w:t>
            </w:r>
            <w:r w:rsidRPr="00F109C5">
              <w:rPr>
                <w:sz w:val="20"/>
                <w:szCs w:val="20"/>
              </w:rPr>
              <w:noBreakHyphen/>
              <w:t>1304 Québec inc., developed projects to build, renovate and manage seniors’ residences. In 2009, Revenu Québec issued notices of assessment against several corporations in the Group. The issuance of the notices, which was accompanied by collection action, resulted in the bankruptcy of several of those corporations and of 9143</w:t>
            </w:r>
            <w:r w:rsidRPr="00F109C5">
              <w:rPr>
                <w:sz w:val="20"/>
                <w:szCs w:val="20"/>
              </w:rPr>
              <w:noBreakHyphen/>
              <w:t xml:space="preserve">1304 Québec inc. The applicants, Yves Brunette and Jean M. Maynard, trustees of </w:t>
            </w:r>
            <w:proofErr w:type="spellStart"/>
            <w:r w:rsidRPr="00F109C5">
              <w:rPr>
                <w:sz w:val="20"/>
                <w:szCs w:val="20"/>
              </w:rPr>
              <w:t>Fiducie</w:t>
            </w:r>
            <w:proofErr w:type="spellEnd"/>
            <w:r w:rsidRPr="00F109C5">
              <w:rPr>
                <w:sz w:val="20"/>
                <w:szCs w:val="20"/>
              </w:rPr>
              <w:t xml:space="preserve"> Maynard 2004, the sole shareholder of 9143</w:t>
            </w:r>
            <w:r w:rsidRPr="00F109C5">
              <w:rPr>
                <w:sz w:val="20"/>
                <w:szCs w:val="20"/>
              </w:rPr>
              <w:noBreakHyphen/>
              <w:t xml:space="preserve">1304 Québec inc., then instituted a civil liability action for the loss in the value of the trust patrimony against the respondents, Legault Joly </w:t>
            </w:r>
            <w:proofErr w:type="spellStart"/>
            <w:r w:rsidRPr="00F109C5">
              <w:rPr>
                <w:sz w:val="20"/>
                <w:szCs w:val="20"/>
              </w:rPr>
              <w:t>Thiffault</w:t>
            </w:r>
            <w:proofErr w:type="spellEnd"/>
            <w:r w:rsidRPr="00F109C5">
              <w:rPr>
                <w:sz w:val="20"/>
                <w:szCs w:val="20"/>
              </w:rPr>
              <w:t xml:space="preserve"> LLP, LJT </w:t>
            </w:r>
            <w:proofErr w:type="spellStart"/>
            <w:r w:rsidRPr="00F109C5">
              <w:rPr>
                <w:sz w:val="20"/>
                <w:szCs w:val="20"/>
              </w:rPr>
              <w:t>Fiscalité</w:t>
            </w:r>
            <w:proofErr w:type="spellEnd"/>
            <w:r w:rsidRPr="00F109C5">
              <w:rPr>
                <w:sz w:val="20"/>
                <w:szCs w:val="20"/>
              </w:rPr>
              <w:t xml:space="preserve"> </w:t>
            </w:r>
            <w:proofErr w:type="spellStart"/>
            <w:r w:rsidRPr="00F109C5">
              <w:rPr>
                <w:sz w:val="20"/>
                <w:szCs w:val="20"/>
              </w:rPr>
              <w:t>inc.</w:t>
            </w:r>
            <w:proofErr w:type="spellEnd"/>
            <w:r w:rsidRPr="00F109C5">
              <w:rPr>
                <w:sz w:val="20"/>
                <w:szCs w:val="20"/>
              </w:rPr>
              <w:t xml:space="preserve">, LJT </w:t>
            </w:r>
            <w:proofErr w:type="spellStart"/>
            <w:r w:rsidRPr="00F109C5">
              <w:rPr>
                <w:sz w:val="20"/>
                <w:szCs w:val="20"/>
              </w:rPr>
              <w:t>Corporatif</w:t>
            </w:r>
            <w:proofErr w:type="spellEnd"/>
            <w:r w:rsidRPr="00F109C5">
              <w:rPr>
                <w:sz w:val="20"/>
                <w:szCs w:val="20"/>
              </w:rPr>
              <w:t xml:space="preserve"> </w:t>
            </w:r>
            <w:proofErr w:type="spellStart"/>
            <w:r w:rsidRPr="00F109C5">
              <w:rPr>
                <w:sz w:val="20"/>
                <w:szCs w:val="20"/>
              </w:rPr>
              <w:t>inc.</w:t>
            </w:r>
            <w:proofErr w:type="spellEnd"/>
            <w:r w:rsidRPr="00F109C5">
              <w:rPr>
                <w:sz w:val="20"/>
                <w:szCs w:val="20"/>
              </w:rPr>
              <w:t xml:space="preserve">, LJT </w:t>
            </w:r>
            <w:proofErr w:type="spellStart"/>
            <w:r w:rsidRPr="00F109C5">
              <w:rPr>
                <w:sz w:val="20"/>
                <w:szCs w:val="20"/>
              </w:rPr>
              <w:t>Conseil</w:t>
            </w:r>
            <w:proofErr w:type="spellEnd"/>
            <w:r w:rsidRPr="00F109C5">
              <w:rPr>
                <w:sz w:val="20"/>
                <w:szCs w:val="20"/>
              </w:rPr>
              <w:t xml:space="preserve"> </w:t>
            </w:r>
            <w:proofErr w:type="spellStart"/>
            <w:r w:rsidRPr="00F109C5">
              <w:rPr>
                <w:sz w:val="20"/>
                <w:szCs w:val="20"/>
              </w:rPr>
              <w:t>inc.</w:t>
            </w:r>
            <w:proofErr w:type="spellEnd"/>
            <w:r w:rsidRPr="00F109C5">
              <w:rPr>
                <w:sz w:val="20"/>
                <w:szCs w:val="20"/>
              </w:rPr>
              <w:t xml:space="preserve">, LJT </w:t>
            </w:r>
            <w:proofErr w:type="spellStart"/>
            <w:r w:rsidRPr="00F109C5">
              <w:rPr>
                <w:sz w:val="20"/>
                <w:szCs w:val="20"/>
              </w:rPr>
              <w:t>Litige</w:t>
            </w:r>
            <w:proofErr w:type="spellEnd"/>
            <w:r w:rsidRPr="00F109C5">
              <w:rPr>
                <w:sz w:val="20"/>
                <w:szCs w:val="20"/>
              </w:rPr>
              <w:t xml:space="preserve"> </w:t>
            </w:r>
            <w:proofErr w:type="spellStart"/>
            <w:r w:rsidRPr="00F109C5">
              <w:rPr>
                <w:sz w:val="20"/>
                <w:szCs w:val="20"/>
              </w:rPr>
              <w:t>inc.</w:t>
            </w:r>
            <w:proofErr w:type="spellEnd"/>
            <w:r w:rsidRPr="00F109C5">
              <w:rPr>
                <w:sz w:val="20"/>
                <w:szCs w:val="20"/>
              </w:rPr>
              <w:t xml:space="preserve">, LJT </w:t>
            </w:r>
            <w:proofErr w:type="spellStart"/>
            <w:r w:rsidRPr="00F109C5">
              <w:rPr>
                <w:sz w:val="20"/>
                <w:szCs w:val="20"/>
              </w:rPr>
              <w:t>Immobilier</w:t>
            </w:r>
            <w:proofErr w:type="spellEnd"/>
            <w:r w:rsidRPr="00F109C5">
              <w:rPr>
                <w:sz w:val="20"/>
                <w:szCs w:val="20"/>
              </w:rPr>
              <w:t xml:space="preserve"> </w:t>
            </w:r>
            <w:proofErr w:type="spellStart"/>
            <w:r w:rsidRPr="00F109C5">
              <w:rPr>
                <w:sz w:val="20"/>
                <w:szCs w:val="20"/>
              </w:rPr>
              <w:t>inc.</w:t>
            </w:r>
            <w:proofErr w:type="spellEnd"/>
            <w:r w:rsidRPr="00F109C5">
              <w:rPr>
                <w:sz w:val="20"/>
                <w:szCs w:val="20"/>
              </w:rPr>
              <w:t xml:space="preserve">, </w:t>
            </w:r>
            <w:proofErr w:type="spellStart"/>
            <w:r w:rsidRPr="00F109C5">
              <w:rPr>
                <w:sz w:val="20"/>
                <w:szCs w:val="20"/>
              </w:rPr>
              <w:t>Lehoux</w:t>
            </w:r>
            <w:proofErr w:type="spellEnd"/>
            <w:r w:rsidRPr="00F109C5">
              <w:rPr>
                <w:sz w:val="20"/>
                <w:szCs w:val="20"/>
              </w:rPr>
              <w:t xml:space="preserve"> </w:t>
            </w:r>
            <w:proofErr w:type="spellStart"/>
            <w:r w:rsidRPr="00F109C5">
              <w:rPr>
                <w:sz w:val="20"/>
                <w:szCs w:val="20"/>
              </w:rPr>
              <w:t>Boivin</w:t>
            </w:r>
            <w:proofErr w:type="spellEnd"/>
            <w:r w:rsidRPr="00F109C5">
              <w:rPr>
                <w:sz w:val="20"/>
                <w:szCs w:val="20"/>
              </w:rPr>
              <w:t xml:space="preserve"> </w:t>
            </w:r>
            <w:proofErr w:type="spellStart"/>
            <w:r w:rsidRPr="00F109C5">
              <w:rPr>
                <w:sz w:val="20"/>
                <w:szCs w:val="20"/>
              </w:rPr>
              <w:t>Comptables</w:t>
            </w:r>
            <w:proofErr w:type="spellEnd"/>
            <w:r w:rsidRPr="00F109C5">
              <w:rPr>
                <w:sz w:val="20"/>
                <w:szCs w:val="20"/>
              </w:rPr>
              <w:t xml:space="preserve"> </w:t>
            </w:r>
            <w:proofErr w:type="spellStart"/>
            <w:r w:rsidRPr="00F109C5">
              <w:rPr>
                <w:sz w:val="20"/>
                <w:szCs w:val="20"/>
              </w:rPr>
              <w:t>Agréés</w:t>
            </w:r>
            <w:proofErr w:type="spellEnd"/>
            <w:r w:rsidRPr="00F109C5">
              <w:rPr>
                <w:sz w:val="20"/>
                <w:szCs w:val="20"/>
              </w:rPr>
              <w:t xml:space="preserve">, s.e.n.c., Marcel </w:t>
            </w:r>
            <w:proofErr w:type="spellStart"/>
            <w:r w:rsidRPr="00F109C5">
              <w:rPr>
                <w:sz w:val="20"/>
                <w:szCs w:val="20"/>
              </w:rPr>
              <w:t>Chaput</w:t>
            </w:r>
            <w:proofErr w:type="spellEnd"/>
            <w:r w:rsidRPr="00F109C5">
              <w:rPr>
                <w:sz w:val="20"/>
                <w:szCs w:val="20"/>
              </w:rPr>
              <w:t xml:space="preserve"> and </w:t>
            </w:r>
            <w:proofErr w:type="spellStart"/>
            <w:r w:rsidRPr="00F109C5">
              <w:rPr>
                <w:sz w:val="20"/>
                <w:szCs w:val="20"/>
              </w:rPr>
              <w:t>Fiscaliste</w:t>
            </w:r>
            <w:proofErr w:type="spellEnd"/>
            <w:r w:rsidRPr="00F109C5">
              <w:rPr>
                <w:sz w:val="20"/>
                <w:szCs w:val="20"/>
              </w:rPr>
              <w:t xml:space="preserve"> M.C. inc. The respondents were alleged to have committed professional misconduct in setting up a tax structure that was supposed to manage the corporations’ consumption taxes and that turned out to be non</w:t>
            </w:r>
            <w:r w:rsidRPr="00F109C5">
              <w:rPr>
                <w:sz w:val="20"/>
                <w:szCs w:val="20"/>
              </w:rPr>
              <w:noBreakHyphen/>
              <w:t>compliant with legislation.</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July 22, 2015</w:t>
            </w:r>
          </w:p>
          <w:p w:rsidR="00EE6E8A" w:rsidRPr="00F109C5" w:rsidRDefault="00EE6E8A" w:rsidP="00EE6E8A">
            <w:pPr>
              <w:jc w:val="both"/>
              <w:rPr>
                <w:sz w:val="20"/>
                <w:szCs w:val="20"/>
              </w:rPr>
            </w:pPr>
            <w:r w:rsidRPr="00F109C5">
              <w:rPr>
                <w:sz w:val="20"/>
                <w:szCs w:val="20"/>
              </w:rPr>
              <w:t>Quebec Superior Court</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Mayrand</w:t>
            </w:r>
            <w:proofErr w:type="spellEnd"/>
            <w:r w:rsidRPr="00F109C5">
              <w:rPr>
                <w:sz w:val="20"/>
                <w:szCs w:val="20"/>
              </w:rPr>
              <w:t xml:space="preserve"> J.)</w:t>
            </w:r>
          </w:p>
          <w:p w:rsidR="00EE6E8A" w:rsidRPr="00F109C5" w:rsidRDefault="00ED1F08" w:rsidP="00EE6E8A">
            <w:pPr>
              <w:jc w:val="both"/>
              <w:rPr>
                <w:sz w:val="20"/>
                <w:szCs w:val="20"/>
              </w:rPr>
            </w:pPr>
            <w:hyperlink r:id="rId20" w:history="1">
              <w:r w:rsidR="00EE6E8A" w:rsidRPr="00F109C5">
                <w:rPr>
                  <w:rStyle w:val="Hyperlink"/>
                  <w:sz w:val="20"/>
                  <w:szCs w:val="20"/>
                </w:rPr>
                <w:t>2015 QCCS 3482</w:t>
              </w:r>
            </w:hyperlink>
          </w:p>
          <w:p w:rsidR="00EE6E8A" w:rsidRPr="00F109C5" w:rsidRDefault="00EE6E8A" w:rsidP="00EE6E8A">
            <w:pPr>
              <w:jc w:val="both"/>
              <w:rPr>
                <w:sz w:val="20"/>
                <w:szCs w:val="20"/>
              </w:rPr>
            </w:pPr>
            <w:r w:rsidRPr="00F109C5">
              <w:rPr>
                <w:sz w:val="20"/>
                <w:szCs w:val="20"/>
              </w:rPr>
              <w:t xml:space="preserve"> </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Motion to dismiss allowed</w:t>
            </w:r>
          </w:p>
          <w:p w:rsidR="00EE6E8A" w:rsidRPr="00F109C5" w:rsidRDefault="00EE6E8A" w:rsidP="00EE6E8A">
            <w:pPr>
              <w:jc w:val="both"/>
              <w:rPr>
                <w:sz w:val="20"/>
                <w:szCs w:val="20"/>
              </w:rPr>
            </w:pPr>
            <w:r w:rsidRPr="00F109C5">
              <w:rPr>
                <w:sz w:val="20"/>
                <w:szCs w:val="20"/>
              </w:rPr>
              <w:t>Re-</w:t>
            </w:r>
            <w:proofErr w:type="spellStart"/>
            <w:r w:rsidRPr="00F109C5">
              <w:rPr>
                <w:sz w:val="20"/>
                <w:szCs w:val="20"/>
              </w:rPr>
              <w:t>reamended</w:t>
            </w:r>
            <w:proofErr w:type="spellEnd"/>
            <w:r w:rsidRPr="00F109C5">
              <w:rPr>
                <w:sz w:val="20"/>
                <w:szCs w:val="20"/>
              </w:rPr>
              <w:t xml:space="preserve"> motion to institute proceedings, with particulars, dismissed</w:t>
            </w:r>
          </w:p>
          <w:p w:rsidR="00EE6E8A" w:rsidRPr="00F109C5" w:rsidRDefault="00EE6E8A" w:rsidP="00EE6E8A">
            <w:pPr>
              <w:jc w:val="both"/>
              <w:rPr>
                <w:sz w:val="20"/>
                <w:szCs w:val="20"/>
              </w:rPr>
            </w:pPr>
            <w:r w:rsidRPr="00F109C5">
              <w:rPr>
                <w:sz w:val="20"/>
                <w:szCs w:val="20"/>
              </w:rPr>
              <w:t xml:space="preserve"> </w:t>
            </w: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March 8, 2017</w:t>
            </w:r>
          </w:p>
          <w:p w:rsidR="00EE6E8A" w:rsidRPr="00F109C5" w:rsidRDefault="00EE6E8A" w:rsidP="00EE6E8A">
            <w:pPr>
              <w:jc w:val="both"/>
              <w:rPr>
                <w:sz w:val="20"/>
                <w:szCs w:val="20"/>
              </w:rPr>
            </w:pPr>
            <w:r w:rsidRPr="00F109C5">
              <w:rPr>
                <w:sz w:val="20"/>
                <w:szCs w:val="20"/>
              </w:rPr>
              <w:t>Quebec Court of Appeal (Montréal)</w:t>
            </w:r>
          </w:p>
          <w:p w:rsidR="00EE6E8A" w:rsidRPr="00F109C5" w:rsidRDefault="00EE6E8A" w:rsidP="00EE6E8A">
            <w:pPr>
              <w:jc w:val="both"/>
              <w:rPr>
                <w:sz w:val="20"/>
                <w:szCs w:val="20"/>
              </w:rPr>
            </w:pPr>
            <w:r w:rsidRPr="00F109C5">
              <w:rPr>
                <w:sz w:val="20"/>
                <w:szCs w:val="20"/>
              </w:rPr>
              <w:t xml:space="preserve">(Morissette, </w:t>
            </w:r>
            <w:proofErr w:type="spellStart"/>
            <w:r w:rsidRPr="00F109C5">
              <w:rPr>
                <w:sz w:val="20"/>
                <w:szCs w:val="20"/>
              </w:rPr>
              <w:t>Bich</w:t>
            </w:r>
            <w:proofErr w:type="spellEnd"/>
            <w:r w:rsidRPr="00F109C5">
              <w:rPr>
                <w:sz w:val="20"/>
                <w:szCs w:val="20"/>
              </w:rPr>
              <w:t xml:space="preserve"> and Hogue JJ.A.)</w:t>
            </w:r>
          </w:p>
          <w:p w:rsidR="00EE6E8A" w:rsidRPr="00F109C5" w:rsidRDefault="00ED1F08" w:rsidP="00EE6E8A">
            <w:pPr>
              <w:jc w:val="both"/>
              <w:rPr>
                <w:sz w:val="20"/>
                <w:szCs w:val="20"/>
              </w:rPr>
            </w:pPr>
            <w:hyperlink r:id="rId21" w:history="1">
              <w:r w:rsidR="00EE6E8A" w:rsidRPr="00F109C5">
                <w:rPr>
                  <w:rStyle w:val="Hyperlink"/>
                  <w:sz w:val="20"/>
                  <w:szCs w:val="20"/>
                </w:rPr>
                <w:t>2017 QCCA 391</w:t>
              </w:r>
            </w:hyperlink>
          </w:p>
          <w:p w:rsidR="00EE6E8A" w:rsidRPr="00F109C5" w:rsidRDefault="00EE6E8A" w:rsidP="00EE6E8A">
            <w:pPr>
              <w:jc w:val="both"/>
              <w:rPr>
                <w:sz w:val="20"/>
                <w:szCs w:val="20"/>
              </w:rPr>
            </w:pPr>
            <w:r w:rsidRPr="00F109C5">
              <w:rPr>
                <w:sz w:val="20"/>
                <w:szCs w:val="20"/>
              </w:rPr>
              <w:t xml:space="preserve"> </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Appeal dismissed</w:t>
            </w:r>
          </w:p>
          <w:p w:rsidR="00EE6E8A" w:rsidRPr="00F109C5" w:rsidRDefault="00EE6E8A" w:rsidP="00EE6E8A">
            <w:pPr>
              <w:jc w:val="both"/>
              <w:rPr>
                <w:sz w:val="20"/>
                <w:szCs w:val="20"/>
              </w:rPr>
            </w:pPr>
            <w:r w:rsidRPr="00F109C5">
              <w:rPr>
                <w:sz w:val="20"/>
                <w:szCs w:val="20"/>
              </w:rPr>
              <w:t xml:space="preserve"> </w:t>
            </w:r>
          </w:p>
        </w:tc>
      </w:tr>
    </w:tbl>
    <w:p w:rsidR="00E02E61" w:rsidRDefault="00E02E6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E8A" w:rsidRPr="00F109C5" w:rsidTr="00EE6E8A">
        <w:tc>
          <w:tcPr>
            <w:tcW w:w="2427" w:type="pct"/>
          </w:tcPr>
          <w:p w:rsidR="00EE6E8A" w:rsidRPr="00F109C5" w:rsidRDefault="00EE6E8A" w:rsidP="00EE6E8A">
            <w:pPr>
              <w:jc w:val="both"/>
              <w:rPr>
                <w:sz w:val="20"/>
                <w:szCs w:val="20"/>
              </w:rPr>
            </w:pPr>
            <w:r w:rsidRPr="00F109C5">
              <w:rPr>
                <w:sz w:val="20"/>
                <w:szCs w:val="20"/>
              </w:rPr>
              <w:lastRenderedPageBreak/>
              <w:t>May 8, 2017</w:t>
            </w:r>
          </w:p>
          <w:p w:rsidR="00EE6E8A" w:rsidRPr="00F109C5" w:rsidRDefault="00EE6E8A" w:rsidP="00EE6E8A">
            <w:pPr>
              <w:jc w:val="both"/>
              <w:rPr>
                <w:sz w:val="20"/>
                <w:szCs w:val="20"/>
              </w:rPr>
            </w:pPr>
            <w:r w:rsidRPr="00F109C5">
              <w:rPr>
                <w:sz w:val="20"/>
                <w:szCs w:val="20"/>
              </w:rPr>
              <w:t>Supreme Court of Canada</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Application for leave to appeal filed</w:t>
            </w:r>
          </w:p>
          <w:p w:rsidR="00EE6E8A" w:rsidRPr="00F109C5" w:rsidRDefault="00EE6E8A" w:rsidP="00EE6E8A">
            <w:pPr>
              <w:jc w:val="both"/>
              <w:rPr>
                <w:sz w:val="20"/>
                <w:szCs w:val="20"/>
              </w:rPr>
            </w:pPr>
          </w:p>
        </w:tc>
      </w:tr>
    </w:tbl>
    <w:p w:rsidR="00EE6E8A" w:rsidRPr="00F109C5" w:rsidRDefault="00ED1F08" w:rsidP="00EE6E8A">
      <w:pPr>
        <w:jc w:val="both"/>
        <w:rPr>
          <w:sz w:val="20"/>
          <w:szCs w:val="20"/>
        </w:rPr>
      </w:pPr>
      <w:r>
        <w:rPr>
          <w:sz w:val="20"/>
          <w:szCs w:val="20"/>
        </w:rPr>
        <w:pict>
          <v:rect id="_x0000_i1034" style="width:2in;height:1pt" o:hrpct="0" o:hralign="center" o:hrstd="t" o:hrnoshade="t" o:hr="t" fillcolor="black [3213]" stroked="f"/>
        </w:pict>
      </w:r>
    </w:p>
    <w:p w:rsidR="00EE6E8A" w:rsidRPr="00F109C5" w:rsidRDefault="00EE6E8A" w:rsidP="00EE6E8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37566</w:t>
            </w:r>
          </w:p>
        </w:tc>
        <w:tc>
          <w:tcPr>
            <w:tcW w:w="4457" w:type="pct"/>
            <w:gridSpan w:val="3"/>
          </w:tcPr>
          <w:p w:rsidR="00EE6E8A" w:rsidRDefault="00E02E61" w:rsidP="00EE6E8A">
            <w:pPr>
              <w:jc w:val="both"/>
              <w:rPr>
                <w:sz w:val="20"/>
                <w:szCs w:val="20"/>
              </w:rPr>
            </w:pPr>
            <w:r w:rsidRPr="00E02E61">
              <w:rPr>
                <w:rFonts w:eastAsia="Calibri" w:cs="Times New Roman"/>
                <w:b/>
                <w:sz w:val="20"/>
                <w:szCs w:val="20"/>
                <w:lang w:val="fr-CA"/>
              </w:rPr>
              <w:t xml:space="preserve">Yves Brunette, ès qualités de fiduciaire de Fiducie Maynard 2004 et Jean M. Maynard, ès qualités de fiduciaire de Fiducie Maynard 2004 c. Legault Joly </w:t>
            </w:r>
            <w:proofErr w:type="spellStart"/>
            <w:r w:rsidRPr="00E02E61">
              <w:rPr>
                <w:rFonts w:eastAsia="Calibri" w:cs="Times New Roman"/>
                <w:b/>
                <w:sz w:val="20"/>
                <w:szCs w:val="20"/>
                <w:lang w:val="fr-CA"/>
              </w:rPr>
              <w:t>Thiffault</w:t>
            </w:r>
            <w:proofErr w:type="spellEnd"/>
            <w:r w:rsidRPr="00E02E61">
              <w:rPr>
                <w:rFonts w:eastAsia="Calibri" w:cs="Times New Roman"/>
                <w:b/>
                <w:sz w:val="20"/>
                <w:szCs w:val="20"/>
                <w:lang w:val="fr-CA"/>
              </w:rPr>
              <w:t xml:space="preserve">, </w:t>
            </w:r>
            <w:proofErr w:type="spellStart"/>
            <w:proofErr w:type="gramStart"/>
            <w:r w:rsidRPr="00E02E61">
              <w:rPr>
                <w:rFonts w:eastAsia="Calibri" w:cs="Times New Roman"/>
                <w:b/>
                <w:sz w:val="20"/>
                <w:szCs w:val="20"/>
                <w:lang w:val="fr-CA"/>
              </w:rPr>
              <w:t>s.e.n.c.r.l</w:t>
            </w:r>
            <w:proofErr w:type="spellEnd"/>
            <w:r w:rsidRPr="00E02E61">
              <w:rPr>
                <w:rFonts w:eastAsia="Calibri" w:cs="Times New Roman"/>
                <w:b/>
                <w:sz w:val="20"/>
                <w:szCs w:val="20"/>
                <w:lang w:val="fr-CA"/>
              </w:rPr>
              <w:t>.,</w:t>
            </w:r>
            <w:proofErr w:type="gramEnd"/>
            <w:r w:rsidRPr="00E02E61">
              <w:rPr>
                <w:rFonts w:eastAsia="Calibri" w:cs="Times New Roman"/>
                <w:b/>
                <w:sz w:val="20"/>
                <w:szCs w:val="20"/>
                <w:lang w:val="fr-CA"/>
              </w:rPr>
              <w:t xml:space="preserve"> LJT Fiscalité Inc., LJT Corporatif Inc., LJT Conseil Inc., LJT Litige Inc., LJT Immobilier Inc., </w:t>
            </w:r>
            <w:proofErr w:type="spellStart"/>
            <w:r w:rsidRPr="00E02E61">
              <w:rPr>
                <w:rFonts w:eastAsia="Calibri" w:cs="Times New Roman"/>
                <w:b/>
                <w:sz w:val="20"/>
                <w:szCs w:val="20"/>
                <w:lang w:val="fr-CA"/>
              </w:rPr>
              <w:t>Lehoux</w:t>
            </w:r>
            <w:proofErr w:type="spellEnd"/>
            <w:r w:rsidRPr="00E02E61">
              <w:rPr>
                <w:rFonts w:eastAsia="Calibri" w:cs="Times New Roman"/>
                <w:b/>
                <w:sz w:val="20"/>
                <w:szCs w:val="20"/>
                <w:lang w:val="fr-CA"/>
              </w:rPr>
              <w:t xml:space="preserve"> Boivin Comptables Agréés, s.e.n.c., Marcel Chaput et Fiscaliste M.C. Inc. </w:t>
            </w:r>
            <w:r w:rsidR="00EE6E8A" w:rsidRPr="00F109C5">
              <w:rPr>
                <w:sz w:val="20"/>
                <w:szCs w:val="20"/>
              </w:rPr>
              <w:t>(Qc) (Civile) (Autorisation)</w:t>
            </w:r>
          </w:p>
          <w:p w:rsidR="00E02E61" w:rsidRPr="00F109C5" w:rsidRDefault="00E02E61" w:rsidP="00EE6E8A">
            <w:pPr>
              <w:jc w:val="both"/>
              <w:rPr>
                <w:sz w:val="20"/>
                <w:szCs w:val="20"/>
              </w:rPr>
            </w:pPr>
          </w:p>
        </w:tc>
      </w:tr>
      <w:tr w:rsidR="00E02E61" w:rsidRPr="00ED1F08" w:rsidTr="00EE6E8A">
        <w:tc>
          <w:tcPr>
            <w:tcW w:w="543" w:type="pct"/>
          </w:tcPr>
          <w:p w:rsidR="00E02E61" w:rsidRPr="00F109C5" w:rsidRDefault="00E02E61" w:rsidP="00EE6E8A">
            <w:pPr>
              <w:jc w:val="both"/>
              <w:rPr>
                <w:rStyle w:val="SCCFileNumberChar"/>
                <w:sz w:val="20"/>
                <w:szCs w:val="20"/>
              </w:rPr>
            </w:pPr>
            <w:r>
              <w:rPr>
                <w:rStyle w:val="SCCFileNumberChar"/>
                <w:sz w:val="20"/>
                <w:szCs w:val="20"/>
              </w:rPr>
              <w:t>Coram:</w:t>
            </w:r>
          </w:p>
        </w:tc>
        <w:tc>
          <w:tcPr>
            <w:tcW w:w="4457" w:type="pct"/>
            <w:gridSpan w:val="3"/>
          </w:tcPr>
          <w:p w:rsidR="00E02E61" w:rsidRDefault="00E02E61" w:rsidP="00EE6E8A">
            <w:pPr>
              <w:pStyle w:val="SCCLsocParty"/>
              <w:jc w:val="both"/>
              <w:rPr>
                <w:sz w:val="20"/>
                <w:szCs w:val="20"/>
              </w:rPr>
            </w:pPr>
            <w:r w:rsidRPr="00727522">
              <w:rPr>
                <w:sz w:val="20"/>
                <w:szCs w:val="20"/>
              </w:rPr>
              <w:t>La juge en chef McLachlin et les juges Abella, Moldaver, Karakatsanis, Wagner, Gascon, Côté, Brown et Rowe</w:t>
            </w:r>
          </w:p>
          <w:p w:rsidR="00E02E61" w:rsidRPr="00E02E61" w:rsidRDefault="00E02E61" w:rsidP="00E02E61">
            <w:pPr>
              <w:rPr>
                <w:lang w:val="fr-CA"/>
              </w:rPr>
            </w:pPr>
          </w:p>
        </w:tc>
      </w:tr>
      <w:tr w:rsidR="00E02E61" w:rsidRPr="00ED1F08" w:rsidTr="00E02E61">
        <w:tc>
          <w:tcPr>
            <w:tcW w:w="5000" w:type="pct"/>
            <w:gridSpan w:val="4"/>
          </w:tcPr>
          <w:p w:rsidR="00E02E61" w:rsidRDefault="00E02E61" w:rsidP="00EE6E8A">
            <w:pPr>
              <w:pStyle w:val="SCCLsocParty"/>
              <w:jc w:val="both"/>
              <w:rPr>
                <w:sz w:val="20"/>
                <w:szCs w:val="20"/>
              </w:rPr>
            </w:pPr>
            <w:r w:rsidRPr="00727522">
              <w:rPr>
                <w:sz w:val="20"/>
                <w:szCs w:val="20"/>
              </w:rPr>
              <w:t>La demande d’autorisation d’appel de l’arrêt de la Cour d’appel du Québec (Montréal), numéro 500-09-025562-158, 2017 QCCA 391, daté du 8 mars 2017, est accueillie avec dépens suivant l’issue de la cause.</w:t>
            </w:r>
          </w:p>
          <w:p w:rsidR="00E02E61" w:rsidRPr="00E02E61" w:rsidRDefault="00E02E61" w:rsidP="00E02E61">
            <w:pPr>
              <w:rPr>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Responsabilité civile — Droit commercial — Sociétés par actions — Voile corporatif  — Intérêts personnels des actionnaires distincts de ceux de la société — Existe-t-il en droit civil québécois une règle catégorique selon laquelle un actionnaire ne peut poursuivre une partie pour la perte de valeur de ses actions, suite à un manquement contractuel de cette partie envers elle? — Un recours peut-il être rejeté, au stade des moyens préliminaires et sans procéder à une analyse de la causalité sur le fond, pour l’unique raison que le préjudice subi serait jugé indirect </w:t>
            </w:r>
            <w:r w:rsidRPr="00F109C5">
              <w:rPr>
                <w:i/>
                <w:sz w:val="20"/>
                <w:szCs w:val="20"/>
                <w:lang w:val="fr-CA"/>
              </w:rPr>
              <w:t xml:space="preserve">prima </w:t>
            </w:r>
            <w:proofErr w:type="spellStart"/>
            <w:r w:rsidRPr="00F109C5">
              <w:rPr>
                <w:i/>
                <w:sz w:val="20"/>
                <w:szCs w:val="20"/>
                <w:lang w:val="fr-CA"/>
              </w:rPr>
              <w:t>facie</w:t>
            </w:r>
            <w:proofErr w:type="spellEnd"/>
            <w:r w:rsidRPr="00F109C5">
              <w:rPr>
                <w:sz w:val="20"/>
                <w:szCs w:val="20"/>
                <w:lang w:val="fr-CA"/>
              </w:rPr>
              <w:t>?</w:t>
            </w:r>
          </w:p>
        </w:tc>
      </w:tr>
      <w:tr w:rsidR="00EE6E8A" w:rsidRPr="00ED1F08" w:rsidTr="00EE6E8A">
        <w:tc>
          <w:tcPr>
            <w:tcW w:w="5000" w:type="pct"/>
            <w:gridSpan w:val="4"/>
          </w:tcPr>
          <w:p w:rsidR="00EE6E8A" w:rsidRPr="00F109C5" w:rsidRDefault="00EE6E8A" w:rsidP="00EE6E8A">
            <w:pPr>
              <w:jc w:val="both"/>
              <w:rPr>
                <w:sz w:val="20"/>
                <w:szCs w:val="20"/>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Entre 2004 et 2008, le Groupe </w:t>
            </w:r>
            <w:proofErr w:type="spellStart"/>
            <w:r w:rsidRPr="00F109C5">
              <w:rPr>
                <w:sz w:val="20"/>
                <w:szCs w:val="20"/>
                <w:lang w:val="fr-CA"/>
              </w:rPr>
              <w:t>Melior</w:t>
            </w:r>
            <w:proofErr w:type="spellEnd"/>
            <w:r w:rsidRPr="00F109C5">
              <w:rPr>
                <w:sz w:val="20"/>
                <w:szCs w:val="20"/>
                <w:lang w:val="fr-CA"/>
              </w:rPr>
              <w:t xml:space="preserve">, composé de nombreuses sociétés donc le </w:t>
            </w:r>
            <w:proofErr w:type="spellStart"/>
            <w:r w:rsidRPr="00F109C5">
              <w:rPr>
                <w:sz w:val="20"/>
                <w:szCs w:val="20"/>
                <w:lang w:val="fr-CA"/>
              </w:rPr>
              <w:t>capital-action</w:t>
            </w:r>
            <w:proofErr w:type="spellEnd"/>
            <w:r w:rsidRPr="00F109C5">
              <w:rPr>
                <w:sz w:val="20"/>
                <w:szCs w:val="20"/>
                <w:lang w:val="fr-CA"/>
              </w:rPr>
              <w:t xml:space="preserve"> est détenu en tout ou en partie par la société 9143-1304 Québec inc., développe des projets de construction, de réfection et de gestion de résidences pour aînés. En 2009, Revenu Québec émet des avis de cotisation à l’encontre de plusieurs sociétés du Groupe. L’émission de ces avis accompagnée de mesures de perception ont entraîné la faillite des plusieurs de ces sociétés et de la société 9143-1304 Québec inc. Les demandeurs, Messieurs Yves Brunette et Jean M. Maynard, fiduciaires de la Fiducie Maynard 2004, actionnaire unique de 9143-1304 Québec inc., ont alors entrepris une action en responsabilité civile pour perte de valeur du patrimoine de la fiducie contre les intimés, Legault Joly </w:t>
            </w:r>
            <w:proofErr w:type="spellStart"/>
            <w:r w:rsidRPr="00F109C5">
              <w:rPr>
                <w:sz w:val="20"/>
                <w:szCs w:val="20"/>
                <w:lang w:val="fr-CA"/>
              </w:rPr>
              <w:t>Thiffault</w:t>
            </w:r>
            <w:proofErr w:type="spellEnd"/>
            <w:r w:rsidRPr="00F109C5">
              <w:rPr>
                <w:sz w:val="20"/>
                <w:szCs w:val="20"/>
                <w:lang w:val="fr-CA"/>
              </w:rPr>
              <w:t xml:space="preserve">, </w:t>
            </w:r>
            <w:proofErr w:type="spellStart"/>
            <w:r w:rsidRPr="00F109C5">
              <w:rPr>
                <w:sz w:val="20"/>
                <w:szCs w:val="20"/>
                <w:lang w:val="fr-CA"/>
              </w:rPr>
              <w:t>s.e.n.c.r.l</w:t>
            </w:r>
            <w:proofErr w:type="spellEnd"/>
            <w:r w:rsidRPr="00F109C5">
              <w:rPr>
                <w:sz w:val="20"/>
                <w:szCs w:val="20"/>
                <w:lang w:val="fr-CA"/>
              </w:rPr>
              <w:t xml:space="preserve">., LJT Fiscalité inc., LJT Corporatif inc., LJT Conseil inc., LJT Litige inc., LJT Immobilier </w:t>
            </w:r>
            <w:proofErr w:type="spellStart"/>
            <w:r w:rsidRPr="00F109C5">
              <w:rPr>
                <w:sz w:val="20"/>
                <w:szCs w:val="20"/>
                <w:lang w:val="fr-CA"/>
              </w:rPr>
              <w:t>inc.</w:t>
            </w:r>
            <w:proofErr w:type="spellEnd"/>
            <w:r w:rsidRPr="00F109C5">
              <w:rPr>
                <w:sz w:val="20"/>
                <w:szCs w:val="20"/>
                <w:lang w:val="fr-CA"/>
              </w:rPr>
              <w:t xml:space="preserve">, </w:t>
            </w:r>
            <w:proofErr w:type="spellStart"/>
            <w:r w:rsidRPr="00F109C5">
              <w:rPr>
                <w:sz w:val="20"/>
                <w:szCs w:val="20"/>
                <w:lang w:val="fr-CA"/>
              </w:rPr>
              <w:t>Lehoux</w:t>
            </w:r>
            <w:proofErr w:type="spellEnd"/>
            <w:r w:rsidRPr="00F109C5">
              <w:rPr>
                <w:sz w:val="20"/>
                <w:szCs w:val="20"/>
                <w:lang w:val="fr-CA"/>
              </w:rPr>
              <w:t xml:space="preserve"> Boivin Comptables Agréés, s.e.n.c., Marcel Chaput et Fiscaliste M.C. inc. Ces derniers auraient commis des fautes professionnelles dans la mise en place d’une structure fiscale qui devait assurer la gestion des taxes à la consommation de ces sociétés et qui s’est avérée non conforme à la législation.</w:t>
            </w: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Le 22 juillet 2015</w:t>
            </w:r>
          </w:p>
          <w:p w:rsidR="00EE6E8A" w:rsidRPr="00F109C5" w:rsidRDefault="00EE6E8A" w:rsidP="00EE6E8A">
            <w:pPr>
              <w:jc w:val="both"/>
              <w:rPr>
                <w:sz w:val="20"/>
                <w:szCs w:val="20"/>
                <w:lang w:val="fr-CA"/>
              </w:rPr>
            </w:pPr>
            <w:r w:rsidRPr="00F109C5">
              <w:rPr>
                <w:sz w:val="20"/>
                <w:szCs w:val="20"/>
                <w:lang w:val="fr-CA"/>
              </w:rPr>
              <w:t>Cour supérieure du Québec</w:t>
            </w:r>
          </w:p>
          <w:p w:rsidR="00EE6E8A" w:rsidRPr="00F109C5" w:rsidRDefault="00EE6E8A" w:rsidP="00EE6E8A">
            <w:pPr>
              <w:jc w:val="both"/>
              <w:rPr>
                <w:sz w:val="20"/>
                <w:szCs w:val="20"/>
              </w:rPr>
            </w:pPr>
            <w:r w:rsidRPr="00F109C5">
              <w:rPr>
                <w:sz w:val="20"/>
                <w:szCs w:val="20"/>
              </w:rPr>
              <w:t xml:space="preserve">(La </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Mayrand</w:t>
            </w:r>
            <w:proofErr w:type="spellEnd"/>
            <w:r w:rsidRPr="00F109C5">
              <w:rPr>
                <w:sz w:val="20"/>
                <w:szCs w:val="20"/>
              </w:rPr>
              <w:t>)</w:t>
            </w:r>
          </w:p>
          <w:p w:rsidR="00EE6E8A" w:rsidRPr="00F109C5" w:rsidRDefault="00ED1F08" w:rsidP="00EE6E8A">
            <w:pPr>
              <w:jc w:val="both"/>
              <w:rPr>
                <w:sz w:val="20"/>
                <w:szCs w:val="20"/>
              </w:rPr>
            </w:pPr>
            <w:hyperlink r:id="rId22" w:history="1">
              <w:r w:rsidR="00EE6E8A" w:rsidRPr="00F109C5">
                <w:rPr>
                  <w:rStyle w:val="Hyperlink"/>
                  <w:sz w:val="20"/>
                  <w:szCs w:val="20"/>
                </w:rPr>
                <w:t>2015 QCCS 3482</w:t>
              </w:r>
            </w:hyperlink>
          </w:p>
          <w:p w:rsidR="00EE6E8A" w:rsidRPr="00F109C5" w:rsidRDefault="00EE6E8A" w:rsidP="00EE6E8A">
            <w:pPr>
              <w:jc w:val="both"/>
              <w:rPr>
                <w:sz w:val="20"/>
                <w:szCs w:val="20"/>
              </w:rPr>
            </w:pPr>
            <w:r w:rsidRPr="00F109C5">
              <w:rPr>
                <w:sz w:val="20"/>
                <w:szCs w:val="20"/>
              </w:rPr>
              <w:t xml:space="preserve"> </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Requête en irrecevabilité accueillie.</w:t>
            </w:r>
          </w:p>
          <w:p w:rsidR="00EE6E8A" w:rsidRPr="00F109C5" w:rsidRDefault="00EE6E8A" w:rsidP="00EE6E8A">
            <w:pPr>
              <w:jc w:val="both"/>
              <w:rPr>
                <w:sz w:val="20"/>
                <w:szCs w:val="20"/>
                <w:lang w:val="fr-CA"/>
              </w:rPr>
            </w:pPr>
            <w:r w:rsidRPr="00F109C5">
              <w:rPr>
                <w:sz w:val="20"/>
                <w:szCs w:val="20"/>
                <w:lang w:val="fr-CA"/>
              </w:rPr>
              <w:t xml:space="preserve">Requête introductive d’instance </w:t>
            </w:r>
            <w:proofErr w:type="spellStart"/>
            <w:r w:rsidRPr="00F109C5">
              <w:rPr>
                <w:sz w:val="20"/>
                <w:szCs w:val="20"/>
                <w:lang w:val="fr-CA"/>
              </w:rPr>
              <w:t>ré-ré</w:t>
            </w:r>
            <w:proofErr w:type="spellEnd"/>
            <w:r w:rsidRPr="00F109C5">
              <w:rPr>
                <w:sz w:val="20"/>
                <w:szCs w:val="20"/>
                <w:lang w:val="fr-CA"/>
              </w:rPr>
              <w:t> amendée et précisée rejetée.</w:t>
            </w:r>
          </w:p>
          <w:p w:rsidR="00EE6E8A" w:rsidRPr="00F109C5" w:rsidRDefault="00EE6E8A" w:rsidP="00EE6E8A">
            <w:pPr>
              <w:jc w:val="both"/>
              <w:rPr>
                <w:sz w:val="20"/>
                <w:szCs w:val="20"/>
                <w:lang w:val="fr-CA"/>
              </w:rPr>
            </w:pPr>
            <w:r w:rsidRPr="00F109C5">
              <w:rPr>
                <w:sz w:val="20"/>
                <w:szCs w:val="20"/>
                <w:lang w:val="fr-CA"/>
              </w:rPr>
              <w:t xml:space="preserve"> </w:t>
            </w:r>
          </w:p>
        </w:tc>
      </w:tr>
      <w:tr w:rsidR="00EE6E8A" w:rsidRPr="00F109C5"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Le 8 mars 2017</w:t>
            </w:r>
          </w:p>
          <w:p w:rsidR="00EE6E8A" w:rsidRPr="00F109C5" w:rsidRDefault="00EE6E8A" w:rsidP="00EE6E8A">
            <w:pPr>
              <w:jc w:val="both"/>
              <w:rPr>
                <w:sz w:val="20"/>
                <w:szCs w:val="20"/>
                <w:lang w:val="fr-CA"/>
              </w:rPr>
            </w:pPr>
            <w:r w:rsidRPr="00F109C5">
              <w:rPr>
                <w:sz w:val="20"/>
                <w:szCs w:val="20"/>
                <w:lang w:val="fr-CA"/>
              </w:rPr>
              <w:t>Cour d’appel du Québec (Montréal)</w:t>
            </w:r>
          </w:p>
          <w:p w:rsidR="00EE6E8A" w:rsidRPr="00F109C5" w:rsidRDefault="00EE6E8A" w:rsidP="00EE6E8A">
            <w:pPr>
              <w:jc w:val="both"/>
              <w:rPr>
                <w:sz w:val="20"/>
                <w:szCs w:val="20"/>
                <w:lang w:val="fr-CA"/>
              </w:rPr>
            </w:pPr>
            <w:r w:rsidRPr="00F109C5">
              <w:rPr>
                <w:sz w:val="20"/>
                <w:szCs w:val="20"/>
                <w:lang w:val="fr-CA"/>
              </w:rPr>
              <w:t xml:space="preserve">(Les juges Morissette, </w:t>
            </w:r>
            <w:proofErr w:type="spellStart"/>
            <w:r w:rsidRPr="00F109C5">
              <w:rPr>
                <w:sz w:val="20"/>
                <w:szCs w:val="20"/>
                <w:lang w:val="fr-CA"/>
              </w:rPr>
              <w:t>Bich</w:t>
            </w:r>
            <w:proofErr w:type="spellEnd"/>
            <w:r w:rsidRPr="00F109C5">
              <w:rPr>
                <w:sz w:val="20"/>
                <w:szCs w:val="20"/>
                <w:lang w:val="fr-CA"/>
              </w:rPr>
              <w:t xml:space="preserve"> et </w:t>
            </w:r>
            <w:proofErr w:type="spellStart"/>
            <w:r w:rsidRPr="00F109C5">
              <w:rPr>
                <w:sz w:val="20"/>
                <w:szCs w:val="20"/>
                <w:lang w:val="fr-CA"/>
              </w:rPr>
              <w:t>Hogue</w:t>
            </w:r>
            <w:proofErr w:type="spellEnd"/>
            <w:r w:rsidRPr="00F109C5">
              <w:rPr>
                <w:sz w:val="20"/>
                <w:szCs w:val="20"/>
                <w:lang w:val="fr-CA"/>
              </w:rPr>
              <w:t>)</w:t>
            </w:r>
          </w:p>
          <w:p w:rsidR="00EE6E8A" w:rsidRPr="00F109C5" w:rsidRDefault="00ED1F08" w:rsidP="00EE6E8A">
            <w:pPr>
              <w:jc w:val="both"/>
              <w:rPr>
                <w:sz w:val="20"/>
                <w:szCs w:val="20"/>
              </w:rPr>
            </w:pPr>
            <w:hyperlink r:id="rId23" w:history="1">
              <w:r w:rsidR="00EE6E8A" w:rsidRPr="00F109C5">
                <w:rPr>
                  <w:rStyle w:val="Hyperlink"/>
                  <w:sz w:val="20"/>
                  <w:szCs w:val="20"/>
                </w:rPr>
                <w:t>2017 QCCA 391</w:t>
              </w:r>
            </w:hyperlink>
          </w:p>
          <w:p w:rsidR="00EE6E8A" w:rsidRPr="00F109C5" w:rsidRDefault="00EE6E8A" w:rsidP="00EE6E8A">
            <w:pPr>
              <w:jc w:val="both"/>
              <w:rPr>
                <w:sz w:val="20"/>
                <w:szCs w:val="20"/>
                <w:lang w:val="fr-FR"/>
              </w:rPr>
            </w:pPr>
            <w:r w:rsidRPr="00F109C5">
              <w:rPr>
                <w:sz w:val="20"/>
                <w:szCs w:val="20"/>
                <w:lang w:val="fr-FR"/>
              </w:rPr>
              <w:t xml:space="preserve"> </w:t>
            </w:r>
          </w:p>
        </w:tc>
        <w:tc>
          <w:tcPr>
            <w:tcW w:w="243" w:type="pct"/>
          </w:tcPr>
          <w:p w:rsidR="00EE6E8A" w:rsidRPr="00F109C5" w:rsidRDefault="00EE6E8A" w:rsidP="00EE6E8A">
            <w:pPr>
              <w:jc w:val="both"/>
              <w:rPr>
                <w:sz w:val="20"/>
                <w:szCs w:val="20"/>
                <w:lang w:val="fr-FR"/>
              </w:rPr>
            </w:pPr>
          </w:p>
        </w:tc>
        <w:tc>
          <w:tcPr>
            <w:tcW w:w="2330" w:type="pct"/>
          </w:tcPr>
          <w:p w:rsidR="00EE6E8A" w:rsidRPr="00F109C5" w:rsidRDefault="00EE6E8A" w:rsidP="00EE6E8A">
            <w:pPr>
              <w:jc w:val="both"/>
              <w:rPr>
                <w:sz w:val="20"/>
                <w:szCs w:val="20"/>
              </w:rPr>
            </w:pPr>
            <w:r w:rsidRPr="00F109C5">
              <w:rPr>
                <w:sz w:val="20"/>
                <w:szCs w:val="20"/>
              </w:rPr>
              <w:t xml:space="preserve">Appel </w:t>
            </w:r>
            <w:proofErr w:type="spellStart"/>
            <w:r w:rsidRPr="00F109C5">
              <w:rPr>
                <w:sz w:val="20"/>
                <w:szCs w:val="20"/>
              </w:rPr>
              <w:t>rejeté</w:t>
            </w:r>
            <w:proofErr w:type="spellEnd"/>
            <w:r w:rsidRPr="00F109C5">
              <w:rPr>
                <w:sz w:val="20"/>
                <w:szCs w:val="20"/>
              </w:rPr>
              <w:t>.</w:t>
            </w:r>
          </w:p>
          <w:p w:rsidR="00EE6E8A" w:rsidRPr="00F109C5" w:rsidRDefault="00EE6E8A" w:rsidP="00EE6E8A">
            <w:pPr>
              <w:jc w:val="both"/>
              <w:rPr>
                <w:sz w:val="20"/>
                <w:szCs w:val="20"/>
              </w:rPr>
            </w:pPr>
            <w:r w:rsidRPr="00F109C5">
              <w:rPr>
                <w:sz w:val="20"/>
                <w:szCs w:val="20"/>
              </w:rPr>
              <w:t xml:space="preserve"> </w:t>
            </w:r>
          </w:p>
        </w:tc>
      </w:tr>
      <w:tr w:rsidR="00EE6E8A" w:rsidRPr="00F109C5"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Le 8 mai 2017</w:t>
            </w:r>
          </w:p>
          <w:p w:rsidR="00EE6E8A" w:rsidRPr="00F109C5" w:rsidRDefault="00EE6E8A" w:rsidP="00EE6E8A">
            <w:pPr>
              <w:jc w:val="both"/>
              <w:rPr>
                <w:sz w:val="20"/>
                <w:szCs w:val="20"/>
                <w:lang w:val="fr-FR"/>
              </w:rPr>
            </w:pPr>
            <w:r w:rsidRPr="00F109C5">
              <w:rPr>
                <w:sz w:val="20"/>
                <w:szCs w:val="20"/>
                <w:lang w:val="fr-CA"/>
              </w:rPr>
              <w:t>Cour suprême du Canada</w:t>
            </w:r>
          </w:p>
        </w:tc>
        <w:tc>
          <w:tcPr>
            <w:tcW w:w="243" w:type="pct"/>
          </w:tcPr>
          <w:p w:rsidR="00EE6E8A" w:rsidRPr="00F109C5" w:rsidRDefault="00EE6E8A" w:rsidP="00EE6E8A">
            <w:pPr>
              <w:jc w:val="both"/>
              <w:rPr>
                <w:sz w:val="20"/>
                <w:szCs w:val="20"/>
                <w:lang w:val="fr-FR"/>
              </w:rPr>
            </w:pPr>
          </w:p>
        </w:tc>
        <w:tc>
          <w:tcPr>
            <w:tcW w:w="2330" w:type="pct"/>
          </w:tcPr>
          <w:p w:rsidR="00EE6E8A" w:rsidRPr="00F109C5" w:rsidRDefault="00EE6E8A" w:rsidP="00EE6E8A">
            <w:pPr>
              <w:jc w:val="both"/>
              <w:rPr>
                <w:sz w:val="20"/>
                <w:szCs w:val="20"/>
              </w:rPr>
            </w:pPr>
            <w:r w:rsidRPr="00F109C5">
              <w:rPr>
                <w:sz w:val="20"/>
                <w:szCs w:val="20"/>
              </w:rPr>
              <w:t>Demande d’autorisation d’appel déposée.</w:t>
            </w:r>
          </w:p>
          <w:p w:rsidR="00EE6E8A" w:rsidRPr="00F109C5" w:rsidRDefault="00EE6E8A" w:rsidP="00EE6E8A">
            <w:pPr>
              <w:jc w:val="both"/>
              <w:rPr>
                <w:sz w:val="20"/>
                <w:szCs w:val="20"/>
              </w:rPr>
            </w:pPr>
          </w:p>
        </w:tc>
      </w:tr>
    </w:tbl>
    <w:p w:rsidR="00EE6E8A" w:rsidRPr="00F109C5" w:rsidRDefault="00ED1F08" w:rsidP="00EE6E8A">
      <w:pPr>
        <w:jc w:val="both"/>
        <w:rPr>
          <w:sz w:val="20"/>
          <w:szCs w:val="20"/>
        </w:rPr>
      </w:pPr>
      <w:r>
        <w:rPr>
          <w:sz w:val="20"/>
          <w:szCs w:val="20"/>
        </w:rPr>
        <w:pict>
          <v:rect id="_x0000_i1035" style="width:2in;height:1pt" o:hrpct="0" o:hralign="center" o:hrstd="t" o:hrnoshade="t" o:hr="t" fillcolor="black [3213]" stroked="f"/>
        </w:pict>
      </w:r>
    </w:p>
    <w:p w:rsidR="00EE6E8A" w:rsidRPr="00F109C5" w:rsidRDefault="00EE6E8A" w:rsidP="00EE6E8A">
      <w:pPr>
        <w:tabs>
          <w:tab w:val="left" w:pos="900"/>
          <w:tab w:val="center" w:pos="5760"/>
        </w:tabs>
        <w:ind w:left="360" w:hanging="360"/>
        <w:jc w:val="both"/>
        <w:rPr>
          <w:sz w:val="20"/>
          <w:szCs w:val="20"/>
          <w:lang w:val="fr-CA"/>
        </w:rPr>
      </w:pPr>
    </w:p>
    <w:p w:rsidR="00E02E61" w:rsidRDefault="00E02E61">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E6E8A" w:rsidRPr="00F109C5" w:rsidTr="00EE6E8A">
        <w:trPr>
          <w:gridAfter w:val="1"/>
          <w:wAfter w:w="48" w:type="pct"/>
        </w:trPr>
        <w:tc>
          <w:tcPr>
            <w:tcW w:w="538" w:type="pct"/>
          </w:tcPr>
          <w:p w:rsidR="00EE6E8A" w:rsidRPr="00F109C5" w:rsidRDefault="00EE6E8A" w:rsidP="00EE6E8A">
            <w:pPr>
              <w:jc w:val="both"/>
              <w:rPr>
                <w:sz w:val="20"/>
                <w:szCs w:val="20"/>
              </w:rPr>
            </w:pPr>
            <w:r w:rsidRPr="00F109C5">
              <w:rPr>
                <w:rStyle w:val="SCCFileNumberChar"/>
                <w:sz w:val="20"/>
                <w:szCs w:val="20"/>
              </w:rPr>
              <w:lastRenderedPageBreak/>
              <w:t>37587</w:t>
            </w:r>
          </w:p>
        </w:tc>
        <w:tc>
          <w:tcPr>
            <w:tcW w:w="4414" w:type="pct"/>
            <w:gridSpan w:val="3"/>
          </w:tcPr>
          <w:p w:rsidR="00EE6E8A" w:rsidRPr="00F109C5" w:rsidRDefault="00EE6E8A" w:rsidP="00EE6E8A">
            <w:pPr>
              <w:pStyle w:val="SCCLsocParty"/>
              <w:jc w:val="both"/>
              <w:rPr>
                <w:b/>
                <w:sz w:val="20"/>
                <w:szCs w:val="20"/>
                <w:lang w:val="en-CA"/>
              </w:rPr>
            </w:pPr>
            <w:r w:rsidRPr="00F109C5">
              <w:rPr>
                <w:b/>
                <w:sz w:val="20"/>
                <w:szCs w:val="20"/>
                <w:lang w:val="en-CA"/>
              </w:rPr>
              <w:t>Her Majesty the Queen v. Christian Bertrand</w:t>
            </w:r>
          </w:p>
          <w:p w:rsidR="00EE6E8A" w:rsidRPr="00F109C5" w:rsidRDefault="00EE6E8A" w:rsidP="00EE6E8A">
            <w:pPr>
              <w:jc w:val="both"/>
              <w:rPr>
                <w:sz w:val="20"/>
                <w:szCs w:val="20"/>
              </w:rPr>
            </w:pPr>
            <w:r w:rsidRPr="00F109C5">
              <w:rPr>
                <w:sz w:val="20"/>
                <w:szCs w:val="20"/>
              </w:rPr>
              <w:t>(Que.) (Criminal) (By Leave)</w:t>
            </w:r>
          </w:p>
        </w:tc>
      </w:tr>
      <w:tr w:rsidR="00BF1748" w:rsidRPr="00F109C5" w:rsidTr="00EE6E8A">
        <w:trPr>
          <w:gridAfter w:val="1"/>
          <w:wAfter w:w="48" w:type="pct"/>
        </w:trPr>
        <w:tc>
          <w:tcPr>
            <w:tcW w:w="538" w:type="pct"/>
          </w:tcPr>
          <w:p w:rsidR="00BF1748" w:rsidRPr="00F109C5" w:rsidRDefault="00BF1748" w:rsidP="00EE6E8A">
            <w:pPr>
              <w:jc w:val="both"/>
              <w:rPr>
                <w:rStyle w:val="SCCFileNumberChar"/>
                <w:sz w:val="20"/>
                <w:szCs w:val="20"/>
              </w:rPr>
            </w:pPr>
            <w:r>
              <w:rPr>
                <w:rStyle w:val="SCCFileNumberChar"/>
                <w:sz w:val="20"/>
                <w:szCs w:val="20"/>
              </w:rPr>
              <w:t>Coram:</w:t>
            </w:r>
          </w:p>
        </w:tc>
        <w:tc>
          <w:tcPr>
            <w:tcW w:w="4414" w:type="pct"/>
            <w:gridSpan w:val="3"/>
          </w:tcPr>
          <w:p w:rsidR="00BF1748" w:rsidRDefault="00BF1748" w:rsidP="00EE6E8A">
            <w:pPr>
              <w:pStyle w:val="SCCLsocParty"/>
              <w:jc w:val="both"/>
              <w:rPr>
                <w:sz w:val="20"/>
                <w:szCs w:val="20"/>
                <w:lang w:val="en-CA"/>
              </w:rPr>
            </w:pPr>
            <w:r w:rsidRPr="008623D7">
              <w:rPr>
                <w:sz w:val="20"/>
                <w:szCs w:val="20"/>
                <w:lang w:val="en-CA"/>
              </w:rPr>
              <w:t>McLachlin C.J. and Abella, Moldaver, Karakatsanis, Wagner, Gascon, Côté, Brown and Rowe JJ.</w:t>
            </w:r>
          </w:p>
          <w:p w:rsidR="00BF1748" w:rsidRPr="00BF1748" w:rsidRDefault="00BF1748" w:rsidP="00BF1748"/>
        </w:tc>
      </w:tr>
      <w:tr w:rsidR="00BF1748" w:rsidRPr="00F109C5" w:rsidTr="00BF1748">
        <w:trPr>
          <w:gridAfter w:val="1"/>
          <w:wAfter w:w="48" w:type="pct"/>
        </w:trPr>
        <w:tc>
          <w:tcPr>
            <w:tcW w:w="4952" w:type="pct"/>
            <w:gridSpan w:val="4"/>
          </w:tcPr>
          <w:p w:rsidR="00BF1748" w:rsidRDefault="00BF1748" w:rsidP="00EE6E8A">
            <w:pPr>
              <w:pStyle w:val="SCCLsocParty"/>
              <w:jc w:val="both"/>
              <w:rPr>
                <w:sz w:val="20"/>
                <w:szCs w:val="20"/>
                <w:lang w:val="en-CA"/>
              </w:rPr>
            </w:pPr>
            <w:r w:rsidRPr="008623D7">
              <w:rPr>
                <w:sz w:val="20"/>
                <w:szCs w:val="20"/>
                <w:lang w:val="en-CA"/>
              </w:rPr>
              <w:t>The motion for an extension of time to serve and file the response is granted. The application for leave to appeal from the judgment of the Court of Appeal of Quebec (Montréal), Number 500-10-005768-146, 2017 QCCA 488, dated March 30, 2017 is dismissed.</w:t>
            </w:r>
          </w:p>
          <w:p w:rsidR="00BF1748" w:rsidRPr="00BF1748" w:rsidRDefault="00BF1748" w:rsidP="00BF1748"/>
        </w:tc>
      </w:tr>
      <w:tr w:rsidR="00EE6E8A" w:rsidRPr="00F109C5" w:rsidTr="00EE6E8A">
        <w:trPr>
          <w:gridAfter w:val="1"/>
          <w:wAfter w:w="48" w:type="pct"/>
        </w:trPr>
        <w:tc>
          <w:tcPr>
            <w:tcW w:w="4952" w:type="pct"/>
            <w:gridSpan w:val="4"/>
          </w:tcPr>
          <w:p w:rsidR="00EE6E8A" w:rsidRPr="00F109C5" w:rsidRDefault="00EE6E8A" w:rsidP="00EE6E8A">
            <w:pPr>
              <w:jc w:val="both"/>
              <w:rPr>
                <w:sz w:val="20"/>
                <w:szCs w:val="20"/>
              </w:rPr>
            </w:pPr>
            <w:r w:rsidRPr="00F109C5">
              <w:rPr>
                <w:sz w:val="20"/>
                <w:szCs w:val="20"/>
              </w:rPr>
              <w:t>Criminal law — Charge to jury — Defence — Automatism — Mental disorder automatism — Charge to jury not mentioning both automatism defences — Evidence excluded from trial after being presented to jury — Whether Court of Appeal erred in law in holding that both forms of automatism had to be put to jury — Whether Court of Appeal could order new trial on basis of partial presentation of video interrogation of accused.</w:t>
            </w:r>
          </w:p>
        </w:tc>
      </w:tr>
      <w:tr w:rsidR="00EE6E8A" w:rsidRPr="00F109C5" w:rsidTr="00EE6E8A">
        <w:trPr>
          <w:gridAfter w:val="1"/>
          <w:wAfter w:w="48" w:type="pct"/>
        </w:trPr>
        <w:tc>
          <w:tcPr>
            <w:tcW w:w="4952" w:type="pct"/>
            <w:gridSpan w:val="4"/>
          </w:tcPr>
          <w:p w:rsidR="00EE6E8A" w:rsidRPr="00F109C5" w:rsidRDefault="00EE6E8A" w:rsidP="00EE6E8A">
            <w:pPr>
              <w:jc w:val="both"/>
              <w:rPr>
                <w:sz w:val="20"/>
                <w:szCs w:val="20"/>
              </w:rPr>
            </w:pPr>
          </w:p>
          <w:p w:rsidR="00EE6E8A" w:rsidRPr="00F109C5" w:rsidRDefault="00EE6E8A" w:rsidP="00EE6E8A">
            <w:pPr>
              <w:jc w:val="both"/>
              <w:rPr>
                <w:sz w:val="20"/>
                <w:szCs w:val="20"/>
              </w:rPr>
            </w:pPr>
            <w:r w:rsidRPr="00F109C5">
              <w:rPr>
                <w:sz w:val="20"/>
                <w:szCs w:val="20"/>
              </w:rPr>
              <w:t xml:space="preserve">The respondent, who had severe personality disorders, did not deny that he had killed his victim by hitting him several times in the head with an iron bar. The trial judge instructed the jury on the defence of insanity, including mental disorder automatism. The jury convicted the respondent of first degree murder. </w:t>
            </w:r>
          </w:p>
          <w:p w:rsidR="00EE6E8A" w:rsidRPr="00F109C5" w:rsidRDefault="00EE6E8A" w:rsidP="00EE6E8A">
            <w:pPr>
              <w:jc w:val="both"/>
              <w:rPr>
                <w:sz w:val="20"/>
                <w:szCs w:val="20"/>
              </w:rPr>
            </w:pPr>
          </w:p>
          <w:p w:rsidR="00EE6E8A" w:rsidRPr="00F109C5" w:rsidRDefault="00EE6E8A" w:rsidP="00EE6E8A">
            <w:pPr>
              <w:jc w:val="both"/>
              <w:rPr>
                <w:sz w:val="20"/>
                <w:szCs w:val="20"/>
              </w:rPr>
            </w:pPr>
            <w:r w:rsidRPr="00F109C5">
              <w:rPr>
                <w:sz w:val="20"/>
                <w:szCs w:val="20"/>
              </w:rPr>
              <w:t>The Court of Appeal allowed the appeal on the grounds that the trial judge had not instructed the jury on the defence of non</w:t>
            </w:r>
            <w:r w:rsidRPr="00F109C5">
              <w:rPr>
                <w:sz w:val="20"/>
                <w:szCs w:val="20"/>
              </w:rPr>
              <w:noBreakHyphen/>
              <w:t xml:space="preserve">mental disorder automatism and that prejudicial evidence, which had ultimately been excluded by the trial judge, might have unduly influenced the members of the jury. </w:t>
            </w:r>
          </w:p>
        </w:tc>
      </w:tr>
      <w:tr w:rsidR="00EE6E8A" w:rsidRPr="00F109C5" w:rsidTr="00EE6E8A">
        <w:trPr>
          <w:gridAfter w:val="1"/>
          <w:wAfter w:w="48" w:type="pct"/>
        </w:trPr>
        <w:tc>
          <w:tcPr>
            <w:tcW w:w="4952" w:type="pct"/>
            <w:gridSpan w:val="4"/>
          </w:tcPr>
          <w:p w:rsidR="00EE6E8A" w:rsidRPr="00F109C5" w:rsidRDefault="00EE6E8A" w:rsidP="00EE6E8A">
            <w:pPr>
              <w:jc w:val="both"/>
              <w:rPr>
                <w:sz w:val="20"/>
                <w:szCs w:val="20"/>
              </w:rPr>
            </w:pPr>
          </w:p>
        </w:tc>
      </w:tr>
      <w:tr w:rsidR="00EE6E8A" w:rsidRPr="00F109C5" w:rsidTr="00EE6E8A">
        <w:tblPrEx>
          <w:tblCellMar>
            <w:bottom w:w="0" w:type="dxa"/>
          </w:tblCellMar>
        </w:tblPrEx>
        <w:tc>
          <w:tcPr>
            <w:tcW w:w="2367" w:type="pct"/>
            <w:gridSpan w:val="2"/>
          </w:tcPr>
          <w:p w:rsidR="00EE6E8A" w:rsidRPr="00F109C5" w:rsidRDefault="00EE6E8A" w:rsidP="00EE6E8A">
            <w:pPr>
              <w:jc w:val="both"/>
              <w:rPr>
                <w:sz w:val="20"/>
                <w:szCs w:val="20"/>
              </w:rPr>
            </w:pPr>
            <w:r w:rsidRPr="00F109C5">
              <w:rPr>
                <w:sz w:val="20"/>
                <w:szCs w:val="20"/>
              </w:rPr>
              <w:t>November 3, 2014</w:t>
            </w:r>
          </w:p>
          <w:p w:rsidR="00EE6E8A" w:rsidRPr="00F109C5" w:rsidRDefault="00EE6E8A" w:rsidP="00EE6E8A">
            <w:pPr>
              <w:jc w:val="both"/>
              <w:rPr>
                <w:sz w:val="20"/>
                <w:szCs w:val="20"/>
              </w:rPr>
            </w:pPr>
            <w:r w:rsidRPr="00F109C5">
              <w:rPr>
                <w:sz w:val="20"/>
                <w:szCs w:val="20"/>
              </w:rPr>
              <w:t>Quebec Superior Court</w:t>
            </w:r>
          </w:p>
          <w:p w:rsidR="00EE6E8A" w:rsidRPr="00F109C5" w:rsidRDefault="00EE6E8A" w:rsidP="00EE6E8A">
            <w:pPr>
              <w:jc w:val="both"/>
              <w:rPr>
                <w:sz w:val="20"/>
                <w:szCs w:val="20"/>
              </w:rPr>
            </w:pPr>
            <w:r w:rsidRPr="00F109C5">
              <w:rPr>
                <w:sz w:val="20"/>
                <w:szCs w:val="20"/>
              </w:rPr>
              <w:t>(Dumas J.)</w:t>
            </w:r>
          </w:p>
          <w:p w:rsidR="00EE6E8A" w:rsidRPr="00F109C5" w:rsidRDefault="00ED1F08" w:rsidP="00EE6E8A">
            <w:pPr>
              <w:jc w:val="both"/>
              <w:rPr>
                <w:sz w:val="20"/>
                <w:szCs w:val="20"/>
              </w:rPr>
            </w:pPr>
            <w:hyperlink r:id="rId24" w:history="1">
              <w:r w:rsidR="00EE6E8A" w:rsidRPr="00F109C5">
                <w:rPr>
                  <w:rStyle w:val="Hyperlink"/>
                  <w:sz w:val="20"/>
                  <w:szCs w:val="20"/>
                </w:rPr>
                <w:t>2014 QCCS 5574</w:t>
              </w:r>
            </w:hyperlink>
          </w:p>
          <w:p w:rsidR="00EE6E8A" w:rsidRPr="00F109C5" w:rsidRDefault="00EE6E8A" w:rsidP="00EE6E8A">
            <w:pPr>
              <w:jc w:val="both"/>
              <w:rPr>
                <w:sz w:val="20"/>
                <w:szCs w:val="20"/>
              </w:rPr>
            </w:pP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rPr>
            </w:pPr>
            <w:r w:rsidRPr="00F109C5">
              <w:rPr>
                <w:sz w:val="20"/>
                <w:szCs w:val="20"/>
              </w:rPr>
              <w:t>Defence of insanity put to jury</w:t>
            </w:r>
          </w:p>
          <w:p w:rsidR="00EE6E8A" w:rsidRPr="00F109C5" w:rsidRDefault="00EE6E8A" w:rsidP="00EE6E8A">
            <w:pPr>
              <w:jc w:val="both"/>
              <w:rPr>
                <w:sz w:val="20"/>
                <w:szCs w:val="20"/>
              </w:rPr>
            </w:pPr>
          </w:p>
        </w:tc>
      </w:tr>
      <w:tr w:rsidR="00EE6E8A" w:rsidRPr="00F109C5" w:rsidTr="00EE6E8A">
        <w:tblPrEx>
          <w:tblCellMar>
            <w:bottom w:w="0" w:type="dxa"/>
          </w:tblCellMar>
        </w:tblPrEx>
        <w:tc>
          <w:tcPr>
            <w:tcW w:w="2367" w:type="pct"/>
            <w:gridSpan w:val="2"/>
          </w:tcPr>
          <w:p w:rsidR="00EE6E8A" w:rsidRPr="00F109C5" w:rsidRDefault="00EE6E8A" w:rsidP="00EE6E8A">
            <w:pPr>
              <w:jc w:val="both"/>
              <w:rPr>
                <w:sz w:val="20"/>
                <w:szCs w:val="20"/>
              </w:rPr>
            </w:pPr>
            <w:r w:rsidRPr="00F109C5">
              <w:rPr>
                <w:sz w:val="20"/>
                <w:szCs w:val="20"/>
              </w:rPr>
              <w:t>November 7, 2017</w:t>
            </w:r>
          </w:p>
          <w:p w:rsidR="00EE6E8A" w:rsidRPr="00F109C5" w:rsidRDefault="00EE6E8A" w:rsidP="00EE6E8A">
            <w:pPr>
              <w:jc w:val="both"/>
              <w:rPr>
                <w:sz w:val="20"/>
                <w:szCs w:val="20"/>
              </w:rPr>
            </w:pPr>
            <w:r w:rsidRPr="00F109C5">
              <w:rPr>
                <w:sz w:val="20"/>
                <w:szCs w:val="20"/>
              </w:rPr>
              <w:t>Quebec Superior Court</w:t>
            </w:r>
          </w:p>
          <w:p w:rsidR="00EE6E8A" w:rsidRPr="00F109C5" w:rsidRDefault="00EE6E8A" w:rsidP="00EE6E8A">
            <w:pPr>
              <w:jc w:val="both"/>
              <w:rPr>
                <w:sz w:val="20"/>
                <w:szCs w:val="20"/>
              </w:rPr>
            </w:pPr>
            <w:r w:rsidRPr="00F109C5">
              <w:rPr>
                <w:sz w:val="20"/>
                <w:szCs w:val="20"/>
              </w:rPr>
              <w:t>(Dumas J.)</w:t>
            </w:r>
          </w:p>
          <w:p w:rsidR="00EE6E8A" w:rsidRPr="00F109C5" w:rsidRDefault="00EE6E8A" w:rsidP="00EE6E8A">
            <w:pPr>
              <w:jc w:val="both"/>
              <w:rPr>
                <w:sz w:val="20"/>
                <w:szCs w:val="20"/>
              </w:rPr>
            </w:pP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rPr>
            </w:pPr>
            <w:r w:rsidRPr="00F109C5">
              <w:rPr>
                <w:sz w:val="20"/>
                <w:szCs w:val="20"/>
              </w:rPr>
              <w:t>Respondent convicted of first degree murder</w:t>
            </w:r>
          </w:p>
        </w:tc>
      </w:tr>
      <w:tr w:rsidR="00EE6E8A" w:rsidRPr="00F109C5" w:rsidTr="00EE6E8A">
        <w:tblPrEx>
          <w:tblCellMar>
            <w:bottom w:w="0" w:type="dxa"/>
          </w:tblCellMar>
        </w:tblPrEx>
        <w:tc>
          <w:tcPr>
            <w:tcW w:w="2367" w:type="pct"/>
            <w:gridSpan w:val="2"/>
          </w:tcPr>
          <w:p w:rsidR="00EE6E8A" w:rsidRPr="00F109C5" w:rsidRDefault="00EE6E8A" w:rsidP="00EE6E8A">
            <w:pPr>
              <w:jc w:val="both"/>
              <w:rPr>
                <w:sz w:val="20"/>
                <w:szCs w:val="20"/>
              </w:rPr>
            </w:pPr>
            <w:r w:rsidRPr="00F109C5">
              <w:rPr>
                <w:sz w:val="20"/>
                <w:szCs w:val="20"/>
              </w:rPr>
              <w:t>March 30, 2017</w:t>
            </w:r>
          </w:p>
          <w:p w:rsidR="00EE6E8A" w:rsidRPr="00F109C5" w:rsidRDefault="00EE6E8A" w:rsidP="00EE6E8A">
            <w:pPr>
              <w:jc w:val="both"/>
              <w:rPr>
                <w:sz w:val="20"/>
                <w:szCs w:val="20"/>
              </w:rPr>
            </w:pPr>
            <w:r w:rsidRPr="00F109C5">
              <w:rPr>
                <w:sz w:val="20"/>
                <w:szCs w:val="20"/>
              </w:rPr>
              <w:t>Quebec Court of Appeal (Montréal)</w:t>
            </w:r>
          </w:p>
          <w:p w:rsidR="00EE6E8A" w:rsidRPr="00F109C5" w:rsidRDefault="00EE6E8A" w:rsidP="00EE6E8A">
            <w:pPr>
              <w:jc w:val="both"/>
              <w:rPr>
                <w:sz w:val="20"/>
                <w:szCs w:val="20"/>
              </w:rPr>
            </w:pPr>
            <w:r w:rsidRPr="00F109C5">
              <w:rPr>
                <w:sz w:val="20"/>
                <w:szCs w:val="20"/>
              </w:rPr>
              <w:t xml:space="preserve">(Duval </w:t>
            </w:r>
            <w:proofErr w:type="spellStart"/>
            <w:r w:rsidRPr="00F109C5">
              <w:rPr>
                <w:sz w:val="20"/>
                <w:szCs w:val="20"/>
              </w:rPr>
              <w:t>Hesler</w:t>
            </w:r>
            <w:proofErr w:type="spellEnd"/>
            <w:r w:rsidRPr="00F109C5">
              <w:rPr>
                <w:sz w:val="20"/>
                <w:szCs w:val="20"/>
              </w:rPr>
              <w:t xml:space="preserve"> C.J. and Marcotte and </w:t>
            </w:r>
            <w:proofErr w:type="spellStart"/>
            <w:r w:rsidRPr="00F109C5">
              <w:rPr>
                <w:sz w:val="20"/>
                <w:szCs w:val="20"/>
              </w:rPr>
              <w:t>Émond</w:t>
            </w:r>
            <w:proofErr w:type="spellEnd"/>
            <w:r w:rsidRPr="00F109C5">
              <w:rPr>
                <w:sz w:val="20"/>
                <w:szCs w:val="20"/>
              </w:rPr>
              <w:t xml:space="preserve"> JJ.A.)</w:t>
            </w:r>
          </w:p>
          <w:p w:rsidR="00EE6E8A" w:rsidRPr="00F109C5" w:rsidRDefault="00ED1F08" w:rsidP="00EE6E8A">
            <w:pPr>
              <w:jc w:val="both"/>
              <w:rPr>
                <w:sz w:val="20"/>
                <w:szCs w:val="20"/>
              </w:rPr>
            </w:pPr>
            <w:hyperlink r:id="rId25" w:history="1">
              <w:r w:rsidR="00EE6E8A" w:rsidRPr="00F109C5">
                <w:rPr>
                  <w:rStyle w:val="Hyperlink"/>
                  <w:sz w:val="20"/>
                  <w:szCs w:val="20"/>
                </w:rPr>
                <w:t>2017 QCCA 488</w:t>
              </w:r>
            </w:hyperlink>
            <w:r w:rsidR="00EE6E8A" w:rsidRPr="00F109C5">
              <w:rPr>
                <w:sz w:val="20"/>
                <w:szCs w:val="20"/>
              </w:rPr>
              <w:t xml:space="preserve"> </w:t>
            </w:r>
          </w:p>
          <w:p w:rsidR="00EE6E8A" w:rsidRPr="00F109C5" w:rsidRDefault="00EE6E8A" w:rsidP="00EE6E8A">
            <w:pPr>
              <w:jc w:val="both"/>
              <w:rPr>
                <w:sz w:val="20"/>
                <w:szCs w:val="20"/>
              </w:rPr>
            </w:pP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rPr>
            </w:pPr>
            <w:r w:rsidRPr="00F109C5">
              <w:rPr>
                <w:sz w:val="20"/>
                <w:szCs w:val="20"/>
              </w:rPr>
              <w:t>Appeal allowed; new trial ordered</w:t>
            </w:r>
          </w:p>
          <w:p w:rsidR="00EE6E8A" w:rsidRPr="00F109C5" w:rsidRDefault="00EE6E8A" w:rsidP="00EE6E8A">
            <w:pPr>
              <w:jc w:val="both"/>
              <w:rPr>
                <w:sz w:val="20"/>
                <w:szCs w:val="20"/>
              </w:rPr>
            </w:pPr>
          </w:p>
        </w:tc>
      </w:tr>
      <w:tr w:rsidR="00EE6E8A" w:rsidRPr="00F109C5" w:rsidTr="00EE6E8A">
        <w:tblPrEx>
          <w:tblCellMar>
            <w:bottom w:w="0" w:type="dxa"/>
          </w:tblCellMar>
        </w:tblPrEx>
        <w:tc>
          <w:tcPr>
            <w:tcW w:w="2367" w:type="pct"/>
            <w:gridSpan w:val="2"/>
          </w:tcPr>
          <w:p w:rsidR="00EE6E8A" w:rsidRPr="00F109C5" w:rsidRDefault="00EE6E8A" w:rsidP="00EE6E8A">
            <w:pPr>
              <w:jc w:val="both"/>
              <w:rPr>
                <w:sz w:val="20"/>
                <w:szCs w:val="20"/>
              </w:rPr>
            </w:pPr>
            <w:r w:rsidRPr="00F109C5">
              <w:rPr>
                <w:sz w:val="20"/>
                <w:szCs w:val="20"/>
              </w:rPr>
              <w:t>May 29, 2017</w:t>
            </w:r>
          </w:p>
          <w:p w:rsidR="00EE6E8A" w:rsidRPr="00F109C5" w:rsidRDefault="00EE6E8A" w:rsidP="00EE6E8A">
            <w:pPr>
              <w:jc w:val="both"/>
              <w:rPr>
                <w:sz w:val="20"/>
                <w:szCs w:val="20"/>
              </w:rPr>
            </w:pPr>
            <w:r w:rsidRPr="00F109C5">
              <w:rPr>
                <w:sz w:val="20"/>
                <w:szCs w:val="20"/>
              </w:rPr>
              <w:t>Supreme Court of Canada</w:t>
            </w: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rPr>
            </w:pPr>
            <w:r w:rsidRPr="00F109C5">
              <w:rPr>
                <w:sz w:val="20"/>
                <w:szCs w:val="20"/>
              </w:rPr>
              <w:t>Application for leave to appeal filed</w:t>
            </w:r>
          </w:p>
          <w:p w:rsidR="00EE6E8A" w:rsidRPr="00F109C5" w:rsidRDefault="00EE6E8A" w:rsidP="00EE6E8A">
            <w:pPr>
              <w:jc w:val="both"/>
              <w:rPr>
                <w:sz w:val="20"/>
                <w:szCs w:val="20"/>
              </w:rPr>
            </w:pPr>
          </w:p>
        </w:tc>
      </w:tr>
    </w:tbl>
    <w:p w:rsidR="00EE6E8A" w:rsidRPr="00F109C5" w:rsidRDefault="00ED1F08" w:rsidP="00EE6E8A">
      <w:pPr>
        <w:jc w:val="both"/>
        <w:rPr>
          <w:sz w:val="20"/>
          <w:szCs w:val="20"/>
        </w:rPr>
      </w:pPr>
      <w:r>
        <w:rPr>
          <w:sz w:val="20"/>
          <w:szCs w:val="20"/>
        </w:rPr>
        <w:pict>
          <v:rect id="_x0000_i1036" style="width:2in;height:1pt" o:hrpct="0" o:hralign="center" o:hrstd="t" o:hrnoshade="t" o:hr="t" fillcolor="black [3213]" stroked="f"/>
        </w:pict>
      </w:r>
    </w:p>
    <w:p w:rsidR="00EE6E8A" w:rsidRPr="00F109C5" w:rsidRDefault="00EE6E8A" w:rsidP="00EE6E8A">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EE6E8A" w:rsidRPr="00F109C5" w:rsidTr="00EE6E8A">
        <w:trPr>
          <w:gridAfter w:val="1"/>
          <w:wAfter w:w="48" w:type="pct"/>
        </w:trPr>
        <w:tc>
          <w:tcPr>
            <w:tcW w:w="538" w:type="pct"/>
          </w:tcPr>
          <w:p w:rsidR="00EE6E8A" w:rsidRPr="00F109C5" w:rsidRDefault="00EE6E8A" w:rsidP="00EE6E8A">
            <w:pPr>
              <w:jc w:val="both"/>
              <w:rPr>
                <w:sz w:val="20"/>
                <w:szCs w:val="20"/>
              </w:rPr>
            </w:pPr>
            <w:r w:rsidRPr="00F109C5">
              <w:rPr>
                <w:rStyle w:val="SCCFileNumberChar"/>
                <w:sz w:val="20"/>
                <w:szCs w:val="20"/>
              </w:rPr>
              <w:t>37587</w:t>
            </w:r>
          </w:p>
        </w:tc>
        <w:tc>
          <w:tcPr>
            <w:tcW w:w="4414" w:type="pct"/>
            <w:gridSpan w:val="3"/>
          </w:tcPr>
          <w:p w:rsidR="00EE6E8A" w:rsidRPr="00F109C5" w:rsidRDefault="00EE6E8A" w:rsidP="00EE6E8A">
            <w:pPr>
              <w:pStyle w:val="SCCLsocParty"/>
              <w:jc w:val="both"/>
              <w:rPr>
                <w:b/>
                <w:sz w:val="20"/>
                <w:szCs w:val="20"/>
              </w:rPr>
            </w:pPr>
            <w:r w:rsidRPr="00F109C5">
              <w:rPr>
                <w:b/>
                <w:sz w:val="20"/>
                <w:szCs w:val="20"/>
              </w:rPr>
              <w:t>Sa Majesté la Reine c. Christian Bertrand</w:t>
            </w:r>
          </w:p>
          <w:p w:rsidR="00EE6E8A" w:rsidRPr="00F109C5" w:rsidRDefault="00EE6E8A" w:rsidP="00EE6E8A">
            <w:pPr>
              <w:jc w:val="both"/>
              <w:rPr>
                <w:sz w:val="20"/>
                <w:szCs w:val="20"/>
              </w:rPr>
            </w:pPr>
            <w:r w:rsidRPr="00F109C5">
              <w:rPr>
                <w:sz w:val="20"/>
                <w:szCs w:val="20"/>
              </w:rPr>
              <w:t>(Qc) (Criminelle) (Autorisation)</w:t>
            </w:r>
          </w:p>
        </w:tc>
      </w:tr>
      <w:tr w:rsidR="00BF1748" w:rsidRPr="00ED1F08" w:rsidTr="00EE6E8A">
        <w:trPr>
          <w:gridAfter w:val="1"/>
          <w:wAfter w:w="48" w:type="pct"/>
        </w:trPr>
        <w:tc>
          <w:tcPr>
            <w:tcW w:w="538" w:type="pct"/>
          </w:tcPr>
          <w:p w:rsidR="00BF1748" w:rsidRPr="00F109C5" w:rsidRDefault="00BF1748" w:rsidP="00EE6E8A">
            <w:pPr>
              <w:jc w:val="both"/>
              <w:rPr>
                <w:rStyle w:val="SCCFileNumberChar"/>
                <w:sz w:val="20"/>
                <w:szCs w:val="20"/>
              </w:rPr>
            </w:pPr>
            <w:r>
              <w:rPr>
                <w:rStyle w:val="SCCFileNumberChar"/>
                <w:sz w:val="20"/>
                <w:szCs w:val="20"/>
              </w:rPr>
              <w:t>Coram:</w:t>
            </w:r>
          </w:p>
        </w:tc>
        <w:tc>
          <w:tcPr>
            <w:tcW w:w="4414" w:type="pct"/>
            <w:gridSpan w:val="3"/>
          </w:tcPr>
          <w:p w:rsidR="00BF1748" w:rsidRDefault="00BF1748" w:rsidP="00EE6E8A">
            <w:pPr>
              <w:pStyle w:val="SCCLsocParty"/>
              <w:jc w:val="both"/>
              <w:rPr>
                <w:sz w:val="20"/>
                <w:szCs w:val="20"/>
              </w:rPr>
            </w:pPr>
            <w:r w:rsidRPr="008623D7">
              <w:rPr>
                <w:sz w:val="20"/>
                <w:szCs w:val="20"/>
              </w:rPr>
              <w:t>La juge en chef McLachlin et les juges Abella, Moldaver, Karakatsanis, Wagner, Gascon, Côté, Brown et Rowe</w:t>
            </w:r>
          </w:p>
          <w:p w:rsidR="00BF1748" w:rsidRPr="00BF1748" w:rsidRDefault="00BF1748" w:rsidP="00BF1748">
            <w:pPr>
              <w:rPr>
                <w:lang w:val="fr-CA"/>
              </w:rPr>
            </w:pPr>
          </w:p>
        </w:tc>
      </w:tr>
      <w:tr w:rsidR="00BF1748" w:rsidRPr="00ED1F08" w:rsidTr="00BF1748">
        <w:trPr>
          <w:gridAfter w:val="1"/>
          <w:wAfter w:w="48" w:type="pct"/>
        </w:trPr>
        <w:tc>
          <w:tcPr>
            <w:tcW w:w="4952" w:type="pct"/>
            <w:gridSpan w:val="4"/>
          </w:tcPr>
          <w:p w:rsidR="00BF1748" w:rsidRDefault="00BF1748" w:rsidP="00EE6E8A">
            <w:pPr>
              <w:pStyle w:val="SCCLsocParty"/>
              <w:jc w:val="both"/>
              <w:rPr>
                <w:sz w:val="20"/>
                <w:szCs w:val="20"/>
              </w:rPr>
            </w:pPr>
            <w:r w:rsidRPr="008623D7">
              <w:rPr>
                <w:sz w:val="20"/>
                <w:szCs w:val="20"/>
              </w:rPr>
              <w:t>La requête en prorogation du délai de signification et de dépôt de la réponse est accueillie. La demande d’autorisation d’appel de l’arrêt de la Cour d’appel du Québec (Montréal), numéro 500-10-005768-146, 2017 QCCA 488, daté du 30 mars 2017, est rejetée.</w:t>
            </w:r>
          </w:p>
          <w:p w:rsidR="00BF1748" w:rsidRPr="00BF1748" w:rsidRDefault="00BF1748" w:rsidP="00BF1748">
            <w:pPr>
              <w:rPr>
                <w:lang w:val="fr-CA"/>
              </w:rPr>
            </w:pPr>
          </w:p>
        </w:tc>
      </w:tr>
      <w:tr w:rsidR="00EE6E8A" w:rsidRPr="00ED1F08" w:rsidTr="00EE6E8A">
        <w:trPr>
          <w:gridAfter w:val="1"/>
          <w:wAfter w:w="48" w:type="pct"/>
        </w:trPr>
        <w:tc>
          <w:tcPr>
            <w:tcW w:w="4952" w:type="pct"/>
            <w:gridSpan w:val="4"/>
          </w:tcPr>
          <w:p w:rsidR="00EE6E8A" w:rsidRPr="00F109C5" w:rsidRDefault="00EE6E8A" w:rsidP="00EE6E8A">
            <w:pPr>
              <w:jc w:val="both"/>
              <w:rPr>
                <w:sz w:val="20"/>
                <w:szCs w:val="20"/>
                <w:lang w:val="fr-CA"/>
              </w:rPr>
            </w:pPr>
            <w:r w:rsidRPr="00F109C5">
              <w:rPr>
                <w:sz w:val="20"/>
                <w:szCs w:val="20"/>
                <w:lang w:val="fr-CA"/>
              </w:rPr>
              <w:lastRenderedPageBreak/>
              <w:t>Droit criminel — Exposé au jury — Moyen de défense — Automatisme — Automatisme avec troubles mentaux — Exposé au jury ne mentionnant pas les deux moyens de défense d’automatisme — Preuve exclue du procès après avoir été présentée au jury — La Cour d’appel a-t-elle erré en droit en décidant que les deux formes d’automatisme devaient être présentées au jury? — La Cour d’appel pouvait-elle ordonner la tenue d’un nouveau procès sur la base de la présentation partielle de l’interrogatoire vidéo de l’accusé?</w:t>
            </w:r>
          </w:p>
        </w:tc>
      </w:tr>
      <w:tr w:rsidR="00EE6E8A" w:rsidRPr="00ED1F08" w:rsidTr="00EE6E8A">
        <w:trPr>
          <w:gridAfter w:val="1"/>
          <w:wAfter w:w="48" w:type="pct"/>
        </w:trPr>
        <w:tc>
          <w:tcPr>
            <w:tcW w:w="4952" w:type="pct"/>
            <w:gridSpan w:val="4"/>
          </w:tcPr>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r w:rsidRPr="00F109C5">
              <w:rPr>
                <w:sz w:val="20"/>
                <w:szCs w:val="20"/>
                <w:lang w:val="fr-CA"/>
              </w:rPr>
              <w:t xml:space="preserve">L’intimé, présentant des troubles de personnalité sévères, ne nie pas avoir tué sa victime en le frappant plusieurs fois à la tête avec une barre de fer. Le juge du procès a donné au jury des directives sur le moyen de défense de l’aliénation mentale, incluant l’automatisme avec troubles mentaux. Le jury a déclaré l’intimé coupable de meurtre au premier degré. </w:t>
            </w:r>
          </w:p>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r w:rsidRPr="00F109C5">
              <w:rPr>
                <w:sz w:val="20"/>
                <w:szCs w:val="20"/>
                <w:lang w:val="fr-CA"/>
              </w:rPr>
              <w:t xml:space="preserve">La Cour d’appel accueille l’appel aux motifs que le juge du procès n’a pas donné de directives au jury portant sur la défense d’automatisme sans troubles mentaux et qu’une preuve préjudiciable, éventuellement écartée par le juge du procès, est susceptible d’avoir indûment influencé les membres du jury. </w:t>
            </w:r>
          </w:p>
        </w:tc>
      </w:tr>
      <w:tr w:rsidR="00EE6E8A" w:rsidRPr="00ED1F08" w:rsidTr="00EE6E8A">
        <w:trPr>
          <w:gridAfter w:val="1"/>
          <w:wAfter w:w="48" w:type="pct"/>
        </w:trPr>
        <w:tc>
          <w:tcPr>
            <w:tcW w:w="4952" w:type="pct"/>
            <w:gridSpan w:val="4"/>
          </w:tcPr>
          <w:p w:rsidR="00EE6E8A" w:rsidRPr="00F109C5" w:rsidRDefault="00EE6E8A" w:rsidP="00EE6E8A">
            <w:pPr>
              <w:jc w:val="both"/>
              <w:rPr>
                <w:sz w:val="20"/>
                <w:szCs w:val="20"/>
                <w:lang w:val="fr-CA"/>
              </w:rPr>
            </w:pPr>
          </w:p>
        </w:tc>
      </w:tr>
      <w:tr w:rsidR="00EE6E8A" w:rsidRPr="00ED1F08" w:rsidTr="00EE6E8A">
        <w:tblPrEx>
          <w:tblCellMar>
            <w:bottom w:w="0" w:type="dxa"/>
          </w:tblCellMar>
        </w:tblPrEx>
        <w:tc>
          <w:tcPr>
            <w:tcW w:w="2367" w:type="pct"/>
            <w:gridSpan w:val="2"/>
          </w:tcPr>
          <w:p w:rsidR="00EE6E8A" w:rsidRPr="00F109C5" w:rsidRDefault="00EE6E8A" w:rsidP="00EE6E8A">
            <w:pPr>
              <w:jc w:val="both"/>
              <w:rPr>
                <w:sz w:val="20"/>
                <w:szCs w:val="20"/>
                <w:lang w:val="fr-CA"/>
              </w:rPr>
            </w:pPr>
            <w:r w:rsidRPr="00F109C5">
              <w:rPr>
                <w:sz w:val="20"/>
                <w:szCs w:val="20"/>
                <w:lang w:val="fr-CA"/>
              </w:rPr>
              <w:t>Le 3 novembre 2014</w:t>
            </w:r>
          </w:p>
          <w:p w:rsidR="00EE6E8A" w:rsidRPr="00F109C5" w:rsidRDefault="00EE6E8A" w:rsidP="00EE6E8A">
            <w:pPr>
              <w:jc w:val="both"/>
              <w:rPr>
                <w:sz w:val="20"/>
                <w:szCs w:val="20"/>
                <w:lang w:val="fr-CA"/>
              </w:rPr>
            </w:pPr>
            <w:r w:rsidRPr="00F109C5">
              <w:rPr>
                <w:sz w:val="20"/>
                <w:szCs w:val="20"/>
                <w:lang w:val="fr-CA"/>
              </w:rPr>
              <w:t>Cour supérieure du Québec</w:t>
            </w:r>
          </w:p>
          <w:p w:rsidR="00EE6E8A" w:rsidRPr="00F109C5" w:rsidRDefault="00EE6E8A" w:rsidP="00EE6E8A">
            <w:pPr>
              <w:jc w:val="both"/>
              <w:rPr>
                <w:sz w:val="20"/>
                <w:szCs w:val="20"/>
              </w:rPr>
            </w:pPr>
            <w:r w:rsidRPr="00F109C5">
              <w:rPr>
                <w:sz w:val="20"/>
                <w:szCs w:val="20"/>
              </w:rPr>
              <w:t xml:space="preserve">(Le </w:t>
            </w:r>
            <w:proofErr w:type="spellStart"/>
            <w:r w:rsidRPr="00F109C5">
              <w:rPr>
                <w:sz w:val="20"/>
                <w:szCs w:val="20"/>
              </w:rPr>
              <w:t>juge</w:t>
            </w:r>
            <w:proofErr w:type="spellEnd"/>
            <w:r w:rsidRPr="00F109C5">
              <w:rPr>
                <w:sz w:val="20"/>
                <w:szCs w:val="20"/>
              </w:rPr>
              <w:t xml:space="preserve"> Dumas)</w:t>
            </w:r>
          </w:p>
          <w:p w:rsidR="00EE6E8A" w:rsidRPr="00F109C5" w:rsidRDefault="00ED1F08" w:rsidP="00EE6E8A">
            <w:pPr>
              <w:jc w:val="both"/>
              <w:rPr>
                <w:sz w:val="20"/>
                <w:szCs w:val="20"/>
                <w:lang w:val="fr-FR"/>
              </w:rPr>
            </w:pPr>
            <w:hyperlink r:id="rId26" w:history="1">
              <w:r w:rsidR="00EE6E8A" w:rsidRPr="00F109C5">
                <w:rPr>
                  <w:rStyle w:val="Hyperlink"/>
                  <w:sz w:val="20"/>
                  <w:szCs w:val="20"/>
                  <w:lang w:val="fr-FR"/>
                </w:rPr>
                <w:t>2014 QCCS 5574</w:t>
              </w:r>
            </w:hyperlink>
          </w:p>
          <w:p w:rsidR="00EE6E8A" w:rsidRPr="00F109C5" w:rsidRDefault="00EE6E8A" w:rsidP="00EE6E8A">
            <w:pPr>
              <w:jc w:val="both"/>
              <w:rPr>
                <w:sz w:val="20"/>
                <w:szCs w:val="20"/>
              </w:rPr>
            </w:pP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lang w:val="fr-CA"/>
              </w:rPr>
            </w:pPr>
            <w:r w:rsidRPr="00F109C5">
              <w:rPr>
                <w:sz w:val="20"/>
                <w:szCs w:val="20"/>
                <w:lang w:val="fr-CA"/>
              </w:rPr>
              <w:t>Défense d’aliénation mentale présentée au jury</w:t>
            </w:r>
          </w:p>
          <w:p w:rsidR="00EE6E8A" w:rsidRPr="00F109C5" w:rsidRDefault="00EE6E8A" w:rsidP="00EE6E8A">
            <w:pPr>
              <w:jc w:val="both"/>
              <w:rPr>
                <w:sz w:val="20"/>
                <w:szCs w:val="20"/>
                <w:lang w:val="fr-CA"/>
              </w:rPr>
            </w:pPr>
          </w:p>
        </w:tc>
      </w:tr>
      <w:tr w:rsidR="00EE6E8A" w:rsidRPr="00ED1F08" w:rsidTr="00EE6E8A">
        <w:tblPrEx>
          <w:tblCellMar>
            <w:bottom w:w="0" w:type="dxa"/>
          </w:tblCellMar>
        </w:tblPrEx>
        <w:tc>
          <w:tcPr>
            <w:tcW w:w="2367" w:type="pct"/>
            <w:gridSpan w:val="2"/>
          </w:tcPr>
          <w:p w:rsidR="00EE6E8A" w:rsidRPr="00F109C5" w:rsidRDefault="00EE6E8A" w:rsidP="00EE6E8A">
            <w:pPr>
              <w:jc w:val="both"/>
              <w:rPr>
                <w:sz w:val="20"/>
                <w:szCs w:val="20"/>
                <w:lang w:val="fr-CA"/>
              </w:rPr>
            </w:pPr>
            <w:r w:rsidRPr="00F109C5">
              <w:rPr>
                <w:sz w:val="20"/>
                <w:szCs w:val="20"/>
                <w:lang w:val="fr-CA"/>
              </w:rPr>
              <w:t>Le 7 novembre 2017</w:t>
            </w:r>
          </w:p>
          <w:p w:rsidR="00EE6E8A" w:rsidRPr="00F109C5" w:rsidRDefault="00EE6E8A" w:rsidP="00EE6E8A">
            <w:pPr>
              <w:jc w:val="both"/>
              <w:rPr>
                <w:sz w:val="20"/>
                <w:szCs w:val="20"/>
                <w:lang w:val="fr-CA"/>
              </w:rPr>
            </w:pPr>
            <w:r w:rsidRPr="00F109C5">
              <w:rPr>
                <w:sz w:val="20"/>
                <w:szCs w:val="20"/>
                <w:lang w:val="fr-CA"/>
              </w:rPr>
              <w:t>Cour supérieure du Québec</w:t>
            </w:r>
          </w:p>
          <w:p w:rsidR="00EE6E8A" w:rsidRPr="00F109C5" w:rsidRDefault="00EE6E8A" w:rsidP="00EE6E8A">
            <w:pPr>
              <w:jc w:val="both"/>
              <w:rPr>
                <w:sz w:val="20"/>
                <w:szCs w:val="20"/>
              </w:rPr>
            </w:pPr>
            <w:r w:rsidRPr="00F109C5">
              <w:rPr>
                <w:sz w:val="20"/>
                <w:szCs w:val="20"/>
              </w:rPr>
              <w:t xml:space="preserve">(Le </w:t>
            </w:r>
            <w:proofErr w:type="spellStart"/>
            <w:r w:rsidRPr="00F109C5">
              <w:rPr>
                <w:sz w:val="20"/>
                <w:szCs w:val="20"/>
              </w:rPr>
              <w:t>juge</w:t>
            </w:r>
            <w:proofErr w:type="spellEnd"/>
            <w:r w:rsidRPr="00F109C5">
              <w:rPr>
                <w:sz w:val="20"/>
                <w:szCs w:val="20"/>
              </w:rPr>
              <w:t xml:space="preserve"> Dumas)</w:t>
            </w:r>
          </w:p>
          <w:p w:rsidR="00EE6E8A" w:rsidRPr="00F109C5" w:rsidRDefault="00EE6E8A" w:rsidP="00EE6E8A">
            <w:pPr>
              <w:jc w:val="both"/>
              <w:rPr>
                <w:sz w:val="20"/>
                <w:szCs w:val="20"/>
              </w:rPr>
            </w:pP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lang w:val="fr-CA"/>
              </w:rPr>
            </w:pPr>
            <w:r w:rsidRPr="00F109C5">
              <w:rPr>
                <w:sz w:val="20"/>
                <w:szCs w:val="20"/>
                <w:lang w:val="fr-CA"/>
              </w:rPr>
              <w:t>Déclaration de culpabilité de meurtre au premier degré</w:t>
            </w:r>
          </w:p>
        </w:tc>
      </w:tr>
      <w:tr w:rsidR="00EE6E8A" w:rsidRPr="00F109C5" w:rsidTr="00EE6E8A">
        <w:tblPrEx>
          <w:tblCellMar>
            <w:bottom w:w="0" w:type="dxa"/>
          </w:tblCellMar>
        </w:tblPrEx>
        <w:tc>
          <w:tcPr>
            <w:tcW w:w="2367" w:type="pct"/>
            <w:gridSpan w:val="2"/>
          </w:tcPr>
          <w:p w:rsidR="00EE6E8A" w:rsidRPr="00F109C5" w:rsidRDefault="00EE6E8A" w:rsidP="00EE6E8A">
            <w:pPr>
              <w:jc w:val="both"/>
              <w:rPr>
                <w:sz w:val="20"/>
                <w:szCs w:val="20"/>
                <w:lang w:val="fr-CA"/>
              </w:rPr>
            </w:pPr>
            <w:r w:rsidRPr="00F109C5">
              <w:rPr>
                <w:sz w:val="20"/>
                <w:szCs w:val="20"/>
                <w:lang w:val="fr-CA"/>
              </w:rPr>
              <w:t>Le 30 mars 2017</w:t>
            </w:r>
          </w:p>
          <w:p w:rsidR="00EE6E8A" w:rsidRPr="00F109C5" w:rsidRDefault="00EE6E8A" w:rsidP="00EE6E8A">
            <w:pPr>
              <w:jc w:val="both"/>
              <w:rPr>
                <w:sz w:val="20"/>
                <w:szCs w:val="20"/>
                <w:lang w:val="fr-CA"/>
              </w:rPr>
            </w:pPr>
            <w:r w:rsidRPr="00F109C5">
              <w:rPr>
                <w:sz w:val="20"/>
                <w:szCs w:val="20"/>
                <w:lang w:val="fr-CA"/>
              </w:rPr>
              <w:t>Cour d’appel du Québec (Montréal)</w:t>
            </w:r>
          </w:p>
          <w:p w:rsidR="00EE6E8A" w:rsidRPr="00F109C5" w:rsidRDefault="00EE6E8A" w:rsidP="00EE6E8A">
            <w:pPr>
              <w:jc w:val="both"/>
              <w:rPr>
                <w:sz w:val="20"/>
                <w:szCs w:val="20"/>
                <w:lang w:val="fr-CA"/>
              </w:rPr>
            </w:pPr>
            <w:r w:rsidRPr="00F109C5">
              <w:rPr>
                <w:sz w:val="20"/>
                <w:szCs w:val="20"/>
                <w:lang w:val="fr-CA"/>
              </w:rPr>
              <w:t xml:space="preserve">(La juge en chef Duval </w:t>
            </w:r>
            <w:proofErr w:type="spellStart"/>
            <w:r w:rsidRPr="00F109C5">
              <w:rPr>
                <w:sz w:val="20"/>
                <w:szCs w:val="20"/>
                <w:lang w:val="fr-CA"/>
              </w:rPr>
              <w:t>Hesler</w:t>
            </w:r>
            <w:proofErr w:type="spellEnd"/>
            <w:r w:rsidRPr="00F109C5">
              <w:rPr>
                <w:sz w:val="20"/>
                <w:szCs w:val="20"/>
                <w:lang w:val="fr-CA"/>
              </w:rPr>
              <w:t xml:space="preserve"> et les juges Marcotte et </w:t>
            </w:r>
            <w:proofErr w:type="spellStart"/>
            <w:r w:rsidRPr="00F109C5">
              <w:rPr>
                <w:sz w:val="20"/>
                <w:szCs w:val="20"/>
                <w:lang w:val="fr-CA"/>
              </w:rPr>
              <w:t>Émond</w:t>
            </w:r>
            <w:proofErr w:type="spellEnd"/>
            <w:r w:rsidRPr="00F109C5">
              <w:rPr>
                <w:sz w:val="20"/>
                <w:szCs w:val="20"/>
                <w:lang w:val="fr-CA"/>
              </w:rPr>
              <w:t>)</w:t>
            </w:r>
          </w:p>
          <w:p w:rsidR="00EE6E8A" w:rsidRPr="00F109C5" w:rsidRDefault="00ED1F08" w:rsidP="00EE6E8A">
            <w:pPr>
              <w:jc w:val="both"/>
              <w:rPr>
                <w:sz w:val="20"/>
                <w:szCs w:val="20"/>
                <w:lang w:val="fr-FR"/>
              </w:rPr>
            </w:pPr>
            <w:hyperlink r:id="rId27" w:history="1">
              <w:r w:rsidR="00EE6E8A" w:rsidRPr="00F109C5">
                <w:rPr>
                  <w:rStyle w:val="Hyperlink"/>
                  <w:sz w:val="20"/>
                  <w:szCs w:val="20"/>
                  <w:lang w:val="fr-FR"/>
                </w:rPr>
                <w:t>2017 QCCA 488</w:t>
              </w:r>
            </w:hyperlink>
            <w:r w:rsidR="00EE6E8A" w:rsidRPr="00F109C5">
              <w:rPr>
                <w:sz w:val="20"/>
                <w:szCs w:val="20"/>
                <w:lang w:val="fr-FR"/>
              </w:rPr>
              <w:t xml:space="preserve"> </w:t>
            </w:r>
          </w:p>
          <w:p w:rsidR="00EE6E8A" w:rsidRPr="00F109C5" w:rsidRDefault="00EE6E8A" w:rsidP="00EE6E8A">
            <w:pPr>
              <w:jc w:val="both"/>
              <w:rPr>
                <w:sz w:val="20"/>
                <w:szCs w:val="20"/>
              </w:rPr>
            </w:pPr>
          </w:p>
        </w:tc>
        <w:tc>
          <w:tcPr>
            <w:tcW w:w="267" w:type="pct"/>
          </w:tcPr>
          <w:p w:rsidR="00EE6E8A" w:rsidRPr="00F109C5" w:rsidRDefault="00EE6E8A" w:rsidP="00EE6E8A">
            <w:pPr>
              <w:jc w:val="both"/>
              <w:rPr>
                <w:sz w:val="20"/>
                <w:szCs w:val="20"/>
              </w:rPr>
            </w:pPr>
          </w:p>
        </w:tc>
        <w:tc>
          <w:tcPr>
            <w:tcW w:w="2366" w:type="pct"/>
            <w:gridSpan w:val="2"/>
          </w:tcPr>
          <w:p w:rsidR="00EE6E8A" w:rsidRPr="00F109C5" w:rsidRDefault="00EE6E8A" w:rsidP="00EE6E8A">
            <w:pPr>
              <w:jc w:val="both"/>
              <w:rPr>
                <w:sz w:val="20"/>
                <w:szCs w:val="20"/>
              </w:rPr>
            </w:pPr>
            <w:r w:rsidRPr="00F109C5">
              <w:rPr>
                <w:sz w:val="20"/>
                <w:szCs w:val="20"/>
              </w:rPr>
              <w:t xml:space="preserve">Appel </w:t>
            </w:r>
            <w:proofErr w:type="spellStart"/>
            <w:r w:rsidRPr="00F109C5">
              <w:rPr>
                <w:sz w:val="20"/>
                <w:szCs w:val="20"/>
              </w:rPr>
              <w:t>accueilli</w:t>
            </w:r>
            <w:proofErr w:type="spellEnd"/>
            <w:r w:rsidRPr="00F109C5">
              <w:rPr>
                <w:sz w:val="20"/>
                <w:szCs w:val="20"/>
              </w:rPr>
              <w:t xml:space="preserve">; Nouveau </w:t>
            </w:r>
            <w:proofErr w:type="spellStart"/>
            <w:r w:rsidRPr="00F109C5">
              <w:rPr>
                <w:sz w:val="20"/>
                <w:szCs w:val="20"/>
              </w:rPr>
              <w:t>procès</w:t>
            </w:r>
            <w:proofErr w:type="spellEnd"/>
            <w:r w:rsidRPr="00F109C5">
              <w:rPr>
                <w:sz w:val="20"/>
                <w:szCs w:val="20"/>
              </w:rPr>
              <w:t xml:space="preserve"> </w:t>
            </w:r>
            <w:proofErr w:type="spellStart"/>
            <w:r w:rsidRPr="00F109C5">
              <w:rPr>
                <w:sz w:val="20"/>
                <w:szCs w:val="20"/>
              </w:rPr>
              <w:t>ordonné</w:t>
            </w:r>
            <w:proofErr w:type="spellEnd"/>
          </w:p>
          <w:p w:rsidR="00EE6E8A" w:rsidRPr="00F109C5" w:rsidRDefault="00EE6E8A" w:rsidP="00EE6E8A">
            <w:pPr>
              <w:jc w:val="both"/>
              <w:rPr>
                <w:sz w:val="20"/>
                <w:szCs w:val="20"/>
              </w:rPr>
            </w:pPr>
          </w:p>
        </w:tc>
      </w:tr>
      <w:tr w:rsidR="00EE6E8A" w:rsidRPr="00F109C5" w:rsidTr="00EE6E8A">
        <w:tblPrEx>
          <w:tblCellMar>
            <w:bottom w:w="0" w:type="dxa"/>
          </w:tblCellMar>
        </w:tblPrEx>
        <w:tc>
          <w:tcPr>
            <w:tcW w:w="2367" w:type="pct"/>
            <w:gridSpan w:val="2"/>
          </w:tcPr>
          <w:p w:rsidR="00EE6E8A" w:rsidRPr="00F109C5" w:rsidRDefault="00EE6E8A" w:rsidP="00EE6E8A">
            <w:pPr>
              <w:jc w:val="both"/>
              <w:rPr>
                <w:sz w:val="20"/>
                <w:szCs w:val="20"/>
                <w:lang w:val="fr-CA"/>
              </w:rPr>
            </w:pPr>
            <w:r w:rsidRPr="00F109C5">
              <w:rPr>
                <w:sz w:val="20"/>
                <w:szCs w:val="20"/>
                <w:lang w:val="fr-CA"/>
              </w:rPr>
              <w:t>Le 29 mai 2017</w:t>
            </w:r>
          </w:p>
          <w:p w:rsidR="00EE6E8A" w:rsidRPr="00F109C5" w:rsidRDefault="00EE6E8A" w:rsidP="00EE6E8A">
            <w:pPr>
              <w:jc w:val="both"/>
              <w:rPr>
                <w:sz w:val="20"/>
                <w:szCs w:val="20"/>
                <w:lang w:val="fr-CA"/>
              </w:rPr>
            </w:pPr>
            <w:r w:rsidRPr="00F109C5">
              <w:rPr>
                <w:sz w:val="20"/>
                <w:szCs w:val="20"/>
                <w:lang w:val="fr-CA"/>
              </w:rPr>
              <w:t>Cour suprême du Canada</w:t>
            </w:r>
          </w:p>
        </w:tc>
        <w:tc>
          <w:tcPr>
            <w:tcW w:w="267" w:type="pct"/>
          </w:tcPr>
          <w:p w:rsidR="00EE6E8A" w:rsidRPr="00F109C5" w:rsidRDefault="00EE6E8A" w:rsidP="00EE6E8A">
            <w:pPr>
              <w:jc w:val="both"/>
              <w:rPr>
                <w:sz w:val="20"/>
                <w:szCs w:val="20"/>
                <w:lang w:val="fr-CA"/>
              </w:rPr>
            </w:pPr>
          </w:p>
        </w:tc>
        <w:tc>
          <w:tcPr>
            <w:tcW w:w="2366" w:type="pct"/>
            <w:gridSpan w:val="2"/>
          </w:tcPr>
          <w:p w:rsidR="00EE6E8A" w:rsidRPr="00F109C5" w:rsidRDefault="00EE6E8A" w:rsidP="00EE6E8A">
            <w:pPr>
              <w:jc w:val="both"/>
              <w:rPr>
                <w:sz w:val="20"/>
                <w:szCs w:val="20"/>
              </w:rPr>
            </w:pPr>
            <w:r w:rsidRPr="00F109C5">
              <w:rPr>
                <w:sz w:val="20"/>
                <w:szCs w:val="20"/>
              </w:rPr>
              <w:t>Demande d’autorisation d’appel déposée</w:t>
            </w:r>
          </w:p>
          <w:p w:rsidR="00EE6E8A" w:rsidRPr="00F109C5" w:rsidRDefault="00EE6E8A" w:rsidP="00EE6E8A">
            <w:pPr>
              <w:jc w:val="both"/>
              <w:rPr>
                <w:sz w:val="20"/>
                <w:szCs w:val="20"/>
              </w:rPr>
            </w:pPr>
          </w:p>
        </w:tc>
      </w:tr>
    </w:tbl>
    <w:p w:rsidR="00EE6E8A" w:rsidRPr="00F109C5" w:rsidRDefault="00ED1F08" w:rsidP="00EE6E8A">
      <w:pPr>
        <w:jc w:val="both"/>
        <w:rPr>
          <w:sz w:val="20"/>
          <w:szCs w:val="20"/>
        </w:rPr>
      </w:pPr>
      <w:r>
        <w:rPr>
          <w:sz w:val="20"/>
          <w:szCs w:val="20"/>
        </w:rPr>
        <w:pict>
          <v:rect id="_x0000_i1037" style="width:2in;height:1pt" o:hrpct="0" o:hralign="center" o:hrstd="t" o:hrnoshade="t" o:hr="t" fillcolor="black [3213]" stroked="f"/>
        </w:pict>
      </w:r>
    </w:p>
    <w:p w:rsidR="00EE6E8A" w:rsidRPr="00F109C5" w:rsidRDefault="00EE6E8A" w:rsidP="00EE6E8A">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37598</w:t>
            </w:r>
          </w:p>
        </w:tc>
        <w:tc>
          <w:tcPr>
            <w:tcW w:w="4457" w:type="pct"/>
            <w:gridSpan w:val="3"/>
          </w:tcPr>
          <w:p w:rsidR="00EE6E8A" w:rsidRPr="00F109C5" w:rsidRDefault="00EE6E8A" w:rsidP="00EE6E8A">
            <w:pPr>
              <w:pStyle w:val="SCCLsocParty"/>
              <w:jc w:val="both"/>
              <w:rPr>
                <w:b/>
                <w:sz w:val="20"/>
                <w:szCs w:val="20"/>
                <w:lang w:val="en-US"/>
              </w:rPr>
            </w:pPr>
            <w:r w:rsidRPr="00F109C5">
              <w:rPr>
                <w:b/>
                <w:sz w:val="20"/>
                <w:szCs w:val="20"/>
                <w:lang w:val="en-US"/>
              </w:rPr>
              <w:t>Damion Sinclair v. Her Majesty the Queen</w:t>
            </w:r>
          </w:p>
          <w:p w:rsidR="00EE6E8A" w:rsidRPr="00F109C5" w:rsidRDefault="00EE6E8A" w:rsidP="00EE6E8A">
            <w:pPr>
              <w:jc w:val="both"/>
              <w:rPr>
                <w:sz w:val="20"/>
                <w:szCs w:val="20"/>
              </w:rPr>
            </w:pPr>
            <w:r w:rsidRPr="00F109C5">
              <w:rPr>
                <w:sz w:val="20"/>
                <w:szCs w:val="20"/>
              </w:rPr>
              <w:t>(Ont.) (Criminal) (By Leave)</w:t>
            </w:r>
          </w:p>
        </w:tc>
      </w:tr>
      <w:tr w:rsidR="00BF1748" w:rsidRPr="00F109C5" w:rsidTr="00EE6E8A">
        <w:tc>
          <w:tcPr>
            <w:tcW w:w="543" w:type="pct"/>
          </w:tcPr>
          <w:p w:rsidR="00BF1748" w:rsidRPr="00F109C5" w:rsidRDefault="00BF1748" w:rsidP="00EE6E8A">
            <w:pPr>
              <w:jc w:val="both"/>
              <w:rPr>
                <w:rStyle w:val="SCCFileNumberChar"/>
                <w:sz w:val="20"/>
                <w:szCs w:val="20"/>
              </w:rPr>
            </w:pPr>
            <w:r>
              <w:rPr>
                <w:rStyle w:val="SCCFileNumberChar"/>
                <w:sz w:val="20"/>
                <w:szCs w:val="20"/>
              </w:rPr>
              <w:t>Coram:</w:t>
            </w:r>
          </w:p>
        </w:tc>
        <w:tc>
          <w:tcPr>
            <w:tcW w:w="4457" w:type="pct"/>
            <w:gridSpan w:val="3"/>
          </w:tcPr>
          <w:p w:rsidR="00BF1748" w:rsidRDefault="00BF1748" w:rsidP="00EE6E8A">
            <w:pPr>
              <w:pStyle w:val="SCCLsocParty"/>
              <w:jc w:val="both"/>
              <w:rPr>
                <w:sz w:val="20"/>
                <w:szCs w:val="20"/>
                <w:lang w:val="en-US"/>
              </w:rPr>
            </w:pPr>
            <w:r w:rsidRPr="00BF1748">
              <w:rPr>
                <w:sz w:val="20"/>
                <w:szCs w:val="20"/>
                <w:lang w:val="en-US"/>
              </w:rPr>
              <w:t>McLachlin C.J. and Abella, Moldaver, Karakatsanis, Wagner, Gascon, Côté, Brown and Rowe JJ.</w:t>
            </w:r>
          </w:p>
          <w:p w:rsidR="00BF1748" w:rsidRPr="00BF1748" w:rsidRDefault="00BF1748" w:rsidP="00BF1748">
            <w:pPr>
              <w:rPr>
                <w:lang w:val="en-US"/>
              </w:rPr>
            </w:pPr>
          </w:p>
        </w:tc>
      </w:tr>
      <w:tr w:rsidR="00BF1748" w:rsidRPr="00F109C5" w:rsidTr="00BF1748">
        <w:tc>
          <w:tcPr>
            <w:tcW w:w="5000" w:type="pct"/>
            <w:gridSpan w:val="4"/>
          </w:tcPr>
          <w:p w:rsidR="00BF1748" w:rsidRDefault="00BF1748" w:rsidP="00EE6E8A">
            <w:pPr>
              <w:pStyle w:val="SCCLsocParty"/>
              <w:jc w:val="both"/>
              <w:rPr>
                <w:sz w:val="20"/>
                <w:szCs w:val="20"/>
                <w:lang w:val="en-US"/>
              </w:rPr>
            </w:pPr>
            <w:r w:rsidRPr="00BF1748">
              <w:rPr>
                <w:sz w:val="20"/>
                <w:szCs w:val="20"/>
                <w:lang w:val="en-US"/>
              </w:rPr>
              <w:t>The motion for an extension of time to serve and file the application for leave to appeal is granted. The application for leave to appeal from the judgment of the Court of Appeal for Ontario, Number C55487, 2017 ONCA 38, dated January 18, 2017, is dismissed.</w:t>
            </w:r>
          </w:p>
          <w:p w:rsidR="00BF1748" w:rsidRPr="00BF1748" w:rsidRDefault="00BF1748" w:rsidP="00BF1748">
            <w:pPr>
              <w:rPr>
                <w:lang w:val="en-US"/>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Criminal law – Defences – Self-defence – Whether the Court of Appeal erred in holding that there was no air of reality to an apprehended assault – Whether the Court of Appeal erred in holding that the trial judge properly instructed the jury as to the significance of the applicant’s failure to avoid the fatal confrontation.</w:t>
            </w:r>
          </w:p>
          <w:p w:rsidR="00EE6E8A" w:rsidRPr="00F109C5" w:rsidRDefault="00EE6E8A" w:rsidP="00EE6E8A">
            <w:pPr>
              <w:jc w:val="both"/>
              <w:rPr>
                <w:sz w:val="20"/>
                <w:szCs w:val="20"/>
              </w:rPr>
            </w:pPr>
          </w:p>
        </w:tc>
      </w:tr>
      <w:tr w:rsidR="00EE6E8A" w:rsidRPr="00F109C5" w:rsidTr="00EE6E8A">
        <w:tc>
          <w:tcPr>
            <w:tcW w:w="5000" w:type="pct"/>
            <w:gridSpan w:val="4"/>
          </w:tcPr>
          <w:p w:rsidR="00EE6E8A" w:rsidRPr="00F109C5" w:rsidRDefault="00EE6E8A" w:rsidP="00EE6E8A">
            <w:pPr>
              <w:jc w:val="both"/>
              <w:rPr>
                <w:sz w:val="20"/>
                <w:szCs w:val="20"/>
                <w:lang w:val="en"/>
              </w:rPr>
            </w:pPr>
            <w:r w:rsidRPr="00F109C5">
              <w:rPr>
                <w:sz w:val="20"/>
                <w:szCs w:val="20"/>
              </w:rPr>
              <w:t>O</w:t>
            </w:r>
            <w:r w:rsidRPr="00F109C5">
              <w:rPr>
                <w:sz w:val="20"/>
                <w:szCs w:val="20"/>
                <w:lang w:val="en"/>
              </w:rPr>
              <w:t>n the day of the shooting, Mr. Barton was with some friends outside an apartment building. The applicant, Mr. Sinclair, passed by the group and one of Mr. Barton’s friends made a comment to Mr. Sinclair which he said he perceived as a threat. Mr. Sinclair offered no response, except to put his hand in his pocket indicating that he was armed. Mr. Barton became angry and was heard to say “what’s wrong with the nigga. The nigga is dead”. Later that same day, Mr. Barton approached Mr. Sinclair. Their meeting was brief. Mr. Sinclair shot Mr. Barton once, the bullet hitting him in the heart. Mr. Barton died. Mr. Sinclair said he shot Mr. Barton in</w:t>
            </w:r>
            <w:r w:rsidRPr="00F109C5">
              <w:rPr>
                <w:sz w:val="20"/>
                <w:szCs w:val="20"/>
              </w:rPr>
              <w:t xml:space="preserve"> self-defence</w:t>
            </w:r>
            <w:r w:rsidRPr="00F109C5">
              <w:rPr>
                <w:sz w:val="20"/>
                <w:szCs w:val="20"/>
                <w:lang w:val="en"/>
              </w:rPr>
              <w:t>. Mr. </w:t>
            </w:r>
            <w:r w:rsidRPr="00F109C5">
              <w:rPr>
                <w:sz w:val="20"/>
                <w:szCs w:val="20"/>
              </w:rPr>
              <w:t xml:space="preserve">Sinclair testified that Mr. Barton unlawfully </w:t>
            </w:r>
            <w:r w:rsidRPr="00F109C5">
              <w:rPr>
                <w:sz w:val="20"/>
                <w:szCs w:val="20"/>
              </w:rPr>
              <w:lastRenderedPageBreak/>
              <w:t>assaulted him by grabbing his shoulder with his left hand and had his right hand in his pants pocket as if he was trying to pull something out of his pocket. Mr. Sinclair was convicted of second degree murder after a trial by judge and jury. The jury rejected Mr. Sinclair’s argument that he acted in self-defence. Leave to appeal sentence was granted. The sentence and conviction appeals were dismissed.</w:t>
            </w:r>
          </w:p>
        </w:tc>
      </w:tr>
      <w:tr w:rsidR="00EE6E8A" w:rsidRPr="00F109C5" w:rsidTr="00EE6E8A">
        <w:tc>
          <w:tcPr>
            <w:tcW w:w="5000" w:type="pct"/>
            <w:gridSpan w:val="4"/>
          </w:tcPr>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December 9, 2010</w:t>
            </w:r>
          </w:p>
          <w:p w:rsidR="00EE6E8A" w:rsidRPr="00F109C5" w:rsidRDefault="00EE6E8A" w:rsidP="00EE6E8A">
            <w:pPr>
              <w:jc w:val="both"/>
              <w:rPr>
                <w:sz w:val="20"/>
                <w:szCs w:val="20"/>
              </w:rPr>
            </w:pPr>
            <w:r w:rsidRPr="00F109C5">
              <w:rPr>
                <w:sz w:val="20"/>
                <w:szCs w:val="20"/>
              </w:rPr>
              <w:t>Ontario Superior Court of Justice</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O'Marra</w:t>
            </w:r>
            <w:proofErr w:type="spellEnd"/>
            <w:r w:rsidRPr="00F109C5">
              <w:rPr>
                <w:sz w:val="20"/>
                <w:szCs w:val="20"/>
              </w:rPr>
              <w:t xml:space="preserve"> J.)</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Conviction for second degree murder</w:t>
            </w:r>
          </w:p>
          <w:p w:rsidR="00EE6E8A" w:rsidRPr="00F109C5" w:rsidRDefault="00EE6E8A" w:rsidP="00EE6E8A">
            <w:pPr>
              <w:jc w:val="both"/>
              <w:rPr>
                <w:sz w:val="20"/>
                <w:szCs w:val="20"/>
              </w:rPr>
            </w:pP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 xml:space="preserve">January 18, 2017 </w:t>
            </w:r>
          </w:p>
          <w:p w:rsidR="00EE6E8A" w:rsidRPr="00F109C5" w:rsidRDefault="00EE6E8A" w:rsidP="00EE6E8A">
            <w:pPr>
              <w:jc w:val="both"/>
              <w:rPr>
                <w:sz w:val="20"/>
                <w:szCs w:val="20"/>
              </w:rPr>
            </w:pPr>
            <w:r w:rsidRPr="00F109C5">
              <w:rPr>
                <w:sz w:val="20"/>
                <w:szCs w:val="20"/>
              </w:rPr>
              <w:t>Court of Appeal for Ontario</w:t>
            </w:r>
          </w:p>
          <w:p w:rsidR="00EE6E8A" w:rsidRPr="00F109C5" w:rsidRDefault="00EE6E8A" w:rsidP="00EE6E8A">
            <w:pPr>
              <w:jc w:val="both"/>
              <w:rPr>
                <w:sz w:val="20"/>
                <w:szCs w:val="20"/>
              </w:rPr>
            </w:pPr>
            <w:r w:rsidRPr="00F109C5">
              <w:rPr>
                <w:sz w:val="20"/>
                <w:szCs w:val="20"/>
              </w:rPr>
              <w:t xml:space="preserve">(Watt, </w:t>
            </w:r>
            <w:proofErr w:type="spellStart"/>
            <w:r w:rsidRPr="00F109C5">
              <w:rPr>
                <w:sz w:val="20"/>
                <w:szCs w:val="20"/>
              </w:rPr>
              <w:t>Lauwers</w:t>
            </w:r>
            <w:proofErr w:type="spellEnd"/>
            <w:r w:rsidRPr="00F109C5">
              <w:rPr>
                <w:sz w:val="20"/>
                <w:szCs w:val="20"/>
              </w:rPr>
              <w:t>, Miller JJ.A.)</w:t>
            </w:r>
          </w:p>
          <w:p w:rsidR="00EE6E8A" w:rsidRPr="00F109C5" w:rsidRDefault="00EE6E8A" w:rsidP="00EE6E8A">
            <w:pPr>
              <w:jc w:val="both"/>
              <w:rPr>
                <w:sz w:val="20"/>
                <w:szCs w:val="20"/>
              </w:rPr>
            </w:pPr>
            <w:r w:rsidRPr="00F109C5">
              <w:rPr>
                <w:sz w:val="20"/>
                <w:szCs w:val="20"/>
              </w:rPr>
              <w:t>2017 ONCA 38; C55487</w:t>
            </w:r>
          </w:p>
          <w:p w:rsidR="00EE6E8A" w:rsidRPr="00F109C5" w:rsidRDefault="00ED1F08" w:rsidP="00EE6E8A">
            <w:pPr>
              <w:jc w:val="both"/>
              <w:rPr>
                <w:rStyle w:val="documentstaticurl"/>
                <w:sz w:val="20"/>
                <w:szCs w:val="20"/>
              </w:rPr>
            </w:pPr>
            <w:hyperlink r:id="rId28" w:history="1">
              <w:r w:rsidR="00EE6E8A" w:rsidRPr="00F109C5">
                <w:rPr>
                  <w:rStyle w:val="Hyperlink"/>
                  <w:sz w:val="20"/>
                  <w:szCs w:val="20"/>
                </w:rPr>
                <w:t>http://canlii.ca/t/gwz9j</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Leave to appeal sentence granted; sentence and conviction appeals dismissed</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May 26, 2017</w:t>
            </w:r>
          </w:p>
          <w:p w:rsidR="00EE6E8A" w:rsidRPr="00F109C5" w:rsidRDefault="00EE6E8A" w:rsidP="00EE6E8A">
            <w:pPr>
              <w:jc w:val="both"/>
              <w:rPr>
                <w:sz w:val="20"/>
                <w:szCs w:val="20"/>
              </w:rPr>
            </w:pPr>
            <w:r w:rsidRPr="00F109C5">
              <w:rPr>
                <w:sz w:val="20"/>
                <w:szCs w:val="20"/>
              </w:rPr>
              <w:t>Supreme Court of Canada</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Motion for an extension of time to serve and file the application for leave to appeal and application for leave to appeal filed</w:t>
            </w:r>
          </w:p>
        </w:tc>
      </w:tr>
    </w:tbl>
    <w:p w:rsidR="00EE6E8A" w:rsidRPr="00F109C5" w:rsidRDefault="00ED1F08" w:rsidP="00EE6E8A">
      <w:pPr>
        <w:jc w:val="both"/>
        <w:rPr>
          <w:sz w:val="20"/>
          <w:szCs w:val="20"/>
        </w:rPr>
      </w:pPr>
      <w:r>
        <w:rPr>
          <w:sz w:val="20"/>
          <w:szCs w:val="20"/>
        </w:rPr>
        <w:pict>
          <v:rect id="_x0000_i1038" style="width:2in;height:1pt" o:hrpct="0" o:hralign="center" o:hrstd="t" o:hrnoshade="t" o:hr="t" fillcolor="black [3213]" stroked="f"/>
        </w:pict>
      </w:r>
    </w:p>
    <w:p w:rsidR="00EE6E8A" w:rsidRPr="00F109C5" w:rsidRDefault="00EE6E8A" w:rsidP="00EE6E8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37598</w:t>
            </w:r>
          </w:p>
        </w:tc>
        <w:tc>
          <w:tcPr>
            <w:tcW w:w="4457" w:type="pct"/>
            <w:gridSpan w:val="3"/>
          </w:tcPr>
          <w:p w:rsidR="00EE6E8A" w:rsidRPr="00F109C5" w:rsidRDefault="00EE6E8A" w:rsidP="00EE6E8A">
            <w:pPr>
              <w:pStyle w:val="SCCLsocParty"/>
              <w:jc w:val="both"/>
              <w:rPr>
                <w:b/>
                <w:sz w:val="20"/>
                <w:szCs w:val="20"/>
              </w:rPr>
            </w:pPr>
            <w:r w:rsidRPr="00F109C5">
              <w:rPr>
                <w:b/>
                <w:sz w:val="20"/>
                <w:szCs w:val="20"/>
              </w:rPr>
              <w:t>Damion Sinclair c. Sa Majesté la Reine</w:t>
            </w:r>
          </w:p>
          <w:p w:rsidR="00EE6E8A" w:rsidRPr="00F109C5" w:rsidRDefault="00EE6E8A" w:rsidP="00EE6E8A">
            <w:pPr>
              <w:jc w:val="both"/>
              <w:rPr>
                <w:sz w:val="20"/>
                <w:szCs w:val="20"/>
              </w:rPr>
            </w:pPr>
            <w:r w:rsidRPr="00F109C5">
              <w:rPr>
                <w:sz w:val="20"/>
                <w:szCs w:val="20"/>
              </w:rPr>
              <w:t>(Ont.) (</w:t>
            </w:r>
            <w:proofErr w:type="spellStart"/>
            <w:r w:rsidRPr="00F109C5">
              <w:rPr>
                <w:sz w:val="20"/>
                <w:szCs w:val="20"/>
              </w:rPr>
              <w:t>Criminelle</w:t>
            </w:r>
            <w:proofErr w:type="spellEnd"/>
            <w:r w:rsidRPr="00F109C5">
              <w:rPr>
                <w:sz w:val="20"/>
                <w:szCs w:val="20"/>
              </w:rPr>
              <w:t xml:space="preserve">) (Sur </w:t>
            </w:r>
            <w:proofErr w:type="spellStart"/>
            <w:r w:rsidRPr="00F109C5">
              <w:rPr>
                <w:sz w:val="20"/>
                <w:szCs w:val="20"/>
              </w:rPr>
              <w:t>autorisation</w:t>
            </w:r>
            <w:proofErr w:type="spellEnd"/>
            <w:r w:rsidRPr="00F109C5">
              <w:rPr>
                <w:sz w:val="20"/>
                <w:szCs w:val="20"/>
              </w:rPr>
              <w:t>)</w:t>
            </w:r>
          </w:p>
        </w:tc>
      </w:tr>
      <w:tr w:rsidR="00BF1748" w:rsidRPr="00ED1F08" w:rsidTr="00EE6E8A">
        <w:tc>
          <w:tcPr>
            <w:tcW w:w="543" w:type="pct"/>
          </w:tcPr>
          <w:p w:rsidR="00BF1748" w:rsidRPr="00F109C5" w:rsidRDefault="00BF1748" w:rsidP="00EE6E8A">
            <w:pPr>
              <w:jc w:val="both"/>
              <w:rPr>
                <w:rStyle w:val="SCCFileNumberChar"/>
                <w:sz w:val="20"/>
                <w:szCs w:val="20"/>
              </w:rPr>
            </w:pPr>
            <w:r>
              <w:rPr>
                <w:rStyle w:val="SCCFileNumberChar"/>
                <w:sz w:val="20"/>
                <w:szCs w:val="20"/>
              </w:rPr>
              <w:t>Coram:</w:t>
            </w:r>
          </w:p>
        </w:tc>
        <w:tc>
          <w:tcPr>
            <w:tcW w:w="4457" w:type="pct"/>
            <w:gridSpan w:val="3"/>
          </w:tcPr>
          <w:p w:rsidR="00BF1748" w:rsidRDefault="00BF1748" w:rsidP="00EE6E8A">
            <w:pPr>
              <w:pStyle w:val="SCCLsocParty"/>
              <w:jc w:val="both"/>
              <w:rPr>
                <w:sz w:val="20"/>
                <w:szCs w:val="20"/>
                <w:lang w:val="fr-FR"/>
              </w:rPr>
            </w:pPr>
            <w:r w:rsidRPr="00966CD4">
              <w:rPr>
                <w:sz w:val="20"/>
                <w:szCs w:val="20"/>
                <w:lang w:val="fr-FR"/>
              </w:rPr>
              <w:t>La juge en chef McLachlin et les juges Abella, Moldaver, Karakatsanis, Wagner, Gascon, Côté, Brown et Rowe</w:t>
            </w:r>
          </w:p>
          <w:p w:rsidR="00BF1748" w:rsidRPr="00BF1748" w:rsidRDefault="00BF1748" w:rsidP="00BF1748">
            <w:pPr>
              <w:rPr>
                <w:lang w:val="fr-FR"/>
              </w:rPr>
            </w:pPr>
          </w:p>
        </w:tc>
      </w:tr>
      <w:tr w:rsidR="00BF1748" w:rsidRPr="00ED1F08" w:rsidTr="00BF1748">
        <w:tc>
          <w:tcPr>
            <w:tcW w:w="5000" w:type="pct"/>
            <w:gridSpan w:val="4"/>
          </w:tcPr>
          <w:p w:rsidR="00BF1748" w:rsidRDefault="00BF1748" w:rsidP="00EE6E8A">
            <w:pPr>
              <w:pStyle w:val="SCCLsocParty"/>
              <w:jc w:val="both"/>
              <w:rPr>
                <w:sz w:val="20"/>
                <w:szCs w:val="20"/>
              </w:rPr>
            </w:pPr>
            <w:r w:rsidRPr="00966CD4">
              <w:rPr>
                <w:sz w:val="20"/>
                <w:szCs w:val="20"/>
              </w:rPr>
              <w:t xml:space="preserve">La requête en prorogation du délai de signification et de dépôt de la demande d’autorisation d’appel est accueillie. La demande d’autorisation d’appel de l’arrêt de la </w:t>
            </w:r>
            <w:r w:rsidRPr="00966CD4">
              <w:rPr>
                <w:sz w:val="20"/>
                <w:szCs w:val="20"/>
                <w:lang w:val="fr-FR"/>
              </w:rPr>
              <w:t>Cour d’appel de l’Ontario</w:t>
            </w:r>
            <w:r w:rsidRPr="00966CD4">
              <w:rPr>
                <w:sz w:val="20"/>
                <w:szCs w:val="20"/>
              </w:rPr>
              <w:t xml:space="preserve">, numéro </w:t>
            </w:r>
            <w:r w:rsidRPr="00966CD4">
              <w:rPr>
                <w:sz w:val="20"/>
                <w:szCs w:val="20"/>
                <w:lang w:val="fr-FR"/>
              </w:rPr>
              <w:t>C55487, 2017 ONCA 38</w:t>
            </w:r>
            <w:r w:rsidRPr="00966CD4">
              <w:rPr>
                <w:sz w:val="20"/>
                <w:szCs w:val="20"/>
              </w:rPr>
              <w:t xml:space="preserve">, daté du </w:t>
            </w:r>
            <w:r w:rsidRPr="00966CD4">
              <w:rPr>
                <w:sz w:val="20"/>
                <w:szCs w:val="20"/>
                <w:lang w:val="fr-FR"/>
              </w:rPr>
              <w:t>18 janvier 2017</w:t>
            </w:r>
            <w:r w:rsidRPr="00966CD4">
              <w:rPr>
                <w:sz w:val="20"/>
                <w:szCs w:val="20"/>
              </w:rPr>
              <w:t>, est rejetée.</w:t>
            </w:r>
          </w:p>
          <w:p w:rsidR="00BF1748" w:rsidRPr="00BF1748" w:rsidRDefault="00BF1748" w:rsidP="00BF1748">
            <w:pPr>
              <w:rPr>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Droit criminel – Moyens de défense – Légitime défense – La Cour d’appel a-t-elle conclu à tort que l’agression appréhendée était invraisemblable? – La Cour d’appel a-t-elle conclu à tort que le juge du procès avait donné au jury des directives appropriées sur l’importance du fait que le demandeur n’a pas évité la confrontation fatale? </w:t>
            </w:r>
          </w:p>
          <w:p w:rsidR="00EE6E8A" w:rsidRPr="00F109C5" w:rsidRDefault="00EE6E8A" w:rsidP="00EE6E8A">
            <w:pPr>
              <w:jc w:val="both"/>
              <w:rPr>
                <w:sz w:val="20"/>
                <w:szCs w:val="20"/>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Le jour de l’homicide, M. Barton se trouvait à l’extérieur d’un immeuble d’habitation en compagnie de quelques amis. Le demandeur, M. Sinclair, a croisé le groupe et l’un des amis de M. Barton a fait un commentaire à M. Sinclair que ce dernier affirme avoir perçu comme une menace. M. Sinclair n’a pas répondu, si ce n’est en mettant sa main dans sa poche pour indiquer qu’il était armé. M. Barton s’est fâché et on l’a entendu dire : « Qu’est-ce qui cloche avec le nègre. Le nègre est mort. » Plus tard ce jour-là, M. Barton a accosté M. Sinclair. Leur rencontre fut brève. M. Sinclair a tiré un coup de feu en direction de M. Barton et la balle l’a atteint au cœur. M. Barton est mort. M. Sinclair dit avoir tiré sur M. Barton en légitime défense. Selon lui, M. Barton l’a illégalement agressé en l’agrippant par l’épaule avec sa main gauche et a introduit sa main droite dans sa poche de pantalon comme s’il essayait d’en extirper quelque chose. M. Sinclair a été reconnu coupable de meurtre au deuxième degré au terme d’un procès devant juge et jury. Le jury a rejeté l’argument de M. Sinclair qu’il avait agi en légitime défense. L’autorisation d’interjeter appel de la peine a été accordée. Les appels formés contre la peine et la déclaration de culpabilité ont été rejetés.</w:t>
            </w:r>
          </w:p>
        </w:tc>
      </w:tr>
      <w:tr w:rsidR="00EE6E8A" w:rsidRPr="00ED1F08" w:rsidTr="00EE6E8A">
        <w:tc>
          <w:tcPr>
            <w:tcW w:w="5000" w:type="pct"/>
            <w:gridSpan w:val="4"/>
          </w:tcPr>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 xml:space="preserve">9 décembre 2010 </w:t>
            </w:r>
          </w:p>
          <w:p w:rsidR="00EE6E8A" w:rsidRPr="00F109C5" w:rsidRDefault="00EE6E8A" w:rsidP="00EE6E8A">
            <w:pPr>
              <w:jc w:val="both"/>
              <w:rPr>
                <w:sz w:val="20"/>
                <w:szCs w:val="20"/>
                <w:lang w:val="fr-CA"/>
              </w:rPr>
            </w:pPr>
            <w:r w:rsidRPr="00F109C5">
              <w:rPr>
                <w:sz w:val="20"/>
                <w:szCs w:val="20"/>
                <w:lang w:val="fr-CA"/>
              </w:rPr>
              <w:t xml:space="preserve">Cour supérieure de justice de l’Ontario </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O’Marra</w:t>
            </w:r>
            <w:proofErr w:type="spellEnd"/>
            <w:r w:rsidRPr="00F109C5">
              <w:rPr>
                <w:sz w:val="20"/>
                <w:szCs w:val="20"/>
              </w:rPr>
              <w:t>)</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Déclaration de culpabilité pour meurtre au deuxième degré</w:t>
            </w:r>
          </w:p>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lastRenderedPageBreak/>
              <w:t xml:space="preserve">18 janvier 2017 </w:t>
            </w:r>
          </w:p>
          <w:p w:rsidR="00EE6E8A" w:rsidRPr="00F109C5" w:rsidRDefault="00EE6E8A" w:rsidP="00EE6E8A">
            <w:pPr>
              <w:jc w:val="both"/>
              <w:rPr>
                <w:sz w:val="20"/>
                <w:szCs w:val="20"/>
                <w:lang w:val="fr-CA"/>
              </w:rPr>
            </w:pPr>
            <w:r w:rsidRPr="00F109C5">
              <w:rPr>
                <w:sz w:val="20"/>
                <w:szCs w:val="20"/>
                <w:lang w:val="fr-CA"/>
              </w:rPr>
              <w:t>Cour d’appel de l’Ontario</w:t>
            </w:r>
          </w:p>
          <w:p w:rsidR="00EE6E8A" w:rsidRPr="00F109C5" w:rsidRDefault="00EE6E8A" w:rsidP="00EE6E8A">
            <w:pPr>
              <w:jc w:val="both"/>
              <w:rPr>
                <w:sz w:val="20"/>
                <w:szCs w:val="20"/>
                <w:lang w:val="fr-CA"/>
              </w:rPr>
            </w:pPr>
            <w:r w:rsidRPr="00F109C5">
              <w:rPr>
                <w:sz w:val="20"/>
                <w:szCs w:val="20"/>
                <w:lang w:val="fr-CA"/>
              </w:rPr>
              <w:t xml:space="preserve">(Juges Watt, </w:t>
            </w:r>
            <w:proofErr w:type="spellStart"/>
            <w:r w:rsidRPr="00F109C5">
              <w:rPr>
                <w:sz w:val="20"/>
                <w:szCs w:val="20"/>
                <w:lang w:val="fr-CA"/>
              </w:rPr>
              <w:t>Lauwers</w:t>
            </w:r>
            <w:proofErr w:type="spellEnd"/>
            <w:r w:rsidRPr="00F109C5">
              <w:rPr>
                <w:sz w:val="20"/>
                <w:szCs w:val="20"/>
                <w:lang w:val="fr-CA"/>
              </w:rPr>
              <w:t xml:space="preserve"> et Miller)</w:t>
            </w:r>
          </w:p>
          <w:p w:rsidR="00EE6E8A" w:rsidRPr="00F109C5" w:rsidRDefault="00EE6E8A" w:rsidP="00EE6E8A">
            <w:pPr>
              <w:jc w:val="both"/>
              <w:rPr>
                <w:sz w:val="20"/>
                <w:szCs w:val="20"/>
              </w:rPr>
            </w:pPr>
            <w:r w:rsidRPr="00F109C5">
              <w:rPr>
                <w:sz w:val="20"/>
                <w:szCs w:val="20"/>
              </w:rPr>
              <w:t>2017 ONCA 38; C55487</w:t>
            </w:r>
          </w:p>
          <w:p w:rsidR="00EE6E8A" w:rsidRPr="00F109C5" w:rsidRDefault="00ED1F08" w:rsidP="00EE6E8A">
            <w:pPr>
              <w:jc w:val="both"/>
              <w:rPr>
                <w:rStyle w:val="documentstaticurl"/>
                <w:sz w:val="20"/>
                <w:szCs w:val="20"/>
              </w:rPr>
            </w:pPr>
            <w:hyperlink r:id="rId29" w:history="1">
              <w:r w:rsidR="00EE6E8A" w:rsidRPr="00F109C5">
                <w:rPr>
                  <w:rStyle w:val="Hyperlink"/>
                  <w:sz w:val="20"/>
                  <w:szCs w:val="20"/>
                </w:rPr>
                <w:t>http://canlii.ca/t/gwz9j</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Octroi de l’autorisation d’interjeter appel de la peine et rejet des appels formés contre la déclaration de culpabilité</w:t>
            </w: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26 mai 2017</w:t>
            </w:r>
          </w:p>
          <w:p w:rsidR="00EE6E8A" w:rsidRPr="00F109C5" w:rsidRDefault="00EE6E8A" w:rsidP="00EE6E8A">
            <w:pPr>
              <w:jc w:val="both"/>
              <w:rPr>
                <w:sz w:val="20"/>
                <w:szCs w:val="20"/>
                <w:lang w:val="fr-CA"/>
              </w:rPr>
            </w:pPr>
            <w:r w:rsidRPr="00F109C5">
              <w:rPr>
                <w:sz w:val="20"/>
                <w:szCs w:val="20"/>
                <w:lang w:val="fr-CA"/>
              </w:rPr>
              <w:t>Cour suprême du Canada</w:t>
            </w: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 xml:space="preserve">Dépôt de la requête en prorogation du délai pour signifier et déposer la demande d’autorisation d’appel ainsi que de la demande d’autorisation d’appel </w:t>
            </w:r>
          </w:p>
        </w:tc>
      </w:tr>
    </w:tbl>
    <w:p w:rsidR="00EE6E8A" w:rsidRPr="00F109C5" w:rsidRDefault="00ED1F08" w:rsidP="00EE6E8A">
      <w:pPr>
        <w:jc w:val="both"/>
        <w:rPr>
          <w:sz w:val="20"/>
          <w:szCs w:val="20"/>
          <w:lang w:val="fr-CA"/>
        </w:rPr>
      </w:pPr>
      <w:r>
        <w:rPr>
          <w:sz w:val="20"/>
          <w:szCs w:val="20"/>
        </w:rPr>
        <w:pict>
          <v:rect id="_x0000_i1039" style="width:2in;height:1pt" o:hrpct="0" o:hralign="center" o:hrstd="t" o:hrnoshade="t" o:hr="t" fillcolor="black [3213]" stroked="f"/>
        </w:pict>
      </w:r>
    </w:p>
    <w:p w:rsidR="00EE6E8A" w:rsidRPr="00F109C5" w:rsidRDefault="00EE6E8A" w:rsidP="00EE6E8A">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37669</w:t>
            </w:r>
          </w:p>
        </w:tc>
        <w:tc>
          <w:tcPr>
            <w:tcW w:w="4457" w:type="pct"/>
            <w:gridSpan w:val="3"/>
          </w:tcPr>
          <w:p w:rsidR="00EE6E8A" w:rsidRPr="00F109C5" w:rsidRDefault="00EE6E8A" w:rsidP="00EE6E8A">
            <w:pPr>
              <w:pStyle w:val="SCCLsocParty"/>
              <w:jc w:val="both"/>
              <w:rPr>
                <w:b/>
                <w:sz w:val="20"/>
                <w:szCs w:val="20"/>
                <w:lang w:val="en-US"/>
              </w:rPr>
            </w:pPr>
            <w:r w:rsidRPr="00F109C5">
              <w:rPr>
                <w:b/>
                <w:sz w:val="20"/>
                <w:szCs w:val="20"/>
                <w:lang w:val="en-US"/>
              </w:rPr>
              <w:t>I.J. v. J.A.M.</w:t>
            </w:r>
            <w:r w:rsidR="006F0B60">
              <w:rPr>
                <w:b/>
                <w:sz w:val="20"/>
                <w:szCs w:val="20"/>
                <w:lang w:val="en-US"/>
              </w:rPr>
              <w:t xml:space="preserve"> and </w:t>
            </w:r>
            <w:r w:rsidRPr="00F109C5">
              <w:rPr>
                <w:b/>
                <w:sz w:val="20"/>
                <w:szCs w:val="20"/>
                <w:lang w:val="en-US"/>
              </w:rPr>
              <w:t>S.C.M.I.</w:t>
            </w:r>
          </w:p>
          <w:p w:rsidR="00EE6E8A" w:rsidRPr="00F109C5" w:rsidRDefault="00EE6E8A" w:rsidP="00EE6E8A">
            <w:pPr>
              <w:jc w:val="both"/>
              <w:rPr>
                <w:sz w:val="20"/>
                <w:szCs w:val="20"/>
              </w:rPr>
            </w:pPr>
            <w:r w:rsidRPr="00F109C5">
              <w:rPr>
                <w:sz w:val="20"/>
                <w:szCs w:val="20"/>
              </w:rPr>
              <w:t>(B.C.) (Civil) (By Leave)</w:t>
            </w:r>
          </w:p>
        </w:tc>
      </w:tr>
      <w:tr w:rsidR="00BF1748" w:rsidRPr="00F109C5" w:rsidTr="00EE6E8A">
        <w:tc>
          <w:tcPr>
            <w:tcW w:w="543" w:type="pct"/>
          </w:tcPr>
          <w:p w:rsidR="00BF1748" w:rsidRPr="00F109C5" w:rsidRDefault="00C6652A" w:rsidP="00EE6E8A">
            <w:pPr>
              <w:jc w:val="both"/>
              <w:rPr>
                <w:rStyle w:val="SCCFileNumberChar"/>
                <w:sz w:val="20"/>
                <w:szCs w:val="20"/>
              </w:rPr>
            </w:pPr>
            <w:r>
              <w:rPr>
                <w:rStyle w:val="SCCFileNumberChar"/>
                <w:sz w:val="20"/>
                <w:szCs w:val="20"/>
              </w:rPr>
              <w:t>Coram:</w:t>
            </w:r>
          </w:p>
        </w:tc>
        <w:tc>
          <w:tcPr>
            <w:tcW w:w="4457" w:type="pct"/>
            <w:gridSpan w:val="3"/>
          </w:tcPr>
          <w:p w:rsidR="00BF1748" w:rsidRDefault="00C6652A" w:rsidP="00EE6E8A">
            <w:pPr>
              <w:pStyle w:val="SCCLsocParty"/>
              <w:jc w:val="both"/>
              <w:rPr>
                <w:sz w:val="20"/>
                <w:szCs w:val="20"/>
                <w:lang w:val="en-US"/>
              </w:rPr>
            </w:pPr>
            <w:r w:rsidRPr="00C6652A">
              <w:rPr>
                <w:sz w:val="20"/>
                <w:szCs w:val="20"/>
                <w:lang w:val="en-US"/>
              </w:rPr>
              <w:t>McLachlin C.J. and Abella, Moldaver, Karakatsanis, Wagner, Gascon, Côté, Brown and Rowe JJ.</w:t>
            </w:r>
          </w:p>
          <w:p w:rsidR="00C6652A" w:rsidRPr="00C6652A" w:rsidRDefault="00C6652A" w:rsidP="00C6652A">
            <w:pPr>
              <w:rPr>
                <w:lang w:val="en-US"/>
              </w:rPr>
            </w:pPr>
          </w:p>
        </w:tc>
      </w:tr>
      <w:tr w:rsidR="00BF1748" w:rsidRPr="00F109C5" w:rsidTr="00BF1748">
        <w:tc>
          <w:tcPr>
            <w:tcW w:w="5000" w:type="pct"/>
            <w:gridSpan w:val="4"/>
          </w:tcPr>
          <w:p w:rsidR="00BF1748" w:rsidRPr="00C6652A" w:rsidRDefault="00C6652A" w:rsidP="00EE6E8A">
            <w:pPr>
              <w:pStyle w:val="SCCLsocParty"/>
              <w:jc w:val="both"/>
              <w:rPr>
                <w:sz w:val="20"/>
                <w:szCs w:val="20"/>
                <w:lang w:val="en-US"/>
              </w:rPr>
            </w:pPr>
            <w:r w:rsidRPr="00C6652A">
              <w:rPr>
                <w:sz w:val="20"/>
                <w:szCs w:val="20"/>
                <w:lang w:val="en-US"/>
              </w:rPr>
              <w:t>The application for leave to appeal from the judgment of the Court of Appeal for British Columbia (Vancouver), Numbers CA42452, CA43009 and CA43201, 2017 BCCA 95, dated February 28, 2017, is dismissed with costs, along with all related applications.</w:t>
            </w:r>
          </w:p>
          <w:p w:rsidR="00C6652A" w:rsidRPr="00C6652A" w:rsidRDefault="00C6652A" w:rsidP="00C6652A">
            <w:pPr>
              <w:rPr>
                <w:lang w:val="en-US"/>
              </w:rPr>
            </w:pPr>
          </w:p>
        </w:tc>
      </w:tr>
      <w:tr w:rsidR="00EE6E8A" w:rsidRPr="00F109C5" w:rsidTr="00EE6E8A">
        <w:tc>
          <w:tcPr>
            <w:tcW w:w="5000" w:type="pct"/>
            <w:gridSpan w:val="4"/>
          </w:tcPr>
          <w:p w:rsidR="00EE6E8A" w:rsidRPr="00F109C5" w:rsidRDefault="00EE6E8A" w:rsidP="00EE6E8A">
            <w:pPr>
              <w:pStyle w:val="SCCBanSummary"/>
              <w:rPr>
                <w:sz w:val="20"/>
                <w:szCs w:val="20"/>
              </w:rPr>
            </w:pPr>
            <w:r w:rsidRPr="00F109C5">
              <w:rPr>
                <w:sz w:val="20"/>
                <w:szCs w:val="20"/>
              </w:rPr>
              <w:t>(Publication ban in case) (Publication ban on party) (Court file contains information that is not available for inspection by the public)</w:t>
            </w:r>
          </w:p>
          <w:p w:rsidR="00EE6E8A" w:rsidRPr="00F109C5" w:rsidRDefault="00EE6E8A" w:rsidP="00EE6E8A">
            <w:pPr>
              <w:jc w:val="both"/>
              <w:rPr>
                <w:sz w:val="20"/>
                <w:szCs w:val="20"/>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 xml:space="preserve">Judgments and orders – Reasons – Applicant’s civil action against respondents alleging, </w:t>
            </w:r>
            <w:r w:rsidRPr="00F109C5">
              <w:rPr>
                <w:i/>
                <w:sz w:val="20"/>
                <w:szCs w:val="20"/>
              </w:rPr>
              <w:t>inter alia</w:t>
            </w:r>
            <w:r w:rsidRPr="00F109C5">
              <w:rPr>
                <w:sz w:val="20"/>
                <w:szCs w:val="20"/>
              </w:rPr>
              <w:t>, sexual assault, sexual harassment, breach of contract and breach of settlement agreement dismissed – Whether Court of Appeal heard applicant’s three appeals on their merits – Whether trial judge changed meaning and performance of contract – Whether trial judge improperly assessed credibility of witnesses – Whether lower courts cited non-existing orders, removed evidence, and changed meaning of conditional release – Whether trial judge erred in making costs award</w:t>
            </w:r>
          </w:p>
          <w:p w:rsidR="00EE6E8A" w:rsidRPr="00F109C5" w:rsidRDefault="00EE6E8A" w:rsidP="00EE6E8A">
            <w:pPr>
              <w:jc w:val="both"/>
              <w:rPr>
                <w:sz w:val="20"/>
                <w:szCs w:val="20"/>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Following the termination of her employment with S.C.M.I. as chief information officer in 2009, I.J. entered into a settlement agreement that provided her with a severance package. She executed a general release in favour of S.C.M.I. and J.A.M., its president and chief executive officer, regarding any liability arising from her employment. I.J. later filed an action in the Supreme Court of British Columbia making claims relating to her employment at S.C.M.I including allegations of sexual assault, sexual harassment, breach of contract and breach of the terms of the settlement agreement.</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December 15, 2014</w:t>
            </w:r>
          </w:p>
          <w:p w:rsidR="00EE6E8A" w:rsidRPr="00F109C5" w:rsidRDefault="00EE6E8A" w:rsidP="00EE6E8A">
            <w:pPr>
              <w:jc w:val="both"/>
              <w:rPr>
                <w:sz w:val="20"/>
                <w:szCs w:val="20"/>
              </w:rPr>
            </w:pPr>
            <w:r w:rsidRPr="00F109C5">
              <w:rPr>
                <w:sz w:val="20"/>
                <w:szCs w:val="20"/>
              </w:rPr>
              <w:t>Supreme Court of British Columbia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Burnyeat</w:t>
            </w:r>
            <w:proofErr w:type="spellEnd"/>
            <w:r w:rsidRPr="00F109C5">
              <w:rPr>
                <w:sz w:val="20"/>
                <w:szCs w:val="20"/>
              </w:rPr>
              <w:t xml:space="preserve"> J.)</w:t>
            </w:r>
          </w:p>
          <w:p w:rsidR="00EE6E8A" w:rsidRPr="00F109C5" w:rsidRDefault="00EE6E8A" w:rsidP="00EE6E8A">
            <w:pPr>
              <w:jc w:val="both"/>
              <w:rPr>
                <w:sz w:val="20"/>
                <w:szCs w:val="20"/>
              </w:rPr>
            </w:pPr>
            <w:r w:rsidRPr="00F109C5">
              <w:rPr>
                <w:sz w:val="20"/>
                <w:szCs w:val="20"/>
              </w:rPr>
              <w:t>2014 BCSC 2372</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Applicant’s action against respondents dismissed</w:t>
            </w:r>
          </w:p>
          <w:p w:rsidR="00EE6E8A" w:rsidRPr="00F109C5" w:rsidRDefault="00EE6E8A" w:rsidP="00EE6E8A">
            <w:pPr>
              <w:jc w:val="both"/>
              <w:rPr>
                <w:sz w:val="20"/>
                <w:szCs w:val="20"/>
              </w:rPr>
            </w:pP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July 23, 2015</w:t>
            </w:r>
          </w:p>
          <w:p w:rsidR="00EE6E8A" w:rsidRPr="00F109C5" w:rsidRDefault="00EE6E8A" w:rsidP="00EE6E8A">
            <w:pPr>
              <w:jc w:val="both"/>
              <w:rPr>
                <w:sz w:val="20"/>
                <w:szCs w:val="20"/>
              </w:rPr>
            </w:pPr>
            <w:r w:rsidRPr="00F109C5">
              <w:rPr>
                <w:sz w:val="20"/>
                <w:szCs w:val="20"/>
              </w:rPr>
              <w:t>Supreme Court of British Columbia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Burnyeat</w:t>
            </w:r>
            <w:proofErr w:type="spellEnd"/>
            <w:r w:rsidRPr="00F109C5">
              <w:rPr>
                <w:sz w:val="20"/>
                <w:szCs w:val="20"/>
              </w:rPr>
              <w:t xml:space="preserve"> J.)</w:t>
            </w:r>
          </w:p>
          <w:p w:rsidR="00EE6E8A" w:rsidRPr="00F109C5" w:rsidRDefault="00EE6E8A" w:rsidP="00EE6E8A">
            <w:pPr>
              <w:jc w:val="both"/>
              <w:rPr>
                <w:sz w:val="20"/>
                <w:szCs w:val="20"/>
              </w:rPr>
            </w:pPr>
            <w:r w:rsidRPr="00F109C5">
              <w:rPr>
                <w:sz w:val="20"/>
                <w:szCs w:val="20"/>
              </w:rPr>
              <w:t>Unreported</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Costs award against applicant</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September 28, 2015</w:t>
            </w:r>
          </w:p>
          <w:p w:rsidR="00EE6E8A" w:rsidRPr="00F109C5" w:rsidRDefault="00EE6E8A" w:rsidP="00EE6E8A">
            <w:pPr>
              <w:jc w:val="both"/>
              <w:rPr>
                <w:sz w:val="20"/>
                <w:szCs w:val="20"/>
              </w:rPr>
            </w:pPr>
            <w:r w:rsidRPr="00F109C5">
              <w:rPr>
                <w:sz w:val="20"/>
                <w:szCs w:val="20"/>
              </w:rPr>
              <w:t>Supreme Court of British Columbia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Burnyeat</w:t>
            </w:r>
            <w:proofErr w:type="spellEnd"/>
            <w:r w:rsidRPr="00F109C5">
              <w:rPr>
                <w:sz w:val="20"/>
                <w:szCs w:val="20"/>
              </w:rPr>
              <w:t xml:space="preserve"> J.)</w:t>
            </w:r>
          </w:p>
          <w:p w:rsidR="00EE6E8A" w:rsidRPr="00F109C5" w:rsidRDefault="00EE6E8A" w:rsidP="00EE6E8A">
            <w:pPr>
              <w:jc w:val="both"/>
              <w:rPr>
                <w:sz w:val="20"/>
                <w:szCs w:val="20"/>
              </w:rPr>
            </w:pPr>
            <w:r w:rsidRPr="00F109C5">
              <w:rPr>
                <w:sz w:val="20"/>
                <w:szCs w:val="20"/>
              </w:rPr>
              <w:t>Unreported</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Order clarifying that S.C.M.I. to restore original listings relating to applicant on its website for a period of one year after final disposition of Court of Appeal</w:t>
            </w:r>
          </w:p>
          <w:p w:rsidR="00EE6E8A" w:rsidRPr="00F109C5" w:rsidRDefault="00EE6E8A" w:rsidP="00EE6E8A">
            <w:pPr>
              <w:jc w:val="both"/>
              <w:rPr>
                <w:sz w:val="20"/>
                <w:szCs w:val="20"/>
              </w:rPr>
            </w:pPr>
          </w:p>
        </w:tc>
      </w:tr>
    </w:tbl>
    <w:p w:rsidR="00C6652A" w:rsidRDefault="00C6652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E8A" w:rsidRPr="00F109C5" w:rsidTr="00EE6E8A">
        <w:tc>
          <w:tcPr>
            <w:tcW w:w="2427" w:type="pct"/>
          </w:tcPr>
          <w:p w:rsidR="00EE6E8A" w:rsidRPr="00F109C5" w:rsidRDefault="00EE6E8A" w:rsidP="00EE6E8A">
            <w:pPr>
              <w:jc w:val="both"/>
              <w:rPr>
                <w:sz w:val="20"/>
                <w:szCs w:val="20"/>
              </w:rPr>
            </w:pPr>
            <w:r w:rsidRPr="00F109C5">
              <w:rPr>
                <w:sz w:val="20"/>
                <w:szCs w:val="20"/>
              </w:rPr>
              <w:lastRenderedPageBreak/>
              <w:t>February 28, 2017</w:t>
            </w:r>
          </w:p>
          <w:p w:rsidR="00EE6E8A" w:rsidRPr="00F109C5" w:rsidRDefault="00EE6E8A" w:rsidP="00EE6E8A">
            <w:pPr>
              <w:jc w:val="both"/>
              <w:rPr>
                <w:sz w:val="20"/>
                <w:szCs w:val="20"/>
              </w:rPr>
            </w:pPr>
            <w:r w:rsidRPr="00F109C5">
              <w:rPr>
                <w:sz w:val="20"/>
                <w:szCs w:val="20"/>
              </w:rPr>
              <w:t xml:space="preserve">Court of Appeal for British Columbia </w:t>
            </w:r>
          </w:p>
          <w:p w:rsidR="00EE6E8A" w:rsidRPr="00F109C5" w:rsidRDefault="00EE6E8A" w:rsidP="00EE6E8A">
            <w:pPr>
              <w:jc w:val="both"/>
              <w:rPr>
                <w:sz w:val="20"/>
                <w:szCs w:val="20"/>
              </w:rPr>
            </w:pPr>
            <w:r w:rsidRPr="00F109C5">
              <w:rPr>
                <w:sz w:val="20"/>
                <w:szCs w:val="20"/>
              </w:rPr>
              <w:t>(Vancouver)</w:t>
            </w:r>
          </w:p>
          <w:p w:rsidR="00EE6E8A" w:rsidRPr="00F109C5" w:rsidRDefault="00EE6E8A" w:rsidP="00EE6E8A">
            <w:pPr>
              <w:jc w:val="both"/>
              <w:rPr>
                <w:sz w:val="20"/>
                <w:szCs w:val="20"/>
              </w:rPr>
            </w:pPr>
            <w:r w:rsidRPr="00F109C5">
              <w:rPr>
                <w:sz w:val="20"/>
                <w:szCs w:val="20"/>
              </w:rPr>
              <w:t>(Frankel, Harris and Savage JJ.A.)</w:t>
            </w:r>
          </w:p>
          <w:p w:rsidR="00EE6E8A" w:rsidRPr="00F109C5" w:rsidRDefault="00EE6E8A" w:rsidP="00EE6E8A">
            <w:pPr>
              <w:jc w:val="both"/>
              <w:rPr>
                <w:sz w:val="20"/>
                <w:szCs w:val="20"/>
              </w:rPr>
            </w:pPr>
            <w:r w:rsidRPr="00F109C5">
              <w:rPr>
                <w:sz w:val="20"/>
                <w:szCs w:val="20"/>
              </w:rPr>
              <w:t>2017 BCCA 95</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Applicant’s appeal dismissed</w:t>
            </w:r>
          </w:p>
          <w:p w:rsidR="00EE6E8A" w:rsidRPr="00F109C5" w:rsidRDefault="00EE6E8A" w:rsidP="00EE6E8A">
            <w:pPr>
              <w:jc w:val="both"/>
              <w:rPr>
                <w:sz w:val="20"/>
                <w:szCs w:val="20"/>
              </w:rPr>
            </w:pPr>
          </w:p>
        </w:tc>
      </w:tr>
      <w:tr w:rsidR="00EE6E8A" w:rsidRPr="00F109C5" w:rsidTr="00EE6E8A">
        <w:tc>
          <w:tcPr>
            <w:tcW w:w="2427" w:type="pct"/>
          </w:tcPr>
          <w:p w:rsidR="00EE6E8A" w:rsidRPr="00F109C5" w:rsidRDefault="00EE6E8A" w:rsidP="00EE6E8A">
            <w:pPr>
              <w:jc w:val="both"/>
              <w:rPr>
                <w:sz w:val="20"/>
                <w:szCs w:val="20"/>
              </w:rPr>
            </w:pPr>
            <w:r w:rsidRPr="00F109C5">
              <w:rPr>
                <w:sz w:val="20"/>
                <w:szCs w:val="20"/>
              </w:rPr>
              <w:t>April 27, 2017</w:t>
            </w:r>
          </w:p>
          <w:p w:rsidR="00EE6E8A" w:rsidRPr="00F109C5" w:rsidRDefault="00EE6E8A" w:rsidP="00EE6E8A">
            <w:pPr>
              <w:jc w:val="both"/>
              <w:rPr>
                <w:sz w:val="20"/>
                <w:szCs w:val="20"/>
              </w:rPr>
            </w:pPr>
            <w:r w:rsidRPr="00F109C5">
              <w:rPr>
                <w:sz w:val="20"/>
                <w:szCs w:val="20"/>
              </w:rPr>
              <w:t>Supreme Court of Canada</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Application for leave to appeal and related motions filed</w:t>
            </w:r>
          </w:p>
        </w:tc>
      </w:tr>
    </w:tbl>
    <w:p w:rsidR="00EE6E8A" w:rsidRPr="00F109C5" w:rsidRDefault="00ED1F08" w:rsidP="00EE6E8A">
      <w:pPr>
        <w:jc w:val="both"/>
        <w:rPr>
          <w:sz w:val="20"/>
          <w:szCs w:val="20"/>
        </w:rPr>
      </w:pPr>
      <w:r>
        <w:rPr>
          <w:sz w:val="20"/>
          <w:szCs w:val="20"/>
        </w:rPr>
        <w:pict>
          <v:rect id="_x0000_i1040" style="width:2in;height:1pt" o:hrpct="0" o:hralign="center" o:hrstd="t" o:hrnoshade="t" o:hr="t" fillcolor="black [3213]" stroked="f"/>
        </w:pict>
      </w:r>
    </w:p>
    <w:p w:rsidR="00EE6E8A" w:rsidRPr="00F109C5" w:rsidRDefault="00EE6E8A" w:rsidP="00EE6E8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ED1F08" w:rsidTr="00EE6E8A">
        <w:tc>
          <w:tcPr>
            <w:tcW w:w="543" w:type="pct"/>
          </w:tcPr>
          <w:p w:rsidR="00EE6E8A" w:rsidRPr="00F109C5" w:rsidRDefault="00EE6E8A" w:rsidP="00EE6E8A">
            <w:pPr>
              <w:jc w:val="both"/>
              <w:rPr>
                <w:sz w:val="20"/>
                <w:szCs w:val="20"/>
              </w:rPr>
            </w:pPr>
            <w:r w:rsidRPr="00F109C5">
              <w:rPr>
                <w:rStyle w:val="SCCFileNumberChar"/>
                <w:sz w:val="20"/>
                <w:szCs w:val="20"/>
              </w:rPr>
              <w:t>37669</w:t>
            </w:r>
          </w:p>
        </w:tc>
        <w:tc>
          <w:tcPr>
            <w:tcW w:w="4457" w:type="pct"/>
            <w:gridSpan w:val="3"/>
          </w:tcPr>
          <w:p w:rsidR="00EE6E8A" w:rsidRPr="006F0B60" w:rsidRDefault="00EE6E8A" w:rsidP="00EE6E8A">
            <w:pPr>
              <w:pStyle w:val="SCCLsocParty"/>
              <w:jc w:val="both"/>
              <w:rPr>
                <w:b/>
                <w:sz w:val="20"/>
                <w:szCs w:val="20"/>
              </w:rPr>
            </w:pPr>
            <w:r w:rsidRPr="006F0B60">
              <w:rPr>
                <w:b/>
                <w:sz w:val="20"/>
                <w:szCs w:val="20"/>
              </w:rPr>
              <w:t>I.J. c. J.A.M.</w:t>
            </w:r>
            <w:r w:rsidR="006F0B60">
              <w:rPr>
                <w:b/>
                <w:sz w:val="20"/>
                <w:szCs w:val="20"/>
              </w:rPr>
              <w:t xml:space="preserve"> et</w:t>
            </w:r>
            <w:r w:rsidRPr="006F0B60">
              <w:rPr>
                <w:b/>
                <w:sz w:val="20"/>
                <w:szCs w:val="20"/>
              </w:rPr>
              <w:t xml:space="preserve"> S.C.M.I.</w:t>
            </w:r>
          </w:p>
          <w:p w:rsidR="00EE6E8A" w:rsidRPr="00F109C5" w:rsidRDefault="00EE6E8A" w:rsidP="00EE6E8A">
            <w:pPr>
              <w:jc w:val="both"/>
              <w:rPr>
                <w:sz w:val="20"/>
                <w:szCs w:val="20"/>
                <w:lang w:val="fr-CA"/>
              </w:rPr>
            </w:pPr>
            <w:r w:rsidRPr="00F109C5">
              <w:rPr>
                <w:sz w:val="20"/>
                <w:szCs w:val="20"/>
                <w:lang w:val="fr-CA"/>
              </w:rPr>
              <w:t>(C.-B.) (Civile) (Sur autorisation)</w:t>
            </w:r>
          </w:p>
        </w:tc>
      </w:tr>
      <w:tr w:rsidR="00C6652A" w:rsidRPr="00ED1F08" w:rsidTr="00EE6E8A">
        <w:tc>
          <w:tcPr>
            <w:tcW w:w="543" w:type="pct"/>
          </w:tcPr>
          <w:p w:rsidR="00C6652A" w:rsidRPr="006F0B60" w:rsidRDefault="00C6652A" w:rsidP="00EE6E8A">
            <w:pPr>
              <w:jc w:val="both"/>
              <w:rPr>
                <w:rStyle w:val="SCCFileNumberChar"/>
                <w:sz w:val="20"/>
                <w:szCs w:val="20"/>
                <w:lang w:val="fr-CA"/>
              </w:rPr>
            </w:pPr>
            <w:r w:rsidRPr="006F0B60">
              <w:rPr>
                <w:rStyle w:val="SCCFileNumberChar"/>
                <w:sz w:val="20"/>
                <w:szCs w:val="20"/>
                <w:lang w:val="fr-CA"/>
              </w:rPr>
              <w:t>Coram:</w:t>
            </w:r>
          </w:p>
        </w:tc>
        <w:tc>
          <w:tcPr>
            <w:tcW w:w="4457" w:type="pct"/>
            <w:gridSpan w:val="3"/>
          </w:tcPr>
          <w:p w:rsidR="00C6652A" w:rsidRDefault="00C6652A" w:rsidP="00EE6E8A">
            <w:pPr>
              <w:pStyle w:val="SCCLsocParty"/>
              <w:jc w:val="both"/>
              <w:rPr>
                <w:sz w:val="20"/>
                <w:szCs w:val="20"/>
                <w:lang w:val="fr-FR"/>
              </w:rPr>
            </w:pPr>
            <w:r w:rsidRPr="00292979">
              <w:rPr>
                <w:sz w:val="20"/>
                <w:szCs w:val="20"/>
                <w:lang w:val="fr-FR"/>
              </w:rPr>
              <w:t>La juge en chef McLachlin et les juges Abella, Moldaver, Karakatsanis, Wagner, Gascon, Côté, Brown et Rowe</w:t>
            </w:r>
          </w:p>
          <w:p w:rsidR="00C6652A" w:rsidRPr="00C6652A" w:rsidRDefault="00C6652A" w:rsidP="00C6652A">
            <w:pPr>
              <w:rPr>
                <w:lang w:val="fr-FR"/>
              </w:rPr>
            </w:pPr>
          </w:p>
        </w:tc>
      </w:tr>
      <w:tr w:rsidR="00C6652A" w:rsidRPr="00ED1F08" w:rsidTr="00C6652A">
        <w:tc>
          <w:tcPr>
            <w:tcW w:w="5000" w:type="pct"/>
            <w:gridSpan w:val="4"/>
          </w:tcPr>
          <w:p w:rsidR="00C6652A" w:rsidRDefault="00C6652A" w:rsidP="00EE6E8A">
            <w:pPr>
              <w:pStyle w:val="SCCLsocParty"/>
              <w:jc w:val="both"/>
              <w:rPr>
                <w:sz w:val="20"/>
                <w:szCs w:val="20"/>
              </w:rPr>
            </w:pPr>
            <w:r w:rsidRPr="00292979">
              <w:rPr>
                <w:sz w:val="20"/>
                <w:szCs w:val="20"/>
              </w:rPr>
              <w:t xml:space="preserve">La demande d’autorisation d’appel de l’arrêt de la </w:t>
            </w:r>
            <w:r w:rsidRPr="00292979">
              <w:rPr>
                <w:sz w:val="20"/>
                <w:szCs w:val="20"/>
                <w:lang w:val="fr-FR"/>
              </w:rPr>
              <w:t>Cour d’appel de la Colombie-Britannique (Vancouver)</w:t>
            </w:r>
            <w:r w:rsidRPr="00292979">
              <w:rPr>
                <w:sz w:val="20"/>
                <w:szCs w:val="20"/>
              </w:rPr>
              <w:t xml:space="preserve">, numéros </w:t>
            </w:r>
            <w:r w:rsidRPr="00292979">
              <w:rPr>
                <w:sz w:val="20"/>
                <w:szCs w:val="20"/>
                <w:lang w:val="fr-FR"/>
              </w:rPr>
              <w:t xml:space="preserve"> CA42452, CA43009 et CA43201</w:t>
            </w:r>
            <w:r w:rsidRPr="00292979">
              <w:rPr>
                <w:sz w:val="20"/>
                <w:szCs w:val="20"/>
              </w:rPr>
              <w:t xml:space="preserve">, </w:t>
            </w:r>
            <w:r w:rsidRPr="00292979">
              <w:rPr>
                <w:sz w:val="20"/>
                <w:szCs w:val="20"/>
                <w:lang w:val="fr-FR"/>
              </w:rPr>
              <w:t xml:space="preserve">2017 BCCA 95, </w:t>
            </w:r>
            <w:r w:rsidRPr="00292979">
              <w:rPr>
                <w:sz w:val="20"/>
                <w:szCs w:val="20"/>
              </w:rPr>
              <w:t xml:space="preserve">daté du </w:t>
            </w:r>
            <w:r w:rsidRPr="00292979">
              <w:rPr>
                <w:sz w:val="20"/>
                <w:szCs w:val="20"/>
                <w:lang w:val="fr-FR"/>
              </w:rPr>
              <w:t>28 février 2017</w:t>
            </w:r>
            <w:r w:rsidRPr="00292979">
              <w:rPr>
                <w:sz w:val="20"/>
                <w:szCs w:val="20"/>
              </w:rPr>
              <w:t>, est rejetée avec dépens, avec toutes les demandes connexes.</w:t>
            </w:r>
          </w:p>
          <w:p w:rsidR="00C6652A" w:rsidRPr="00C6652A" w:rsidRDefault="00C6652A" w:rsidP="00C6652A">
            <w:pPr>
              <w:rPr>
                <w:lang w:val="fr-CA"/>
              </w:rPr>
            </w:pPr>
          </w:p>
        </w:tc>
      </w:tr>
      <w:tr w:rsidR="00EE6E8A" w:rsidRPr="00ED1F08" w:rsidTr="00EE6E8A">
        <w:tc>
          <w:tcPr>
            <w:tcW w:w="5000" w:type="pct"/>
            <w:gridSpan w:val="4"/>
          </w:tcPr>
          <w:p w:rsidR="00EE6E8A" w:rsidRPr="00F109C5" w:rsidRDefault="00EE6E8A" w:rsidP="00EE6E8A">
            <w:pPr>
              <w:pStyle w:val="SCCBanSummary"/>
              <w:rPr>
                <w:sz w:val="20"/>
                <w:szCs w:val="20"/>
                <w:lang w:val="fr-CA"/>
              </w:rPr>
            </w:pPr>
            <w:r w:rsidRPr="00F109C5">
              <w:rPr>
                <w:sz w:val="20"/>
                <w:szCs w:val="20"/>
                <w:lang w:val="fr-CA"/>
              </w:rPr>
              <w:t>(Ordonnance de non-publication dans le dossier) (Ordonnance de non-publication visant une partie) (Le dossier de la cour renferme des données que le public n’est pas autorisé à consulter)</w:t>
            </w:r>
          </w:p>
          <w:p w:rsidR="00EE6E8A" w:rsidRPr="00F109C5" w:rsidRDefault="00EE6E8A" w:rsidP="00EE6E8A">
            <w:pPr>
              <w:jc w:val="both"/>
              <w:rPr>
                <w:sz w:val="20"/>
                <w:szCs w:val="20"/>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Jugements et ordonnances – Motifs – Rejet de l’action civile intentée par la demanderesse contre les intimés pour, entre autres, agression sexuelle, harcèlement sexuel, rupture de contrat et violation de la convention de règlement – La Cour d’appel a-t-elle entendu les trois appels de la demanderesse sur le fond? – Le juge de première instance </w:t>
            </w:r>
            <w:proofErr w:type="spellStart"/>
            <w:r w:rsidRPr="00F109C5">
              <w:rPr>
                <w:sz w:val="20"/>
                <w:szCs w:val="20"/>
                <w:lang w:val="fr-CA"/>
              </w:rPr>
              <w:t>a-t-il</w:t>
            </w:r>
            <w:proofErr w:type="spellEnd"/>
            <w:r w:rsidRPr="00F109C5">
              <w:rPr>
                <w:sz w:val="20"/>
                <w:szCs w:val="20"/>
                <w:lang w:val="fr-CA"/>
              </w:rPr>
              <w:t xml:space="preserve"> modifié le sens et l’exécution du contrat? – Le juge de première instance </w:t>
            </w:r>
            <w:proofErr w:type="spellStart"/>
            <w:r w:rsidRPr="00F109C5">
              <w:rPr>
                <w:sz w:val="20"/>
                <w:szCs w:val="20"/>
                <w:lang w:val="fr-CA"/>
              </w:rPr>
              <w:t>a-t-il</w:t>
            </w:r>
            <w:proofErr w:type="spellEnd"/>
            <w:r w:rsidRPr="00F109C5">
              <w:rPr>
                <w:sz w:val="20"/>
                <w:szCs w:val="20"/>
                <w:lang w:val="fr-CA"/>
              </w:rPr>
              <w:t xml:space="preserve"> mal évalué la crédibilité des témoins? – Les juridictions inférieures </w:t>
            </w:r>
            <w:proofErr w:type="spellStart"/>
            <w:r w:rsidRPr="00F109C5">
              <w:rPr>
                <w:sz w:val="20"/>
                <w:szCs w:val="20"/>
                <w:lang w:val="fr-CA"/>
              </w:rPr>
              <w:t>ont-elles</w:t>
            </w:r>
            <w:proofErr w:type="spellEnd"/>
            <w:r w:rsidRPr="00F109C5">
              <w:rPr>
                <w:sz w:val="20"/>
                <w:szCs w:val="20"/>
                <w:lang w:val="fr-CA"/>
              </w:rPr>
              <w:t xml:space="preserve"> cité des ordonnances inexistantes, écarté des éléments de preuve et modifié le sens de la décharge conditionnelle? – Le juge de première instance </w:t>
            </w:r>
            <w:proofErr w:type="spellStart"/>
            <w:r w:rsidRPr="00F109C5">
              <w:rPr>
                <w:sz w:val="20"/>
                <w:szCs w:val="20"/>
                <w:lang w:val="fr-CA"/>
              </w:rPr>
              <w:t>a-t-il</w:t>
            </w:r>
            <w:proofErr w:type="spellEnd"/>
            <w:r w:rsidRPr="00F109C5">
              <w:rPr>
                <w:sz w:val="20"/>
                <w:szCs w:val="20"/>
                <w:lang w:val="fr-CA"/>
              </w:rPr>
              <w:t xml:space="preserve"> commis une erreur en adjugeant les dépens? </w:t>
            </w:r>
          </w:p>
          <w:p w:rsidR="00EE6E8A" w:rsidRPr="00F109C5" w:rsidRDefault="00EE6E8A" w:rsidP="00EE6E8A">
            <w:pPr>
              <w:jc w:val="both"/>
              <w:rPr>
                <w:sz w:val="20"/>
                <w:szCs w:val="20"/>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Après la cessation de son emploi chez S.C.M.I. en tant qu’agente d’information en chef en 2009, I.J. a conclu une convention de règlement qui lui accordait une indemnité de départ. Elle a signé une décharge générale de responsabilité en faveur de S.C.M.I. et de J.A.M., son président et directeur général, à l’égard de l’emploi </w:t>
            </w:r>
            <w:proofErr w:type="gramStart"/>
            <w:r w:rsidRPr="00F109C5">
              <w:rPr>
                <w:sz w:val="20"/>
                <w:szCs w:val="20"/>
                <w:lang w:val="fr-CA"/>
              </w:rPr>
              <w:t>de I.J</w:t>
            </w:r>
            <w:proofErr w:type="gramEnd"/>
            <w:r w:rsidRPr="00F109C5">
              <w:rPr>
                <w:sz w:val="20"/>
                <w:szCs w:val="20"/>
                <w:lang w:val="fr-CA"/>
              </w:rPr>
              <w:t>. Cette dernière a par la suite intenté en Cour suprême de la Colombie-Britannique une action dans laquelle elle fait des prétentions concernant son emploi chez S.C.M.I, notamment des allégations d’agression sexuelle, de harcèlement sexuel, de rupture de contrat et de violation de la convention de règlement.</w:t>
            </w: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15 décembre 2014</w:t>
            </w:r>
          </w:p>
          <w:p w:rsidR="00EE6E8A" w:rsidRPr="00F109C5" w:rsidRDefault="00EE6E8A" w:rsidP="00EE6E8A">
            <w:pPr>
              <w:jc w:val="both"/>
              <w:rPr>
                <w:sz w:val="20"/>
                <w:szCs w:val="20"/>
                <w:lang w:val="fr-CA"/>
              </w:rPr>
            </w:pPr>
            <w:r w:rsidRPr="00F109C5">
              <w:rPr>
                <w:sz w:val="20"/>
                <w:szCs w:val="20"/>
                <w:lang w:val="fr-CA"/>
              </w:rPr>
              <w:t>Cour suprême de la Colombie-Britannique</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Burnyeat</w:t>
            </w:r>
            <w:proofErr w:type="spellEnd"/>
            <w:r w:rsidRPr="00F109C5">
              <w:rPr>
                <w:sz w:val="20"/>
                <w:szCs w:val="20"/>
              </w:rPr>
              <w:t>)</w:t>
            </w:r>
          </w:p>
          <w:p w:rsidR="00EE6E8A" w:rsidRPr="00F109C5" w:rsidRDefault="00EE6E8A" w:rsidP="00EE6E8A">
            <w:pPr>
              <w:jc w:val="both"/>
              <w:rPr>
                <w:sz w:val="20"/>
                <w:szCs w:val="20"/>
              </w:rPr>
            </w:pPr>
            <w:r w:rsidRPr="00F109C5">
              <w:rPr>
                <w:sz w:val="20"/>
                <w:szCs w:val="20"/>
              </w:rPr>
              <w:t>2014 BCSC 2372</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Rejet de l’action intentée par la demanderesse contre les intimés</w:t>
            </w:r>
          </w:p>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23 juillet 2015</w:t>
            </w:r>
          </w:p>
          <w:p w:rsidR="00EE6E8A" w:rsidRPr="00F109C5" w:rsidRDefault="00EE6E8A" w:rsidP="00EE6E8A">
            <w:pPr>
              <w:jc w:val="both"/>
              <w:rPr>
                <w:sz w:val="20"/>
                <w:szCs w:val="20"/>
                <w:lang w:val="fr-CA"/>
              </w:rPr>
            </w:pPr>
            <w:r w:rsidRPr="00F109C5">
              <w:rPr>
                <w:sz w:val="20"/>
                <w:szCs w:val="20"/>
                <w:lang w:val="fr-CA"/>
              </w:rPr>
              <w:t>Cour suprême de la Colombie-Britannique</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Burnyeat</w:t>
            </w:r>
            <w:proofErr w:type="spellEnd"/>
            <w:r w:rsidRPr="00F109C5">
              <w:rPr>
                <w:sz w:val="20"/>
                <w:szCs w:val="20"/>
              </w:rPr>
              <w:t>)</w:t>
            </w:r>
          </w:p>
          <w:p w:rsidR="00EE6E8A" w:rsidRPr="00F109C5" w:rsidRDefault="00EE6E8A" w:rsidP="00EE6E8A">
            <w:pPr>
              <w:jc w:val="both"/>
              <w:rPr>
                <w:sz w:val="20"/>
                <w:szCs w:val="20"/>
              </w:rPr>
            </w:pPr>
            <w:r w:rsidRPr="00F109C5">
              <w:rPr>
                <w:sz w:val="20"/>
                <w:szCs w:val="20"/>
              </w:rPr>
              <w:t xml:space="preserve">Non </w:t>
            </w:r>
            <w:proofErr w:type="spellStart"/>
            <w:r w:rsidRPr="00F109C5">
              <w:rPr>
                <w:sz w:val="20"/>
                <w:szCs w:val="20"/>
              </w:rPr>
              <w:t>publiée</w:t>
            </w:r>
            <w:proofErr w:type="spellEnd"/>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Condamnation de la demanderesse aux dépens</w:t>
            </w:r>
          </w:p>
          <w:p w:rsidR="00EE6E8A" w:rsidRPr="00F109C5" w:rsidRDefault="00EE6E8A" w:rsidP="00EE6E8A">
            <w:pPr>
              <w:jc w:val="both"/>
              <w:rPr>
                <w:sz w:val="20"/>
                <w:szCs w:val="20"/>
                <w:lang w:val="fr-CA"/>
              </w:rPr>
            </w:pPr>
          </w:p>
        </w:tc>
      </w:tr>
    </w:tbl>
    <w:p w:rsidR="00C6652A" w:rsidRPr="009E0AA9" w:rsidRDefault="00C6652A">
      <w:pPr>
        <w:rPr>
          <w:lang w:val="fr-CA"/>
        </w:rPr>
      </w:pPr>
      <w:r w:rsidRPr="009E0AA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E8A" w:rsidRPr="00ED1F08" w:rsidTr="00EE6E8A">
        <w:tc>
          <w:tcPr>
            <w:tcW w:w="2427" w:type="pct"/>
          </w:tcPr>
          <w:p w:rsidR="00EE6E8A" w:rsidRPr="00F109C5" w:rsidRDefault="00EE6E8A" w:rsidP="00EE6E8A">
            <w:pPr>
              <w:jc w:val="both"/>
              <w:rPr>
                <w:sz w:val="20"/>
                <w:szCs w:val="20"/>
                <w:lang w:val="fr-CA"/>
              </w:rPr>
            </w:pPr>
            <w:r w:rsidRPr="00F109C5">
              <w:rPr>
                <w:sz w:val="20"/>
                <w:szCs w:val="20"/>
                <w:lang w:val="fr-CA"/>
              </w:rPr>
              <w:lastRenderedPageBreak/>
              <w:t>28 septembre 2015</w:t>
            </w:r>
          </w:p>
          <w:p w:rsidR="00EE6E8A" w:rsidRPr="00F109C5" w:rsidRDefault="00EE6E8A" w:rsidP="00EE6E8A">
            <w:pPr>
              <w:jc w:val="both"/>
              <w:rPr>
                <w:sz w:val="20"/>
                <w:szCs w:val="20"/>
                <w:lang w:val="fr-CA"/>
              </w:rPr>
            </w:pPr>
            <w:r w:rsidRPr="00F109C5">
              <w:rPr>
                <w:sz w:val="20"/>
                <w:szCs w:val="20"/>
                <w:lang w:val="fr-CA"/>
              </w:rPr>
              <w:t>Cour suprême de la Colombie-Britannique</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Burnyeat</w:t>
            </w:r>
            <w:proofErr w:type="spellEnd"/>
            <w:r w:rsidRPr="00F109C5">
              <w:rPr>
                <w:sz w:val="20"/>
                <w:szCs w:val="20"/>
              </w:rPr>
              <w:t>)</w:t>
            </w:r>
          </w:p>
          <w:p w:rsidR="00EE6E8A" w:rsidRPr="00F109C5" w:rsidRDefault="00EE6E8A" w:rsidP="00EE6E8A">
            <w:pPr>
              <w:jc w:val="both"/>
              <w:rPr>
                <w:sz w:val="20"/>
                <w:szCs w:val="20"/>
              </w:rPr>
            </w:pPr>
            <w:r w:rsidRPr="00F109C5">
              <w:rPr>
                <w:sz w:val="20"/>
                <w:szCs w:val="20"/>
              </w:rPr>
              <w:t xml:space="preserve">Non </w:t>
            </w:r>
            <w:proofErr w:type="spellStart"/>
            <w:r w:rsidRPr="00F109C5">
              <w:rPr>
                <w:sz w:val="20"/>
                <w:szCs w:val="20"/>
              </w:rPr>
              <w:t>publiée</w:t>
            </w:r>
            <w:proofErr w:type="spellEnd"/>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Ordonnance précisant que S.C.M.I. doit rétablir les inscriptions initiales liées à la demanderesse sur son site Web durant l’année qui suit la décision définitive de la Cour d’appel</w:t>
            </w:r>
          </w:p>
          <w:p w:rsidR="00EE6E8A" w:rsidRPr="00F109C5" w:rsidRDefault="00EE6E8A" w:rsidP="00EE6E8A">
            <w:pPr>
              <w:jc w:val="both"/>
              <w:rPr>
                <w:sz w:val="20"/>
                <w:szCs w:val="20"/>
                <w:lang w:val="fr-CA"/>
              </w:rPr>
            </w:pPr>
          </w:p>
        </w:tc>
      </w:tr>
      <w:tr w:rsidR="00EE6E8A" w:rsidRPr="00ED1F08" w:rsidTr="00EE6E8A">
        <w:tc>
          <w:tcPr>
            <w:tcW w:w="2427" w:type="pct"/>
          </w:tcPr>
          <w:p w:rsidR="00EE6E8A" w:rsidRPr="00F109C5" w:rsidRDefault="00EE6E8A" w:rsidP="00EE6E8A">
            <w:pPr>
              <w:jc w:val="both"/>
              <w:rPr>
                <w:sz w:val="20"/>
                <w:szCs w:val="20"/>
                <w:lang w:val="fr-CA"/>
              </w:rPr>
            </w:pPr>
            <w:r w:rsidRPr="00F109C5">
              <w:rPr>
                <w:sz w:val="20"/>
                <w:szCs w:val="20"/>
                <w:lang w:val="fr-CA"/>
              </w:rPr>
              <w:t>28 février 2017</w:t>
            </w:r>
          </w:p>
          <w:p w:rsidR="00EE6E8A" w:rsidRPr="00F109C5" w:rsidRDefault="00EE6E8A" w:rsidP="00EE6E8A">
            <w:pPr>
              <w:jc w:val="both"/>
              <w:rPr>
                <w:sz w:val="20"/>
                <w:szCs w:val="20"/>
                <w:lang w:val="fr-CA"/>
              </w:rPr>
            </w:pPr>
            <w:r w:rsidRPr="00F109C5">
              <w:rPr>
                <w:sz w:val="20"/>
                <w:szCs w:val="20"/>
                <w:lang w:val="fr-CA"/>
              </w:rPr>
              <w:t xml:space="preserve">Cour d’appel de la Colombie-Britannique </w:t>
            </w:r>
          </w:p>
          <w:p w:rsidR="00EE6E8A" w:rsidRPr="00F109C5" w:rsidRDefault="00EE6E8A" w:rsidP="00EE6E8A">
            <w:pPr>
              <w:jc w:val="both"/>
              <w:rPr>
                <w:sz w:val="20"/>
                <w:szCs w:val="20"/>
                <w:lang w:val="fr-CA"/>
              </w:rPr>
            </w:pPr>
            <w:r w:rsidRPr="00F109C5">
              <w:rPr>
                <w:sz w:val="20"/>
                <w:szCs w:val="20"/>
                <w:lang w:val="fr-CA"/>
              </w:rPr>
              <w:t>(Vancouver)</w:t>
            </w:r>
          </w:p>
          <w:p w:rsidR="00EE6E8A" w:rsidRPr="00F109C5" w:rsidRDefault="00EE6E8A" w:rsidP="00EE6E8A">
            <w:pPr>
              <w:jc w:val="both"/>
              <w:rPr>
                <w:sz w:val="20"/>
                <w:szCs w:val="20"/>
                <w:lang w:val="fr-CA"/>
              </w:rPr>
            </w:pPr>
            <w:r w:rsidRPr="00F109C5">
              <w:rPr>
                <w:sz w:val="20"/>
                <w:szCs w:val="20"/>
                <w:lang w:val="fr-CA"/>
              </w:rPr>
              <w:t xml:space="preserve">(Juges </w:t>
            </w:r>
            <w:proofErr w:type="spellStart"/>
            <w:r w:rsidRPr="00F109C5">
              <w:rPr>
                <w:sz w:val="20"/>
                <w:szCs w:val="20"/>
                <w:lang w:val="fr-CA"/>
              </w:rPr>
              <w:t>Frankel</w:t>
            </w:r>
            <w:proofErr w:type="spellEnd"/>
            <w:r w:rsidRPr="00F109C5">
              <w:rPr>
                <w:sz w:val="20"/>
                <w:szCs w:val="20"/>
                <w:lang w:val="fr-CA"/>
              </w:rPr>
              <w:t>, Harris et Savage)</w:t>
            </w:r>
          </w:p>
          <w:p w:rsidR="00EE6E8A" w:rsidRPr="00F109C5" w:rsidRDefault="00EE6E8A" w:rsidP="00EE6E8A">
            <w:pPr>
              <w:jc w:val="both"/>
              <w:rPr>
                <w:sz w:val="20"/>
                <w:szCs w:val="20"/>
              </w:rPr>
            </w:pPr>
            <w:r w:rsidRPr="00F109C5">
              <w:rPr>
                <w:sz w:val="20"/>
                <w:szCs w:val="20"/>
              </w:rPr>
              <w:t>2017 BCCA 95</w:t>
            </w:r>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Rejet de l’appel de la demanderesse</w:t>
            </w:r>
          </w:p>
          <w:p w:rsidR="00EE6E8A" w:rsidRPr="00F109C5" w:rsidRDefault="00EE6E8A" w:rsidP="00EE6E8A">
            <w:pPr>
              <w:jc w:val="both"/>
              <w:rPr>
                <w:sz w:val="20"/>
                <w:szCs w:val="20"/>
                <w:lang w:val="fr-CA"/>
              </w:rPr>
            </w:pPr>
          </w:p>
        </w:tc>
      </w:tr>
      <w:tr w:rsidR="00EE6E8A" w:rsidRPr="00ED1F08" w:rsidTr="00EE6E8A">
        <w:tc>
          <w:tcPr>
            <w:tcW w:w="2427" w:type="pct"/>
          </w:tcPr>
          <w:p w:rsidR="00EE6E8A" w:rsidRPr="00F109C5" w:rsidRDefault="00EE6E8A" w:rsidP="00EE6E8A">
            <w:pPr>
              <w:jc w:val="both"/>
              <w:rPr>
                <w:sz w:val="20"/>
                <w:szCs w:val="20"/>
                <w:lang w:val="fr-CA"/>
              </w:rPr>
            </w:pPr>
            <w:r w:rsidRPr="00F109C5">
              <w:rPr>
                <w:sz w:val="20"/>
                <w:szCs w:val="20"/>
                <w:lang w:val="fr-CA"/>
              </w:rPr>
              <w:t>27 avril 2017</w:t>
            </w:r>
          </w:p>
          <w:p w:rsidR="00EE6E8A" w:rsidRPr="00F109C5" w:rsidRDefault="00EE6E8A" w:rsidP="00EE6E8A">
            <w:pPr>
              <w:jc w:val="both"/>
              <w:rPr>
                <w:sz w:val="20"/>
                <w:szCs w:val="20"/>
                <w:lang w:val="fr-CA"/>
              </w:rPr>
            </w:pPr>
            <w:r w:rsidRPr="00F109C5">
              <w:rPr>
                <w:sz w:val="20"/>
                <w:szCs w:val="20"/>
                <w:lang w:val="fr-CA"/>
              </w:rPr>
              <w:t>Cour suprême du Canada</w:t>
            </w: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Dépôt de la demande d’autorisation d’appel et des requêtes connexes</w:t>
            </w:r>
          </w:p>
        </w:tc>
      </w:tr>
    </w:tbl>
    <w:p w:rsidR="00EE6E8A" w:rsidRPr="00F109C5" w:rsidRDefault="00ED1F08" w:rsidP="00EE6E8A">
      <w:pPr>
        <w:jc w:val="both"/>
        <w:rPr>
          <w:sz w:val="20"/>
          <w:szCs w:val="20"/>
          <w:lang w:val="fr-CA"/>
        </w:rPr>
      </w:pPr>
      <w:r>
        <w:rPr>
          <w:sz w:val="20"/>
          <w:szCs w:val="20"/>
        </w:rPr>
        <w:pict>
          <v:rect id="_x0000_i1041" style="width:2in;height:1pt" o:hrpct="0" o:hralign="center" o:hrstd="t" o:hrnoshade="t" o:hr="t" fillcolor="black [3213]" stroked="f"/>
        </w:pict>
      </w:r>
    </w:p>
    <w:p w:rsidR="00EE6E8A" w:rsidRPr="00F109C5" w:rsidRDefault="00EE6E8A" w:rsidP="00EE6E8A">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37572</w:t>
            </w:r>
          </w:p>
        </w:tc>
        <w:tc>
          <w:tcPr>
            <w:tcW w:w="4457" w:type="pct"/>
          </w:tcPr>
          <w:p w:rsidR="00EE6E8A" w:rsidRPr="00694836" w:rsidRDefault="00694836" w:rsidP="00EE6E8A">
            <w:pPr>
              <w:jc w:val="both"/>
              <w:rPr>
                <w:rFonts w:eastAsia="Calibri" w:cs="Times New Roman"/>
                <w:b/>
                <w:sz w:val="20"/>
                <w:szCs w:val="20"/>
                <w:lang w:val="en-US"/>
              </w:rPr>
            </w:pPr>
            <w:r w:rsidRPr="00694836">
              <w:rPr>
                <w:rFonts w:eastAsia="Calibri" w:cs="Times New Roman"/>
                <w:b/>
                <w:sz w:val="20"/>
                <w:szCs w:val="20"/>
                <w:lang w:val="en-US"/>
              </w:rPr>
              <w:t xml:space="preserve">Wayne </w:t>
            </w:r>
            <w:proofErr w:type="spellStart"/>
            <w:r w:rsidRPr="00694836">
              <w:rPr>
                <w:rFonts w:eastAsia="Calibri" w:cs="Times New Roman"/>
                <w:b/>
                <w:sz w:val="20"/>
                <w:szCs w:val="20"/>
                <w:lang w:val="en-US"/>
              </w:rPr>
              <w:t>Mikkelsen</w:t>
            </w:r>
            <w:proofErr w:type="spellEnd"/>
            <w:r w:rsidRPr="00694836">
              <w:rPr>
                <w:rFonts w:eastAsia="Calibri" w:cs="Times New Roman"/>
                <w:b/>
                <w:sz w:val="20"/>
                <w:szCs w:val="20"/>
                <w:lang w:val="en-US"/>
              </w:rPr>
              <w:t xml:space="preserve">, Colin Wade </w:t>
            </w:r>
            <w:proofErr w:type="spellStart"/>
            <w:r w:rsidRPr="00694836">
              <w:rPr>
                <w:rFonts w:eastAsia="Calibri" w:cs="Times New Roman"/>
                <w:b/>
                <w:sz w:val="20"/>
                <w:szCs w:val="20"/>
                <w:lang w:val="en-US"/>
              </w:rPr>
              <w:t>Mikkelsen</w:t>
            </w:r>
            <w:proofErr w:type="spellEnd"/>
            <w:r w:rsidRPr="00694836">
              <w:rPr>
                <w:rFonts w:eastAsia="Calibri" w:cs="Times New Roman"/>
                <w:b/>
                <w:sz w:val="20"/>
                <w:szCs w:val="20"/>
                <w:lang w:val="en-US"/>
              </w:rPr>
              <w:t xml:space="preserve">, </w:t>
            </w:r>
            <w:proofErr w:type="spellStart"/>
            <w:r w:rsidRPr="00694836">
              <w:rPr>
                <w:rFonts w:eastAsia="Calibri" w:cs="Times New Roman"/>
                <w:b/>
                <w:sz w:val="20"/>
                <w:szCs w:val="20"/>
                <w:lang w:val="en-US"/>
              </w:rPr>
              <w:t>Meghen</w:t>
            </w:r>
            <w:proofErr w:type="spellEnd"/>
            <w:r w:rsidRPr="00694836">
              <w:rPr>
                <w:rFonts w:eastAsia="Calibri" w:cs="Times New Roman"/>
                <w:b/>
                <w:sz w:val="20"/>
                <w:szCs w:val="20"/>
                <w:lang w:val="en-US"/>
              </w:rPr>
              <w:t xml:space="preserve"> </w:t>
            </w:r>
            <w:proofErr w:type="spellStart"/>
            <w:r w:rsidRPr="00694836">
              <w:rPr>
                <w:rFonts w:eastAsia="Calibri" w:cs="Times New Roman"/>
                <w:b/>
                <w:sz w:val="20"/>
                <w:szCs w:val="20"/>
                <w:lang w:val="en-US"/>
              </w:rPr>
              <w:t>Anine</w:t>
            </w:r>
            <w:proofErr w:type="spellEnd"/>
            <w:r w:rsidRPr="00694836">
              <w:rPr>
                <w:rFonts w:eastAsia="Calibri" w:cs="Times New Roman"/>
                <w:b/>
                <w:sz w:val="20"/>
                <w:szCs w:val="20"/>
                <w:lang w:val="en-US"/>
              </w:rPr>
              <w:t xml:space="preserve"> </w:t>
            </w:r>
            <w:proofErr w:type="spellStart"/>
            <w:r w:rsidRPr="00694836">
              <w:rPr>
                <w:rFonts w:eastAsia="Calibri" w:cs="Times New Roman"/>
                <w:b/>
                <w:sz w:val="20"/>
                <w:szCs w:val="20"/>
                <w:lang w:val="en-US"/>
              </w:rPr>
              <w:t>Mikkelsen</w:t>
            </w:r>
            <w:proofErr w:type="spellEnd"/>
            <w:r w:rsidRPr="00694836">
              <w:rPr>
                <w:rFonts w:eastAsia="Calibri" w:cs="Times New Roman"/>
                <w:b/>
                <w:sz w:val="20"/>
                <w:szCs w:val="20"/>
                <w:lang w:val="en-US"/>
              </w:rPr>
              <w:t xml:space="preserve"> and Alana Denise </w:t>
            </w:r>
            <w:proofErr w:type="spellStart"/>
            <w:r w:rsidRPr="00694836">
              <w:rPr>
                <w:rFonts w:eastAsia="Calibri" w:cs="Times New Roman"/>
                <w:b/>
                <w:sz w:val="20"/>
                <w:szCs w:val="20"/>
                <w:lang w:val="en-US"/>
              </w:rPr>
              <w:t>Mikkelsen</w:t>
            </w:r>
            <w:proofErr w:type="spellEnd"/>
            <w:r w:rsidRPr="00694836">
              <w:rPr>
                <w:rFonts w:eastAsia="Calibri" w:cs="Times New Roman"/>
                <w:b/>
                <w:sz w:val="20"/>
                <w:szCs w:val="20"/>
                <w:lang w:val="en-US"/>
              </w:rPr>
              <w:t xml:space="preserve"> v. Truman Development Corporation </w:t>
            </w:r>
            <w:r w:rsidR="00EE6E8A" w:rsidRPr="00F109C5">
              <w:rPr>
                <w:sz w:val="20"/>
                <w:szCs w:val="20"/>
              </w:rPr>
              <w:t>(Alta.) (Civil) (By Leave)</w:t>
            </w:r>
          </w:p>
        </w:tc>
      </w:tr>
      <w:tr w:rsidR="00C6652A" w:rsidRPr="00F109C5" w:rsidTr="00EE6E8A">
        <w:tc>
          <w:tcPr>
            <w:tcW w:w="543" w:type="pct"/>
          </w:tcPr>
          <w:p w:rsidR="00C6652A" w:rsidRPr="00F109C5" w:rsidRDefault="00C6652A" w:rsidP="00EE6E8A">
            <w:pPr>
              <w:jc w:val="both"/>
              <w:rPr>
                <w:rStyle w:val="SCCFileNumberChar"/>
                <w:sz w:val="20"/>
                <w:szCs w:val="20"/>
              </w:rPr>
            </w:pPr>
            <w:r>
              <w:rPr>
                <w:rStyle w:val="SCCFileNumberChar"/>
                <w:sz w:val="20"/>
                <w:szCs w:val="20"/>
              </w:rPr>
              <w:t>Coram:</w:t>
            </w:r>
          </w:p>
        </w:tc>
        <w:tc>
          <w:tcPr>
            <w:tcW w:w="4457" w:type="pct"/>
          </w:tcPr>
          <w:p w:rsidR="00C6652A" w:rsidRDefault="00694836" w:rsidP="00EE6E8A">
            <w:pPr>
              <w:pStyle w:val="SCCLsocParty"/>
              <w:jc w:val="both"/>
              <w:rPr>
                <w:sz w:val="20"/>
                <w:szCs w:val="20"/>
                <w:lang w:val="en-US"/>
              </w:rPr>
            </w:pPr>
            <w:r w:rsidRPr="00694836">
              <w:rPr>
                <w:sz w:val="20"/>
                <w:szCs w:val="20"/>
                <w:lang w:val="en-US"/>
              </w:rPr>
              <w:t>McLachlin C.J. and Abella, Moldaver, Karakatsanis, Wagner, Gascon, Côté, Brown and Rowe JJ.</w:t>
            </w:r>
          </w:p>
          <w:p w:rsidR="00694836" w:rsidRPr="00694836" w:rsidRDefault="00694836" w:rsidP="00694836">
            <w:pPr>
              <w:rPr>
                <w:lang w:val="en-US"/>
              </w:rPr>
            </w:pPr>
          </w:p>
        </w:tc>
      </w:tr>
      <w:tr w:rsidR="00C6652A" w:rsidRPr="00F109C5" w:rsidTr="00C6652A">
        <w:tc>
          <w:tcPr>
            <w:tcW w:w="5000" w:type="pct"/>
            <w:gridSpan w:val="2"/>
          </w:tcPr>
          <w:p w:rsidR="00C6652A" w:rsidRDefault="00694836" w:rsidP="00EE6E8A">
            <w:pPr>
              <w:pStyle w:val="SCCLsocParty"/>
              <w:jc w:val="both"/>
              <w:rPr>
                <w:sz w:val="20"/>
                <w:szCs w:val="20"/>
                <w:lang w:val="en-US"/>
              </w:rPr>
            </w:pPr>
            <w:r w:rsidRPr="00694836">
              <w:rPr>
                <w:sz w:val="20"/>
                <w:szCs w:val="20"/>
                <w:lang w:val="en-US"/>
              </w:rPr>
              <w:t>The application for leave to appeal from the judgment of the Court of Alberta (Calgary), Number 1601-0039-AC, 2017 ABCA 99, dated March 24, 2017, is dismissed with costs.</w:t>
            </w:r>
          </w:p>
          <w:p w:rsidR="00694836" w:rsidRPr="00694836" w:rsidRDefault="00694836" w:rsidP="00694836">
            <w:pPr>
              <w:rPr>
                <w:lang w:val="en-US"/>
              </w:rPr>
            </w:pPr>
          </w:p>
        </w:tc>
      </w:tr>
      <w:tr w:rsidR="00EE6E8A" w:rsidRPr="00F109C5" w:rsidTr="00EE6E8A">
        <w:tc>
          <w:tcPr>
            <w:tcW w:w="5000" w:type="pct"/>
            <w:gridSpan w:val="2"/>
          </w:tcPr>
          <w:p w:rsidR="00EE6E8A" w:rsidRPr="00F109C5" w:rsidRDefault="00EE6E8A" w:rsidP="00EE6E8A">
            <w:pPr>
              <w:jc w:val="both"/>
              <w:rPr>
                <w:sz w:val="20"/>
                <w:szCs w:val="20"/>
              </w:rPr>
            </w:pPr>
            <w:r w:rsidRPr="00F109C5">
              <w:rPr>
                <w:sz w:val="20"/>
                <w:szCs w:val="20"/>
              </w:rPr>
              <w:t>Contracts – Commercial contracts – Unconscionability – Parties in disagreement over nature and effect of alleged agreements concerning development of land owned by applicants – What is the test for determining whether an agreement is unconscionable? – Is a realisable benefit an incontrovertible benefit? – Is a terminated contract a juristic reason barring unjust enrichment? – What must a court consider when determining whether a contract was formed?</w:t>
            </w:r>
          </w:p>
          <w:p w:rsidR="00EE6E8A" w:rsidRPr="00F109C5" w:rsidRDefault="00EE6E8A" w:rsidP="00EE6E8A">
            <w:pPr>
              <w:jc w:val="both"/>
              <w:rPr>
                <w:sz w:val="20"/>
                <w:szCs w:val="20"/>
              </w:rPr>
            </w:pPr>
          </w:p>
        </w:tc>
      </w:tr>
      <w:tr w:rsidR="00EE6E8A" w:rsidRPr="00F109C5" w:rsidTr="00EE6E8A">
        <w:trPr>
          <w:trHeight w:val="4590"/>
        </w:trPr>
        <w:tc>
          <w:tcPr>
            <w:tcW w:w="5000" w:type="pct"/>
            <w:gridSpan w:val="2"/>
          </w:tcPr>
          <w:p w:rsidR="00EE6E8A" w:rsidRPr="00F109C5" w:rsidRDefault="00EE6E8A" w:rsidP="00EE6E8A">
            <w:pPr>
              <w:jc w:val="both"/>
              <w:rPr>
                <w:sz w:val="20"/>
                <w:szCs w:val="20"/>
                <w:lang w:val="en"/>
              </w:rPr>
            </w:pPr>
            <w:r w:rsidRPr="00F109C5">
              <w:rPr>
                <w:sz w:val="20"/>
                <w:szCs w:val="20"/>
              </w:rPr>
              <w:t>Mr. </w:t>
            </w:r>
            <w:proofErr w:type="spellStart"/>
            <w:r w:rsidRPr="00F109C5">
              <w:rPr>
                <w:sz w:val="20"/>
                <w:szCs w:val="20"/>
              </w:rPr>
              <w:t>Mikkelsen</w:t>
            </w:r>
            <w:proofErr w:type="spellEnd"/>
            <w:r w:rsidRPr="00F109C5">
              <w:rPr>
                <w:sz w:val="20"/>
                <w:szCs w:val="20"/>
                <w:lang w:val="en"/>
              </w:rPr>
              <w:t>, owned a section of land near Langdon, Alberta that his family had farmed for many years. He and the principal of Truman Development Corporation (“Truman”), Mr. </w:t>
            </w:r>
            <w:proofErr w:type="spellStart"/>
            <w:r w:rsidRPr="00F109C5">
              <w:rPr>
                <w:sz w:val="20"/>
                <w:szCs w:val="20"/>
                <w:lang w:val="en"/>
              </w:rPr>
              <w:t>Trutina</w:t>
            </w:r>
            <w:proofErr w:type="spellEnd"/>
            <w:r w:rsidRPr="00F109C5">
              <w:rPr>
                <w:sz w:val="20"/>
                <w:szCs w:val="20"/>
                <w:lang w:val="en"/>
              </w:rPr>
              <w:t xml:space="preserve">, met at the </w:t>
            </w:r>
            <w:proofErr w:type="spellStart"/>
            <w:r w:rsidRPr="00F109C5">
              <w:rPr>
                <w:sz w:val="20"/>
                <w:szCs w:val="20"/>
                <w:lang w:val="en"/>
              </w:rPr>
              <w:t>Mikkelsen</w:t>
            </w:r>
            <w:proofErr w:type="spellEnd"/>
            <w:r w:rsidRPr="00F109C5">
              <w:rPr>
                <w:sz w:val="20"/>
                <w:szCs w:val="20"/>
                <w:lang w:val="en"/>
              </w:rPr>
              <w:t xml:space="preserve"> farm in January, 2007, and signed the joint venture agreement that allegedly permitted Truman to develop the lands at a future date. Due to some deficiencies in that agreement, Mr. and Ms. </w:t>
            </w:r>
            <w:proofErr w:type="spellStart"/>
            <w:r w:rsidRPr="00F109C5">
              <w:rPr>
                <w:sz w:val="20"/>
                <w:szCs w:val="20"/>
                <w:lang w:val="en"/>
              </w:rPr>
              <w:t>Mikkelsen</w:t>
            </w:r>
            <w:proofErr w:type="spellEnd"/>
            <w:r w:rsidRPr="00F109C5">
              <w:rPr>
                <w:sz w:val="20"/>
                <w:szCs w:val="20"/>
                <w:lang w:val="en"/>
              </w:rPr>
              <w:t xml:space="preserve"> attended before a lawyer to re-sign the agreement a couple of weeks later. Truman filed caveats against the land. There were further discussions between the parties about Mr. </w:t>
            </w:r>
            <w:proofErr w:type="spellStart"/>
            <w:r w:rsidRPr="00F109C5">
              <w:rPr>
                <w:sz w:val="20"/>
                <w:szCs w:val="20"/>
                <w:lang w:val="en"/>
              </w:rPr>
              <w:t>Mikkelsen’s</w:t>
            </w:r>
            <w:proofErr w:type="spellEnd"/>
            <w:r w:rsidRPr="00F109C5">
              <w:rPr>
                <w:sz w:val="20"/>
                <w:szCs w:val="20"/>
                <w:lang w:val="en"/>
              </w:rPr>
              <w:t xml:space="preserve"> desire to roll the land over to himself and his three children. On December 10, 2007, the parties met again and signed a Termination Agreement which stated: “. . . the Joint Venture </w:t>
            </w:r>
            <w:proofErr w:type="gramStart"/>
            <w:r w:rsidRPr="00F109C5">
              <w:rPr>
                <w:sz w:val="20"/>
                <w:szCs w:val="20"/>
                <w:lang w:val="en"/>
              </w:rPr>
              <w:t>Agreement .</w:t>
            </w:r>
            <w:proofErr w:type="gramEnd"/>
            <w:r w:rsidRPr="00F109C5">
              <w:rPr>
                <w:sz w:val="20"/>
                <w:szCs w:val="20"/>
                <w:lang w:val="en"/>
              </w:rPr>
              <w:t> . . will be terminated as of this date and that the caveat in favor of Truman Development Corporation will be removed.” Not all of the caveats were removed by Truman. Mr. </w:t>
            </w:r>
            <w:proofErr w:type="spellStart"/>
            <w:r w:rsidRPr="00F109C5">
              <w:rPr>
                <w:sz w:val="20"/>
                <w:szCs w:val="20"/>
                <w:lang w:val="en"/>
              </w:rPr>
              <w:t>Mikkelsen</w:t>
            </w:r>
            <w:proofErr w:type="spellEnd"/>
            <w:r w:rsidRPr="00F109C5">
              <w:rPr>
                <w:sz w:val="20"/>
                <w:szCs w:val="20"/>
                <w:lang w:val="en"/>
              </w:rPr>
              <w:t xml:space="preserve"> did roll the lands over to himself and his three children. Mr. </w:t>
            </w:r>
            <w:proofErr w:type="spellStart"/>
            <w:r w:rsidRPr="00F109C5">
              <w:rPr>
                <w:sz w:val="20"/>
                <w:szCs w:val="20"/>
                <w:lang w:val="en"/>
              </w:rPr>
              <w:t>Trutina</w:t>
            </w:r>
            <w:proofErr w:type="spellEnd"/>
            <w:r w:rsidRPr="00F109C5">
              <w:rPr>
                <w:sz w:val="20"/>
                <w:szCs w:val="20"/>
                <w:lang w:val="en"/>
              </w:rPr>
              <w:t xml:space="preserve"> continued work on the potential planning, development, and subdivision of the Langdon and </w:t>
            </w:r>
            <w:proofErr w:type="spellStart"/>
            <w:r w:rsidRPr="00F109C5">
              <w:rPr>
                <w:sz w:val="20"/>
                <w:szCs w:val="20"/>
                <w:lang w:val="en"/>
              </w:rPr>
              <w:t>neighbouring</w:t>
            </w:r>
            <w:proofErr w:type="spellEnd"/>
            <w:r w:rsidRPr="00F109C5">
              <w:rPr>
                <w:sz w:val="20"/>
                <w:szCs w:val="20"/>
                <w:lang w:val="en"/>
              </w:rPr>
              <w:t xml:space="preserve"> lands. In 2011, Mr. </w:t>
            </w:r>
            <w:proofErr w:type="spellStart"/>
            <w:r w:rsidRPr="00F109C5">
              <w:rPr>
                <w:sz w:val="20"/>
                <w:szCs w:val="20"/>
                <w:lang w:val="en"/>
              </w:rPr>
              <w:t>Mikkelsen</w:t>
            </w:r>
            <w:proofErr w:type="spellEnd"/>
            <w:r w:rsidRPr="00F109C5">
              <w:rPr>
                <w:sz w:val="20"/>
                <w:szCs w:val="20"/>
                <w:lang w:val="en"/>
              </w:rPr>
              <w:t xml:space="preserve"> discovered that the caveats had not all been removed from his land and commenced an action. At trial, Mr. and Ms. </w:t>
            </w:r>
            <w:proofErr w:type="spellStart"/>
            <w:r w:rsidRPr="00F109C5">
              <w:rPr>
                <w:sz w:val="20"/>
                <w:szCs w:val="20"/>
                <w:lang w:val="en"/>
              </w:rPr>
              <w:t>Mikkelsen</w:t>
            </w:r>
            <w:proofErr w:type="spellEnd"/>
            <w:r w:rsidRPr="00F109C5">
              <w:rPr>
                <w:sz w:val="20"/>
                <w:szCs w:val="20"/>
                <w:lang w:val="en"/>
              </w:rPr>
              <w:t xml:space="preserve"> alleged that they did not understand the nature of the joint venture agreement, and that they signed the agreement thinking it was only a “working arrangement”. Mr. </w:t>
            </w:r>
            <w:proofErr w:type="spellStart"/>
            <w:r w:rsidRPr="00F109C5">
              <w:rPr>
                <w:sz w:val="20"/>
                <w:szCs w:val="20"/>
                <w:lang w:val="en"/>
              </w:rPr>
              <w:t>Trutina</w:t>
            </w:r>
            <w:proofErr w:type="spellEnd"/>
            <w:r w:rsidRPr="00F109C5">
              <w:rPr>
                <w:sz w:val="20"/>
                <w:szCs w:val="20"/>
                <w:lang w:val="en"/>
              </w:rPr>
              <w:t xml:space="preserve"> disclaimed the validity of the Termination Agreement on several ground, asserting that it was only executed to permit the rollover to the children, after which time the joint venture would remain in effect. Truman had spent $438,368.06 on the planning and pre-development of the Langdon and adjacent lands. The </w:t>
            </w:r>
            <w:proofErr w:type="spellStart"/>
            <w:r w:rsidRPr="00F109C5">
              <w:rPr>
                <w:sz w:val="20"/>
                <w:szCs w:val="20"/>
                <w:lang w:val="en"/>
              </w:rPr>
              <w:t>Mikkelsens</w:t>
            </w:r>
            <w:proofErr w:type="spellEnd"/>
            <w:r w:rsidRPr="00F109C5">
              <w:rPr>
                <w:sz w:val="20"/>
                <w:szCs w:val="20"/>
                <w:lang w:val="en"/>
              </w:rPr>
              <w:t xml:space="preserve"> sought to have the caveats removed from their property, to have the joint venture agreement declared invalid and the termination agreement enforced and damages. Truman counterclaimed for specific performance of the joint venture agreement, damages and to recover pre-development costs from the </w:t>
            </w:r>
            <w:proofErr w:type="spellStart"/>
            <w:r w:rsidRPr="00F109C5">
              <w:rPr>
                <w:sz w:val="20"/>
                <w:szCs w:val="20"/>
                <w:lang w:val="en"/>
              </w:rPr>
              <w:t>Mikkelsens</w:t>
            </w:r>
            <w:proofErr w:type="spellEnd"/>
            <w:r w:rsidRPr="00F109C5">
              <w:rPr>
                <w:sz w:val="20"/>
                <w:szCs w:val="20"/>
                <w:lang w:val="en"/>
              </w:rPr>
              <w:t xml:space="preserve"> it had incurred. </w:t>
            </w:r>
          </w:p>
          <w:p w:rsidR="00EE6E8A" w:rsidRPr="00F109C5" w:rsidRDefault="00EE6E8A" w:rsidP="00EE6E8A">
            <w:pPr>
              <w:jc w:val="both"/>
              <w:rPr>
                <w:sz w:val="20"/>
                <w:szCs w:val="20"/>
                <w:lang w:val="en"/>
              </w:rPr>
            </w:pPr>
          </w:p>
        </w:tc>
      </w:tr>
    </w:tbl>
    <w:p w:rsidR="00694836" w:rsidRDefault="00694836">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E8A" w:rsidRPr="00F109C5" w:rsidTr="00EE6E8A">
        <w:tc>
          <w:tcPr>
            <w:tcW w:w="2427" w:type="pct"/>
          </w:tcPr>
          <w:p w:rsidR="00EE6E8A" w:rsidRPr="00F109C5" w:rsidRDefault="00EE6E8A" w:rsidP="00EE6E8A">
            <w:pPr>
              <w:jc w:val="both"/>
              <w:rPr>
                <w:sz w:val="20"/>
                <w:szCs w:val="20"/>
              </w:rPr>
            </w:pPr>
            <w:r w:rsidRPr="00F109C5">
              <w:rPr>
                <w:sz w:val="20"/>
                <w:szCs w:val="20"/>
              </w:rPr>
              <w:lastRenderedPageBreak/>
              <w:t>February 3, 2016</w:t>
            </w:r>
          </w:p>
          <w:p w:rsidR="00EE6E8A" w:rsidRPr="00F109C5" w:rsidRDefault="00EE6E8A" w:rsidP="00EE6E8A">
            <w:pPr>
              <w:jc w:val="both"/>
              <w:rPr>
                <w:sz w:val="20"/>
                <w:szCs w:val="20"/>
              </w:rPr>
            </w:pPr>
            <w:r w:rsidRPr="00F109C5">
              <w:rPr>
                <w:sz w:val="20"/>
                <w:szCs w:val="20"/>
              </w:rPr>
              <w:t>Court of Queen’s Bench of Alberta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Erb</w:t>
            </w:r>
            <w:proofErr w:type="spellEnd"/>
            <w:r w:rsidRPr="00F109C5">
              <w:rPr>
                <w:sz w:val="20"/>
                <w:szCs w:val="20"/>
              </w:rPr>
              <w:t xml:space="preserve"> J.)</w:t>
            </w:r>
          </w:p>
          <w:p w:rsidR="00EE6E8A" w:rsidRPr="00F109C5" w:rsidRDefault="00ED1F08" w:rsidP="00EE6E8A">
            <w:pPr>
              <w:jc w:val="both"/>
              <w:rPr>
                <w:sz w:val="20"/>
                <w:szCs w:val="20"/>
              </w:rPr>
            </w:pPr>
            <w:hyperlink r:id="rId30" w:history="1">
              <w:r w:rsidR="00EE6E8A" w:rsidRPr="00F109C5">
                <w:rPr>
                  <w:rStyle w:val="Hyperlink"/>
                  <w:sz w:val="20"/>
                  <w:szCs w:val="20"/>
                </w:rPr>
                <w:t>2016 ABQB 23</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Declaration that no binding contract formed between parties; Caveats registered against land ordered discharged; Respondent’s counterclaim to recover proportionate share of pre-development costs from applicant granted</w:t>
            </w:r>
          </w:p>
          <w:p w:rsidR="00EE6E8A" w:rsidRPr="00F109C5" w:rsidRDefault="00EE6E8A" w:rsidP="00EE6E8A">
            <w:pPr>
              <w:jc w:val="both"/>
              <w:rPr>
                <w:sz w:val="20"/>
                <w:szCs w:val="20"/>
              </w:rPr>
            </w:pPr>
          </w:p>
        </w:tc>
      </w:tr>
      <w:tr w:rsidR="00EE6E8A" w:rsidRPr="00F109C5" w:rsidTr="00EE6E8A">
        <w:tc>
          <w:tcPr>
            <w:tcW w:w="2427" w:type="pct"/>
          </w:tcPr>
          <w:p w:rsidR="00EE6E8A" w:rsidRPr="00F109C5" w:rsidRDefault="00EE6E8A" w:rsidP="00EE6E8A">
            <w:pPr>
              <w:jc w:val="both"/>
              <w:rPr>
                <w:sz w:val="20"/>
                <w:szCs w:val="20"/>
              </w:rPr>
            </w:pPr>
            <w:r w:rsidRPr="00F109C5">
              <w:rPr>
                <w:sz w:val="20"/>
                <w:szCs w:val="20"/>
              </w:rPr>
              <w:t>May 6, 2016</w:t>
            </w:r>
          </w:p>
          <w:p w:rsidR="00EE6E8A" w:rsidRPr="00F109C5" w:rsidRDefault="00EE6E8A" w:rsidP="00EE6E8A">
            <w:pPr>
              <w:jc w:val="both"/>
              <w:rPr>
                <w:sz w:val="20"/>
                <w:szCs w:val="20"/>
              </w:rPr>
            </w:pPr>
            <w:r w:rsidRPr="00F109C5">
              <w:rPr>
                <w:sz w:val="20"/>
                <w:szCs w:val="20"/>
              </w:rPr>
              <w:t>Court of Queen’s Bench of Alberta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Erb</w:t>
            </w:r>
            <w:proofErr w:type="spellEnd"/>
            <w:r w:rsidRPr="00F109C5">
              <w:rPr>
                <w:sz w:val="20"/>
                <w:szCs w:val="20"/>
              </w:rPr>
              <w:t xml:space="preserve"> J.)</w:t>
            </w:r>
          </w:p>
          <w:p w:rsidR="00EE6E8A" w:rsidRPr="00F109C5" w:rsidRDefault="00ED1F08" w:rsidP="00EE6E8A">
            <w:pPr>
              <w:jc w:val="both"/>
              <w:rPr>
                <w:rStyle w:val="Hyperlink"/>
                <w:sz w:val="20"/>
                <w:szCs w:val="20"/>
              </w:rPr>
            </w:pPr>
            <w:hyperlink r:id="rId31" w:history="1">
              <w:r w:rsidR="00EE6E8A" w:rsidRPr="00F109C5">
                <w:rPr>
                  <w:rStyle w:val="Hyperlink"/>
                  <w:sz w:val="20"/>
                  <w:szCs w:val="20"/>
                </w:rPr>
                <w:t>2016 ABQB 255</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 xml:space="preserve">Applicants ordered to pay respondent $130,847.19 for pre-development costs; Applicants awarded trial costs of $200,000 </w:t>
            </w:r>
          </w:p>
          <w:p w:rsidR="00EE6E8A" w:rsidRPr="00F109C5" w:rsidRDefault="00EE6E8A" w:rsidP="00EE6E8A">
            <w:pPr>
              <w:jc w:val="both"/>
              <w:rPr>
                <w:sz w:val="20"/>
                <w:szCs w:val="20"/>
              </w:rPr>
            </w:pPr>
          </w:p>
        </w:tc>
      </w:tr>
      <w:tr w:rsidR="00EE6E8A" w:rsidRPr="00F109C5" w:rsidTr="00EE6E8A">
        <w:tc>
          <w:tcPr>
            <w:tcW w:w="2427" w:type="pct"/>
          </w:tcPr>
          <w:p w:rsidR="00EE6E8A" w:rsidRPr="00F109C5" w:rsidRDefault="00EE6E8A" w:rsidP="00EE6E8A">
            <w:pPr>
              <w:jc w:val="both"/>
              <w:rPr>
                <w:sz w:val="20"/>
                <w:szCs w:val="20"/>
              </w:rPr>
            </w:pPr>
            <w:r w:rsidRPr="00F109C5">
              <w:rPr>
                <w:sz w:val="20"/>
                <w:szCs w:val="20"/>
              </w:rPr>
              <w:t>March 24, 2017</w:t>
            </w:r>
          </w:p>
          <w:p w:rsidR="00EE6E8A" w:rsidRPr="00F109C5" w:rsidRDefault="00EE6E8A" w:rsidP="00EE6E8A">
            <w:pPr>
              <w:jc w:val="both"/>
              <w:rPr>
                <w:sz w:val="20"/>
                <w:szCs w:val="20"/>
              </w:rPr>
            </w:pPr>
            <w:r w:rsidRPr="00F109C5">
              <w:rPr>
                <w:sz w:val="20"/>
                <w:szCs w:val="20"/>
              </w:rPr>
              <w:t>Court of Appeal of Alberta (Calgary)</w:t>
            </w:r>
          </w:p>
          <w:p w:rsidR="00EE6E8A" w:rsidRPr="00F109C5" w:rsidRDefault="00EE6E8A" w:rsidP="00EE6E8A">
            <w:pPr>
              <w:jc w:val="both"/>
              <w:rPr>
                <w:sz w:val="20"/>
                <w:szCs w:val="20"/>
              </w:rPr>
            </w:pPr>
            <w:r w:rsidRPr="00F109C5">
              <w:rPr>
                <w:sz w:val="20"/>
                <w:szCs w:val="20"/>
              </w:rPr>
              <w:t xml:space="preserve">(Martin, </w:t>
            </w:r>
            <w:proofErr w:type="spellStart"/>
            <w:r w:rsidRPr="00F109C5">
              <w:rPr>
                <w:sz w:val="20"/>
                <w:szCs w:val="20"/>
              </w:rPr>
              <w:t>Slatter</w:t>
            </w:r>
            <w:proofErr w:type="spellEnd"/>
            <w:r w:rsidRPr="00F109C5">
              <w:rPr>
                <w:sz w:val="20"/>
                <w:szCs w:val="20"/>
              </w:rPr>
              <w:t xml:space="preserve"> and Veldhuis JJ.A.)</w:t>
            </w:r>
          </w:p>
          <w:p w:rsidR="00EE6E8A" w:rsidRPr="00F109C5" w:rsidRDefault="00ED1F08" w:rsidP="00EE6E8A">
            <w:pPr>
              <w:jc w:val="both"/>
              <w:rPr>
                <w:sz w:val="20"/>
                <w:szCs w:val="20"/>
              </w:rPr>
            </w:pPr>
            <w:hyperlink r:id="rId32" w:history="1">
              <w:r w:rsidR="00EE6E8A" w:rsidRPr="00F109C5">
                <w:rPr>
                  <w:rStyle w:val="Hyperlink"/>
                  <w:sz w:val="20"/>
                  <w:szCs w:val="20"/>
                </w:rPr>
                <w:t>2017 ABCA 99</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Respondent’s appeal allowed in part; Award of pre-development costs increased to $264,750.89; Joint venture agreement held to be valid and binding, but terminated; Appeal from costs award dismissed</w:t>
            </w:r>
          </w:p>
          <w:p w:rsidR="00EE6E8A" w:rsidRPr="00F109C5" w:rsidRDefault="00EE6E8A" w:rsidP="00EE6E8A">
            <w:pPr>
              <w:jc w:val="both"/>
              <w:rPr>
                <w:sz w:val="20"/>
                <w:szCs w:val="20"/>
              </w:rPr>
            </w:pPr>
          </w:p>
        </w:tc>
      </w:tr>
      <w:tr w:rsidR="00EE6E8A" w:rsidRPr="00F109C5" w:rsidTr="00EE6E8A">
        <w:tc>
          <w:tcPr>
            <w:tcW w:w="2427" w:type="pct"/>
          </w:tcPr>
          <w:p w:rsidR="00EE6E8A" w:rsidRPr="00F109C5" w:rsidRDefault="00EE6E8A" w:rsidP="00EE6E8A">
            <w:pPr>
              <w:jc w:val="both"/>
              <w:rPr>
                <w:sz w:val="20"/>
                <w:szCs w:val="20"/>
              </w:rPr>
            </w:pPr>
            <w:r w:rsidRPr="00F109C5">
              <w:rPr>
                <w:sz w:val="20"/>
                <w:szCs w:val="20"/>
              </w:rPr>
              <w:t>May 23, 2017</w:t>
            </w:r>
          </w:p>
          <w:p w:rsidR="00EE6E8A" w:rsidRPr="00F109C5" w:rsidRDefault="00EE6E8A" w:rsidP="00EE6E8A">
            <w:pPr>
              <w:jc w:val="both"/>
              <w:rPr>
                <w:sz w:val="20"/>
                <w:szCs w:val="20"/>
              </w:rPr>
            </w:pPr>
            <w:r w:rsidRPr="00F109C5">
              <w:rPr>
                <w:sz w:val="20"/>
                <w:szCs w:val="20"/>
              </w:rPr>
              <w:t>Supreme Court of Canada</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Application for leave to appeal filed</w:t>
            </w:r>
          </w:p>
          <w:p w:rsidR="00EE6E8A" w:rsidRPr="00F109C5" w:rsidRDefault="00EE6E8A" w:rsidP="00EE6E8A">
            <w:pPr>
              <w:jc w:val="both"/>
              <w:rPr>
                <w:sz w:val="20"/>
                <w:szCs w:val="20"/>
              </w:rPr>
            </w:pPr>
          </w:p>
        </w:tc>
      </w:tr>
    </w:tbl>
    <w:p w:rsidR="00EE6E8A" w:rsidRPr="00F109C5" w:rsidRDefault="00ED1F08" w:rsidP="00EE6E8A">
      <w:pPr>
        <w:jc w:val="both"/>
        <w:rPr>
          <w:sz w:val="20"/>
          <w:szCs w:val="20"/>
        </w:rPr>
      </w:pPr>
      <w:r>
        <w:rPr>
          <w:sz w:val="20"/>
          <w:szCs w:val="20"/>
        </w:rPr>
        <w:pict>
          <v:rect id="_x0000_i1042" style="width:2in;height:1pt" o:hrpct="0" o:hralign="center" o:hrstd="t" o:hrnoshade="t" o:hr="t" fillcolor="black [3213]" stroked="f"/>
        </w:pict>
      </w:r>
    </w:p>
    <w:p w:rsidR="00EE6E8A" w:rsidRPr="00F109C5" w:rsidRDefault="00EE6E8A" w:rsidP="00EE6E8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694836">
        <w:trPr>
          <w:trHeight w:val="20"/>
        </w:trPr>
        <w:tc>
          <w:tcPr>
            <w:tcW w:w="543" w:type="pct"/>
          </w:tcPr>
          <w:p w:rsidR="00EE6E8A" w:rsidRPr="00F109C5" w:rsidRDefault="00EE6E8A" w:rsidP="00EE6E8A">
            <w:pPr>
              <w:jc w:val="both"/>
              <w:rPr>
                <w:sz w:val="20"/>
                <w:szCs w:val="20"/>
              </w:rPr>
            </w:pPr>
            <w:r w:rsidRPr="00F109C5">
              <w:rPr>
                <w:rStyle w:val="SCCFileNumberChar"/>
                <w:sz w:val="20"/>
                <w:szCs w:val="20"/>
              </w:rPr>
              <w:t>37572</w:t>
            </w:r>
          </w:p>
        </w:tc>
        <w:tc>
          <w:tcPr>
            <w:tcW w:w="4457" w:type="pct"/>
            <w:gridSpan w:val="3"/>
          </w:tcPr>
          <w:p w:rsidR="00EE6E8A" w:rsidRPr="00F109C5" w:rsidRDefault="00EE6E8A" w:rsidP="00EE6E8A">
            <w:pPr>
              <w:pStyle w:val="SCCLsocParty"/>
              <w:jc w:val="both"/>
              <w:rPr>
                <w:b/>
                <w:sz w:val="20"/>
                <w:szCs w:val="20"/>
                <w:lang w:val="en-US"/>
              </w:rPr>
            </w:pPr>
            <w:r w:rsidRPr="00F109C5">
              <w:rPr>
                <w:b/>
                <w:sz w:val="20"/>
                <w:szCs w:val="20"/>
                <w:lang w:val="en-US"/>
              </w:rPr>
              <w:t xml:space="preserve">Wayne </w:t>
            </w:r>
            <w:proofErr w:type="spellStart"/>
            <w:r w:rsidRPr="00F109C5">
              <w:rPr>
                <w:b/>
                <w:sz w:val="20"/>
                <w:szCs w:val="20"/>
                <w:lang w:val="en-US"/>
              </w:rPr>
              <w:t>Mikkelsen</w:t>
            </w:r>
            <w:proofErr w:type="spellEnd"/>
            <w:r w:rsidRPr="00F109C5">
              <w:rPr>
                <w:b/>
                <w:sz w:val="20"/>
                <w:szCs w:val="20"/>
                <w:lang w:val="en-US"/>
              </w:rPr>
              <w:t xml:space="preserve">, Colin Wade </w:t>
            </w:r>
            <w:proofErr w:type="spellStart"/>
            <w:r w:rsidRPr="00F109C5">
              <w:rPr>
                <w:b/>
                <w:sz w:val="20"/>
                <w:szCs w:val="20"/>
                <w:lang w:val="en-US"/>
              </w:rPr>
              <w:t>Mikkelsen</w:t>
            </w:r>
            <w:proofErr w:type="spellEnd"/>
            <w:r w:rsidRPr="00F109C5">
              <w:rPr>
                <w:b/>
                <w:sz w:val="20"/>
                <w:szCs w:val="20"/>
                <w:lang w:val="en-US"/>
              </w:rPr>
              <w:t xml:space="preserve">, </w:t>
            </w:r>
            <w:proofErr w:type="spellStart"/>
            <w:r w:rsidRPr="00F109C5">
              <w:rPr>
                <w:b/>
                <w:sz w:val="20"/>
                <w:szCs w:val="20"/>
                <w:lang w:val="en-US"/>
              </w:rPr>
              <w:t>Meghen</w:t>
            </w:r>
            <w:proofErr w:type="spellEnd"/>
            <w:r w:rsidRPr="00F109C5">
              <w:rPr>
                <w:b/>
                <w:sz w:val="20"/>
                <w:szCs w:val="20"/>
                <w:lang w:val="en-US"/>
              </w:rPr>
              <w:t xml:space="preserve"> </w:t>
            </w:r>
            <w:proofErr w:type="spellStart"/>
            <w:r w:rsidRPr="00F109C5">
              <w:rPr>
                <w:b/>
                <w:sz w:val="20"/>
                <w:szCs w:val="20"/>
                <w:lang w:val="en-US"/>
              </w:rPr>
              <w:t>Anine</w:t>
            </w:r>
            <w:proofErr w:type="spellEnd"/>
            <w:r w:rsidRPr="00F109C5">
              <w:rPr>
                <w:b/>
                <w:sz w:val="20"/>
                <w:szCs w:val="20"/>
                <w:lang w:val="en-US"/>
              </w:rPr>
              <w:t xml:space="preserve"> </w:t>
            </w:r>
            <w:proofErr w:type="spellStart"/>
            <w:r w:rsidRPr="00F109C5">
              <w:rPr>
                <w:b/>
                <w:sz w:val="20"/>
                <w:szCs w:val="20"/>
                <w:lang w:val="en-US"/>
              </w:rPr>
              <w:t>Mikkelsen</w:t>
            </w:r>
            <w:proofErr w:type="spellEnd"/>
            <w:r w:rsidR="00694836">
              <w:rPr>
                <w:b/>
                <w:sz w:val="20"/>
                <w:szCs w:val="20"/>
                <w:lang w:val="en-US"/>
              </w:rPr>
              <w:t xml:space="preserve"> et </w:t>
            </w:r>
            <w:r w:rsidRPr="00F109C5">
              <w:rPr>
                <w:b/>
                <w:sz w:val="20"/>
                <w:szCs w:val="20"/>
                <w:lang w:val="en-US"/>
              </w:rPr>
              <w:t xml:space="preserve">Alana Denise </w:t>
            </w:r>
            <w:proofErr w:type="spellStart"/>
            <w:r w:rsidRPr="00F109C5">
              <w:rPr>
                <w:b/>
                <w:sz w:val="20"/>
                <w:szCs w:val="20"/>
                <w:lang w:val="en-US"/>
              </w:rPr>
              <w:t>Mikkelsen</w:t>
            </w:r>
            <w:proofErr w:type="spellEnd"/>
            <w:r w:rsidRPr="00F109C5">
              <w:rPr>
                <w:b/>
                <w:sz w:val="20"/>
                <w:szCs w:val="20"/>
                <w:lang w:val="en-US"/>
              </w:rPr>
              <w:t xml:space="preserve"> c. Truman Development Corporation</w:t>
            </w:r>
          </w:p>
          <w:p w:rsidR="00EE6E8A" w:rsidRPr="00F109C5" w:rsidRDefault="00EE6E8A" w:rsidP="00EE6E8A">
            <w:pPr>
              <w:jc w:val="both"/>
              <w:rPr>
                <w:sz w:val="20"/>
                <w:szCs w:val="20"/>
              </w:rPr>
            </w:pPr>
            <w:r w:rsidRPr="00F109C5">
              <w:rPr>
                <w:sz w:val="20"/>
                <w:szCs w:val="20"/>
              </w:rPr>
              <w:t>(Alb.) (</w:t>
            </w:r>
            <w:proofErr w:type="spellStart"/>
            <w:r w:rsidRPr="00F109C5">
              <w:rPr>
                <w:sz w:val="20"/>
                <w:szCs w:val="20"/>
              </w:rPr>
              <w:t>Civile</w:t>
            </w:r>
            <w:proofErr w:type="spellEnd"/>
            <w:r w:rsidRPr="00F109C5">
              <w:rPr>
                <w:sz w:val="20"/>
                <w:szCs w:val="20"/>
              </w:rPr>
              <w:t xml:space="preserve">) (Sur </w:t>
            </w:r>
            <w:proofErr w:type="spellStart"/>
            <w:r w:rsidRPr="00F109C5">
              <w:rPr>
                <w:sz w:val="20"/>
                <w:szCs w:val="20"/>
              </w:rPr>
              <w:t>autorisation</w:t>
            </w:r>
            <w:proofErr w:type="spellEnd"/>
            <w:r w:rsidRPr="00F109C5">
              <w:rPr>
                <w:sz w:val="20"/>
                <w:szCs w:val="20"/>
              </w:rPr>
              <w:t>)</w:t>
            </w:r>
          </w:p>
        </w:tc>
      </w:tr>
      <w:tr w:rsidR="00694836" w:rsidRPr="00ED1F08" w:rsidTr="00694836">
        <w:trPr>
          <w:trHeight w:val="20"/>
        </w:trPr>
        <w:tc>
          <w:tcPr>
            <w:tcW w:w="543" w:type="pct"/>
          </w:tcPr>
          <w:p w:rsidR="00694836" w:rsidRPr="00F109C5" w:rsidRDefault="00694836" w:rsidP="00EE6E8A">
            <w:pPr>
              <w:jc w:val="both"/>
              <w:rPr>
                <w:rStyle w:val="SCCFileNumberChar"/>
                <w:sz w:val="20"/>
                <w:szCs w:val="20"/>
              </w:rPr>
            </w:pPr>
            <w:r>
              <w:rPr>
                <w:rStyle w:val="SCCFileNumberChar"/>
                <w:sz w:val="20"/>
                <w:szCs w:val="20"/>
              </w:rPr>
              <w:t>Coram:</w:t>
            </w:r>
          </w:p>
        </w:tc>
        <w:tc>
          <w:tcPr>
            <w:tcW w:w="4457" w:type="pct"/>
            <w:gridSpan w:val="3"/>
          </w:tcPr>
          <w:p w:rsidR="00694836" w:rsidRDefault="00694836" w:rsidP="00EE6E8A">
            <w:pPr>
              <w:pStyle w:val="SCCLsocParty"/>
              <w:jc w:val="both"/>
              <w:rPr>
                <w:sz w:val="20"/>
                <w:szCs w:val="20"/>
                <w:lang w:val="fr-FR"/>
              </w:rPr>
            </w:pPr>
            <w:r w:rsidRPr="00035E21">
              <w:rPr>
                <w:sz w:val="20"/>
                <w:szCs w:val="20"/>
                <w:lang w:val="fr-FR"/>
              </w:rPr>
              <w:t>La juge en chef McLachlin et les juges Abella, Moldaver, Karakatsanis, Wagner, Gascon, Côté, Brown et Rowe</w:t>
            </w:r>
          </w:p>
          <w:p w:rsidR="00694836" w:rsidRPr="00694836" w:rsidRDefault="00694836" w:rsidP="00694836">
            <w:pPr>
              <w:rPr>
                <w:lang w:val="fr-FR"/>
              </w:rPr>
            </w:pPr>
          </w:p>
        </w:tc>
      </w:tr>
      <w:tr w:rsidR="00694836" w:rsidRPr="00ED1F08" w:rsidTr="00694836">
        <w:trPr>
          <w:trHeight w:val="20"/>
        </w:trPr>
        <w:tc>
          <w:tcPr>
            <w:tcW w:w="5000" w:type="pct"/>
            <w:gridSpan w:val="4"/>
          </w:tcPr>
          <w:p w:rsidR="00694836" w:rsidRDefault="00694836" w:rsidP="00EE6E8A">
            <w:pPr>
              <w:pStyle w:val="SCCLsocParty"/>
              <w:jc w:val="both"/>
              <w:rPr>
                <w:sz w:val="20"/>
                <w:szCs w:val="20"/>
              </w:rPr>
            </w:pPr>
            <w:r w:rsidRPr="00035E21">
              <w:rPr>
                <w:sz w:val="20"/>
                <w:szCs w:val="20"/>
              </w:rPr>
              <w:t xml:space="preserve">La demande d’autorisation d’appel de l’arrêt de la </w:t>
            </w:r>
            <w:r w:rsidRPr="00035E21">
              <w:rPr>
                <w:sz w:val="20"/>
                <w:szCs w:val="20"/>
                <w:lang w:val="fr-FR"/>
              </w:rPr>
              <w:t>Cour d’appel de l’Alberta (Calgary)</w:t>
            </w:r>
            <w:r w:rsidRPr="00035E21">
              <w:rPr>
                <w:sz w:val="20"/>
                <w:szCs w:val="20"/>
              </w:rPr>
              <w:t xml:space="preserve">, numéro </w:t>
            </w:r>
            <w:r w:rsidRPr="00035E21">
              <w:rPr>
                <w:sz w:val="20"/>
                <w:szCs w:val="20"/>
                <w:lang w:val="fr-FR"/>
              </w:rPr>
              <w:t>1601-0039-AC, 2017 ABCA 99</w:t>
            </w:r>
            <w:r w:rsidRPr="00035E21">
              <w:rPr>
                <w:sz w:val="20"/>
                <w:szCs w:val="20"/>
              </w:rPr>
              <w:t xml:space="preserve">, daté du </w:t>
            </w:r>
            <w:r w:rsidRPr="00035E21">
              <w:rPr>
                <w:sz w:val="20"/>
                <w:szCs w:val="20"/>
                <w:lang w:val="fr-FR"/>
              </w:rPr>
              <w:t>24 mars 2017</w:t>
            </w:r>
            <w:r w:rsidRPr="00035E21">
              <w:rPr>
                <w:sz w:val="20"/>
                <w:szCs w:val="20"/>
              </w:rPr>
              <w:t>, est rejetée avec dépens.</w:t>
            </w:r>
          </w:p>
          <w:p w:rsidR="00694836" w:rsidRPr="00694836" w:rsidRDefault="00694836" w:rsidP="00694836">
            <w:pPr>
              <w:rPr>
                <w:lang w:val="fr-CA"/>
              </w:rPr>
            </w:pPr>
          </w:p>
        </w:tc>
      </w:tr>
      <w:tr w:rsidR="00EE6E8A" w:rsidRPr="00ED1F08" w:rsidTr="00694836">
        <w:trPr>
          <w:trHeight w:val="20"/>
        </w:trPr>
        <w:tc>
          <w:tcPr>
            <w:tcW w:w="5000" w:type="pct"/>
            <w:gridSpan w:val="4"/>
          </w:tcPr>
          <w:p w:rsidR="00EE6E8A" w:rsidRPr="00F109C5" w:rsidRDefault="00EE6E8A" w:rsidP="00EE6E8A">
            <w:pPr>
              <w:jc w:val="both"/>
              <w:rPr>
                <w:sz w:val="20"/>
                <w:szCs w:val="20"/>
                <w:lang w:val="fr-CA"/>
              </w:rPr>
            </w:pPr>
            <w:r w:rsidRPr="00F109C5">
              <w:rPr>
                <w:sz w:val="20"/>
                <w:szCs w:val="20"/>
                <w:lang w:val="fr-CA"/>
              </w:rPr>
              <w:t>Contrats – Contrats commerciaux – Iniquité – Désaccord entre les parties sur la nature et l’effet de conventions alléguées relatives à l’aménagement d’un terrain appartenant aux demandeurs – Quel est le test applicable pour juger si une convention est inique? – Un bénéfice réalisable est-il un bénéfice irréfutable? – Un contrat résilié constitue-t-il un motif juridique excluant l’enrichissement sans cause? – Que doit prendre en considération le tribunal pour décider s’il</w:t>
            </w:r>
            <w:r w:rsidR="00694836">
              <w:rPr>
                <w:sz w:val="20"/>
                <w:szCs w:val="20"/>
                <w:lang w:val="fr-CA"/>
              </w:rPr>
              <w:t xml:space="preserve"> y a eu formation d’un contrat?</w:t>
            </w:r>
          </w:p>
        </w:tc>
      </w:tr>
      <w:tr w:rsidR="00EE6E8A" w:rsidRPr="00ED1F08" w:rsidTr="00694836">
        <w:trPr>
          <w:trHeight w:val="20"/>
        </w:trPr>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Monsieur </w:t>
            </w:r>
            <w:proofErr w:type="spellStart"/>
            <w:r w:rsidRPr="00F109C5">
              <w:rPr>
                <w:sz w:val="20"/>
                <w:szCs w:val="20"/>
                <w:lang w:val="fr-CA"/>
              </w:rPr>
              <w:t>Mikkelsen</w:t>
            </w:r>
            <w:proofErr w:type="spellEnd"/>
            <w:r w:rsidRPr="00F109C5">
              <w:rPr>
                <w:sz w:val="20"/>
                <w:szCs w:val="20"/>
                <w:lang w:val="fr-CA"/>
              </w:rPr>
              <w:t xml:space="preserve"> était propriétaire d’une parcelle de terrain située près de Langdon, en Alberta, que sa famille avait cultivée depuis de nombreuses années. Lui et le directeur de Truman </w:t>
            </w:r>
            <w:proofErr w:type="spellStart"/>
            <w:r w:rsidRPr="00F109C5">
              <w:rPr>
                <w:sz w:val="20"/>
                <w:szCs w:val="20"/>
                <w:lang w:val="fr-CA"/>
              </w:rPr>
              <w:t>Development</w:t>
            </w:r>
            <w:proofErr w:type="spellEnd"/>
            <w:r w:rsidRPr="00F109C5">
              <w:rPr>
                <w:sz w:val="20"/>
                <w:szCs w:val="20"/>
                <w:lang w:val="fr-CA"/>
              </w:rPr>
              <w:t xml:space="preserve"> Corporation (« Truman »), M. </w:t>
            </w:r>
            <w:proofErr w:type="spellStart"/>
            <w:r w:rsidRPr="00F109C5">
              <w:rPr>
                <w:sz w:val="20"/>
                <w:szCs w:val="20"/>
                <w:lang w:val="fr-CA"/>
              </w:rPr>
              <w:t>Trutina</w:t>
            </w:r>
            <w:proofErr w:type="spellEnd"/>
            <w:r w:rsidRPr="00F109C5">
              <w:rPr>
                <w:sz w:val="20"/>
                <w:szCs w:val="20"/>
                <w:lang w:val="fr-CA"/>
              </w:rPr>
              <w:t xml:space="preserve">, se sont rencontrés à la ferme des </w:t>
            </w:r>
            <w:proofErr w:type="spellStart"/>
            <w:r w:rsidRPr="00F109C5">
              <w:rPr>
                <w:sz w:val="20"/>
                <w:szCs w:val="20"/>
                <w:lang w:val="fr-CA"/>
              </w:rPr>
              <w:t>Mikkelsen</w:t>
            </w:r>
            <w:proofErr w:type="spellEnd"/>
            <w:r w:rsidRPr="00F109C5">
              <w:rPr>
                <w:sz w:val="20"/>
                <w:szCs w:val="20"/>
                <w:lang w:val="fr-CA"/>
              </w:rPr>
              <w:t xml:space="preserve"> en janvier 2007 et ont signé l’entente de coentreprise qui aurait permis à Truman d’aménager les terrains à l’avenir. À cause de certaines failles relevées dans cette entente, M. et M</w:t>
            </w:r>
            <w:r w:rsidRPr="00F109C5">
              <w:rPr>
                <w:sz w:val="20"/>
                <w:szCs w:val="20"/>
                <w:vertAlign w:val="superscript"/>
                <w:lang w:val="fr-CA"/>
              </w:rPr>
              <w:t>me</w:t>
            </w:r>
            <w:r w:rsidRPr="00F109C5">
              <w:rPr>
                <w:sz w:val="20"/>
                <w:szCs w:val="20"/>
                <w:lang w:val="fr-CA"/>
              </w:rPr>
              <w:t> </w:t>
            </w:r>
            <w:proofErr w:type="spellStart"/>
            <w:r w:rsidRPr="00F109C5">
              <w:rPr>
                <w:sz w:val="20"/>
                <w:szCs w:val="20"/>
                <w:lang w:val="fr-CA"/>
              </w:rPr>
              <w:t>Mikkelsen</w:t>
            </w:r>
            <w:proofErr w:type="spellEnd"/>
            <w:r w:rsidRPr="00F109C5">
              <w:rPr>
                <w:sz w:val="20"/>
                <w:szCs w:val="20"/>
                <w:lang w:val="fr-CA"/>
              </w:rPr>
              <w:t xml:space="preserve"> se sont présentés quelques semaines plus tard chez un avocat pour signer à nouveau l’entente. Truman a enregistré des </w:t>
            </w:r>
            <w:proofErr w:type="spellStart"/>
            <w:r w:rsidRPr="00F109C5">
              <w:rPr>
                <w:sz w:val="20"/>
                <w:szCs w:val="20"/>
                <w:lang w:val="fr-CA"/>
              </w:rPr>
              <w:t>caveats</w:t>
            </w:r>
            <w:proofErr w:type="spellEnd"/>
            <w:r w:rsidRPr="00F109C5">
              <w:rPr>
                <w:sz w:val="20"/>
                <w:szCs w:val="20"/>
                <w:lang w:val="fr-CA"/>
              </w:rPr>
              <w:t xml:space="preserve"> à l’égard du terrain. Les parties ont ensuite discuté du désir de M. </w:t>
            </w:r>
            <w:proofErr w:type="spellStart"/>
            <w:r w:rsidRPr="00F109C5">
              <w:rPr>
                <w:sz w:val="20"/>
                <w:szCs w:val="20"/>
                <w:lang w:val="fr-CA"/>
              </w:rPr>
              <w:t>Mikkelsen</w:t>
            </w:r>
            <w:proofErr w:type="spellEnd"/>
            <w:r w:rsidRPr="00F109C5">
              <w:rPr>
                <w:sz w:val="20"/>
                <w:szCs w:val="20"/>
                <w:lang w:val="fr-CA"/>
              </w:rPr>
              <w:t xml:space="preserve"> de céder le terrain à lui-même et à ses trois enfants. Le 10 décembre 2007, les parties se sont rencontrées encore une fois et ont signé un accord de résiliation qui prévoyait : « l’entente de coentreprise […] sera résilié à compter de la date d’aujourd’hui et le </w:t>
            </w:r>
            <w:proofErr w:type="spellStart"/>
            <w:r w:rsidRPr="00F109C5">
              <w:rPr>
                <w:sz w:val="20"/>
                <w:szCs w:val="20"/>
                <w:lang w:val="fr-CA"/>
              </w:rPr>
              <w:t>caveat</w:t>
            </w:r>
            <w:proofErr w:type="spellEnd"/>
            <w:r w:rsidRPr="00F109C5">
              <w:rPr>
                <w:sz w:val="20"/>
                <w:szCs w:val="20"/>
                <w:lang w:val="fr-CA"/>
              </w:rPr>
              <w:t xml:space="preserve"> en faveur de Truman </w:t>
            </w:r>
            <w:proofErr w:type="spellStart"/>
            <w:r w:rsidRPr="00F109C5">
              <w:rPr>
                <w:sz w:val="20"/>
                <w:szCs w:val="20"/>
                <w:lang w:val="fr-CA"/>
              </w:rPr>
              <w:t>Development</w:t>
            </w:r>
            <w:proofErr w:type="spellEnd"/>
            <w:r w:rsidRPr="00F109C5">
              <w:rPr>
                <w:sz w:val="20"/>
                <w:szCs w:val="20"/>
                <w:lang w:val="fr-CA"/>
              </w:rPr>
              <w:t xml:space="preserve"> Corporation sera retiré ». Aucun des </w:t>
            </w:r>
            <w:proofErr w:type="spellStart"/>
            <w:r w:rsidRPr="00F109C5">
              <w:rPr>
                <w:sz w:val="20"/>
                <w:szCs w:val="20"/>
                <w:lang w:val="fr-CA"/>
              </w:rPr>
              <w:t>caveats</w:t>
            </w:r>
            <w:proofErr w:type="spellEnd"/>
            <w:r w:rsidRPr="00F109C5">
              <w:rPr>
                <w:sz w:val="20"/>
                <w:szCs w:val="20"/>
                <w:lang w:val="fr-CA"/>
              </w:rPr>
              <w:t xml:space="preserve"> n’a été retiré par Truman. M. </w:t>
            </w:r>
            <w:proofErr w:type="spellStart"/>
            <w:r w:rsidRPr="00F109C5">
              <w:rPr>
                <w:sz w:val="20"/>
                <w:szCs w:val="20"/>
                <w:lang w:val="fr-CA"/>
              </w:rPr>
              <w:t>Mikkelsen</w:t>
            </w:r>
            <w:proofErr w:type="spellEnd"/>
            <w:r w:rsidRPr="00F109C5">
              <w:rPr>
                <w:sz w:val="20"/>
                <w:szCs w:val="20"/>
                <w:lang w:val="fr-CA"/>
              </w:rPr>
              <w:t xml:space="preserve"> a effectivement cédé les terrains à lui-même et à ses trois enfants. M. </w:t>
            </w:r>
            <w:proofErr w:type="spellStart"/>
            <w:r w:rsidRPr="00F109C5">
              <w:rPr>
                <w:sz w:val="20"/>
                <w:szCs w:val="20"/>
                <w:lang w:val="fr-CA"/>
              </w:rPr>
              <w:t>Trutina</w:t>
            </w:r>
            <w:proofErr w:type="spellEnd"/>
            <w:r w:rsidRPr="00F109C5">
              <w:rPr>
                <w:sz w:val="20"/>
                <w:szCs w:val="20"/>
                <w:lang w:val="fr-CA"/>
              </w:rPr>
              <w:t xml:space="preserve"> a poursuivi le travail de planification potentielle, d’aménagement et de lotissement du terrain de Langdon et des terrains avoisinants. En 2011, M. </w:t>
            </w:r>
            <w:proofErr w:type="spellStart"/>
            <w:r w:rsidRPr="00F109C5">
              <w:rPr>
                <w:sz w:val="20"/>
                <w:szCs w:val="20"/>
                <w:lang w:val="fr-CA"/>
              </w:rPr>
              <w:t>Mikkelsen</w:t>
            </w:r>
            <w:proofErr w:type="spellEnd"/>
            <w:r w:rsidRPr="00F109C5">
              <w:rPr>
                <w:sz w:val="20"/>
                <w:szCs w:val="20"/>
                <w:lang w:val="fr-CA"/>
              </w:rPr>
              <w:t xml:space="preserve"> s’est rendu compte que les </w:t>
            </w:r>
            <w:proofErr w:type="spellStart"/>
            <w:r w:rsidRPr="00F109C5">
              <w:rPr>
                <w:sz w:val="20"/>
                <w:szCs w:val="20"/>
                <w:lang w:val="fr-CA"/>
              </w:rPr>
              <w:t>caveats</w:t>
            </w:r>
            <w:proofErr w:type="spellEnd"/>
            <w:r w:rsidRPr="00F109C5">
              <w:rPr>
                <w:sz w:val="20"/>
                <w:szCs w:val="20"/>
                <w:lang w:val="fr-CA"/>
              </w:rPr>
              <w:t xml:space="preserve"> n’avaient pas du tout été retirés de son terrain et il a intenté une action. Au procès, M. et M</w:t>
            </w:r>
            <w:r w:rsidRPr="00F109C5">
              <w:rPr>
                <w:sz w:val="20"/>
                <w:szCs w:val="20"/>
                <w:vertAlign w:val="superscript"/>
                <w:lang w:val="fr-CA"/>
              </w:rPr>
              <w:t>me</w:t>
            </w:r>
            <w:r w:rsidRPr="00F109C5">
              <w:rPr>
                <w:sz w:val="20"/>
                <w:szCs w:val="20"/>
                <w:lang w:val="fr-CA"/>
              </w:rPr>
              <w:t> </w:t>
            </w:r>
            <w:proofErr w:type="spellStart"/>
            <w:r w:rsidRPr="00F109C5">
              <w:rPr>
                <w:sz w:val="20"/>
                <w:szCs w:val="20"/>
                <w:lang w:val="fr-CA"/>
              </w:rPr>
              <w:t>Mikkelsen</w:t>
            </w:r>
            <w:proofErr w:type="spellEnd"/>
            <w:r w:rsidRPr="00F109C5">
              <w:rPr>
                <w:sz w:val="20"/>
                <w:szCs w:val="20"/>
                <w:lang w:val="fr-CA"/>
              </w:rPr>
              <w:t xml:space="preserve"> ont prétendu qu’ils ne saisissaient pas la nature de l’entente de coentreprise et qu’ils l’avaient signée en croyant qu’il s’agissait seulement d’une « entente de travail ». M. </w:t>
            </w:r>
            <w:proofErr w:type="spellStart"/>
            <w:r w:rsidRPr="00F109C5">
              <w:rPr>
                <w:sz w:val="20"/>
                <w:szCs w:val="20"/>
                <w:lang w:val="fr-CA"/>
              </w:rPr>
              <w:t>Trutina</w:t>
            </w:r>
            <w:proofErr w:type="spellEnd"/>
            <w:r w:rsidRPr="00F109C5">
              <w:rPr>
                <w:sz w:val="20"/>
                <w:szCs w:val="20"/>
                <w:lang w:val="fr-CA"/>
              </w:rPr>
              <w:t xml:space="preserve"> a nié la validité de l’accord de résiliation pour plusieurs motifs, affirmant qu’il n’a été signé que pour permettre la cession aux enfants, après quoi l’entente de coentreprise resterait en vigueur. Truman avait dépensé 438 368,06 $ sur la planification et l’aménagement </w:t>
            </w:r>
            <w:r w:rsidRPr="00F109C5">
              <w:rPr>
                <w:sz w:val="20"/>
                <w:szCs w:val="20"/>
                <w:lang w:val="fr-CA"/>
              </w:rPr>
              <w:lastRenderedPageBreak/>
              <w:t xml:space="preserve">préalable du terrain de Langdon et des terrains adjacents. Les </w:t>
            </w:r>
            <w:proofErr w:type="spellStart"/>
            <w:r w:rsidRPr="00F109C5">
              <w:rPr>
                <w:sz w:val="20"/>
                <w:szCs w:val="20"/>
                <w:lang w:val="fr-CA"/>
              </w:rPr>
              <w:t>Mikkelsen</w:t>
            </w:r>
            <w:proofErr w:type="spellEnd"/>
            <w:r w:rsidRPr="00F109C5">
              <w:rPr>
                <w:sz w:val="20"/>
                <w:szCs w:val="20"/>
                <w:lang w:val="fr-CA"/>
              </w:rPr>
              <w:t xml:space="preserve"> ont cherché à faire retirer les </w:t>
            </w:r>
            <w:proofErr w:type="spellStart"/>
            <w:r w:rsidRPr="00F109C5">
              <w:rPr>
                <w:sz w:val="20"/>
                <w:szCs w:val="20"/>
                <w:lang w:val="fr-CA"/>
              </w:rPr>
              <w:t>caveats</w:t>
            </w:r>
            <w:proofErr w:type="spellEnd"/>
            <w:r w:rsidRPr="00F109C5">
              <w:rPr>
                <w:sz w:val="20"/>
                <w:szCs w:val="20"/>
                <w:lang w:val="fr-CA"/>
              </w:rPr>
              <w:t xml:space="preserve"> de leur propriété, à faire déclarer l’entente de coentreprise invalide, à faire exécuter l’accord de résiliation et à obtenir des dommages-intérêts. Truman a présenté une demande reconventionnelle pour obtenir l’exécution en nature de l’entente de coentreprise, des dommages-intérêts et récupérer auprès des </w:t>
            </w:r>
            <w:proofErr w:type="spellStart"/>
            <w:r w:rsidRPr="00F109C5">
              <w:rPr>
                <w:sz w:val="20"/>
                <w:szCs w:val="20"/>
                <w:lang w:val="fr-CA"/>
              </w:rPr>
              <w:t>Mikkelsen</w:t>
            </w:r>
            <w:proofErr w:type="spellEnd"/>
            <w:r w:rsidRPr="00F109C5">
              <w:rPr>
                <w:sz w:val="20"/>
                <w:szCs w:val="20"/>
                <w:lang w:val="fr-CA"/>
              </w:rPr>
              <w:t xml:space="preserve"> les frais préalables à l’aménagement qu’il avait engagés.  </w:t>
            </w:r>
          </w:p>
          <w:p w:rsidR="00EE6E8A" w:rsidRPr="00F109C5" w:rsidRDefault="00EE6E8A" w:rsidP="00EE6E8A">
            <w:pPr>
              <w:jc w:val="both"/>
              <w:rPr>
                <w:sz w:val="20"/>
                <w:szCs w:val="20"/>
                <w:lang w:val="fr-CA"/>
              </w:rPr>
            </w:pPr>
          </w:p>
        </w:tc>
      </w:tr>
      <w:tr w:rsidR="00EE6E8A" w:rsidRPr="00ED1F08" w:rsidTr="00694836">
        <w:trPr>
          <w:trHeight w:val="20"/>
        </w:trPr>
        <w:tc>
          <w:tcPr>
            <w:tcW w:w="2427" w:type="pct"/>
            <w:gridSpan w:val="2"/>
          </w:tcPr>
          <w:p w:rsidR="00EE6E8A" w:rsidRPr="00F109C5" w:rsidRDefault="00EE6E8A" w:rsidP="00EE6E8A">
            <w:pPr>
              <w:jc w:val="both"/>
              <w:rPr>
                <w:sz w:val="20"/>
                <w:szCs w:val="20"/>
                <w:lang w:val="fr-CA"/>
              </w:rPr>
            </w:pPr>
            <w:r w:rsidRPr="00F109C5">
              <w:rPr>
                <w:sz w:val="20"/>
                <w:szCs w:val="20"/>
                <w:lang w:val="fr-CA"/>
              </w:rPr>
              <w:lastRenderedPageBreak/>
              <w:t>3 février 2016</w:t>
            </w:r>
          </w:p>
          <w:p w:rsidR="00EE6E8A" w:rsidRPr="00F109C5" w:rsidRDefault="00EE6E8A" w:rsidP="00EE6E8A">
            <w:pPr>
              <w:jc w:val="both"/>
              <w:rPr>
                <w:sz w:val="20"/>
                <w:szCs w:val="20"/>
                <w:lang w:val="fr-CA"/>
              </w:rPr>
            </w:pPr>
            <w:r w:rsidRPr="00F109C5">
              <w:rPr>
                <w:sz w:val="20"/>
                <w:szCs w:val="20"/>
                <w:lang w:val="fr-CA"/>
              </w:rPr>
              <w:t>Cour du Banc de la Reine de l’Alberta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Erb</w:t>
            </w:r>
            <w:proofErr w:type="spellEnd"/>
            <w:r w:rsidRPr="00F109C5">
              <w:rPr>
                <w:sz w:val="20"/>
                <w:szCs w:val="20"/>
              </w:rPr>
              <w:t>)</w:t>
            </w:r>
          </w:p>
          <w:p w:rsidR="00EE6E8A" w:rsidRPr="00F109C5" w:rsidRDefault="00ED1F08" w:rsidP="00EE6E8A">
            <w:pPr>
              <w:jc w:val="both"/>
              <w:rPr>
                <w:sz w:val="20"/>
                <w:szCs w:val="20"/>
              </w:rPr>
            </w:pPr>
            <w:hyperlink r:id="rId33" w:history="1">
              <w:r w:rsidR="00EE6E8A" w:rsidRPr="00F109C5">
                <w:rPr>
                  <w:rStyle w:val="Hyperlink"/>
                  <w:sz w:val="20"/>
                  <w:szCs w:val="20"/>
                </w:rPr>
                <w:t>2016 ABQB 23</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 xml:space="preserve">Jugement déclaratoire portant qu’aucun contrat exécutoire n’a été formé entre les parties; levée des </w:t>
            </w:r>
            <w:proofErr w:type="spellStart"/>
            <w:r w:rsidRPr="00F109C5">
              <w:rPr>
                <w:sz w:val="20"/>
                <w:szCs w:val="20"/>
                <w:lang w:val="fr-CA"/>
              </w:rPr>
              <w:t>caveats</w:t>
            </w:r>
            <w:proofErr w:type="spellEnd"/>
            <w:r w:rsidRPr="00F109C5">
              <w:rPr>
                <w:sz w:val="20"/>
                <w:szCs w:val="20"/>
                <w:lang w:val="fr-CA"/>
              </w:rPr>
              <w:t xml:space="preserve"> enregistrés à l’égard du terrain; demande reconventionnelle de l’intimé en vue de  récupérer auprès du demandeur une part proportionnelle des frais préalables à l’aménagement accueillie </w:t>
            </w:r>
          </w:p>
          <w:p w:rsidR="00EE6E8A" w:rsidRPr="00F109C5" w:rsidRDefault="00EE6E8A" w:rsidP="00EE6E8A">
            <w:pPr>
              <w:jc w:val="both"/>
              <w:rPr>
                <w:sz w:val="20"/>
                <w:szCs w:val="20"/>
                <w:lang w:val="fr-CA"/>
              </w:rPr>
            </w:pPr>
          </w:p>
        </w:tc>
      </w:tr>
      <w:tr w:rsidR="00EE6E8A" w:rsidRPr="00ED1F08" w:rsidTr="00694836">
        <w:trPr>
          <w:trHeight w:val="20"/>
        </w:trPr>
        <w:tc>
          <w:tcPr>
            <w:tcW w:w="2427" w:type="pct"/>
            <w:gridSpan w:val="2"/>
          </w:tcPr>
          <w:p w:rsidR="00EE6E8A" w:rsidRPr="00F109C5" w:rsidRDefault="00EE6E8A" w:rsidP="00EE6E8A">
            <w:pPr>
              <w:jc w:val="both"/>
              <w:rPr>
                <w:sz w:val="20"/>
                <w:szCs w:val="20"/>
                <w:lang w:val="fr-CA"/>
              </w:rPr>
            </w:pPr>
            <w:r w:rsidRPr="00F109C5">
              <w:rPr>
                <w:sz w:val="20"/>
                <w:szCs w:val="20"/>
                <w:lang w:val="fr-CA"/>
              </w:rPr>
              <w:t>6 mai 2016</w:t>
            </w:r>
          </w:p>
          <w:p w:rsidR="00EE6E8A" w:rsidRPr="00F109C5" w:rsidRDefault="00EE6E8A" w:rsidP="00EE6E8A">
            <w:pPr>
              <w:jc w:val="both"/>
              <w:rPr>
                <w:sz w:val="20"/>
                <w:szCs w:val="20"/>
                <w:lang w:val="fr-CA"/>
              </w:rPr>
            </w:pPr>
            <w:r w:rsidRPr="00F109C5">
              <w:rPr>
                <w:sz w:val="20"/>
                <w:szCs w:val="20"/>
                <w:lang w:val="fr-CA"/>
              </w:rPr>
              <w:t>Cour du Banc de la Reine de l’Alberta</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Juge</w:t>
            </w:r>
            <w:proofErr w:type="spellEnd"/>
            <w:r w:rsidRPr="00F109C5">
              <w:rPr>
                <w:sz w:val="20"/>
                <w:szCs w:val="20"/>
              </w:rPr>
              <w:t xml:space="preserve"> </w:t>
            </w:r>
            <w:proofErr w:type="spellStart"/>
            <w:r w:rsidRPr="00F109C5">
              <w:rPr>
                <w:sz w:val="20"/>
                <w:szCs w:val="20"/>
              </w:rPr>
              <w:t>Erb</w:t>
            </w:r>
            <w:proofErr w:type="spellEnd"/>
            <w:r w:rsidRPr="00F109C5">
              <w:rPr>
                <w:sz w:val="20"/>
                <w:szCs w:val="20"/>
              </w:rPr>
              <w:t>)</w:t>
            </w:r>
          </w:p>
          <w:p w:rsidR="00EE6E8A" w:rsidRPr="00F109C5" w:rsidRDefault="00ED1F08" w:rsidP="00EE6E8A">
            <w:pPr>
              <w:jc w:val="both"/>
              <w:rPr>
                <w:rStyle w:val="Hyperlink"/>
                <w:sz w:val="20"/>
                <w:szCs w:val="20"/>
              </w:rPr>
            </w:pPr>
            <w:hyperlink r:id="rId34" w:history="1">
              <w:r w:rsidR="00EE6E8A" w:rsidRPr="00F109C5">
                <w:rPr>
                  <w:rStyle w:val="Hyperlink"/>
                  <w:sz w:val="20"/>
                  <w:szCs w:val="20"/>
                </w:rPr>
                <w:t>2016 ABQB 255</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 xml:space="preserve">Demandeurs tenus de verser à l’intimée 130 847,19 $ en frais préalables à l’aménagement; adjudication aux demandeurs de 200 000 $ en dépens pour le procès </w:t>
            </w:r>
          </w:p>
          <w:p w:rsidR="00EE6E8A" w:rsidRPr="00F109C5" w:rsidRDefault="00EE6E8A" w:rsidP="00EE6E8A">
            <w:pPr>
              <w:jc w:val="both"/>
              <w:rPr>
                <w:sz w:val="20"/>
                <w:szCs w:val="20"/>
                <w:lang w:val="fr-CA"/>
              </w:rPr>
            </w:pPr>
          </w:p>
        </w:tc>
      </w:tr>
      <w:tr w:rsidR="00EE6E8A" w:rsidRPr="00ED1F08" w:rsidTr="00694836">
        <w:trPr>
          <w:trHeight w:val="20"/>
        </w:trPr>
        <w:tc>
          <w:tcPr>
            <w:tcW w:w="2427" w:type="pct"/>
            <w:gridSpan w:val="2"/>
          </w:tcPr>
          <w:p w:rsidR="00EE6E8A" w:rsidRPr="00F109C5" w:rsidRDefault="00EE6E8A" w:rsidP="00EE6E8A">
            <w:pPr>
              <w:jc w:val="both"/>
              <w:rPr>
                <w:sz w:val="20"/>
                <w:szCs w:val="20"/>
                <w:lang w:val="fr-CA"/>
              </w:rPr>
            </w:pPr>
            <w:r w:rsidRPr="00F109C5">
              <w:rPr>
                <w:sz w:val="20"/>
                <w:szCs w:val="20"/>
                <w:lang w:val="fr-CA"/>
              </w:rPr>
              <w:t>24 mars 2017</w:t>
            </w:r>
          </w:p>
          <w:p w:rsidR="00EE6E8A" w:rsidRPr="00F109C5" w:rsidRDefault="00EE6E8A" w:rsidP="00EE6E8A">
            <w:pPr>
              <w:jc w:val="both"/>
              <w:rPr>
                <w:sz w:val="20"/>
                <w:szCs w:val="20"/>
                <w:lang w:val="fr-CA"/>
              </w:rPr>
            </w:pPr>
            <w:r w:rsidRPr="00F109C5">
              <w:rPr>
                <w:sz w:val="20"/>
                <w:szCs w:val="20"/>
                <w:lang w:val="fr-CA"/>
              </w:rPr>
              <w:t>Cour d’appel de l’Alberta (Calgary)</w:t>
            </w:r>
          </w:p>
          <w:p w:rsidR="00EE6E8A" w:rsidRPr="00F109C5" w:rsidRDefault="00EE6E8A" w:rsidP="00EE6E8A">
            <w:pPr>
              <w:jc w:val="both"/>
              <w:rPr>
                <w:sz w:val="20"/>
                <w:szCs w:val="20"/>
                <w:lang w:val="fr-CA"/>
              </w:rPr>
            </w:pPr>
            <w:r w:rsidRPr="00F109C5">
              <w:rPr>
                <w:sz w:val="20"/>
                <w:szCs w:val="20"/>
                <w:lang w:val="fr-CA"/>
              </w:rPr>
              <w:t xml:space="preserve">(Juges Martin, </w:t>
            </w:r>
            <w:proofErr w:type="spellStart"/>
            <w:r w:rsidRPr="00F109C5">
              <w:rPr>
                <w:sz w:val="20"/>
                <w:szCs w:val="20"/>
                <w:lang w:val="fr-CA"/>
              </w:rPr>
              <w:t>Slatter</w:t>
            </w:r>
            <w:proofErr w:type="spellEnd"/>
            <w:r w:rsidRPr="00F109C5">
              <w:rPr>
                <w:sz w:val="20"/>
                <w:szCs w:val="20"/>
                <w:lang w:val="fr-CA"/>
              </w:rPr>
              <w:t xml:space="preserve"> et Veldhuis)</w:t>
            </w:r>
          </w:p>
          <w:p w:rsidR="00EE6E8A" w:rsidRPr="00F109C5" w:rsidRDefault="00ED1F08" w:rsidP="00EE6E8A">
            <w:pPr>
              <w:jc w:val="both"/>
              <w:rPr>
                <w:sz w:val="20"/>
                <w:szCs w:val="20"/>
              </w:rPr>
            </w:pPr>
            <w:hyperlink r:id="rId35" w:history="1">
              <w:r w:rsidR="00EE6E8A" w:rsidRPr="00F109C5">
                <w:rPr>
                  <w:rStyle w:val="Hyperlink"/>
                  <w:sz w:val="20"/>
                  <w:szCs w:val="20"/>
                </w:rPr>
                <w:t>2017 ABCA 99</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lang w:val="fr-CA"/>
              </w:rPr>
            </w:pPr>
            <w:r w:rsidRPr="00F109C5">
              <w:rPr>
                <w:sz w:val="20"/>
                <w:szCs w:val="20"/>
                <w:lang w:val="fr-CA"/>
              </w:rPr>
              <w:t>Appel de l’intimée accueilli en partie; augmentation des frais préalables à l’aménagement à 264 750,89 $; entente de coentreprise jugée valide et exécutoire, mais résiliée; rejet de l’appel formé contre les dépens adjugés</w:t>
            </w:r>
          </w:p>
          <w:p w:rsidR="00EE6E8A" w:rsidRPr="00F109C5" w:rsidRDefault="00EE6E8A" w:rsidP="00EE6E8A">
            <w:pPr>
              <w:jc w:val="both"/>
              <w:rPr>
                <w:sz w:val="20"/>
                <w:szCs w:val="20"/>
                <w:lang w:val="fr-CA"/>
              </w:rPr>
            </w:pPr>
          </w:p>
        </w:tc>
      </w:tr>
      <w:tr w:rsidR="00EE6E8A" w:rsidRPr="00ED1F08" w:rsidTr="00694836">
        <w:trPr>
          <w:trHeight w:val="20"/>
        </w:trPr>
        <w:tc>
          <w:tcPr>
            <w:tcW w:w="2427" w:type="pct"/>
            <w:gridSpan w:val="2"/>
          </w:tcPr>
          <w:p w:rsidR="00EE6E8A" w:rsidRPr="00F109C5" w:rsidRDefault="00EE6E8A" w:rsidP="00EE6E8A">
            <w:pPr>
              <w:jc w:val="both"/>
              <w:rPr>
                <w:sz w:val="20"/>
                <w:szCs w:val="20"/>
                <w:lang w:val="fr-CA"/>
              </w:rPr>
            </w:pPr>
            <w:r w:rsidRPr="00F109C5">
              <w:rPr>
                <w:sz w:val="20"/>
                <w:szCs w:val="20"/>
                <w:lang w:val="fr-CA"/>
              </w:rPr>
              <w:t>23 mai 2017</w:t>
            </w:r>
          </w:p>
          <w:p w:rsidR="00EE6E8A" w:rsidRPr="00F109C5" w:rsidRDefault="00EE6E8A" w:rsidP="00EE6E8A">
            <w:pPr>
              <w:jc w:val="both"/>
              <w:rPr>
                <w:sz w:val="20"/>
                <w:szCs w:val="20"/>
                <w:lang w:val="fr-CA"/>
              </w:rPr>
            </w:pPr>
            <w:r w:rsidRPr="00F109C5">
              <w:rPr>
                <w:sz w:val="20"/>
                <w:szCs w:val="20"/>
                <w:lang w:val="fr-CA"/>
              </w:rPr>
              <w:t>Cour suprême du Canada</w:t>
            </w: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 xml:space="preserve">Dépôt de la demande d’autorisation d’appel </w:t>
            </w:r>
          </w:p>
          <w:p w:rsidR="00EE6E8A" w:rsidRPr="00F109C5" w:rsidRDefault="00EE6E8A" w:rsidP="00EE6E8A">
            <w:pPr>
              <w:jc w:val="both"/>
              <w:rPr>
                <w:sz w:val="20"/>
                <w:szCs w:val="20"/>
                <w:lang w:val="fr-CA"/>
              </w:rPr>
            </w:pPr>
          </w:p>
        </w:tc>
      </w:tr>
    </w:tbl>
    <w:p w:rsidR="00EE6E8A" w:rsidRPr="00F109C5" w:rsidRDefault="00ED1F08" w:rsidP="00EE6E8A">
      <w:pPr>
        <w:jc w:val="both"/>
        <w:rPr>
          <w:sz w:val="20"/>
          <w:szCs w:val="20"/>
          <w:lang w:val="fr-CA"/>
        </w:rPr>
      </w:pPr>
      <w:r>
        <w:rPr>
          <w:sz w:val="20"/>
          <w:szCs w:val="20"/>
        </w:rPr>
        <w:pict>
          <v:rect id="_x0000_i1043" style="width:2in;height:1pt" o:hrpct="0" o:hralign="center" o:hrstd="t" o:hrnoshade="t" o:hr="t" fillcolor="black [3213]" stroked="f"/>
        </w:pict>
      </w:r>
    </w:p>
    <w:p w:rsidR="00EE6E8A" w:rsidRPr="00F109C5" w:rsidRDefault="00EE6E8A" w:rsidP="00EE6E8A">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rPr>
            </w:pPr>
            <w:r w:rsidRPr="00F109C5">
              <w:rPr>
                <w:rStyle w:val="SCCFileNumberChar"/>
                <w:sz w:val="20"/>
                <w:szCs w:val="20"/>
              </w:rPr>
              <w:t>37594</w:t>
            </w:r>
          </w:p>
        </w:tc>
        <w:tc>
          <w:tcPr>
            <w:tcW w:w="4457" w:type="pct"/>
            <w:gridSpan w:val="3"/>
          </w:tcPr>
          <w:p w:rsidR="00EE6E8A" w:rsidRPr="00F109C5" w:rsidRDefault="00EE6E8A" w:rsidP="00EE6E8A">
            <w:pPr>
              <w:pStyle w:val="SCCLsocParty"/>
              <w:jc w:val="both"/>
              <w:rPr>
                <w:b/>
                <w:sz w:val="20"/>
                <w:szCs w:val="20"/>
                <w:lang w:val="en-US"/>
              </w:rPr>
            </w:pPr>
            <w:r w:rsidRPr="00F109C5">
              <w:rPr>
                <w:b/>
                <w:sz w:val="20"/>
                <w:szCs w:val="20"/>
                <w:lang w:val="en-US"/>
              </w:rPr>
              <w:t>David Barer v. Knight Brothers LLC</w:t>
            </w:r>
          </w:p>
          <w:p w:rsidR="00EE6E8A" w:rsidRPr="00F109C5" w:rsidRDefault="00EE6E8A" w:rsidP="00EE6E8A">
            <w:pPr>
              <w:jc w:val="both"/>
              <w:rPr>
                <w:sz w:val="20"/>
                <w:szCs w:val="20"/>
              </w:rPr>
            </w:pPr>
            <w:r w:rsidRPr="00F109C5">
              <w:rPr>
                <w:sz w:val="20"/>
                <w:szCs w:val="20"/>
              </w:rPr>
              <w:t>(Que.) (Civil) (By Leave)</w:t>
            </w:r>
          </w:p>
        </w:tc>
      </w:tr>
      <w:tr w:rsidR="00694836" w:rsidRPr="00F109C5" w:rsidTr="00EE6E8A">
        <w:tc>
          <w:tcPr>
            <w:tcW w:w="543" w:type="pct"/>
          </w:tcPr>
          <w:p w:rsidR="00694836" w:rsidRPr="00F109C5" w:rsidRDefault="00694836" w:rsidP="00EE6E8A">
            <w:pPr>
              <w:jc w:val="both"/>
              <w:rPr>
                <w:rStyle w:val="SCCFileNumberChar"/>
                <w:sz w:val="20"/>
                <w:szCs w:val="20"/>
              </w:rPr>
            </w:pPr>
            <w:r>
              <w:rPr>
                <w:rStyle w:val="SCCFileNumberChar"/>
                <w:sz w:val="20"/>
                <w:szCs w:val="20"/>
              </w:rPr>
              <w:t>Coram:</w:t>
            </w:r>
          </w:p>
        </w:tc>
        <w:tc>
          <w:tcPr>
            <w:tcW w:w="4457" w:type="pct"/>
            <w:gridSpan w:val="3"/>
          </w:tcPr>
          <w:p w:rsidR="00694836" w:rsidRDefault="00694836" w:rsidP="00EE6E8A">
            <w:pPr>
              <w:pStyle w:val="SCCLsocParty"/>
              <w:jc w:val="both"/>
              <w:rPr>
                <w:sz w:val="20"/>
                <w:szCs w:val="20"/>
                <w:lang w:val="en-US"/>
              </w:rPr>
            </w:pPr>
            <w:r w:rsidRPr="00694836">
              <w:rPr>
                <w:sz w:val="20"/>
                <w:szCs w:val="20"/>
                <w:lang w:val="en-US"/>
              </w:rPr>
              <w:t>McLachlin C.J. and Abella, Moldaver, Karakatsanis, Wagner, Gascon, Côté, Brown and Rowe JJ.</w:t>
            </w:r>
          </w:p>
          <w:p w:rsidR="00694836" w:rsidRPr="00694836" w:rsidRDefault="00694836" w:rsidP="00694836">
            <w:pPr>
              <w:rPr>
                <w:lang w:val="en-US"/>
              </w:rPr>
            </w:pPr>
          </w:p>
        </w:tc>
      </w:tr>
      <w:tr w:rsidR="00694836" w:rsidRPr="00F109C5" w:rsidTr="00694836">
        <w:tc>
          <w:tcPr>
            <w:tcW w:w="5000" w:type="pct"/>
            <w:gridSpan w:val="4"/>
          </w:tcPr>
          <w:p w:rsidR="00694836" w:rsidRDefault="00694836" w:rsidP="00EE6E8A">
            <w:pPr>
              <w:pStyle w:val="SCCLsocParty"/>
              <w:jc w:val="both"/>
              <w:rPr>
                <w:sz w:val="20"/>
                <w:szCs w:val="20"/>
                <w:lang w:val="en-US"/>
              </w:rPr>
            </w:pPr>
            <w:r w:rsidRPr="00694836">
              <w:rPr>
                <w:sz w:val="20"/>
                <w:szCs w:val="20"/>
                <w:lang w:val="en-US"/>
              </w:rPr>
              <w:t xml:space="preserve">The application for leave to appeal from the judgment of the Court of Appeal of Quebec (Montréal), Number 500-09-026130-161, </w:t>
            </w:r>
            <w:proofErr w:type="gramStart"/>
            <w:r w:rsidRPr="00694836">
              <w:rPr>
                <w:sz w:val="20"/>
                <w:szCs w:val="20"/>
                <w:lang w:val="en-US"/>
              </w:rPr>
              <w:t>2017</w:t>
            </w:r>
            <w:proofErr w:type="gramEnd"/>
            <w:r w:rsidRPr="00694836">
              <w:rPr>
                <w:sz w:val="20"/>
                <w:szCs w:val="20"/>
                <w:lang w:val="en-US"/>
              </w:rPr>
              <w:t xml:space="preserve"> QCCA 597, dated April 5, 2017, is granted with costs in the cause.</w:t>
            </w:r>
          </w:p>
          <w:p w:rsidR="00694836" w:rsidRPr="00694836" w:rsidRDefault="00694836" w:rsidP="00694836">
            <w:pPr>
              <w:rPr>
                <w:lang w:val="en-US"/>
              </w:rPr>
            </w:pPr>
          </w:p>
        </w:tc>
      </w:tr>
      <w:tr w:rsidR="00EE6E8A" w:rsidRPr="00F109C5" w:rsidTr="00EE6E8A">
        <w:tc>
          <w:tcPr>
            <w:tcW w:w="5000" w:type="pct"/>
            <w:gridSpan w:val="4"/>
          </w:tcPr>
          <w:p w:rsidR="00EE6E8A" w:rsidRPr="00F109C5" w:rsidRDefault="00EE6E8A" w:rsidP="00EE6E8A">
            <w:pPr>
              <w:jc w:val="both"/>
              <w:rPr>
                <w:sz w:val="20"/>
                <w:szCs w:val="20"/>
              </w:rPr>
            </w:pPr>
            <w:r w:rsidRPr="00F109C5">
              <w:rPr>
                <w:sz w:val="20"/>
                <w:szCs w:val="20"/>
              </w:rPr>
              <w:t xml:space="preserve">Private international law – Foreign judgments – Enforcement – </w:t>
            </w:r>
            <w:r w:rsidRPr="00F109C5">
              <w:rPr>
                <w:iCs/>
                <w:sz w:val="20"/>
                <w:szCs w:val="20"/>
                <w:lang w:val="en-GB"/>
              </w:rPr>
              <w:t xml:space="preserve">Jurisdiction of foreign authorities – </w:t>
            </w:r>
            <w:r w:rsidRPr="00F109C5">
              <w:rPr>
                <w:sz w:val="20"/>
                <w:szCs w:val="20"/>
              </w:rPr>
              <w:t xml:space="preserve">To what extent can a person, residing and domiciled in Québec, raise certain substantive legal issues within, and in support of, a motion to contest the jurisdiction of a foreign court where he is being sued, without being considered to have submitted to the jurisdiction of that foreign court under article 3168(6) of the </w:t>
            </w:r>
            <w:r w:rsidRPr="00F109C5">
              <w:rPr>
                <w:i/>
                <w:sz w:val="20"/>
                <w:szCs w:val="20"/>
              </w:rPr>
              <w:t>Civil Code of Québec</w:t>
            </w:r>
            <w:r w:rsidRPr="00F109C5">
              <w:rPr>
                <w:sz w:val="20"/>
                <w:szCs w:val="20"/>
              </w:rPr>
              <w:t xml:space="preserve">? – How should the requirement in article 3164 of the </w:t>
            </w:r>
            <w:r w:rsidRPr="00F109C5">
              <w:rPr>
                <w:i/>
                <w:sz w:val="20"/>
                <w:szCs w:val="20"/>
              </w:rPr>
              <w:t>Civil Code of Québec</w:t>
            </w:r>
            <w:r w:rsidRPr="00F109C5">
              <w:rPr>
                <w:sz w:val="20"/>
                <w:szCs w:val="20"/>
              </w:rPr>
              <w:t xml:space="preserve"> that the foreign dispute be “substantially connected” with the foreign jurisdiction be applied in respect of a defendant who may have “submitted to the jurisdiction” of the foreign jurisdiction (article 3168(6) of the </w:t>
            </w:r>
            <w:r w:rsidRPr="00F109C5">
              <w:rPr>
                <w:i/>
                <w:sz w:val="20"/>
                <w:szCs w:val="20"/>
              </w:rPr>
              <w:t>Civil Code of Québec</w:t>
            </w:r>
            <w:r w:rsidRPr="00F109C5">
              <w:rPr>
                <w:sz w:val="20"/>
                <w:szCs w:val="20"/>
              </w:rPr>
              <w:t xml:space="preserve">), as well as in respect of the other provisions of article 3168 of the </w:t>
            </w:r>
            <w:r w:rsidRPr="00F109C5">
              <w:rPr>
                <w:i/>
                <w:sz w:val="20"/>
                <w:szCs w:val="20"/>
              </w:rPr>
              <w:t>Civil Code of Québec</w:t>
            </w:r>
            <w:r w:rsidRPr="00F109C5">
              <w:rPr>
                <w:sz w:val="20"/>
                <w:szCs w:val="20"/>
              </w:rPr>
              <w:t>?</w:t>
            </w:r>
          </w:p>
        </w:tc>
      </w:tr>
      <w:tr w:rsidR="00EE6E8A" w:rsidRPr="00F109C5" w:rsidTr="00EE6E8A">
        <w:tc>
          <w:tcPr>
            <w:tcW w:w="5000" w:type="pct"/>
            <w:gridSpan w:val="4"/>
          </w:tcPr>
          <w:p w:rsidR="00EE6E8A" w:rsidRPr="00F109C5" w:rsidRDefault="00EE6E8A" w:rsidP="00EE6E8A">
            <w:pPr>
              <w:jc w:val="both"/>
              <w:rPr>
                <w:sz w:val="20"/>
                <w:szCs w:val="20"/>
              </w:rPr>
            </w:pPr>
          </w:p>
        </w:tc>
      </w:tr>
      <w:tr w:rsidR="00EE6E8A" w:rsidRPr="00F109C5" w:rsidTr="00EE6E8A">
        <w:tc>
          <w:tcPr>
            <w:tcW w:w="5000" w:type="pct"/>
            <w:gridSpan w:val="4"/>
          </w:tcPr>
          <w:p w:rsidR="00EE6E8A" w:rsidRPr="00F109C5" w:rsidRDefault="00EE6E8A" w:rsidP="00EE6E8A">
            <w:pPr>
              <w:autoSpaceDE w:val="0"/>
              <w:autoSpaceDN w:val="0"/>
              <w:adjustRightInd w:val="0"/>
              <w:jc w:val="both"/>
              <w:rPr>
                <w:sz w:val="20"/>
                <w:szCs w:val="20"/>
              </w:rPr>
            </w:pPr>
            <w:r w:rsidRPr="00F109C5">
              <w:rPr>
                <w:sz w:val="20"/>
                <w:szCs w:val="20"/>
              </w:rPr>
              <w:t xml:space="preserve">The Applicant is a Canadian businessman residing and domiciled in Québec, who was operating a company based in Vermont (Barer Engineering Company of America, or “BEC”). The Respondent initiated legal proceedings before the United States District Court for the District of Utah (the “Utah Court”) against BEC and the Applicant personally, as well as a company based in Québec and run by the Applicant, for amounts claimed to be due under a contract. The Applicant made a motion to dismiss the lawsuit for lack of jurisdiction with respect to himself personally. The motion was dismissed and subsequently, on January 18, 2013, a default judgment was rendered against the Applicant. The </w:t>
            </w:r>
            <w:r w:rsidRPr="00F109C5">
              <w:rPr>
                <w:sz w:val="20"/>
                <w:szCs w:val="20"/>
              </w:rPr>
              <w:lastRenderedPageBreak/>
              <w:t>Respondent thereafter sought recognition and enforcement against the Applicant of the judgment rendered by the Utah Court (the “Utah Judgment”).</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lastRenderedPageBreak/>
              <w:t>May 5, 2016</w:t>
            </w:r>
          </w:p>
          <w:p w:rsidR="00EE6E8A" w:rsidRPr="00F109C5" w:rsidRDefault="00EE6E8A" w:rsidP="00EE6E8A">
            <w:pPr>
              <w:jc w:val="both"/>
              <w:rPr>
                <w:sz w:val="20"/>
                <w:szCs w:val="20"/>
              </w:rPr>
            </w:pPr>
            <w:r w:rsidRPr="00F109C5">
              <w:rPr>
                <w:sz w:val="20"/>
                <w:szCs w:val="20"/>
              </w:rPr>
              <w:t>Superior Court of Quebec</w:t>
            </w:r>
          </w:p>
          <w:p w:rsidR="00EE6E8A" w:rsidRPr="00F109C5" w:rsidRDefault="00EE6E8A" w:rsidP="00EE6E8A">
            <w:pPr>
              <w:jc w:val="both"/>
              <w:rPr>
                <w:sz w:val="20"/>
                <w:szCs w:val="20"/>
              </w:rPr>
            </w:pPr>
            <w:r w:rsidRPr="00F109C5">
              <w:rPr>
                <w:sz w:val="20"/>
                <w:szCs w:val="20"/>
              </w:rPr>
              <w:t>(Blanchard J.)</w:t>
            </w:r>
          </w:p>
          <w:p w:rsidR="00EE6E8A" w:rsidRPr="00F109C5" w:rsidRDefault="00EE6E8A" w:rsidP="00EE6E8A">
            <w:pPr>
              <w:jc w:val="both"/>
              <w:rPr>
                <w:sz w:val="20"/>
                <w:szCs w:val="20"/>
              </w:rPr>
            </w:pPr>
            <w:r w:rsidRPr="00F109C5">
              <w:rPr>
                <w:sz w:val="20"/>
                <w:szCs w:val="20"/>
              </w:rPr>
              <w:t>No. 500-17-076332-132</w:t>
            </w:r>
          </w:p>
          <w:p w:rsidR="00EE6E8A" w:rsidRPr="00F109C5" w:rsidRDefault="00ED1F08" w:rsidP="00EE6E8A">
            <w:pPr>
              <w:jc w:val="both"/>
              <w:rPr>
                <w:sz w:val="20"/>
                <w:szCs w:val="20"/>
              </w:rPr>
            </w:pPr>
            <w:hyperlink r:id="rId36" w:history="1">
              <w:r w:rsidR="00EE6E8A" w:rsidRPr="00F109C5">
                <w:rPr>
                  <w:rStyle w:val="Hyperlink"/>
                  <w:sz w:val="20"/>
                  <w:szCs w:val="20"/>
                </w:rPr>
                <w:t>2016 QCCS 3471</w:t>
              </w:r>
            </w:hyperlink>
          </w:p>
          <w:p w:rsidR="00EE6E8A" w:rsidRPr="00F109C5" w:rsidRDefault="00EE6E8A" w:rsidP="00EE6E8A">
            <w:pPr>
              <w:jc w:val="both"/>
              <w:rPr>
                <w:sz w:val="20"/>
                <w:szCs w:val="20"/>
              </w:rPr>
            </w:pP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Motion seeking recognition and enforcement against Applicant of Utah Judgment allowed.</w:t>
            </w:r>
          </w:p>
          <w:p w:rsidR="00EE6E8A" w:rsidRPr="00F109C5" w:rsidRDefault="00EE6E8A" w:rsidP="00EE6E8A">
            <w:pPr>
              <w:jc w:val="both"/>
              <w:rPr>
                <w:sz w:val="20"/>
                <w:szCs w:val="20"/>
              </w:rPr>
            </w:pP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August 29, 2016</w:t>
            </w:r>
          </w:p>
          <w:p w:rsidR="00EE6E8A" w:rsidRPr="00F109C5" w:rsidRDefault="00EE6E8A" w:rsidP="00EE6E8A">
            <w:pPr>
              <w:jc w:val="both"/>
              <w:rPr>
                <w:sz w:val="20"/>
                <w:szCs w:val="20"/>
              </w:rPr>
            </w:pPr>
            <w:r w:rsidRPr="00F109C5">
              <w:rPr>
                <w:sz w:val="20"/>
                <w:szCs w:val="20"/>
              </w:rPr>
              <w:t>Court of Appeal of Quebec (Montréal)</w:t>
            </w:r>
          </w:p>
          <w:p w:rsidR="00EE6E8A" w:rsidRPr="00F109C5" w:rsidRDefault="00EE6E8A" w:rsidP="00EE6E8A">
            <w:pPr>
              <w:jc w:val="both"/>
              <w:rPr>
                <w:sz w:val="20"/>
                <w:szCs w:val="20"/>
                <w:lang w:val="fr-CA"/>
              </w:rPr>
            </w:pPr>
            <w:r w:rsidRPr="00F109C5">
              <w:rPr>
                <w:sz w:val="20"/>
                <w:szCs w:val="20"/>
                <w:lang w:val="fr-CA"/>
              </w:rPr>
              <w:t xml:space="preserve">(Morissette, Gagnon and </w:t>
            </w:r>
            <w:proofErr w:type="spellStart"/>
            <w:r w:rsidRPr="00F109C5">
              <w:rPr>
                <w:sz w:val="20"/>
                <w:szCs w:val="20"/>
                <w:lang w:val="fr-CA"/>
              </w:rPr>
              <w:t>Hogue</w:t>
            </w:r>
            <w:proofErr w:type="spellEnd"/>
            <w:r w:rsidRPr="00F109C5">
              <w:rPr>
                <w:sz w:val="20"/>
                <w:szCs w:val="20"/>
                <w:lang w:val="fr-CA"/>
              </w:rPr>
              <w:t xml:space="preserve"> JJ.A.)</w:t>
            </w:r>
          </w:p>
          <w:p w:rsidR="00EE6E8A" w:rsidRPr="00F109C5" w:rsidRDefault="00EE6E8A" w:rsidP="00EE6E8A">
            <w:pPr>
              <w:jc w:val="both"/>
              <w:rPr>
                <w:sz w:val="20"/>
                <w:szCs w:val="20"/>
                <w:lang w:val="fr-CA"/>
              </w:rPr>
            </w:pPr>
            <w:r w:rsidRPr="00F109C5">
              <w:rPr>
                <w:sz w:val="20"/>
                <w:szCs w:val="20"/>
                <w:lang w:val="fr-CA"/>
              </w:rPr>
              <w:t xml:space="preserve">No. </w:t>
            </w:r>
            <w:r w:rsidRPr="00F109C5">
              <w:rPr>
                <w:sz w:val="20"/>
                <w:szCs w:val="20"/>
              </w:rPr>
              <w:t>500-09-026130-161</w:t>
            </w:r>
          </w:p>
          <w:p w:rsidR="00EE6E8A" w:rsidRPr="00F109C5" w:rsidRDefault="00ED1F08" w:rsidP="00EE6E8A">
            <w:pPr>
              <w:jc w:val="both"/>
              <w:rPr>
                <w:sz w:val="20"/>
                <w:szCs w:val="20"/>
              </w:rPr>
            </w:pPr>
            <w:hyperlink r:id="rId37" w:history="1">
              <w:r w:rsidR="00EE6E8A" w:rsidRPr="00F109C5">
                <w:rPr>
                  <w:rStyle w:val="Hyperlink"/>
                  <w:sz w:val="20"/>
                  <w:szCs w:val="20"/>
                </w:rPr>
                <w:t>2016 QCCA 1400</w:t>
              </w:r>
            </w:hyperlink>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en"/>
              </w:rPr>
            </w:pPr>
            <w:r w:rsidRPr="00F109C5">
              <w:rPr>
                <w:sz w:val="20"/>
                <w:szCs w:val="20"/>
                <w:lang w:val="en"/>
              </w:rPr>
              <w:t>Motion seeking suretyship to guarantee payment of Applicant’s appeal ordered.</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May 5, 2017</w:t>
            </w:r>
          </w:p>
          <w:p w:rsidR="00EE6E8A" w:rsidRPr="00F109C5" w:rsidRDefault="00EE6E8A" w:rsidP="00EE6E8A">
            <w:pPr>
              <w:jc w:val="both"/>
              <w:rPr>
                <w:sz w:val="20"/>
                <w:szCs w:val="20"/>
              </w:rPr>
            </w:pPr>
            <w:r w:rsidRPr="00F109C5">
              <w:rPr>
                <w:sz w:val="20"/>
                <w:szCs w:val="20"/>
              </w:rPr>
              <w:t>Court of Appeal of Quebec (Montréal)</w:t>
            </w:r>
          </w:p>
          <w:p w:rsidR="00EE6E8A" w:rsidRPr="00F109C5" w:rsidRDefault="00EE6E8A" w:rsidP="00EE6E8A">
            <w:pPr>
              <w:jc w:val="both"/>
              <w:rPr>
                <w:sz w:val="20"/>
                <w:szCs w:val="20"/>
              </w:rPr>
            </w:pPr>
            <w:r w:rsidRPr="00F109C5">
              <w:rPr>
                <w:sz w:val="20"/>
                <w:szCs w:val="20"/>
              </w:rPr>
              <w:t>(</w:t>
            </w:r>
            <w:proofErr w:type="spellStart"/>
            <w:r w:rsidRPr="00F109C5">
              <w:rPr>
                <w:sz w:val="20"/>
                <w:szCs w:val="20"/>
              </w:rPr>
              <w:t>Vézina</w:t>
            </w:r>
            <w:proofErr w:type="spellEnd"/>
            <w:r w:rsidRPr="00F109C5">
              <w:rPr>
                <w:sz w:val="20"/>
                <w:szCs w:val="20"/>
              </w:rPr>
              <w:t xml:space="preserve">, </w:t>
            </w:r>
            <w:proofErr w:type="spellStart"/>
            <w:r w:rsidRPr="00F109C5">
              <w:rPr>
                <w:sz w:val="20"/>
                <w:szCs w:val="20"/>
              </w:rPr>
              <w:t>Mainville</w:t>
            </w:r>
            <w:proofErr w:type="spellEnd"/>
            <w:r w:rsidRPr="00F109C5">
              <w:rPr>
                <w:sz w:val="20"/>
                <w:szCs w:val="20"/>
              </w:rPr>
              <w:t xml:space="preserve"> and Jacques (</w:t>
            </w:r>
            <w:r w:rsidRPr="00F109C5">
              <w:rPr>
                <w:i/>
                <w:sz w:val="20"/>
                <w:szCs w:val="20"/>
              </w:rPr>
              <w:t>ad hoc</w:t>
            </w:r>
            <w:r w:rsidRPr="00F109C5">
              <w:rPr>
                <w:sz w:val="20"/>
                <w:szCs w:val="20"/>
              </w:rPr>
              <w:t>) JJ.A.)</w:t>
            </w:r>
          </w:p>
          <w:p w:rsidR="00EE6E8A" w:rsidRPr="00F109C5" w:rsidRDefault="00EE6E8A" w:rsidP="00EE6E8A">
            <w:pPr>
              <w:jc w:val="both"/>
              <w:rPr>
                <w:sz w:val="20"/>
                <w:szCs w:val="20"/>
                <w:lang w:val="fr-CA"/>
              </w:rPr>
            </w:pPr>
            <w:r w:rsidRPr="00F109C5">
              <w:rPr>
                <w:sz w:val="20"/>
                <w:szCs w:val="20"/>
              </w:rPr>
              <w:t>No. 500-09-026130-161</w:t>
            </w:r>
          </w:p>
          <w:p w:rsidR="00EE6E8A" w:rsidRPr="00F109C5" w:rsidRDefault="00ED1F08" w:rsidP="00EE6E8A">
            <w:pPr>
              <w:jc w:val="both"/>
              <w:rPr>
                <w:sz w:val="20"/>
                <w:szCs w:val="20"/>
              </w:rPr>
            </w:pPr>
            <w:hyperlink r:id="rId38" w:history="1">
              <w:r w:rsidR="00EE6E8A" w:rsidRPr="00F109C5">
                <w:rPr>
                  <w:rStyle w:val="Hyperlink"/>
                  <w:sz w:val="20"/>
                  <w:szCs w:val="20"/>
                </w:rPr>
                <w:t>2017 QCCA 597</w:t>
              </w:r>
            </w:hyperlink>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rPr>
            </w:pPr>
            <w:r w:rsidRPr="00F109C5">
              <w:rPr>
                <w:sz w:val="20"/>
                <w:szCs w:val="20"/>
              </w:rPr>
              <w:t>Appeal dismissed.</w:t>
            </w:r>
          </w:p>
          <w:p w:rsidR="00EE6E8A" w:rsidRPr="00F109C5" w:rsidRDefault="00EE6E8A" w:rsidP="00EE6E8A">
            <w:pPr>
              <w:jc w:val="both"/>
              <w:rPr>
                <w:sz w:val="20"/>
                <w:szCs w:val="20"/>
              </w:rPr>
            </w:pPr>
          </w:p>
        </w:tc>
      </w:tr>
      <w:tr w:rsidR="00EE6E8A" w:rsidRPr="00F109C5" w:rsidTr="00EE6E8A">
        <w:tc>
          <w:tcPr>
            <w:tcW w:w="2427" w:type="pct"/>
            <w:gridSpan w:val="2"/>
          </w:tcPr>
          <w:p w:rsidR="00EE6E8A" w:rsidRPr="00F109C5" w:rsidRDefault="00EE6E8A" w:rsidP="00EE6E8A">
            <w:pPr>
              <w:jc w:val="both"/>
              <w:rPr>
                <w:sz w:val="20"/>
                <w:szCs w:val="20"/>
              </w:rPr>
            </w:pPr>
            <w:r w:rsidRPr="00F109C5">
              <w:rPr>
                <w:sz w:val="20"/>
                <w:szCs w:val="20"/>
              </w:rPr>
              <w:t>June 5, 2017</w:t>
            </w:r>
          </w:p>
          <w:p w:rsidR="00EE6E8A" w:rsidRPr="00F109C5" w:rsidRDefault="00EE6E8A" w:rsidP="00EE6E8A">
            <w:pPr>
              <w:jc w:val="both"/>
              <w:rPr>
                <w:sz w:val="20"/>
                <w:szCs w:val="20"/>
              </w:rPr>
            </w:pPr>
            <w:r w:rsidRPr="00F109C5">
              <w:rPr>
                <w:sz w:val="20"/>
                <w:szCs w:val="20"/>
              </w:rPr>
              <w:t>Supreme Court of Canada</w:t>
            </w:r>
          </w:p>
        </w:tc>
        <w:tc>
          <w:tcPr>
            <w:tcW w:w="243" w:type="pct"/>
          </w:tcPr>
          <w:p w:rsidR="00EE6E8A" w:rsidRPr="00F109C5" w:rsidRDefault="00EE6E8A" w:rsidP="00EE6E8A">
            <w:pPr>
              <w:jc w:val="both"/>
              <w:rPr>
                <w:sz w:val="20"/>
                <w:szCs w:val="20"/>
              </w:rPr>
            </w:pPr>
          </w:p>
        </w:tc>
        <w:tc>
          <w:tcPr>
            <w:tcW w:w="2330" w:type="pct"/>
          </w:tcPr>
          <w:p w:rsidR="00EE6E8A" w:rsidRPr="00F109C5" w:rsidRDefault="00EE6E8A" w:rsidP="00EE6E8A">
            <w:pPr>
              <w:jc w:val="both"/>
              <w:rPr>
                <w:sz w:val="20"/>
                <w:szCs w:val="20"/>
              </w:rPr>
            </w:pPr>
            <w:r w:rsidRPr="00F109C5">
              <w:rPr>
                <w:sz w:val="20"/>
                <w:szCs w:val="20"/>
              </w:rPr>
              <w:t>Application for leave to appeal filed.</w:t>
            </w:r>
          </w:p>
        </w:tc>
      </w:tr>
    </w:tbl>
    <w:p w:rsidR="00EE6E8A" w:rsidRPr="00F109C5" w:rsidRDefault="00ED1F08" w:rsidP="00EE6E8A">
      <w:pPr>
        <w:jc w:val="both"/>
        <w:rPr>
          <w:sz w:val="20"/>
          <w:szCs w:val="20"/>
        </w:rPr>
      </w:pPr>
      <w:r>
        <w:rPr>
          <w:sz w:val="20"/>
          <w:szCs w:val="20"/>
        </w:rPr>
        <w:pict>
          <v:rect id="_x0000_i1044" style="width:2in;height:1pt" o:hrpct="0" o:hralign="center" o:hrstd="t" o:hrnoshade="t" o:hr="t" fillcolor="black [3213]" stroked="f"/>
        </w:pict>
      </w:r>
    </w:p>
    <w:p w:rsidR="00EE6E8A" w:rsidRPr="00F109C5" w:rsidRDefault="00EE6E8A" w:rsidP="00EE6E8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6E8A" w:rsidRPr="00F109C5" w:rsidTr="00EE6E8A">
        <w:tc>
          <w:tcPr>
            <w:tcW w:w="543" w:type="pct"/>
          </w:tcPr>
          <w:p w:rsidR="00EE6E8A" w:rsidRPr="00F109C5" w:rsidRDefault="00EE6E8A" w:rsidP="00EE6E8A">
            <w:pPr>
              <w:jc w:val="both"/>
              <w:rPr>
                <w:sz w:val="20"/>
                <w:szCs w:val="20"/>
                <w:lang w:val="fr-CA"/>
              </w:rPr>
            </w:pPr>
            <w:r w:rsidRPr="00F109C5">
              <w:rPr>
                <w:rStyle w:val="SCCFileNumberChar"/>
                <w:sz w:val="20"/>
                <w:szCs w:val="20"/>
                <w:lang w:val="fr-CA"/>
              </w:rPr>
              <w:t>37594</w:t>
            </w:r>
          </w:p>
        </w:tc>
        <w:tc>
          <w:tcPr>
            <w:tcW w:w="4457" w:type="pct"/>
            <w:gridSpan w:val="3"/>
          </w:tcPr>
          <w:p w:rsidR="00EE6E8A" w:rsidRPr="00F109C5" w:rsidRDefault="00EE6E8A" w:rsidP="00EE6E8A">
            <w:pPr>
              <w:pStyle w:val="SCCLsocParty"/>
              <w:jc w:val="both"/>
              <w:rPr>
                <w:b/>
                <w:sz w:val="20"/>
                <w:szCs w:val="20"/>
                <w:lang w:val="en-US"/>
              </w:rPr>
            </w:pPr>
            <w:r w:rsidRPr="00F109C5">
              <w:rPr>
                <w:b/>
                <w:sz w:val="20"/>
                <w:szCs w:val="20"/>
                <w:lang w:val="en-US"/>
              </w:rPr>
              <w:t>David Barer c. Knight Brothers LLC</w:t>
            </w:r>
          </w:p>
          <w:p w:rsidR="00EE6E8A" w:rsidRPr="00F109C5" w:rsidRDefault="00EE6E8A" w:rsidP="00EE6E8A">
            <w:pPr>
              <w:jc w:val="both"/>
              <w:rPr>
                <w:sz w:val="20"/>
                <w:szCs w:val="20"/>
                <w:lang w:val="fr-CA"/>
              </w:rPr>
            </w:pPr>
            <w:r w:rsidRPr="00F109C5">
              <w:rPr>
                <w:sz w:val="20"/>
                <w:szCs w:val="20"/>
                <w:lang w:val="fr-CA"/>
              </w:rPr>
              <w:t>(</w:t>
            </w:r>
            <w:proofErr w:type="spellStart"/>
            <w:r w:rsidRPr="00F109C5">
              <w:rPr>
                <w:sz w:val="20"/>
                <w:szCs w:val="20"/>
                <w:lang w:val="fr-CA"/>
              </w:rPr>
              <w:t>Qué</w:t>
            </w:r>
            <w:proofErr w:type="spellEnd"/>
            <w:r w:rsidRPr="00F109C5">
              <w:rPr>
                <w:sz w:val="20"/>
                <w:szCs w:val="20"/>
                <w:lang w:val="fr-CA"/>
              </w:rPr>
              <w:t>.) (Civile) (Sur autorisation)</w:t>
            </w:r>
          </w:p>
        </w:tc>
      </w:tr>
      <w:tr w:rsidR="00694836" w:rsidRPr="00ED1F08" w:rsidTr="00EE6E8A">
        <w:tc>
          <w:tcPr>
            <w:tcW w:w="543" w:type="pct"/>
          </w:tcPr>
          <w:p w:rsidR="00694836" w:rsidRPr="00F109C5" w:rsidRDefault="00694836" w:rsidP="00EE6E8A">
            <w:pPr>
              <w:jc w:val="both"/>
              <w:rPr>
                <w:rStyle w:val="SCCFileNumberChar"/>
                <w:sz w:val="20"/>
                <w:szCs w:val="20"/>
                <w:lang w:val="fr-CA"/>
              </w:rPr>
            </w:pPr>
            <w:r>
              <w:rPr>
                <w:rStyle w:val="SCCFileNumberChar"/>
                <w:sz w:val="20"/>
                <w:szCs w:val="20"/>
                <w:lang w:val="fr-CA"/>
              </w:rPr>
              <w:t>Coram :</w:t>
            </w:r>
          </w:p>
        </w:tc>
        <w:tc>
          <w:tcPr>
            <w:tcW w:w="4457" w:type="pct"/>
            <w:gridSpan w:val="3"/>
          </w:tcPr>
          <w:p w:rsidR="00694836" w:rsidRDefault="00694836" w:rsidP="00EE6E8A">
            <w:pPr>
              <w:pStyle w:val="SCCLsocParty"/>
              <w:jc w:val="both"/>
              <w:rPr>
                <w:sz w:val="20"/>
                <w:szCs w:val="20"/>
              </w:rPr>
            </w:pPr>
            <w:r w:rsidRPr="00B56C38">
              <w:rPr>
                <w:sz w:val="20"/>
                <w:szCs w:val="20"/>
              </w:rPr>
              <w:t>La juge en chef McLachlin et les juges Abella, Moldaver, Karakatsanis, Wagner, Gascon, Côté, Brown et Rowe</w:t>
            </w:r>
          </w:p>
          <w:p w:rsidR="00694836" w:rsidRPr="00694836" w:rsidRDefault="00694836" w:rsidP="00694836">
            <w:pPr>
              <w:rPr>
                <w:lang w:val="fr-CA"/>
              </w:rPr>
            </w:pPr>
          </w:p>
        </w:tc>
      </w:tr>
      <w:tr w:rsidR="00694836" w:rsidRPr="00ED1F08" w:rsidTr="00694836">
        <w:tc>
          <w:tcPr>
            <w:tcW w:w="5000" w:type="pct"/>
            <w:gridSpan w:val="4"/>
          </w:tcPr>
          <w:p w:rsidR="00694836" w:rsidRDefault="00694836" w:rsidP="00EE6E8A">
            <w:pPr>
              <w:pStyle w:val="SCCLsocParty"/>
              <w:jc w:val="both"/>
              <w:rPr>
                <w:sz w:val="20"/>
                <w:szCs w:val="20"/>
              </w:rPr>
            </w:pPr>
            <w:r w:rsidRPr="00B56C38">
              <w:rPr>
                <w:sz w:val="20"/>
                <w:szCs w:val="20"/>
              </w:rPr>
              <w:t>La demande d’autorisation d’appel de l’arrêt de la Cour d’appel du Québec (Montréal), numéro 500-09-026130-161, 2017 QCCA 597, daté du 5 avril 2017, est accueillie avec dépens selon l’issue de la cause.</w:t>
            </w:r>
          </w:p>
          <w:p w:rsidR="00694836" w:rsidRPr="00694836" w:rsidRDefault="00694836" w:rsidP="00694836">
            <w:pPr>
              <w:rPr>
                <w:lang w:val="fr-CA"/>
              </w:rPr>
            </w:pPr>
          </w:p>
        </w:tc>
      </w:tr>
      <w:tr w:rsidR="00EE6E8A" w:rsidRPr="00ED1F08" w:rsidTr="00EE6E8A">
        <w:tc>
          <w:tcPr>
            <w:tcW w:w="5000" w:type="pct"/>
            <w:gridSpan w:val="4"/>
          </w:tcPr>
          <w:p w:rsidR="00EE6E8A" w:rsidRPr="00F109C5" w:rsidRDefault="00EE6E8A" w:rsidP="00EE6E8A">
            <w:pPr>
              <w:jc w:val="both"/>
              <w:rPr>
                <w:sz w:val="20"/>
                <w:szCs w:val="20"/>
                <w:lang w:val="fr-CA"/>
              </w:rPr>
            </w:pPr>
            <w:r w:rsidRPr="00F109C5">
              <w:rPr>
                <w:sz w:val="20"/>
                <w:szCs w:val="20"/>
                <w:lang w:val="fr-CA"/>
              </w:rPr>
              <w:t xml:space="preserve">Droit international privé – Jugements étrangers – Exécution – </w:t>
            </w:r>
            <w:r w:rsidRPr="00F109C5">
              <w:rPr>
                <w:iCs/>
                <w:sz w:val="20"/>
                <w:szCs w:val="20"/>
                <w:lang w:val="fr-CA"/>
              </w:rPr>
              <w:t xml:space="preserve">Compétence des autorités étrangères – </w:t>
            </w:r>
            <w:r w:rsidRPr="00F109C5">
              <w:rPr>
                <w:sz w:val="20"/>
                <w:szCs w:val="20"/>
                <w:lang w:val="fr-CA"/>
              </w:rPr>
              <w:t xml:space="preserve">Dans quelle mesure une personne, résidante et domiciliée au Québec, peut-elle soulever certaines questions juridiques de fond dans une requête – et au soutien de la requête – visant à contester la compétence d’un tribunal étranger où elle est poursuivie, sans être considérée comme ayant reconnu la compétence de ce tribunal étranger comme le prévoit l’article 3168(6) du </w:t>
            </w:r>
            <w:r w:rsidRPr="00F109C5">
              <w:rPr>
                <w:i/>
                <w:sz w:val="20"/>
                <w:szCs w:val="20"/>
                <w:lang w:val="fr-CA"/>
              </w:rPr>
              <w:t>Code civil du Québec</w:t>
            </w:r>
            <w:r w:rsidRPr="00F109C5">
              <w:rPr>
                <w:sz w:val="20"/>
                <w:szCs w:val="20"/>
                <w:lang w:val="fr-CA"/>
              </w:rPr>
              <w:t xml:space="preserve">? – Comment l’exigence prévue à l’article 3164 du </w:t>
            </w:r>
            <w:r w:rsidRPr="00F109C5">
              <w:rPr>
                <w:i/>
                <w:sz w:val="20"/>
                <w:szCs w:val="20"/>
                <w:lang w:val="fr-CA"/>
              </w:rPr>
              <w:t>Code civil du Québec</w:t>
            </w:r>
            <w:r w:rsidRPr="00F109C5">
              <w:rPr>
                <w:sz w:val="20"/>
                <w:szCs w:val="20"/>
                <w:lang w:val="fr-CA"/>
              </w:rPr>
              <w:t xml:space="preserve"> selon laquelle le litige étranger doit « se rattache[r] de façon importante » au ressort étranger </w:t>
            </w:r>
            <w:proofErr w:type="spellStart"/>
            <w:r w:rsidRPr="00F109C5">
              <w:rPr>
                <w:sz w:val="20"/>
                <w:szCs w:val="20"/>
                <w:lang w:val="fr-CA"/>
              </w:rPr>
              <w:t>doit-elle</w:t>
            </w:r>
            <w:proofErr w:type="spellEnd"/>
            <w:r w:rsidRPr="00F109C5">
              <w:rPr>
                <w:sz w:val="20"/>
                <w:szCs w:val="20"/>
                <w:lang w:val="fr-CA"/>
              </w:rPr>
              <w:t xml:space="preserve"> être appliquée à l’égard d’un défendeur qui a pu reconnaître la compétence du tribunal étranger (article 3168(6) du </w:t>
            </w:r>
            <w:r w:rsidRPr="00F109C5">
              <w:rPr>
                <w:i/>
                <w:sz w:val="20"/>
                <w:szCs w:val="20"/>
                <w:lang w:val="fr-CA"/>
              </w:rPr>
              <w:t>Code civil du Québec</w:t>
            </w:r>
            <w:r w:rsidRPr="00F109C5">
              <w:rPr>
                <w:sz w:val="20"/>
                <w:szCs w:val="20"/>
                <w:lang w:val="fr-CA"/>
              </w:rPr>
              <w:t xml:space="preserve">), et à l’égard des autres dispositions de l’article 3168 du </w:t>
            </w:r>
            <w:r w:rsidRPr="00F109C5">
              <w:rPr>
                <w:i/>
                <w:sz w:val="20"/>
                <w:szCs w:val="20"/>
                <w:lang w:val="fr-CA"/>
              </w:rPr>
              <w:t>Code civil du Québec</w:t>
            </w:r>
            <w:r w:rsidRPr="00F109C5">
              <w:rPr>
                <w:sz w:val="20"/>
                <w:szCs w:val="20"/>
                <w:lang w:val="fr-CA"/>
              </w:rPr>
              <w:t>?</w:t>
            </w:r>
          </w:p>
        </w:tc>
      </w:tr>
      <w:tr w:rsidR="00EE6E8A" w:rsidRPr="00ED1F08" w:rsidTr="00EE6E8A">
        <w:tc>
          <w:tcPr>
            <w:tcW w:w="5000" w:type="pct"/>
            <w:gridSpan w:val="4"/>
          </w:tcPr>
          <w:p w:rsidR="00EE6E8A" w:rsidRPr="00F109C5" w:rsidRDefault="00EE6E8A" w:rsidP="00EE6E8A">
            <w:pPr>
              <w:jc w:val="both"/>
              <w:rPr>
                <w:sz w:val="20"/>
                <w:szCs w:val="20"/>
                <w:lang w:val="fr-CA"/>
              </w:rPr>
            </w:pPr>
          </w:p>
        </w:tc>
      </w:tr>
      <w:tr w:rsidR="00EE6E8A" w:rsidRPr="00ED1F08" w:rsidTr="00EE6E8A">
        <w:tc>
          <w:tcPr>
            <w:tcW w:w="5000" w:type="pct"/>
            <w:gridSpan w:val="4"/>
          </w:tcPr>
          <w:p w:rsidR="00EE6E8A" w:rsidRPr="00F109C5" w:rsidRDefault="00EE6E8A" w:rsidP="00EE6E8A">
            <w:pPr>
              <w:autoSpaceDE w:val="0"/>
              <w:autoSpaceDN w:val="0"/>
              <w:adjustRightInd w:val="0"/>
              <w:jc w:val="both"/>
              <w:rPr>
                <w:sz w:val="20"/>
                <w:szCs w:val="20"/>
                <w:lang w:val="fr-CA"/>
              </w:rPr>
            </w:pPr>
            <w:r w:rsidRPr="00F109C5">
              <w:rPr>
                <w:sz w:val="20"/>
                <w:szCs w:val="20"/>
                <w:lang w:val="fr-CA"/>
              </w:rPr>
              <w:t>Le demandeur, un homme d’affaire canadien résidant et domicilié au Québec, exploitait une entreprise ayant son siège au Vermont (</w:t>
            </w:r>
            <w:proofErr w:type="spellStart"/>
            <w:r w:rsidRPr="00F109C5">
              <w:rPr>
                <w:sz w:val="20"/>
                <w:szCs w:val="20"/>
                <w:lang w:val="fr-CA"/>
              </w:rPr>
              <w:t>Barer</w:t>
            </w:r>
            <w:proofErr w:type="spellEnd"/>
            <w:r w:rsidRPr="00F109C5">
              <w:rPr>
                <w:sz w:val="20"/>
                <w:szCs w:val="20"/>
                <w:lang w:val="fr-CA"/>
              </w:rPr>
              <w:t xml:space="preserve"> Engineering </w:t>
            </w:r>
            <w:proofErr w:type="spellStart"/>
            <w:r w:rsidRPr="00F109C5">
              <w:rPr>
                <w:sz w:val="20"/>
                <w:szCs w:val="20"/>
                <w:lang w:val="fr-CA"/>
              </w:rPr>
              <w:t>Company</w:t>
            </w:r>
            <w:proofErr w:type="spellEnd"/>
            <w:r w:rsidRPr="00F109C5">
              <w:rPr>
                <w:sz w:val="20"/>
                <w:szCs w:val="20"/>
                <w:lang w:val="fr-CA"/>
              </w:rPr>
              <w:t xml:space="preserve"> of </w:t>
            </w:r>
            <w:proofErr w:type="spellStart"/>
            <w:r w:rsidRPr="00F109C5">
              <w:rPr>
                <w:sz w:val="20"/>
                <w:szCs w:val="20"/>
                <w:lang w:val="fr-CA"/>
              </w:rPr>
              <w:t>America</w:t>
            </w:r>
            <w:proofErr w:type="spellEnd"/>
            <w:r w:rsidRPr="00F109C5">
              <w:rPr>
                <w:sz w:val="20"/>
                <w:szCs w:val="20"/>
                <w:lang w:val="fr-CA"/>
              </w:rPr>
              <w:t xml:space="preserve">, ou « BEC »). L’intimée a introduit une procédure judiciaire devant la cour de district des États-Unis pour le district de l’Utah (le « tribunal de l’Utah ») contre BEC et le demandeur personnellement, ainsi qu’une société ayant son siège au Québec et exploité par le demandeur, pour des montants qu’elle allègue être dus en vertu d’un contrat. Le demandeur a présenté une requête en irrecevabilité de la poursuite pour défaut de compétence en ce qui le concernait personnellement. La requête a été rejetée et subséquemment, le 18 janvier 2013, </w:t>
            </w:r>
            <w:r w:rsidRPr="00F109C5">
              <w:rPr>
                <w:sz w:val="20"/>
                <w:szCs w:val="20"/>
                <w:lang w:val="fr-CA"/>
              </w:rPr>
              <w:lastRenderedPageBreak/>
              <w:t>un jugement par défaut a été rendu contre le demandeur. L’intimée a ensuite demandé la reconnaissance du jugement rendu par le tribunal de l’Utah et son exécution contre le demandeur (le « jugement de l’Utah »).</w:t>
            </w: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lastRenderedPageBreak/>
              <w:t>5 mai 2016</w:t>
            </w:r>
          </w:p>
          <w:p w:rsidR="00EE6E8A" w:rsidRPr="00F109C5" w:rsidRDefault="00EE6E8A" w:rsidP="00EE6E8A">
            <w:pPr>
              <w:jc w:val="both"/>
              <w:rPr>
                <w:sz w:val="20"/>
                <w:szCs w:val="20"/>
                <w:lang w:val="fr-CA"/>
              </w:rPr>
            </w:pPr>
            <w:r w:rsidRPr="00F109C5">
              <w:rPr>
                <w:sz w:val="20"/>
                <w:szCs w:val="20"/>
                <w:lang w:val="fr-CA"/>
              </w:rPr>
              <w:t>Cour supérieure du Québec</w:t>
            </w:r>
          </w:p>
          <w:p w:rsidR="00EE6E8A" w:rsidRPr="00F109C5" w:rsidRDefault="00EE6E8A" w:rsidP="00EE6E8A">
            <w:pPr>
              <w:jc w:val="both"/>
              <w:rPr>
                <w:sz w:val="20"/>
                <w:szCs w:val="20"/>
                <w:lang w:val="fr-CA"/>
              </w:rPr>
            </w:pPr>
            <w:r w:rsidRPr="00F109C5">
              <w:rPr>
                <w:sz w:val="20"/>
                <w:szCs w:val="20"/>
                <w:lang w:val="fr-CA"/>
              </w:rPr>
              <w:t>(Juge Blanchard)</w:t>
            </w:r>
          </w:p>
          <w:p w:rsidR="00EE6E8A" w:rsidRPr="00F109C5" w:rsidRDefault="00EE6E8A" w:rsidP="00EE6E8A">
            <w:pPr>
              <w:jc w:val="both"/>
              <w:rPr>
                <w:sz w:val="20"/>
                <w:szCs w:val="20"/>
                <w:lang w:val="fr-CA"/>
              </w:rPr>
            </w:pPr>
            <w:r w:rsidRPr="00F109C5">
              <w:rPr>
                <w:sz w:val="20"/>
                <w:szCs w:val="20"/>
                <w:lang w:val="fr-CA"/>
              </w:rPr>
              <w:t>N</w:t>
            </w:r>
            <w:r w:rsidRPr="00F109C5">
              <w:rPr>
                <w:sz w:val="20"/>
                <w:szCs w:val="20"/>
                <w:vertAlign w:val="superscript"/>
                <w:lang w:val="fr-CA"/>
              </w:rPr>
              <w:t>o</w:t>
            </w:r>
            <w:r w:rsidRPr="00F109C5">
              <w:rPr>
                <w:sz w:val="20"/>
                <w:szCs w:val="20"/>
                <w:lang w:val="fr-CA"/>
              </w:rPr>
              <w:t xml:space="preserve"> 500-17-076332-132</w:t>
            </w:r>
          </w:p>
          <w:p w:rsidR="00EE6E8A" w:rsidRPr="00F109C5" w:rsidRDefault="00ED1F08" w:rsidP="00EE6E8A">
            <w:pPr>
              <w:jc w:val="both"/>
              <w:rPr>
                <w:sz w:val="20"/>
                <w:szCs w:val="20"/>
                <w:lang w:val="fr-CA"/>
              </w:rPr>
            </w:pPr>
            <w:hyperlink r:id="rId39" w:history="1">
              <w:r w:rsidR="00EE6E8A" w:rsidRPr="00F109C5">
                <w:rPr>
                  <w:rStyle w:val="Hyperlink"/>
                  <w:sz w:val="20"/>
                  <w:szCs w:val="20"/>
                  <w:lang w:val="fr-CA"/>
                </w:rPr>
                <w:t>2016 QCCS 3471</w:t>
              </w:r>
            </w:hyperlink>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Jugement accueillant la requête en reconnaissance et en exécution contre le demandeur du jugement de l’Utah.</w:t>
            </w:r>
          </w:p>
          <w:p w:rsidR="00EE6E8A" w:rsidRPr="00F109C5" w:rsidRDefault="00EE6E8A" w:rsidP="00EE6E8A">
            <w:pPr>
              <w:jc w:val="both"/>
              <w:rPr>
                <w:sz w:val="20"/>
                <w:szCs w:val="20"/>
                <w:lang w:val="fr-CA"/>
              </w:rPr>
            </w:pP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29 août 2016</w:t>
            </w:r>
          </w:p>
          <w:p w:rsidR="00EE6E8A" w:rsidRPr="00F109C5" w:rsidRDefault="00EE6E8A" w:rsidP="00EE6E8A">
            <w:pPr>
              <w:jc w:val="both"/>
              <w:rPr>
                <w:sz w:val="20"/>
                <w:szCs w:val="20"/>
                <w:lang w:val="fr-CA"/>
              </w:rPr>
            </w:pPr>
            <w:r w:rsidRPr="00F109C5">
              <w:rPr>
                <w:sz w:val="20"/>
                <w:szCs w:val="20"/>
                <w:lang w:val="fr-CA"/>
              </w:rPr>
              <w:t>Cour d’appel du Québec (Montréal)</w:t>
            </w:r>
          </w:p>
          <w:p w:rsidR="00EE6E8A" w:rsidRPr="00F109C5" w:rsidRDefault="00EE6E8A" w:rsidP="00EE6E8A">
            <w:pPr>
              <w:jc w:val="both"/>
              <w:rPr>
                <w:sz w:val="20"/>
                <w:szCs w:val="20"/>
                <w:lang w:val="fr-CA"/>
              </w:rPr>
            </w:pPr>
            <w:r w:rsidRPr="00F109C5">
              <w:rPr>
                <w:sz w:val="20"/>
                <w:szCs w:val="20"/>
                <w:lang w:val="fr-CA"/>
              </w:rPr>
              <w:t xml:space="preserve">(Juges Morissette, Gagnon et </w:t>
            </w:r>
            <w:proofErr w:type="spellStart"/>
            <w:r w:rsidRPr="00F109C5">
              <w:rPr>
                <w:sz w:val="20"/>
                <w:szCs w:val="20"/>
                <w:lang w:val="fr-CA"/>
              </w:rPr>
              <w:t>Hogue</w:t>
            </w:r>
            <w:proofErr w:type="spellEnd"/>
            <w:r w:rsidRPr="00F109C5">
              <w:rPr>
                <w:sz w:val="20"/>
                <w:szCs w:val="20"/>
                <w:lang w:val="fr-CA"/>
              </w:rPr>
              <w:t>)</w:t>
            </w:r>
          </w:p>
          <w:p w:rsidR="00EE6E8A" w:rsidRPr="00F109C5" w:rsidRDefault="00EE6E8A" w:rsidP="00EE6E8A">
            <w:pPr>
              <w:jc w:val="both"/>
              <w:rPr>
                <w:sz w:val="20"/>
                <w:szCs w:val="20"/>
                <w:lang w:val="fr-CA"/>
              </w:rPr>
            </w:pPr>
            <w:r w:rsidRPr="00F109C5">
              <w:rPr>
                <w:sz w:val="20"/>
                <w:szCs w:val="20"/>
                <w:lang w:val="fr-CA"/>
              </w:rPr>
              <w:t>N</w:t>
            </w:r>
            <w:r w:rsidRPr="00F109C5">
              <w:rPr>
                <w:sz w:val="20"/>
                <w:szCs w:val="20"/>
                <w:vertAlign w:val="superscript"/>
                <w:lang w:val="fr-CA"/>
              </w:rPr>
              <w:t>o</w:t>
            </w:r>
            <w:r w:rsidRPr="00F109C5">
              <w:rPr>
                <w:sz w:val="20"/>
                <w:szCs w:val="20"/>
                <w:lang w:val="fr-CA"/>
              </w:rPr>
              <w:t xml:space="preserve"> 500-09-026130-161</w:t>
            </w:r>
          </w:p>
          <w:p w:rsidR="00EE6E8A" w:rsidRPr="00F109C5" w:rsidRDefault="00ED1F08" w:rsidP="00EE6E8A">
            <w:pPr>
              <w:jc w:val="both"/>
              <w:rPr>
                <w:sz w:val="20"/>
                <w:szCs w:val="20"/>
                <w:lang w:val="fr-CA"/>
              </w:rPr>
            </w:pPr>
            <w:hyperlink r:id="rId40" w:history="1">
              <w:r w:rsidR="00EE6E8A" w:rsidRPr="00F109C5">
                <w:rPr>
                  <w:rStyle w:val="Hyperlink"/>
                  <w:sz w:val="20"/>
                  <w:szCs w:val="20"/>
                  <w:lang w:val="fr-CA"/>
                </w:rPr>
                <w:t>2016 QCCA 1400</w:t>
              </w:r>
            </w:hyperlink>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Ordonnance accueillant la requête en cautionnement afin de garantir le paiement des frais de l’appel du demandeur.</w:t>
            </w:r>
          </w:p>
          <w:p w:rsidR="00EE6E8A" w:rsidRPr="00F109C5" w:rsidRDefault="00EE6E8A" w:rsidP="00EE6E8A">
            <w:pPr>
              <w:jc w:val="both"/>
              <w:rPr>
                <w:sz w:val="20"/>
                <w:szCs w:val="20"/>
                <w:lang w:val="fr-CA"/>
              </w:rPr>
            </w:pPr>
          </w:p>
        </w:tc>
      </w:tr>
      <w:tr w:rsidR="00EE6E8A" w:rsidRPr="00F109C5"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5 mai 2017</w:t>
            </w:r>
          </w:p>
          <w:p w:rsidR="00EE6E8A" w:rsidRPr="00F109C5" w:rsidRDefault="00EE6E8A" w:rsidP="00EE6E8A">
            <w:pPr>
              <w:jc w:val="both"/>
              <w:rPr>
                <w:sz w:val="20"/>
                <w:szCs w:val="20"/>
                <w:lang w:val="fr-CA"/>
              </w:rPr>
            </w:pPr>
            <w:r w:rsidRPr="00F109C5">
              <w:rPr>
                <w:sz w:val="20"/>
                <w:szCs w:val="20"/>
                <w:lang w:val="fr-CA"/>
              </w:rPr>
              <w:t>Cour d’appel du Québec (Montréal)</w:t>
            </w:r>
          </w:p>
          <w:p w:rsidR="00EE6E8A" w:rsidRPr="00F109C5" w:rsidRDefault="00EE6E8A" w:rsidP="00EE6E8A">
            <w:pPr>
              <w:jc w:val="both"/>
              <w:rPr>
                <w:sz w:val="20"/>
                <w:szCs w:val="20"/>
                <w:lang w:val="fr-CA"/>
              </w:rPr>
            </w:pPr>
            <w:r w:rsidRPr="00F109C5">
              <w:rPr>
                <w:sz w:val="20"/>
                <w:szCs w:val="20"/>
                <w:lang w:val="fr-CA"/>
              </w:rPr>
              <w:t>(Juges Vézina, Mainville et Jacques (</w:t>
            </w:r>
            <w:r w:rsidRPr="00F109C5">
              <w:rPr>
                <w:i/>
                <w:sz w:val="20"/>
                <w:szCs w:val="20"/>
                <w:lang w:val="fr-CA"/>
              </w:rPr>
              <w:t>ad hoc</w:t>
            </w:r>
            <w:r w:rsidRPr="00F109C5">
              <w:rPr>
                <w:sz w:val="20"/>
                <w:szCs w:val="20"/>
                <w:lang w:val="fr-CA"/>
              </w:rPr>
              <w:t>)</w:t>
            </w:r>
          </w:p>
          <w:p w:rsidR="00EE6E8A" w:rsidRPr="00F109C5" w:rsidRDefault="00EE6E8A" w:rsidP="00EE6E8A">
            <w:pPr>
              <w:jc w:val="both"/>
              <w:rPr>
                <w:sz w:val="20"/>
                <w:szCs w:val="20"/>
                <w:lang w:val="fr-CA"/>
              </w:rPr>
            </w:pPr>
            <w:r w:rsidRPr="00F109C5">
              <w:rPr>
                <w:sz w:val="20"/>
                <w:szCs w:val="20"/>
                <w:lang w:val="fr-CA"/>
              </w:rPr>
              <w:t>N</w:t>
            </w:r>
            <w:r w:rsidRPr="00F109C5">
              <w:rPr>
                <w:sz w:val="20"/>
                <w:szCs w:val="20"/>
                <w:vertAlign w:val="superscript"/>
                <w:lang w:val="fr-CA"/>
              </w:rPr>
              <w:t>o</w:t>
            </w:r>
            <w:r w:rsidRPr="00F109C5">
              <w:rPr>
                <w:sz w:val="20"/>
                <w:szCs w:val="20"/>
                <w:lang w:val="fr-CA"/>
              </w:rPr>
              <w:t xml:space="preserve"> 500-09-026130-161</w:t>
            </w:r>
          </w:p>
          <w:p w:rsidR="00EE6E8A" w:rsidRPr="00F109C5" w:rsidRDefault="00ED1F08" w:rsidP="00EE6E8A">
            <w:pPr>
              <w:jc w:val="both"/>
              <w:rPr>
                <w:rStyle w:val="Hyperlink"/>
                <w:sz w:val="20"/>
                <w:szCs w:val="20"/>
                <w:lang w:val="fr-CA"/>
              </w:rPr>
            </w:pPr>
            <w:hyperlink r:id="rId41" w:history="1">
              <w:r w:rsidR="00EE6E8A" w:rsidRPr="00F109C5">
                <w:rPr>
                  <w:rStyle w:val="Hyperlink"/>
                  <w:sz w:val="20"/>
                  <w:szCs w:val="20"/>
                  <w:lang w:val="fr-CA"/>
                </w:rPr>
                <w:t>2017 QCCA 597</w:t>
              </w:r>
            </w:hyperlink>
          </w:p>
          <w:p w:rsidR="00EE6E8A" w:rsidRPr="00F109C5" w:rsidRDefault="00EE6E8A" w:rsidP="00EE6E8A">
            <w:pPr>
              <w:jc w:val="both"/>
              <w:rPr>
                <w:sz w:val="20"/>
                <w:szCs w:val="20"/>
                <w:lang w:val="fr-CA"/>
              </w:rPr>
            </w:pP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Rejet de l’appel.</w:t>
            </w:r>
          </w:p>
          <w:p w:rsidR="00EE6E8A" w:rsidRPr="00F109C5" w:rsidRDefault="00EE6E8A" w:rsidP="00EE6E8A">
            <w:pPr>
              <w:jc w:val="both"/>
              <w:rPr>
                <w:sz w:val="20"/>
                <w:szCs w:val="20"/>
                <w:lang w:val="fr-CA"/>
              </w:rPr>
            </w:pPr>
          </w:p>
        </w:tc>
      </w:tr>
      <w:tr w:rsidR="00EE6E8A" w:rsidRPr="00ED1F08" w:rsidTr="00EE6E8A">
        <w:tc>
          <w:tcPr>
            <w:tcW w:w="2427" w:type="pct"/>
            <w:gridSpan w:val="2"/>
          </w:tcPr>
          <w:p w:rsidR="00EE6E8A" w:rsidRPr="00F109C5" w:rsidRDefault="00EE6E8A" w:rsidP="00EE6E8A">
            <w:pPr>
              <w:jc w:val="both"/>
              <w:rPr>
                <w:sz w:val="20"/>
                <w:szCs w:val="20"/>
                <w:lang w:val="fr-CA"/>
              </w:rPr>
            </w:pPr>
            <w:r w:rsidRPr="00F109C5">
              <w:rPr>
                <w:sz w:val="20"/>
                <w:szCs w:val="20"/>
                <w:lang w:val="fr-CA"/>
              </w:rPr>
              <w:t>5 juin 2017</w:t>
            </w:r>
          </w:p>
          <w:p w:rsidR="00EE6E8A" w:rsidRPr="00F109C5" w:rsidRDefault="00EE6E8A" w:rsidP="00EE6E8A">
            <w:pPr>
              <w:jc w:val="both"/>
              <w:rPr>
                <w:sz w:val="20"/>
                <w:szCs w:val="20"/>
                <w:lang w:val="fr-CA"/>
              </w:rPr>
            </w:pPr>
            <w:r w:rsidRPr="00F109C5">
              <w:rPr>
                <w:sz w:val="20"/>
                <w:szCs w:val="20"/>
                <w:lang w:val="fr-CA"/>
              </w:rPr>
              <w:t>Cour suprême du Canada</w:t>
            </w:r>
          </w:p>
        </w:tc>
        <w:tc>
          <w:tcPr>
            <w:tcW w:w="243" w:type="pct"/>
          </w:tcPr>
          <w:p w:rsidR="00EE6E8A" w:rsidRPr="00F109C5" w:rsidRDefault="00EE6E8A" w:rsidP="00EE6E8A">
            <w:pPr>
              <w:jc w:val="both"/>
              <w:rPr>
                <w:sz w:val="20"/>
                <w:szCs w:val="20"/>
                <w:lang w:val="fr-CA"/>
              </w:rPr>
            </w:pPr>
          </w:p>
        </w:tc>
        <w:tc>
          <w:tcPr>
            <w:tcW w:w="2330" w:type="pct"/>
          </w:tcPr>
          <w:p w:rsidR="00EE6E8A" w:rsidRPr="00F109C5" w:rsidRDefault="00EE6E8A" w:rsidP="00EE6E8A">
            <w:pPr>
              <w:jc w:val="both"/>
              <w:rPr>
                <w:sz w:val="20"/>
                <w:szCs w:val="20"/>
                <w:lang w:val="fr-CA"/>
              </w:rPr>
            </w:pPr>
            <w:r w:rsidRPr="00F109C5">
              <w:rPr>
                <w:sz w:val="20"/>
                <w:szCs w:val="20"/>
                <w:lang w:val="fr-CA"/>
              </w:rPr>
              <w:t>Dépôt de la demande d’autorisation d’appel.</w:t>
            </w:r>
          </w:p>
        </w:tc>
      </w:tr>
    </w:tbl>
    <w:p w:rsidR="00EE6E8A" w:rsidRPr="00EE6E8A" w:rsidRDefault="00EE6E8A" w:rsidP="00EE6E8A">
      <w:pPr>
        <w:tabs>
          <w:tab w:val="left" w:pos="900"/>
          <w:tab w:val="center" w:pos="5760"/>
        </w:tabs>
        <w:rPr>
          <w:sz w:val="20"/>
          <w:szCs w:val="20"/>
          <w:lang w:val="fr-CA"/>
        </w:rPr>
      </w:pPr>
    </w:p>
    <w:p w:rsidR="00E8544A" w:rsidRPr="009D287C" w:rsidRDefault="00ED1F08" w:rsidP="00E8544A">
      <w:pPr>
        <w:jc w:val="both"/>
        <w:rPr>
          <w:sz w:val="20"/>
          <w:lang w:val="fr-CA"/>
        </w:rPr>
      </w:pPr>
      <w:r>
        <w:rPr>
          <w:sz w:val="20"/>
          <w:szCs w:val="20"/>
        </w:rPr>
        <w:pict>
          <v:rect id="_x0000_i1045"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562879"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t>27.10.2017</w:t>
      </w:r>
    </w:p>
    <w:p w:rsidR="00562879" w:rsidRDefault="00562879" w:rsidP="00CA2DEA">
      <w:pPr>
        <w:widowControl w:val="0"/>
        <w:rPr>
          <w:rFonts w:eastAsia="Times New Roman" w:cs="Times New Roman"/>
          <w:sz w:val="20"/>
          <w:szCs w:val="20"/>
          <w:lang w:val="fr-CA" w:eastAsia="en-CA"/>
        </w:rPr>
      </w:pPr>
    </w:p>
    <w:p w:rsidR="00562879" w:rsidRDefault="00562879"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t>Before / Devant : THE REGISTRAR / LE REGISTRAIRE</w:t>
      </w:r>
    </w:p>
    <w:p w:rsidR="003E0AE6" w:rsidRDefault="003E0AE6"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62879" w:rsidRPr="00ED1F08" w:rsidTr="009E0AA9">
        <w:tc>
          <w:tcPr>
            <w:tcW w:w="4380" w:type="dxa"/>
            <w:tcBorders>
              <w:top w:val="nil"/>
              <w:left w:val="nil"/>
              <w:bottom w:val="nil"/>
              <w:right w:val="nil"/>
            </w:tcBorders>
          </w:tcPr>
          <w:p w:rsidR="00562879" w:rsidRDefault="00562879" w:rsidP="009E0AA9">
            <w:pPr>
              <w:jc w:val="both"/>
              <w:rPr>
                <w:rFonts w:cs="Times New Roman"/>
                <w:b/>
                <w:bCs/>
                <w:color w:val="000000"/>
                <w:sz w:val="20"/>
                <w:szCs w:val="20"/>
                <w:lang w:val="en-GB"/>
              </w:rPr>
            </w:pPr>
            <w:r w:rsidRPr="00D12F79">
              <w:rPr>
                <w:rFonts w:cs="Times New Roman"/>
                <w:b/>
                <w:bCs/>
                <w:color w:val="000000"/>
                <w:sz w:val="20"/>
                <w:szCs w:val="20"/>
                <w:lang w:val="en-GB"/>
              </w:rPr>
              <w:t>Motion to extend time</w:t>
            </w:r>
          </w:p>
          <w:p w:rsidR="00562879" w:rsidRPr="00D12F79" w:rsidRDefault="00562879" w:rsidP="009E0AA9">
            <w:pPr>
              <w:jc w:val="both"/>
              <w:rPr>
                <w:rFonts w:cs="Times New Roman"/>
                <w:color w:val="000000"/>
                <w:sz w:val="20"/>
                <w:szCs w:val="20"/>
                <w:lang w:val="en-GB"/>
              </w:rPr>
            </w:pPr>
          </w:p>
        </w:tc>
        <w:tc>
          <w:tcPr>
            <w:tcW w:w="720" w:type="dxa"/>
            <w:tcBorders>
              <w:top w:val="nil"/>
              <w:left w:val="nil"/>
              <w:bottom w:val="nil"/>
              <w:right w:val="nil"/>
            </w:tcBorders>
          </w:tcPr>
          <w:p w:rsidR="00562879" w:rsidRPr="00D12F79" w:rsidRDefault="00562879" w:rsidP="009E0AA9">
            <w:pPr>
              <w:rPr>
                <w:rFonts w:cs="Times New Roman"/>
                <w:color w:val="000000"/>
                <w:sz w:val="20"/>
                <w:szCs w:val="20"/>
                <w:lang w:val="en-GB"/>
              </w:rPr>
            </w:pPr>
          </w:p>
        </w:tc>
        <w:tc>
          <w:tcPr>
            <w:tcW w:w="4380" w:type="dxa"/>
            <w:tcBorders>
              <w:top w:val="nil"/>
              <w:left w:val="nil"/>
              <w:bottom w:val="nil"/>
              <w:right w:val="nil"/>
            </w:tcBorders>
          </w:tcPr>
          <w:p w:rsidR="00562879" w:rsidRPr="00D12F79" w:rsidRDefault="00562879" w:rsidP="009E0AA9">
            <w:pPr>
              <w:jc w:val="both"/>
              <w:rPr>
                <w:rFonts w:cs="Times New Roman"/>
                <w:color w:val="000000"/>
                <w:sz w:val="20"/>
                <w:szCs w:val="20"/>
                <w:lang w:val="fr-CA"/>
              </w:rPr>
            </w:pPr>
            <w:r w:rsidRPr="00D12F79">
              <w:rPr>
                <w:rFonts w:cs="Times New Roman"/>
                <w:b/>
                <w:bCs/>
                <w:color w:val="000000"/>
                <w:sz w:val="20"/>
                <w:szCs w:val="20"/>
                <w:lang w:val="fr-CA"/>
              </w:rPr>
              <w:t>Requête en prorogation de délai</w:t>
            </w:r>
          </w:p>
        </w:tc>
      </w:tr>
      <w:tr w:rsidR="00562879" w:rsidRPr="00D12F79" w:rsidTr="009E0AA9">
        <w:tc>
          <w:tcPr>
            <w:tcW w:w="4380" w:type="dxa"/>
            <w:tcBorders>
              <w:top w:val="nil"/>
              <w:left w:val="nil"/>
              <w:bottom w:val="nil"/>
              <w:right w:val="nil"/>
            </w:tcBorders>
          </w:tcPr>
          <w:p w:rsidR="00562879" w:rsidRPr="009E0AA9" w:rsidRDefault="00562879" w:rsidP="009E0AA9">
            <w:pPr>
              <w:jc w:val="both"/>
              <w:rPr>
                <w:rFonts w:cs="Times New Roman"/>
                <w:color w:val="000000"/>
                <w:sz w:val="20"/>
                <w:szCs w:val="20"/>
                <w:lang w:val="en-US"/>
              </w:rPr>
            </w:pPr>
            <w:r w:rsidRPr="009E0AA9">
              <w:rPr>
                <w:rFonts w:cs="Times New Roman"/>
                <w:color w:val="000000"/>
                <w:sz w:val="20"/>
                <w:szCs w:val="20"/>
                <w:lang w:val="en-US"/>
              </w:rPr>
              <w:t xml:space="preserve">Her Majesty the Queen </w:t>
            </w:r>
          </w:p>
          <w:p w:rsidR="00562879" w:rsidRPr="009E0AA9" w:rsidRDefault="00562879" w:rsidP="009E0AA9">
            <w:pPr>
              <w:jc w:val="both"/>
              <w:rPr>
                <w:rFonts w:cs="Times New Roman"/>
                <w:color w:val="000000"/>
                <w:sz w:val="20"/>
                <w:szCs w:val="20"/>
                <w:lang w:val="en-US"/>
              </w:rPr>
            </w:pPr>
          </w:p>
          <w:p w:rsidR="00562879" w:rsidRPr="009E0AA9" w:rsidRDefault="00562879" w:rsidP="009E0AA9">
            <w:pPr>
              <w:jc w:val="both"/>
              <w:rPr>
                <w:rFonts w:cs="Times New Roman"/>
                <w:color w:val="000000"/>
                <w:sz w:val="20"/>
                <w:szCs w:val="20"/>
                <w:lang w:val="en-US"/>
              </w:rPr>
            </w:pPr>
            <w:r w:rsidRPr="009E0AA9">
              <w:rPr>
                <w:rFonts w:cs="Times New Roman"/>
                <w:color w:val="000000"/>
                <w:sz w:val="20"/>
                <w:szCs w:val="20"/>
                <w:lang w:val="en-US"/>
              </w:rPr>
              <w:tab/>
              <w:t>v. (37766)</w:t>
            </w:r>
          </w:p>
          <w:p w:rsidR="00562879" w:rsidRPr="009E0AA9" w:rsidRDefault="00562879" w:rsidP="009E0AA9">
            <w:pPr>
              <w:jc w:val="both"/>
              <w:rPr>
                <w:rFonts w:cs="Times New Roman"/>
                <w:color w:val="000000"/>
                <w:sz w:val="20"/>
                <w:szCs w:val="20"/>
                <w:lang w:val="en-US"/>
              </w:rPr>
            </w:pPr>
          </w:p>
          <w:p w:rsidR="00562879" w:rsidRPr="00D12F79" w:rsidRDefault="00562879" w:rsidP="009E0AA9">
            <w:pPr>
              <w:jc w:val="both"/>
              <w:rPr>
                <w:rFonts w:cs="Times New Roman"/>
                <w:color w:val="000000"/>
                <w:sz w:val="20"/>
                <w:szCs w:val="20"/>
                <w:lang w:val="fr-CA"/>
              </w:rPr>
            </w:pPr>
            <w:r>
              <w:rPr>
                <w:rFonts w:cs="Times New Roman"/>
                <w:color w:val="000000"/>
                <w:sz w:val="20"/>
                <w:szCs w:val="20"/>
                <w:lang w:val="fr-CA"/>
              </w:rPr>
              <w:t xml:space="preserve">Christopher </w:t>
            </w:r>
            <w:proofErr w:type="spellStart"/>
            <w:r>
              <w:rPr>
                <w:rFonts w:cs="Times New Roman"/>
                <w:color w:val="000000"/>
                <w:sz w:val="20"/>
                <w:szCs w:val="20"/>
                <w:lang w:val="fr-CA"/>
              </w:rPr>
              <w:t>Husbands</w:t>
            </w:r>
            <w:proofErr w:type="spellEnd"/>
            <w:r>
              <w:rPr>
                <w:rFonts w:cs="Times New Roman"/>
                <w:color w:val="000000"/>
                <w:sz w:val="20"/>
                <w:szCs w:val="20"/>
                <w:lang w:val="fr-CA"/>
              </w:rPr>
              <w:t xml:space="preserve"> (Ont.)</w:t>
            </w:r>
          </w:p>
        </w:tc>
        <w:tc>
          <w:tcPr>
            <w:tcW w:w="720" w:type="dxa"/>
            <w:tcBorders>
              <w:top w:val="nil"/>
              <w:left w:val="nil"/>
              <w:bottom w:val="nil"/>
              <w:right w:val="nil"/>
            </w:tcBorders>
          </w:tcPr>
          <w:p w:rsidR="00562879" w:rsidRPr="00D12F79" w:rsidRDefault="00562879" w:rsidP="009E0AA9">
            <w:pPr>
              <w:jc w:val="both"/>
              <w:rPr>
                <w:rFonts w:cs="Times New Roman"/>
                <w:color w:val="000000"/>
                <w:sz w:val="20"/>
                <w:szCs w:val="20"/>
                <w:lang w:val="fr-CA"/>
              </w:rPr>
            </w:pPr>
          </w:p>
        </w:tc>
        <w:tc>
          <w:tcPr>
            <w:tcW w:w="4380" w:type="dxa"/>
            <w:tcBorders>
              <w:top w:val="nil"/>
              <w:left w:val="nil"/>
              <w:bottom w:val="nil"/>
              <w:right w:val="nil"/>
            </w:tcBorders>
          </w:tcPr>
          <w:p w:rsidR="00562879" w:rsidRPr="00D12F79" w:rsidRDefault="00562879" w:rsidP="009E0AA9">
            <w:pPr>
              <w:jc w:val="both"/>
              <w:rPr>
                <w:rFonts w:cs="Times New Roman"/>
                <w:color w:val="000000"/>
                <w:sz w:val="20"/>
                <w:szCs w:val="20"/>
                <w:lang w:val="fr-CA"/>
              </w:rPr>
            </w:pPr>
          </w:p>
        </w:tc>
      </w:tr>
    </w:tbl>
    <w:p w:rsidR="003E0AE6" w:rsidRDefault="003E0AE6" w:rsidP="00CA2DEA">
      <w:pPr>
        <w:widowControl w:val="0"/>
        <w:rPr>
          <w:rFonts w:eastAsia="Times New Roman" w:cs="Times New Roman"/>
          <w:sz w:val="20"/>
          <w:szCs w:val="20"/>
          <w:lang w:val="fr-CA" w:eastAsia="en-CA"/>
        </w:rPr>
      </w:pPr>
    </w:p>
    <w:p w:rsidR="003E0AE6" w:rsidRDefault="00562879" w:rsidP="00CA2DEA">
      <w:pPr>
        <w:widowControl w:val="0"/>
        <w:rPr>
          <w:rFonts w:eastAsia="Times New Roman" w:cs="Times New Roman"/>
          <w:b/>
          <w:sz w:val="20"/>
          <w:szCs w:val="20"/>
          <w:lang w:val="fr-CA" w:eastAsia="en-CA"/>
        </w:rPr>
      </w:pPr>
      <w:r>
        <w:rPr>
          <w:rFonts w:eastAsia="Times New Roman" w:cs="Times New Roman"/>
          <w:b/>
          <w:sz w:val="20"/>
          <w:szCs w:val="20"/>
          <w:lang w:val="fr-CA" w:eastAsia="en-CA"/>
        </w:rPr>
        <w:t>GRANTED / ACCORDÉE</w:t>
      </w:r>
    </w:p>
    <w:p w:rsidR="00562879" w:rsidRDefault="00562879" w:rsidP="00D1641D">
      <w:pPr>
        <w:widowControl w:val="0"/>
        <w:jc w:val="both"/>
        <w:rPr>
          <w:rFonts w:eastAsia="Times New Roman" w:cs="Times New Roman"/>
          <w:b/>
          <w:sz w:val="20"/>
          <w:szCs w:val="20"/>
          <w:lang w:val="fr-CA" w:eastAsia="en-CA"/>
        </w:rPr>
      </w:pPr>
    </w:p>
    <w:p w:rsidR="00562879" w:rsidRPr="00E60449" w:rsidRDefault="00562879" w:rsidP="00D1641D">
      <w:pPr>
        <w:spacing w:line="233" w:lineRule="auto"/>
        <w:jc w:val="both"/>
        <w:rPr>
          <w:rFonts w:cs="Times New Roman"/>
          <w:bCs/>
          <w:sz w:val="20"/>
          <w:szCs w:val="20"/>
        </w:rPr>
      </w:pPr>
      <w:r w:rsidRPr="00E60449">
        <w:rPr>
          <w:rFonts w:cs="Times New Roman"/>
          <w:b/>
          <w:bCs/>
          <w:sz w:val="20"/>
          <w:szCs w:val="20"/>
        </w:rPr>
        <w:t xml:space="preserve">UPON APPLICATION </w:t>
      </w:r>
      <w:r w:rsidRPr="00E60449">
        <w:rPr>
          <w:rFonts w:cs="Times New Roman"/>
          <w:sz w:val="20"/>
          <w:szCs w:val="20"/>
        </w:rPr>
        <w:t>by the respondent for an order granting an extension of time to serve and file its response to the application for leave to appeal to November 17, 2017;</w:t>
      </w:r>
    </w:p>
    <w:p w:rsidR="00562879" w:rsidRPr="00E60449" w:rsidRDefault="00562879" w:rsidP="00D1641D">
      <w:pPr>
        <w:spacing w:line="232" w:lineRule="auto"/>
        <w:jc w:val="both"/>
        <w:rPr>
          <w:rFonts w:cs="Times New Roman"/>
          <w:b/>
          <w:bCs/>
          <w:sz w:val="20"/>
          <w:szCs w:val="20"/>
        </w:rPr>
      </w:pPr>
    </w:p>
    <w:p w:rsidR="00562879" w:rsidRPr="00E60449" w:rsidRDefault="00562879" w:rsidP="00D1641D">
      <w:pPr>
        <w:spacing w:line="232" w:lineRule="auto"/>
        <w:jc w:val="both"/>
        <w:rPr>
          <w:rFonts w:cs="Times New Roman"/>
          <w:sz w:val="20"/>
          <w:szCs w:val="20"/>
        </w:rPr>
      </w:pPr>
      <w:r w:rsidRPr="00E60449">
        <w:rPr>
          <w:rFonts w:cs="Times New Roman"/>
          <w:b/>
          <w:bCs/>
          <w:sz w:val="20"/>
          <w:szCs w:val="20"/>
        </w:rPr>
        <w:t>AND THE MATERIAL FILED</w:t>
      </w:r>
      <w:r w:rsidRPr="00E60449">
        <w:rPr>
          <w:rFonts w:cs="Times New Roman"/>
          <w:sz w:val="20"/>
          <w:szCs w:val="20"/>
        </w:rPr>
        <w:t xml:space="preserve"> having been read;</w:t>
      </w:r>
    </w:p>
    <w:p w:rsidR="00562879" w:rsidRPr="00E60449" w:rsidRDefault="00562879" w:rsidP="00D1641D">
      <w:pPr>
        <w:spacing w:line="232" w:lineRule="auto"/>
        <w:jc w:val="both"/>
        <w:rPr>
          <w:rFonts w:cs="Times New Roman"/>
          <w:sz w:val="20"/>
          <w:szCs w:val="20"/>
        </w:rPr>
      </w:pPr>
    </w:p>
    <w:p w:rsidR="00562879" w:rsidRPr="00E60449" w:rsidRDefault="00562879" w:rsidP="00D1641D">
      <w:pPr>
        <w:spacing w:line="232" w:lineRule="auto"/>
        <w:jc w:val="both"/>
        <w:rPr>
          <w:rFonts w:cs="Times New Roman"/>
          <w:sz w:val="20"/>
          <w:szCs w:val="20"/>
        </w:rPr>
      </w:pPr>
      <w:r w:rsidRPr="00E60449">
        <w:rPr>
          <w:rFonts w:cs="Times New Roman"/>
          <w:b/>
          <w:sz w:val="20"/>
          <w:szCs w:val="20"/>
        </w:rPr>
        <w:t>AND NOTING</w:t>
      </w:r>
      <w:r w:rsidRPr="00E60449">
        <w:rPr>
          <w:rFonts w:cs="Times New Roman"/>
          <w:sz w:val="20"/>
          <w:szCs w:val="20"/>
        </w:rPr>
        <w:t xml:space="preserve"> the consent of the applicant;</w:t>
      </w:r>
    </w:p>
    <w:p w:rsidR="00562879" w:rsidRPr="00E60449" w:rsidRDefault="00562879" w:rsidP="00D1641D">
      <w:pPr>
        <w:spacing w:line="232" w:lineRule="auto"/>
        <w:jc w:val="both"/>
        <w:rPr>
          <w:rFonts w:cs="Times New Roman"/>
          <w:sz w:val="20"/>
          <w:szCs w:val="20"/>
        </w:rPr>
      </w:pPr>
    </w:p>
    <w:p w:rsidR="00562879" w:rsidRPr="00E60449" w:rsidRDefault="00562879" w:rsidP="00D1641D">
      <w:pPr>
        <w:spacing w:line="232" w:lineRule="auto"/>
        <w:jc w:val="both"/>
        <w:rPr>
          <w:rFonts w:cs="Times New Roman"/>
          <w:b/>
          <w:bCs/>
          <w:sz w:val="20"/>
          <w:szCs w:val="20"/>
        </w:rPr>
      </w:pPr>
      <w:r w:rsidRPr="00E60449">
        <w:rPr>
          <w:rFonts w:cs="Times New Roman"/>
          <w:b/>
          <w:bCs/>
          <w:sz w:val="20"/>
          <w:szCs w:val="20"/>
        </w:rPr>
        <w:t>IT IS HEREBY ORDERED THAT:</w:t>
      </w:r>
    </w:p>
    <w:p w:rsidR="00562879" w:rsidRPr="00E60449" w:rsidRDefault="00562879" w:rsidP="00D1641D">
      <w:pPr>
        <w:spacing w:line="232" w:lineRule="auto"/>
        <w:jc w:val="both"/>
        <w:rPr>
          <w:rFonts w:cs="Times New Roman"/>
          <w:b/>
          <w:bCs/>
          <w:sz w:val="20"/>
          <w:szCs w:val="20"/>
        </w:rPr>
      </w:pPr>
    </w:p>
    <w:p w:rsidR="00562879" w:rsidRPr="00E60449" w:rsidRDefault="00562879" w:rsidP="00D1641D">
      <w:pPr>
        <w:pStyle w:val="BodyText"/>
        <w:spacing w:after="0"/>
        <w:jc w:val="both"/>
        <w:rPr>
          <w:sz w:val="20"/>
          <w:szCs w:val="20"/>
          <w:lang w:val="fr-CA"/>
        </w:rPr>
      </w:pPr>
      <w:r w:rsidRPr="00E60449">
        <w:rPr>
          <w:sz w:val="20"/>
          <w:szCs w:val="20"/>
          <w:lang w:val="fr-CA"/>
        </w:rPr>
        <w:t>The motion is granted.</w:t>
      </w:r>
    </w:p>
    <w:p w:rsidR="00562879" w:rsidRPr="00E60449" w:rsidRDefault="00562879" w:rsidP="00D1641D">
      <w:pPr>
        <w:pStyle w:val="BodyText"/>
        <w:spacing w:after="0"/>
        <w:jc w:val="both"/>
        <w:rPr>
          <w:sz w:val="20"/>
          <w:szCs w:val="20"/>
          <w:lang w:val="fr-CA"/>
        </w:rPr>
      </w:pPr>
    </w:p>
    <w:p w:rsidR="00562879" w:rsidRPr="00E60449" w:rsidRDefault="00562879" w:rsidP="00D1641D">
      <w:pPr>
        <w:spacing w:line="232" w:lineRule="auto"/>
        <w:jc w:val="both"/>
        <w:rPr>
          <w:rFonts w:cs="Times New Roman"/>
          <w:b/>
          <w:sz w:val="20"/>
          <w:szCs w:val="20"/>
          <w:lang w:val="fr-CA"/>
        </w:rPr>
      </w:pPr>
    </w:p>
    <w:p w:rsidR="00562879" w:rsidRPr="00E60449" w:rsidRDefault="00562879" w:rsidP="00D1641D">
      <w:pPr>
        <w:spacing w:line="232" w:lineRule="auto"/>
        <w:jc w:val="both"/>
        <w:rPr>
          <w:rFonts w:cs="Times New Roman"/>
          <w:sz w:val="20"/>
          <w:szCs w:val="20"/>
          <w:lang w:val="fr-CA"/>
        </w:rPr>
      </w:pPr>
      <w:r w:rsidRPr="00E60449">
        <w:rPr>
          <w:rFonts w:cs="Times New Roman"/>
          <w:b/>
          <w:sz w:val="20"/>
          <w:szCs w:val="20"/>
          <w:lang w:val="fr-CA"/>
        </w:rPr>
        <w:t>À LA SUITE DE LA DEMANDE</w:t>
      </w:r>
      <w:r w:rsidRPr="00E60449">
        <w:rPr>
          <w:rFonts w:cs="Times New Roman"/>
          <w:sz w:val="20"/>
          <w:szCs w:val="20"/>
          <w:lang w:val="fr-CA"/>
        </w:rPr>
        <w:t xml:space="preserve"> de l’intimé en prorogation du délai pour signifier et déposer sa réponse à la demande d’autorisation d’appel au 17 novembre 2017;</w:t>
      </w:r>
    </w:p>
    <w:p w:rsidR="00562879" w:rsidRPr="00E60449" w:rsidRDefault="00562879" w:rsidP="00D1641D">
      <w:pPr>
        <w:spacing w:line="232" w:lineRule="auto"/>
        <w:jc w:val="both"/>
        <w:rPr>
          <w:rFonts w:cs="Times New Roman"/>
          <w:sz w:val="20"/>
          <w:szCs w:val="20"/>
          <w:lang w:val="fr-CA"/>
        </w:rPr>
      </w:pPr>
    </w:p>
    <w:p w:rsidR="00562879" w:rsidRPr="00E60449" w:rsidRDefault="00562879" w:rsidP="00D1641D">
      <w:pPr>
        <w:spacing w:line="232" w:lineRule="auto"/>
        <w:jc w:val="both"/>
        <w:rPr>
          <w:rFonts w:cs="Times New Roman"/>
          <w:sz w:val="20"/>
          <w:szCs w:val="20"/>
          <w:lang w:val="fr-CA"/>
        </w:rPr>
      </w:pPr>
      <w:r w:rsidRPr="00E60449">
        <w:rPr>
          <w:rFonts w:cs="Times New Roman"/>
          <w:b/>
          <w:sz w:val="20"/>
          <w:szCs w:val="20"/>
          <w:lang w:val="fr-CA"/>
        </w:rPr>
        <w:t>ET APRÈS EXAMEN</w:t>
      </w:r>
      <w:r w:rsidRPr="00E60449">
        <w:rPr>
          <w:rFonts w:cs="Times New Roman"/>
          <w:sz w:val="20"/>
          <w:szCs w:val="20"/>
          <w:lang w:val="fr-CA"/>
        </w:rPr>
        <w:t xml:space="preserve"> des documents déposés;</w:t>
      </w:r>
    </w:p>
    <w:p w:rsidR="00562879" w:rsidRPr="00E60449" w:rsidRDefault="00562879" w:rsidP="00D1641D">
      <w:pPr>
        <w:spacing w:line="232" w:lineRule="auto"/>
        <w:jc w:val="both"/>
        <w:rPr>
          <w:rFonts w:cs="Times New Roman"/>
          <w:sz w:val="20"/>
          <w:szCs w:val="20"/>
          <w:lang w:val="fr-CA"/>
        </w:rPr>
      </w:pPr>
    </w:p>
    <w:p w:rsidR="00562879" w:rsidRPr="00E60449" w:rsidRDefault="00562879" w:rsidP="00D1641D">
      <w:pPr>
        <w:spacing w:line="232" w:lineRule="auto"/>
        <w:jc w:val="both"/>
        <w:rPr>
          <w:rFonts w:cs="Times New Roman"/>
          <w:sz w:val="20"/>
          <w:szCs w:val="20"/>
          <w:lang w:val="fr-CA"/>
        </w:rPr>
      </w:pPr>
      <w:r w:rsidRPr="00E60449">
        <w:rPr>
          <w:rFonts w:cs="Times New Roman"/>
          <w:b/>
          <w:sz w:val="20"/>
          <w:szCs w:val="20"/>
          <w:lang w:val="fr-CA"/>
        </w:rPr>
        <w:t>ET COMPTE TENU</w:t>
      </w:r>
      <w:r w:rsidRPr="00E60449">
        <w:rPr>
          <w:rFonts w:cs="Times New Roman"/>
          <w:sz w:val="20"/>
          <w:szCs w:val="20"/>
          <w:lang w:val="fr-CA"/>
        </w:rPr>
        <w:t xml:space="preserve"> du consentement de la demanderesse;</w:t>
      </w:r>
    </w:p>
    <w:p w:rsidR="00562879" w:rsidRPr="00E60449" w:rsidRDefault="00562879" w:rsidP="00D1641D">
      <w:pPr>
        <w:spacing w:line="232" w:lineRule="auto"/>
        <w:jc w:val="both"/>
        <w:rPr>
          <w:rFonts w:cs="Times New Roman"/>
          <w:sz w:val="20"/>
          <w:szCs w:val="20"/>
          <w:lang w:val="fr-CA"/>
        </w:rPr>
      </w:pPr>
    </w:p>
    <w:p w:rsidR="00562879" w:rsidRPr="00E60449" w:rsidRDefault="00562879" w:rsidP="00D1641D">
      <w:pPr>
        <w:spacing w:line="232" w:lineRule="auto"/>
        <w:jc w:val="both"/>
        <w:rPr>
          <w:rFonts w:cs="Times New Roman"/>
          <w:b/>
          <w:sz w:val="20"/>
          <w:szCs w:val="20"/>
          <w:lang w:val="fr-CA"/>
        </w:rPr>
      </w:pPr>
      <w:r w:rsidRPr="00E60449">
        <w:rPr>
          <w:rFonts w:cs="Times New Roman"/>
          <w:b/>
          <w:sz w:val="20"/>
          <w:szCs w:val="20"/>
          <w:lang w:val="fr-CA"/>
        </w:rPr>
        <w:t>IL EST ORDONNÉ QUE :</w:t>
      </w:r>
    </w:p>
    <w:p w:rsidR="00562879" w:rsidRPr="00E60449" w:rsidRDefault="00562879" w:rsidP="00D1641D">
      <w:pPr>
        <w:spacing w:line="232" w:lineRule="auto"/>
        <w:jc w:val="both"/>
        <w:rPr>
          <w:rFonts w:cs="Times New Roman"/>
          <w:sz w:val="20"/>
          <w:szCs w:val="20"/>
          <w:lang w:val="fr-CA"/>
        </w:rPr>
      </w:pPr>
    </w:p>
    <w:p w:rsidR="00562879" w:rsidRPr="00E60449" w:rsidRDefault="00562879" w:rsidP="00562879">
      <w:pPr>
        <w:spacing w:line="232" w:lineRule="auto"/>
        <w:rPr>
          <w:rFonts w:cs="Times New Roman"/>
          <w:sz w:val="20"/>
          <w:szCs w:val="20"/>
          <w:lang w:val="fr-CA"/>
        </w:rPr>
      </w:pPr>
      <w:r w:rsidRPr="00E60449">
        <w:rPr>
          <w:rFonts w:cs="Times New Roman"/>
          <w:sz w:val="20"/>
          <w:szCs w:val="20"/>
          <w:lang w:val="fr-CA"/>
        </w:rPr>
        <w:t>La requête est accueillie.</w:t>
      </w:r>
    </w:p>
    <w:p w:rsidR="00562879" w:rsidRPr="00562879" w:rsidRDefault="00562879" w:rsidP="00CA2DEA">
      <w:pPr>
        <w:widowControl w:val="0"/>
        <w:rPr>
          <w:rFonts w:eastAsia="Times New Roman" w:cs="Times New Roman"/>
          <w:sz w:val="20"/>
          <w:szCs w:val="20"/>
          <w:lang w:val="fr-CA" w:eastAsia="en-CA"/>
        </w:rPr>
      </w:pPr>
    </w:p>
    <w:p w:rsidR="00CA2DEA" w:rsidRPr="006E5D7C" w:rsidRDefault="00ED1F08"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DA3564" w:rsidRDefault="00DA3564">
      <w:pPr>
        <w:rPr>
          <w:rFonts w:eastAsia="Times New Roman" w:cs="Times New Roman"/>
          <w:sz w:val="20"/>
          <w:szCs w:val="20"/>
          <w:lang w:val="en-US" w:eastAsia="en-CA"/>
        </w:rPr>
      </w:pPr>
      <w:r>
        <w:rPr>
          <w:rFonts w:eastAsia="Times New Roman" w:cs="Times New Roman"/>
          <w:sz w:val="20"/>
          <w:szCs w:val="20"/>
          <w:lang w:val="en-US" w:eastAsia="en-CA"/>
        </w:rPr>
        <w:br w:type="page"/>
      </w:r>
    </w:p>
    <w:p w:rsidR="00562879" w:rsidRPr="009E0AA9" w:rsidRDefault="00562879" w:rsidP="00CA2DEA">
      <w:pPr>
        <w:widowControl w:val="0"/>
        <w:rPr>
          <w:rFonts w:eastAsia="Times New Roman" w:cs="Times New Roman"/>
          <w:sz w:val="20"/>
          <w:szCs w:val="20"/>
          <w:lang w:val="fr-CA" w:eastAsia="en-CA"/>
        </w:rPr>
      </w:pPr>
      <w:r w:rsidRPr="009E0AA9">
        <w:rPr>
          <w:rFonts w:eastAsia="Times New Roman" w:cs="Times New Roman"/>
          <w:sz w:val="20"/>
          <w:szCs w:val="20"/>
          <w:lang w:val="fr-CA" w:eastAsia="en-CA"/>
        </w:rPr>
        <w:lastRenderedPageBreak/>
        <w:t>02.11.2017</w:t>
      </w:r>
    </w:p>
    <w:p w:rsidR="00562879" w:rsidRPr="009E0AA9" w:rsidRDefault="00562879" w:rsidP="00CA2DEA">
      <w:pPr>
        <w:widowControl w:val="0"/>
        <w:rPr>
          <w:rFonts w:eastAsia="Times New Roman" w:cs="Times New Roman"/>
          <w:sz w:val="20"/>
          <w:szCs w:val="20"/>
          <w:lang w:val="fr-CA" w:eastAsia="en-CA"/>
        </w:rPr>
      </w:pPr>
    </w:p>
    <w:p w:rsidR="00562879" w:rsidRPr="00562879" w:rsidRDefault="00562879" w:rsidP="00CA2DEA">
      <w:pPr>
        <w:widowControl w:val="0"/>
        <w:rPr>
          <w:rFonts w:eastAsia="Times New Roman" w:cs="Times New Roman"/>
          <w:sz w:val="20"/>
          <w:szCs w:val="20"/>
          <w:lang w:val="fr-CA" w:eastAsia="en-CA"/>
        </w:rPr>
      </w:pPr>
      <w:r w:rsidRPr="00562879">
        <w:rPr>
          <w:rFonts w:eastAsia="Times New Roman" w:cs="Times New Roman"/>
          <w:sz w:val="20"/>
          <w:szCs w:val="20"/>
          <w:lang w:val="fr-CA" w:eastAsia="en-CA"/>
        </w:rPr>
        <w:t>BEFORE / DEVANT: ABELLA J. / LA JUGE ABELLA</w:t>
      </w:r>
    </w:p>
    <w:p w:rsidR="00562879" w:rsidRDefault="00562879"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230"/>
        <w:gridCol w:w="1170"/>
        <w:gridCol w:w="4140"/>
      </w:tblGrid>
      <w:tr w:rsidR="00562879" w:rsidRPr="00DA3564" w:rsidTr="00DA3564">
        <w:tc>
          <w:tcPr>
            <w:tcW w:w="4230" w:type="dxa"/>
            <w:tcBorders>
              <w:top w:val="nil"/>
              <w:left w:val="nil"/>
              <w:bottom w:val="nil"/>
              <w:right w:val="nil"/>
            </w:tcBorders>
          </w:tcPr>
          <w:p w:rsidR="00562879" w:rsidRPr="00DA3564" w:rsidRDefault="00562879" w:rsidP="009E0AA9">
            <w:pPr>
              <w:jc w:val="both"/>
              <w:rPr>
                <w:rFonts w:cs="Times New Roman"/>
                <w:b/>
                <w:bCs/>
                <w:sz w:val="20"/>
                <w:szCs w:val="20"/>
              </w:rPr>
            </w:pPr>
            <w:r w:rsidRPr="00DA3564">
              <w:rPr>
                <w:rFonts w:cs="Times New Roman"/>
                <w:b/>
                <w:bCs/>
                <w:sz w:val="20"/>
                <w:szCs w:val="20"/>
                <w:lang w:val="en-GB"/>
              </w:rPr>
              <w:t>Motion</w:t>
            </w:r>
            <w:r w:rsidR="007F08DB">
              <w:rPr>
                <w:rFonts w:cs="Times New Roman"/>
                <w:b/>
                <w:bCs/>
                <w:sz w:val="20"/>
                <w:szCs w:val="20"/>
                <w:lang w:val="en-GB"/>
              </w:rPr>
              <w:t>s</w:t>
            </w:r>
            <w:r w:rsidRPr="00DA3564">
              <w:rPr>
                <w:rFonts w:cs="Times New Roman"/>
                <w:b/>
                <w:bCs/>
                <w:sz w:val="20"/>
                <w:szCs w:val="20"/>
                <w:lang w:val="en-GB"/>
              </w:rPr>
              <w:t xml:space="preserve"> for leave to intervene</w:t>
            </w:r>
          </w:p>
        </w:tc>
        <w:tc>
          <w:tcPr>
            <w:tcW w:w="1170" w:type="dxa"/>
            <w:tcBorders>
              <w:top w:val="nil"/>
              <w:left w:val="nil"/>
              <w:bottom w:val="nil"/>
              <w:right w:val="nil"/>
            </w:tcBorders>
          </w:tcPr>
          <w:p w:rsidR="00562879" w:rsidRPr="00DA3564" w:rsidRDefault="00562879" w:rsidP="009E0AA9">
            <w:pPr>
              <w:jc w:val="both"/>
              <w:rPr>
                <w:rFonts w:cs="Times New Roman"/>
                <w:b/>
                <w:bCs/>
                <w:sz w:val="20"/>
                <w:szCs w:val="20"/>
              </w:rPr>
            </w:pPr>
          </w:p>
        </w:tc>
        <w:tc>
          <w:tcPr>
            <w:tcW w:w="4140" w:type="dxa"/>
            <w:tcBorders>
              <w:top w:val="nil"/>
              <w:left w:val="nil"/>
              <w:bottom w:val="nil"/>
              <w:right w:val="nil"/>
            </w:tcBorders>
          </w:tcPr>
          <w:p w:rsidR="00562879" w:rsidRPr="00DA3564" w:rsidRDefault="00562879" w:rsidP="009E0AA9">
            <w:pPr>
              <w:jc w:val="both"/>
              <w:rPr>
                <w:rFonts w:cs="Times New Roman"/>
                <w:b/>
                <w:bCs/>
                <w:sz w:val="20"/>
                <w:szCs w:val="20"/>
                <w:lang w:val="fr-CA"/>
              </w:rPr>
            </w:pPr>
            <w:r w:rsidRPr="00DA3564">
              <w:rPr>
                <w:rFonts w:cs="Times New Roman"/>
                <w:b/>
                <w:bCs/>
                <w:sz w:val="20"/>
                <w:szCs w:val="20"/>
                <w:lang w:val="fr-CA"/>
              </w:rPr>
              <w:t>Requête</w:t>
            </w:r>
            <w:r w:rsidR="007F08DB">
              <w:rPr>
                <w:rFonts w:cs="Times New Roman"/>
                <w:b/>
                <w:bCs/>
                <w:sz w:val="20"/>
                <w:szCs w:val="20"/>
                <w:lang w:val="fr-CA"/>
              </w:rPr>
              <w:t>s</w:t>
            </w:r>
            <w:r w:rsidRPr="00DA3564">
              <w:rPr>
                <w:rFonts w:cs="Times New Roman"/>
                <w:b/>
                <w:bCs/>
                <w:sz w:val="20"/>
                <w:szCs w:val="20"/>
                <w:lang w:val="fr-CA"/>
              </w:rPr>
              <w:t xml:space="preserve"> en autorisation d’intervenir</w:t>
            </w:r>
          </w:p>
          <w:p w:rsidR="00562879" w:rsidRPr="00DA3564" w:rsidRDefault="00562879" w:rsidP="009E0AA9">
            <w:pPr>
              <w:jc w:val="both"/>
              <w:rPr>
                <w:rFonts w:cs="Times New Roman"/>
                <w:b/>
                <w:bCs/>
                <w:sz w:val="20"/>
                <w:szCs w:val="20"/>
              </w:rPr>
            </w:pPr>
          </w:p>
        </w:tc>
      </w:tr>
    </w:tbl>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970"/>
        <w:gridCol w:w="1170"/>
        <w:gridCol w:w="4140"/>
      </w:tblGrid>
      <w:tr w:rsidR="00DA3564" w:rsidRPr="00ED1F08" w:rsidTr="007F08DB">
        <w:trPr>
          <w:trHeight w:hRule="exact" w:val="1017"/>
        </w:trPr>
        <w:tc>
          <w:tcPr>
            <w:tcW w:w="1260" w:type="dxa"/>
          </w:tcPr>
          <w:p w:rsidR="00DA3564" w:rsidRPr="00DA3564" w:rsidRDefault="00DA3564" w:rsidP="009E0AA9">
            <w:pPr>
              <w:rPr>
                <w:sz w:val="20"/>
                <w:szCs w:val="20"/>
              </w:rPr>
            </w:pPr>
            <w:r w:rsidRPr="00DA3564">
              <w:rPr>
                <w:sz w:val="20"/>
                <w:szCs w:val="20"/>
              </w:rPr>
              <w:t>BY / PAR</w:t>
            </w:r>
          </w:p>
        </w:tc>
        <w:tc>
          <w:tcPr>
            <w:tcW w:w="2970" w:type="dxa"/>
          </w:tcPr>
          <w:p w:rsidR="00DA3564" w:rsidRPr="00DA3564" w:rsidRDefault="00DA3564" w:rsidP="009E0AA9">
            <w:pPr>
              <w:rPr>
                <w:sz w:val="20"/>
                <w:szCs w:val="20"/>
                <w:lang w:val="fr-CA"/>
              </w:rPr>
            </w:pPr>
            <w:proofErr w:type="spellStart"/>
            <w:r w:rsidRPr="00DA3564">
              <w:rPr>
                <w:rFonts w:cs="Times New Roman"/>
                <w:sz w:val="20"/>
                <w:szCs w:val="20"/>
                <w:lang w:val="fr-CA"/>
              </w:rPr>
              <w:t>Colour</w:t>
            </w:r>
            <w:proofErr w:type="spellEnd"/>
            <w:r w:rsidRPr="00DA3564">
              <w:rPr>
                <w:rFonts w:cs="Times New Roman"/>
                <w:sz w:val="20"/>
                <w:szCs w:val="20"/>
                <w:lang w:val="fr-CA"/>
              </w:rPr>
              <w:t xml:space="preserve"> of </w:t>
            </w:r>
            <w:proofErr w:type="spellStart"/>
            <w:r w:rsidRPr="00DA3564">
              <w:rPr>
                <w:rFonts w:cs="Times New Roman"/>
                <w:sz w:val="20"/>
                <w:szCs w:val="20"/>
                <w:lang w:val="fr-CA"/>
              </w:rPr>
              <w:t>Poverty</w:t>
            </w:r>
            <w:proofErr w:type="spellEnd"/>
            <w:r w:rsidRPr="00DA3564">
              <w:rPr>
                <w:rFonts w:cs="Times New Roman"/>
                <w:sz w:val="20"/>
                <w:szCs w:val="20"/>
                <w:lang w:val="fr-CA"/>
              </w:rPr>
              <w:t xml:space="preserve"> – </w:t>
            </w:r>
            <w:proofErr w:type="spellStart"/>
            <w:r w:rsidRPr="00DA3564">
              <w:rPr>
                <w:rFonts w:cs="Times New Roman"/>
                <w:sz w:val="20"/>
                <w:szCs w:val="20"/>
                <w:lang w:val="fr-CA"/>
              </w:rPr>
              <w:t>Colour</w:t>
            </w:r>
            <w:proofErr w:type="spellEnd"/>
            <w:r w:rsidRPr="00DA3564">
              <w:rPr>
                <w:rFonts w:cs="Times New Roman"/>
                <w:sz w:val="20"/>
                <w:szCs w:val="20"/>
                <w:lang w:val="fr-CA"/>
              </w:rPr>
              <w:t xml:space="preserve"> of Change et </w:t>
            </w:r>
            <w:r w:rsidRPr="00BC604C">
              <w:rPr>
                <w:rFonts w:cs="Times New Roman"/>
                <w:sz w:val="20"/>
                <w:szCs w:val="20"/>
                <w:lang w:val="fr-CA"/>
              </w:rPr>
              <w:t>Centre d’action pour la sécurité du revenu (conjointement)</w:t>
            </w:r>
          </w:p>
        </w:tc>
        <w:tc>
          <w:tcPr>
            <w:tcW w:w="1170" w:type="dxa"/>
          </w:tcPr>
          <w:p w:rsidR="00DA3564" w:rsidRPr="00DA3564" w:rsidRDefault="00DA3564" w:rsidP="009E0AA9">
            <w:pPr>
              <w:rPr>
                <w:sz w:val="20"/>
                <w:szCs w:val="20"/>
                <w:lang w:val="fr-CA"/>
              </w:rPr>
            </w:pPr>
          </w:p>
        </w:tc>
        <w:tc>
          <w:tcPr>
            <w:tcW w:w="4140" w:type="dxa"/>
          </w:tcPr>
          <w:p w:rsidR="00DA3564" w:rsidRPr="00DA3564" w:rsidRDefault="00DA3564" w:rsidP="009E0AA9">
            <w:pPr>
              <w:rPr>
                <w:sz w:val="20"/>
                <w:szCs w:val="20"/>
                <w:lang w:val="fr-CA"/>
              </w:rPr>
            </w:pPr>
          </w:p>
        </w:tc>
      </w:tr>
      <w:tr w:rsidR="00DA3564" w:rsidRPr="00ED1F08" w:rsidTr="00DA3564">
        <w:trPr>
          <w:trHeight w:hRule="exact" w:val="531"/>
        </w:trPr>
        <w:tc>
          <w:tcPr>
            <w:tcW w:w="1260" w:type="dxa"/>
          </w:tcPr>
          <w:p w:rsidR="00DA3564" w:rsidRPr="00DA3564" w:rsidRDefault="00DA3564" w:rsidP="009E0AA9">
            <w:pPr>
              <w:rPr>
                <w:sz w:val="20"/>
                <w:szCs w:val="20"/>
                <w:lang w:val="fr-CA"/>
              </w:rPr>
            </w:pPr>
          </w:p>
        </w:tc>
        <w:tc>
          <w:tcPr>
            <w:tcW w:w="2970" w:type="dxa"/>
          </w:tcPr>
          <w:p w:rsidR="00DA3564" w:rsidRPr="00DA3564" w:rsidRDefault="00DA3564" w:rsidP="009E0AA9">
            <w:pPr>
              <w:rPr>
                <w:sz w:val="20"/>
                <w:szCs w:val="20"/>
                <w:lang w:val="fr-CA"/>
              </w:rPr>
            </w:pPr>
            <w:r w:rsidRPr="00BC604C">
              <w:rPr>
                <w:rFonts w:cs="Times New Roman"/>
                <w:sz w:val="20"/>
                <w:szCs w:val="20"/>
                <w:lang w:val="fr-CA"/>
              </w:rPr>
              <w:t xml:space="preserve">Association de libertés civiles de la </w:t>
            </w:r>
            <w:proofErr w:type="spellStart"/>
            <w:r w:rsidRPr="00BC604C">
              <w:rPr>
                <w:rFonts w:cs="Times New Roman"/>
                <w:sz w:val="20"/>
                <w:szCs w:val="20"/>
                <w:lang w:val="fr-CA"/>
              </w:rPr>
              <w:t>Colombie-Brittanique</w:t>
            </w:r>
            <w:proofErr w:type="spellEnd"/>
          </w:p>
        </w:tc>
        <w:tc>
          <w:tcPr>
            <w:tcW w:w="1170" w:type="dxa"/>
          </w:tcPr>
          <w:p w:rsidR="00DA3564" w:rsidRPr="00DA3564" w:rsidRDefault="00DA3564" w:rsidP="009E0AA9">
            <w:pPr>
              <w:rPr>
                <w:sz w:val="20"/>
                <w:szCs w:val="20"/>
                <w:lang w:val="fr-CA"/>
              </w:rPr>
            </w:pPr>
          </w:p>
        </w:tc>
        <w:tc>
          <w:tcPr>
            <w:tcW w:w="4140" w:type="dxa"/>
          </w:tcPr>
          <w:p w:rsidR="00DA3564" w:rsidRPr="00DA3564" w:rsidRDefault="00DA3564" w:rsidP="009E0AA9">
            <w:pPr>
              <w:rPr>
                <w:sz w:val="20"/>
                <w:szCs w:val="20"/>
                <w:lang w:val="fr-CA"/>
              </w:rPr>
            </w:pPr>
          </w:p>
        </w:tc>
      </w:tr>
      <w:tr w:rsidR="00DA3564" w:rsidRPr="00DA3564" w:rsidTr="00DA3564">
        <w:trPr>
          <w:trHeight w:hRule="exact" w:val="360"/>
        </w:trPr>
        <w:tc>
          <w:tcPr>
            <w:tcW w:w="1260" w:type="dxa"/>
          </w:tcPr>
          <w:p w:rsidR="00DA3564" w:rsidRPr="00DA3564" w:rsidRDefault="00DA3564" w:rsidP="009E0AA9">
            <w:pPr>
              <w:rPr>
                <w:sz w:val="20"/>
                <w:szCs w:val="20"/>
                <w:lang w:val="fr-CA"/>
              </w:rPr>
            </w:pPr>
          </w:p>
        </w:tc>
        <w:tc>
          <w:tcPr>
            <w:tcW w:w="2970" w:type="dxa"/>
          </w:tcPr>
          <w:p w:rsidR="00DA3564" w:rsidRPr="00DA3564" w:rsidRDefault="00DA3564" w:rsidP="009E0AA9">
            <w:pPr>
              <w:rPr>
                <w:sz w:val="20"/>
                <w:szCs w:val="20"/>
                <w:lang w:val="fr-CA"/>
              </w:rPr>
            </w:pPr>
            <w:proofErr w:type="spellStart"/>
            <w:r w:rsidRPr="00BC604C">
              <w:rPr>
                <w:rFonts w:cs="Times New Roman"/>
                <w:sz w:val="20"/>
                <w:szCs w:val="20"/>
                <w:lang w:val="fr-CA"/>
              </w:rPr>
              <w:t>Aboriginal</w:t>
            </w:r>
            <w:proofErr w:type="spellEnd"/>
            <w:r w:rsidRPr="00BC604C">
              <w:rPr>
                <w:rFonts w:cs="Times New Roman"/>
                <w:sz w:val="20"/>
                <w:szCs w:val="20"/>
                <w:lang w:val="fr-CA"/>
              </w:rPr>
              <w:t xml:space="preserve"> </w:t>
            </w:r>
            <w:proofErr w:type="spellStart"/>
            <w:r w:rsidRPr="00BC604C">
              <w:rPr>
                <w:rFonts w:cs="Times New Roman"/>
                <w:sz w:val="20"/>
                <w:szCs w:val="20"/>
                <w:lang w:val="fr-CA"/>
              </w:rPr>
              <w:t>Legal</w:t>
            </w:r>
            <w:proofErr w:type="spellEnd"/>
            <w:r w:rsidRPr="00BC604C">
              <w:rPr>
                <w:rFonts w:cs="Times New Roman"/>
                <w:sz w:val="20"/>
                <w:szCs w:val="20"/>
                <w:lang w:val="fr-CA"/>
              </w:rPr>
              <w:t xml:space="preserve"> Services</w:t>
            </w:r>
          </w:p>
        </w:tc>
        <w:tc>
          <w:tcPr>
            <w:tcW w:w="1170" w:type="dxa"/>
          </w:tcPr>
          <w:p w:rsidR="00DA3564" w:rsidRPr="00DA3564" w:rsidRDefault="00DA3564" w:rsidP="009E0AA9">
            <w:pPr>
              <w:rPr>
                <w:sz w:val="20"/>
                <w:szCs w:val="20"/>
                <w:lang w:val="fr-CA"/>
              </w:rPr>
            </w:pPr>
          </w:p>
        </w:tc>
        <w:tc>
          <w:tcPr>
            <w:tcW w:w="4140" w:type="dxa"/>
          </w:tcPr>
          <w:p w:rsidR="00DA3564" w:rsidRPr="00DA3564" w:rsidRDefault="00DA3564" w:rsidP="009E0AA9">
            <w:pPr>
              <w:rPr>
                <w:sz w:val="20"/>
                <w:szCs w:val="20"/>
                <w:lang w:val="fr-CA"/>
              </w:rPr>
            </w:pPr>
          </w:p>
        </w:tc>
      </w:tr>
      <w:tr w:rsidR="00DA3564" w:rsidRPr="00ED1F08" w:rsidTr="007F08DB">
        <w:trPr>
          <w:trHeight w:hRule="exact" w:val="549"/>
        </w:trPr>
        <w:tc>
          <w:tcPr>
            <w:tcW w:w="1260" w:type="dxa"/>
          </w:tcPr>
          <w:p w:rsidR="00DA3564" w:rsidRPr="00DA3564" w:rsidRDefault="00DA3564" w:rsidP="009E0AA9">
            <w:pPr>
              <w:rPr>
                <w:sz w:val="20"/>
                <w:szCs w:val="20"/>
                <w:lang w:val="fr-CA"/>
              </w:rPr>
            </w:pPr>
          </w:p>
        </w:tc>
        <w:tc>
          <w:tcPr>
            <w:tcW w:w="2970" w:type="dxa"/>
          </w:tcPr>
          <w:p w:rsidR="00DA3564" w:rsidRPr="00DA3564" w:rsidRDefault="007F08DB" w:rsidP="009E0AA9">
            <w:pPr>
              <w:rPr>
                <w:sz w:val="20"/>
                <w:szCs w:val="20"/>
                <w:lang w:val="fr-CA"/>
              </w:rPr>
            </w:pPr>
            <w:r w:rsidRPr="00BC604C">
              <w:rPr>
                <w:rFonts w:cs="Times New Roman"/>
                <w:sz w:val="20"/>
                <w:szCs w:val="20"/>
                <w:lang w:val="fr-CA"/>
              </w:rPr>
              <w:t>Association Canadienne des Libertés Civiles</w:t>
            </w:r>
          </w:p>
        </w:tc>
        <w:tc>
          <w:tcPr>
            <w:tcW w:w="1170" w:type="dxa"/>
          </w:tcPr>
          <w:p w:rsidR="00DA3564" w:rsidRPr="00DA3564" w:rsidRDefault="00DA3564" w:rsidP="009E0AA9">
            <w:pPr>
              <w:rPr>
                <w:sz w:val="20"/>
                <w:szCs w:val="20"/>
                <w:lang w:val="fr-CA"/>
              </w:rPr>
            </w:pPr>
          </w:p>
        </w:tc>
        <w:tc>
          <w:tcPr>
            <w:tcW w:w="4140" w:type="dxa"/>
          </w:tcPr>
          <w:p w:rsidR="00DA3564" w:rsidRPr="00DA3564" w:rsidRDefault="00DA3564" w:rsidP="009E0AA9">
            <w:pPr>
              <w:rPr>
                <w:sz w:val="20"/>
                <w:szCs w:val="20"/>
                <w:lang w:val="fr-CA"/>
              </w:rPr>
            </w:pPr>
          </w:p>
        </w:tc>
      </w:tr>
      <w:tr w:rsidR="00DA3564" w:rsidRPr="00DA3564" w:rsidTr="00DA3564">
        <w:trPr>
          <w:trHeight w:hRule="exact" w:val="360"/>
        </w:trPr>
        <w:tc>
          <w:tcPr>
            <w:tcW w:w="1260" w:type="dxa"/>
          </w:tcPr>
          <w:p w:rsidR="00DA3564" w:rsidRPr="00DA3564" w:rsidRDefault="00DA3564" w:rsidP="009E0AA9">
            <w:pPr>
              <w:rPr>
                <w:sz w:val="20"/>
                <w:szCs w:val="20"/>
                <w:lang w:val="fr-CA"/>
              </w:rPr>
            </w:pPr>
          </w:p>
        </w:tc>
        <w:tc>
          <w:tcPr>
            <w:tcW w:w="2970" w:type="dxa"/>
          </w:tcPr>
          <w:p w:rsidR="00DA3564" w:rsidRPr="00DA3564" w:rsidRDefault="007F08DB" w:rsidP="009E0AA9">
            <w:pPr>
              <w:rPr>
                <w:sz w:val="20"/>
                <w:szCs w:val="20"/>
                <w:lang w:val="fr-CA"/>
              </w:rPr>
            </w:pPr>
            <w:r w:rsidRPr="00BC604C">
              <w:rPr>
                <w:rFonts w:cs="Times New Roman"/>
                <w:sz w:val="20"/>
                <w:szCs w:val="20"/>
                <w:lang w:val="fr-CA"/>
              </w:rPr>
              <w:t xml:space="preserve">Pivot </w:t>
            </w:r>
            <w:proofErr w:type="spellStart"/>
            <w:r w:rsidRPr="00BC604C">
              <w:rPr>
                <w:rFonts w:cs="Times New Roman"/>
                <w:sz w:val="20"/>
                <w:szCs w:val="20"/>
                <w:lang w:val="fr-CA"/>
              </w:rPr>
              <w:t>Legal</w:t>
            </w:r>
            <w:proofErr w:type="spellEnd"/>
            <w:r w:rsidRPr="00BC604C">
              <w:rPr>
                <w:rFonts w:cs="Times New Roman"/>
                <w:sz w:val="20"/>
                <w:szCs w:val="20"/>
                <w:lang w:val="fr-CA"/>
              </w:rPr>
              <w:t xml:space="preserve"> Society</w:t>
            </w:r>
          </w:p>
        </w:tc>
        <w:tc>
          <w:tcPr>
            <w:tcW w:w="1170" w:type="dxa"/>
          </w:tcPr>
          <w:p w:rsidR="00DA3564" w:rsidRPr="00DA3564" w:rsidRDefault="00DA3564" w:rsidP="009E0AA9">
            <w:pPr>
              <w:rPr>
                <w:sz w:val="20"/>
                <w:szCs w:val="20"/>
                <w:lang w:val="fr-CA"/>
              </w:rPr>
            </w:pPr>
          </w:p>
        </w:tc>
        <w:tc>
          <w:tcPr>
            <w:tcW w:w="4140" w:type="dxa"/>
          </w:tcPr>
          <w:p w:rsidR="00DA3564" w:rsidRPr="00DA3564" w:rsidRDefault="00DA3564" w:rsidP="009E0AA9">
            <w:pPr>
              <w:rPr>
                <w:sz w:val="20"/>
                <w:szCs w:val="20"/>
                <w:lang w:val="fr-CA"/>
              </w:rPr>
            </w:pPr>
          </w:p>
        </w:tc>
      </w:tr>
      <w:tr w:rsidR="00DA3564" w:rsidRPr="00ED1F08" w:rsidTr="00DA3564">
        <w:trPr>
          <w:trHeight w:hRule="exact" w:val="1467"/>
        </w:trPr>
        <w:tc>
          <w:tcPr>
            <w:tcW w:w="1260" w:type="dxa"/>
          </w:tcPr>
          <w:p w:rsidR="00DA3564" w:rsidRPr="00DA3564" w:rsidRDefault="00DA3564" w:rsidP="009E0AA9">
            <w:pPr>
              <w:rPr>
                <w:sz w:val="20"/>
                <w:szCs w:val="20"/>
              </w:rPr>
            </w:pPr>
            <w:r>
              <w:rPr>
                <w:sz w:val="20"/>
                <w:szCs w:val="20"/>
              </w:rPr>
              <w:t>IN / DANS</w:t>
            </w:r>
          </w:p>
        </w:tc>
        <w:tc>
          <w:tcPr>
            <w:tcW w:w="2970" w:type="dxa"/>
          </w:tcPr>
          <w:p w:rsidR="00DA3564" w:rsidRPr="009E0AA9" w:rsidRDefault="00DA3564" w:rsidP="009E0AA9">
            <w:pPr>
              <w:rPr>
                <w:sz w:val="20"/>
                <w:szCs w:val="20"/>
                <w:lang w:val="fr-CA"/>
              </w:rPr>
            </w:pPr>
            <w:r w:rsidRPr="009E0AA9">
              <w:rPr>
                <w:sz w:val="20"/>
                <w:szCs w:val="20"/>
                <w:lang w:val="fr-CA"/>
              </w:rPr>
              <w:t xml:space="preserve">Alex </w:t>
            </w:r>
            <w:proofErr w:type="spellStart"/>
            <w:r w:rsidRPr="009E0AA9">
              <w:rPr>
                <w:sz w:val="20"/>
                <w:szCs w:val="20"/>
                <w:lang w:val="fr-CA"/>
              </w:rPr>
              <w:t>Boudreault</w:t>
            </w:r>
            <w:proofErr w:type="spellEnd"/>
          </w:p>
          <w:p w:rsidR="00DA3564" w:rsidRPr="009E0AA9" w:rsidRDefault="00DA3564" w:rsidP="009E0AA9">
            <w:pPr>
              <w:rPr>
                <w:sz w:val="20"/>
                <w:szCs w:val="20"/>
                <w:lang w:val="fr-CA"/>
              </w:rPr>
            </w:pPr>
          </w:p>
          <w:p w:rsidR="00DA3564" w:rsidRPr="00DA3564" w:rsidRDefault="00DA3564" w:rsidP="009E0AA9">
            <w:pPr>
              <w:rPr>
                <w:sz w:val="20"/>
                <w:szCs w:val="20"/>
                <w:lang w:val="fr-CA"/>
              </w:rPr>
            </w:pPr>
            <w:r w:rsidRPr="009E0AA9">
              <w:rPr>
                <w:sz w:val="20"/>
                <w:szCs w:val="20"/>
                <w:lang w:val="fr-CA"/>
              </w:rPr>
              <w:tab/>
            </w:r>
            <w:r w:rsidRPr="00DA3564">
              <w:rPr>
                <w:sz w:val="20"/>
                <w:szCs w:val="20"/>
                <w:lang w:val="fr-CA"/>
              </w:rPr>
              <w:t>c. (37427)</w:t>
            </w:r>
          </w:p>
          <w:p w:rsidR="00DA3564" w:rsidRPr="00DA3564" w:rsidRDefault="00DA3564" w:rsidP="009E0AA9">
            <w:pPr>
              <w:rPr>
                <w:sz w:val="20"/>
                <w:szCs w:val="20"/>
                <w:lang w:val="fr-CA"/>
              </w:rPr>
            </w:pPr>
          </w:p>
          <w:p w:rsidR="00DA3564" w:rsidRPr="00DA3564" w:rsidRDefault="00DA3564" w:rsidP="00DA3564">
            <w:pPr>
              <w:rPr>
                <w:sz w:val="20"/>
                <w:szCs w:val="20"/>
                <w:lang w:val="fr-CA"/>
              </w:rPr>
            </w:pPr>
            <w:r w:rsidRPr="00DA3564">
              <w:rPr>
                <w:sz w:val="20"/>
                <w:szCs w:val="20"/>
                <w:lang w:val="fr-CA"/>
              </w:rPr>
              <w:t>Sa Majesté la Reine (Qc)</w:t>
            </w:r>
          </w:p>
        </w:tc>
        <w:tc>
          <w:tcPr>
            <w:tcW w:w="1170" w:type="dxa"/>
          </w:tcPr>
          <w:p w:rsidR="00DA3564" w:rsidRPr="00DA3564" w:rsidRDefault="00DA3564" w:rsidP="009E0AA9">
            <w:pPr>
              <w:rPr>
                <w:sz w:val="20"/>
                <w:szCs w:val="20"/>
                <w:lang w:val="fr-CA"/>
              </w:rPr>
            </w:pPr>
          </w:p>
        </w:tc>
        <w:tc>
          <w:tcPr>
            <w:tcW w:w="4140" w:type="dxa"/>
          </w:tcPr>
          <w:p w:rsidR="00DA3564" w:rsidRPr="00DA3564" w:rsidRDefault="00DA3564" w:rsidP="009E0AA9">
            <w:pPr>
              <w:rPr>
                <w:sz w:val="20"/>
                <w:szCs w:val="20"/>
                <w:lang w:val="fr-CA"/>
              </w:rPr>
            </w:pPr>
          </w:p>
        </w:tc>
      </w:tr>
    </w:tbl>
    <w:p w:rsidR="00562879" w:rsidRDefault="00562879" w:rsidP="00CA2DEA">
      <w:pPr>
        <w:widowControl w:val="0"/>
        <w:rPr>
          <w:rFonts w:eastAsia="Times New Roman" w:cs="Times New Roman"/>
          <w:sz w:val="20"/>
          <w:szCs w:val="20"/>
          <w:lang w:val="fr-CA" w:eastAsia="en-CA"/>
        </w:rPr>
      </w:pPr>
    </w:p>
    <w:p w:rsidR="007F08DB" w:rsidRPr="007F08DB" w:rsidRDefault="007F08DB" w:rsidP="00CA2DEA">
      <w:pPr>
        <w:widowControl w:val="0"/>
        <w:rPr>
          <w:rFonts w:eastAsia="Times New Roman" w:cs="Times New Roman"/>
          <w:b/>
          <w:sz w:val="20"/>
          <w:szCs w:val="20"/>
          <w:lang w:val="fr-CA" w:eastAsia="en-CA"/>
        </w:rPr>
      </w:pPr>
      <w:r>
        <w:rPr>
          <w:rFonts w:eastAsia="Times New Roman" w:cs="Times New Roman"/>
          <w:b/>
          <w:sz w:val="20"/>
          <w:szCs w:val="20"/>
          <w:lang w:val="fr-CA" w:eastAsia="en-CA"/>
        </w:rPr>
        <w:t>GRANTED / ACCORDÉES</w:t>
      </w:r>
    </w:p>
    <w:p w:rsidR="007F08DB" w:rsidRPr="00DA3564" w:rsidRDefault="007F08DB" w:rsidP="00CA2DEA">
      <w:pPr>
        <w:widowControl w:val="0"/>
        <w:rPr>
          <w:rFonts w:eastAsia="Times New Roman" w:cs="Times New Roman"/>
          <w:sz w:val="20"/>
          <w:szCs w:val="20"/>
          <w:lang w:val="fr-CA" w:eastAsia="en-CA"/>
        </w:rPr>
      </w:pPr>
    </w:p>
    <w:p w:rsidR="00DA3564" w:rsidRPr="00BC604C" w:rsidRDefault="00DA3564" w:rsidP="00D1641D">
      <w:pPr>
        <w:spacing w:line="232" w:lineRule="auto"/>
        <w:jc w:val="both"/>
        <w:rPr>
          <w:rFonts w:cs="Times New Roman"/>
          <w:sz w:val="20"/>
          <w:szCs w:val="20"/>
          <w:lang w:val="fr-CA"/>
        </w:rPr>
      </w:pPr>
      <w:r w:rsidRPr="00BC604C">
        <w:rPr>
          <w:rFonts w:cs="Times New Roman"/>
          <w:b/>
          <w:bCs/>
          <w:sz w:val="20"/>
          <w:szCs w:val="20"/>
          <w:lang w:val="fr-CA"/>
        </w:rPr>
        <w:t xml:space="preserve">À LA SUITE DES DEMANDES </w:t>
      </w:r>
      <w:r w:rsidRPr="00BC604C">
        <w:rPr>
          <w:rFonts w:cs="Times New Roman"/>
          <w:bCs/>
          <w:sz w:val="20"/>
          <w:szCs w:val="20"/>
          <w:lang w:val="fr-CA"/>
        </w:rPr>
        <w:t xml:space="preserve">présentées par </w:t>
      </w:r>
      <w:proofErr w:type="spellStart"/>
      <w:r w:rsidRPr="00BC604C">
        <w:rPr>
          <w:rFonts w:cs="Times New Roman"/>
          <w:sz w:val="20"/>
          <w:szCs w:val="20"/>
          <w:lang w:val="fr-CA"/>
        </w:rPr>
        <w:t>Colour</w:t>
      </w:r>
      <w:proofErr w:type="spellEnd"/>
      <w:r w:rsidRPr="00BC604C">
        <w:rPr>
          <w:rFonts w:cs="Times New Roman"/>
          <w:sz w:val="20"/>
          <w:szCs w:val="20"/>
          <w:lang w:val="fr-CA"/>
        </w:rPr>
        <w:t xml:space="preserve"> of </w:t>
      </w:r>
      <w:proofErr w:type="spellStart"/>
      <w:r w:rsidRPr="00BC604C">
        <w:rPr>
          <w:rFonts w:cs="Times New Roman"/>
          <w:sz w:val="20"/>
          <w:szCs w:val="20"/>
          <w:lang w:val="fr-CA"/>
        </w:rPr>
        <w:t>Poverty</w:t>
      </w:r>
      <w:proofErr w:type="spellEnd"/>
      <w:r w:rsidRPr="00BC604C">
        <w:rPr>
          <w:rFonts w:cs="Times New Roman"/>
          <w:sz w:val="20"/>
          <w:szCs w:val="20"/>
          <w:lang w:val="fr-CA"/>
        </w:rPr>
        <w:t xml:space="preserve"> – </w:t>
      </w:r>
      <w:proofErr w:type="spellStart"/>
      <w:r w:rsidRPr="00BC604C">
        <w:rPr>
          <w:rFonts w:cs="Times New Roman"/>
          <w:sz w:val="20"/>
          <w:szCs w:val="20"/>
          <w:lang w:val="fr-CA"/>
        </w:rPr>
        <w:t>Colour</w:t>
      </w:r>
      <w:proofErr w:type="spellEnd"/>
      <w:r w:rsidRPr="00BC604C">
        <w:rPr>
          <w:rFonts w:cs="Times New Roman"/>
          <w:sz w:val="20"/>
          <w:szCs w:val="20"/>
          <w:lang w:val="fr-CA"/>
        </w:rPr>
        <w:t xml:space="preserve"> of Change, Centre d’action pour la sécurité du revenu (conjointement); Association de libertés civiles de la </w:t>
      </w:r>
      <w:proofErr w:type="spellStart"/>
      <w:r w:rsidRPr="00BC604C">
        <w:rPr>
          <w:rFonts w:cs="Times New Roman"/>
          <w:sz w:val="20"/>
          <w:szCs w:val="20"/>
          <w:lang w:val="fr-CA"/>
        </w:rPr>
        <w:t>Colombie-Brittanique</w:t>
      </w:r>
      <w:proofErr w:type="spellEnd"/>
      <w:r w:rsidRPr="00BC604C">
        <w:rPr>
          <w:rFonts w:cs="Times New Roman"/>
          <w:sz w:val="20"/>
          <w:szCs w:val="20"/>
          <w:lang w:val="fr-CA"/>
        </w:rPr>
        <w:t xml:space="preserve">; </w:t>
      </w:r>
      <w:proofErr w:type="spellStart"/>
      <w:r w:rsidRPr="00BC604C">
        <w:rPr>
          <w:rFonts w:cs="Times New Roman"/>
          <w:sz w:val="20"/>
          <w:szCs w:val="20"/>
          <w:lang w:val="fr-CA"/>
        </w:rPr>
        <w:t>Aboriginal</w:t>
      </w:r>
      <w:proofErr w:type="spellEnd"/>
      <w:r w:rsidRPr="00BC604C">
        <w:rPr>
          <w:rFonts w:cs="Times New Roman"/>
          <w:sz w:val="20"/>
          <w:szCs w:val="20"/>
          <w:lang w:val="fr-CA"/>
        </w:rPr>
        <w:t xml:space="preserve"> </w:t>
      </w:r>
      <w:proofErr w:type="spellStart"/>
      <w:r w:rsidRPr="00BC604C">
        <w:rPr>
          <w:rFonts w:cs="Times New Roman"/>
          <w:sz w:val="20"/>
          <w:szCs w:val="20"/>
          <w:lang w:val="fr-CA"/>
        </w:rPr>
        <w:t>Legal</w:t>
      </w:r>
      <w:proofErr w:type="spellEnd"/>
      <w:r w:rsidRPr="00BC604C">
        <w:rPr>
          <w:rFonts w:cs="Times New Roman"/>
          <w:sz w:val="20"/>
          <w:szCs w:val="20"/>
          <w:lang w:val="fr-CA"/>
        </w:rPr>
        <w:t xml:space="preserve"> Services; Association Canadienne des Libertés Civiles et Pivot </w:t>
      </w:r>
      <w:proofErr w:type="spellStart"/>
      <w:r w:rsidRPr="00BC604C">
        <w:rPr>
          <w:rFonts w:cs="Times New Roman"/>
          <w:sz w:val="20"/>
          <w:szCs w:val="20"/>
          <w:lang w:val="fr-CA"/>
        </w:rPr>
        <w:t>Legal</w:t>
      </w:r>
      <w:proofErr w:type="spellEnd"/>
      <w:r w:rsidRPr="00BC604C">
        <w:rPr>
          <w:rFonts w:cs="Times New Roman"/>
          <w:sz w:val="20"/>
          <w:szCs w:val="20"/>
          <w:lang w:val="fr-CA"/>
        </w:rPr>
        <w:t xml:space="preserve"> Society </w:t>
      </w:r>
      <w:r w:rsidRPr="00BC604C">
        <w:rPr>
          <w:rFonts w:cs="Times New Roman"/>
          <w:bCs/>
          <w:sz w:val="20"/>
          <w:szCs w:val="20"/>
          <w:lang w:val="fr-CA"/>
        </w:rPr>
        <w:t>en vue d’intervenir dans l’appel</w:t>
      </w:r>
      <w:r w:rsidRPr="00BC604C">
        <w:rPr>
          <w:rFonts w:cs="Times New Roman"/>
          <w:sz w:val="20"/>
          <w:szCs w:val="20"/>
          <w:lang w:val="fr-CA"/>
        </w:rPr>
        <w:t>;</w:t>
      </w:r>
    </w:p>
    <w:p w:rsidR="00DA3564" w:rsidRPr="00BC604C" w:rsidRDefault="00DA3564" w:rsidP="00D1641D">
      <w:pPr>
        <w:spacing w:line="232" w:lineRule="auto"/>
        <w:jc w:val="both"/>
        <w:rPr>
          <w:rFonts w:cs="Times New Roman"/>
          <w:sz w:val="20"/>
          <w:szCs w:val="20"/>
          <w:lang w:val="fr-CA"/>
        </w:rPr>
      </w:pPr>
    </w:p>
    <w:p w:rsidR="00DA3564" w:rsidRPr="00BC604C" w:rsidRDefault="00DA3564" w:rsidP="00D1641D">
      <w:pPr>
        <w:spacing w:line="232" w:lineRule="auto"/>
        <w:jc w:val="both"/>
        <w:rPr>
          <w:rFonts w:cs="Times New Roman"/>
          <w:sz w:val="20"/>
          <w:szCs w:val="20"/>
          <w:lang w:val="fr-CA"/>
        </w:rPr>
      </w:pPr>
      <w:r w:rsidRPr="00BC604C">
        <w:rPr>
          <w:rFonts w:cs="Times New Roman"/>
          <w:b/>
          <w:bCs/>
          <w:sz w:val="20"/>
          <w:szCs w:val="20"/>
          <w:lang w:val="fr-CA"/>
        </w:rPr>
        <w:t xml:space="preserve">ET APRÈS EXAMEN </w:t>
      </w:r>
      <w:r w:rsidRPr="00BC604C">
        <w:rPr>
          <w:rFonts w:cs="Times New Roman"/>
          <w:bCs/>
          <w:sz w:val="20"/>
          <w:szCs w:val="20"/>
          <w:lang w:val="fr-CA"/>
        </w:rPr>
        <w:t>des documents déposés</w:t>
      </w:r>
      <w:r w:rsidRPr="00BC604C">
        <w:rPr>
          <w:rFonts w:cs="Times New Roman"/>
          <w:sz w:val="20"/>
          <w:szCs w:val="20"/>
          <w:lang w:val="fr-CA"/>
        </w:rPr>
        <w:t>;</w:t>
      </w:r>
    </w:p>
    <w:p w:rsidR="00DA3564" w:rsidRPr="00BC604C" w:rsidRDefault="00DA3564" w:rsidP="00D1641D">
      <w:pPr>
        <w:spacing w:line="232" w:lineRule="auto"/>
        <w:jc w:val="both"/>
        <w:rPr>
          <w:rFonts w:cs="Times New Roman"/>
          <w:sz w:val="20"/>
          <w:szCs w:val="20"/>
          <w:lang w:val="fr-CA"/>
        </w:rPr>
      </w:pPr>
    </w:p>
    <w:p w:rsidR="00DA3564" w:rsidRPr="00BC604C" w:rsidRDefault="00DA3564" w:rsidP="00D1641D">
      <w:pPr>
        <w:spacing w:line="232" w:lineRule="auto"/>
        <w:jc w:val="both"/>
        <w:rPr>
          <w:rFonts w:cs="Times New Roman"/>
          <w:sz w:val="20"/>
          <w:szCs w:val="20"/>
          <w:lang w:val="fr-CA"/>
        </w:rPr>
      </w:pPr>
      <w:r w:rsidRPr="00BC604C">
        <w:rPr>
          <w:rFonts w:cs="Times New Roman"/>
          <w:b/>
          <w:bCs/>
          <w:sz w:val="20"/>
          <w:szCs w:val="20"/>
          <w:lang w:val="fr-CA"/>
        </w:rPr>
        <w:t>IL EST ORDONNÉ CE QUI SUIT :</w:t>
      </w:r>
    </w:p>
    <w:p w:rsidR="00DA3564" w:rsidRPr="00BC604C" w:rsidRDefault="00DA3564" w:rsidP="00D1641D">
      <w:pPr>
        <w:spacing w:line="232" w:lineRule="auto"/>
        <w:jc w:val="both"/>
        <w:rPr>
          <w:rFonts w:cs="Times New Roman"/>
          <w:sz w:val="20"/>
          <w:szCs w:val="20"/>
          <w:lang w:val="fr-CA"/>
        </w:rPr>
      </w:pPr>
    </w:p>
    <w:p w:rsidR="00DA3564" w:rsidRPr="00BC604C" w:rsidRDefault="00DA3564" w:rsidP="00D1641D">
      <w:pPr>
        <w:spacing w:line="232" w:lineRule="auto"/>
        <w:jc w:val="both"/>
        <w:rPr>
          <w:rFonts w:cs="Times New Roman"/>
          <w:sz w:val="20"/>
          <w:szCs w:val="20"/>
          <w:lang w:val="fr-CA"/>
        </w:rPr>
      </w:pPr>
      <w:r w:rsidRPr="00BC604C">
        <w:rPr>
          <w:rFonts w:cs="Times New Roman"/>
          <w:sz w:val="20"/>
          <w:szCs w:val="20"/>
          <w:lang w:val="fr-CA"/>
        </w:rPr>
        <w:t>Les requêtes en autorisation d’intervenir sont accueillies et chacun de ces cinq (5) intervenants ou groupe d’intervenants pourra signifier et déposer un mémoire d’au plus dix (10) pages au plus tard le 13 décembre 2017.</w:t>
      </w:r>
    </w:p>
    <w:p w:rsidR="00DA3564" w:rsidRPr="00BC604C" w:rsidRDefault="00DA3564" w:rsidP="00D1641D">
      <w:pPr>
        <w:spacing w:line="232" w:lineRule="auto"/>
        <w:jc w:val="both"/>
        <w:rPr>
          <w:rFonts w:cs="Times New Roman"/>
          <w:sz w:val="20"/>
          <w:szCs w:val="20"/>
          <w:lang w:val="fr-CA"/>
        </w:rPr>
      </w:pPr>
    </w:p>
    <w:p w:rsidR="00DA3564" w:rsidRPr="00BC604C" w:rsidRDefault="00DA3564" w:rsidP="00D1641D">
      <w:pPr>
        <w:spacing w:line="233" w:lineRule="auto"/>
        <w:jc w:val="both"/>
        <w:rPr>
          <w:rFonts w:cs="Times New Roman"/>
          <w:sz w:val="20"/>
          <w:szCs w:val="20"/>
          <w:lang w:val="fr-CA"/>
        </w:rPr>
      </w:pPr>
      <w:r w:rsidRPr="00BC604C">
        <w:rPr>
          <w:rFonts w:cs="Times New Roman"/>
          <w:bCs/>
          <w:sz w:val="20"/>
          <w:szCs w:val="20"/>
          <w:lang w:val="fr-CA"/>
        </w:rPr>
        <w:t>Chacun de ces</w:t>
      </w:r>
      <w:r w:rsidRPr="00BC604C">
        <w:rPr>
          <w:rFonts w:cs="Times New Roman"/>
          <w:sz w:val="20"/>
          <w:szCs w:val="20"/>
          <w:lang w:val="fr-CA"/>
        </w:rPr>
        <w:t xml:space="preserve"> intervenants ou groupe d’intervenants aura le droit de présenter une plaidoirie orale d’au plus cinq (5) minutes lors de l’audition de l’appel.</w:t>
      </w:r>
    </w:p>
    <w:p w:rsidR="00DA3564" w:rsidRPr="00BC604C" w:rsidRDefault="00DA3564" w:rsidP="00D1641D">
      <w:pPr>
        <w:spacing w:line="232" w:lineRule="auto"/>
        <w:jc w:val="both"/>
        <w:rPr>
          <w:rFonts w:cs="Times New Roman"/>
          <w:sz w:val="20"/>
          <w:szCs w:val="20"/>
          <w:lang w:val="fr-CA"/>
        </w:rPr>
      </w:pPr>
    </w:p>
    <w:p w:rsidR="00DA3564" w:rsidRPr="00BC604C" w:rsidRDefault="00DA3564" w:rsidP="00D1641D">
      <w:pPr>
        <w:spacing w:line="232" w:lineRule="auto"/>
        <w:jc w:val="both"/>
        <w:rPr>
          <w:rFonts w:cs="Times New Roman"/>
          <w:sz w:val="20"/>
          <w:szCs w:val="20"/>
          <w:lang w:val="fr-CA"/>
        </w:rPr>
      </w:pPr>
      <w:r w:rsidRPr="00BC604C">
        <w:rPr>
          <w:rFonts w:cs="Times New Roman"/>
          <w:sz w:val="20"/>
          <w:szCs w:val="20"/>
          <w:lang w:val="fr-CA"/>
        </w:rPr>
        <w:t xml:space="preserve">Les intervenants ou groupe d’intervenants n’ont pas le droit de soulever de nouvelles questions, de produire d’autres éléments de preuve ni de compléter de quelque autre façon le dossier des </w:t>
      </w:r>
      <w:r w:rsidRPr="00BC604C">
        <w:rPr>
          <w:rFonts w:cs="Times New Roman"/>
          <w:sz w:val="20"/>
          <w:szCs w:val="20"/>
        </w:rPr>
        <w:fldChar w:fldCharType="begin"/>
      </w:r>
      <w:r w:rsidRPr="00BC604C">
        <w:rPr>
          <w:rFonts w:cs="Times New Roman"/>
          <w:sz w:val="20"/>
          <w:szCs w:val="20"/>
          <w:lang w:val="fr-CA"/>
        </w:rPr>
        <w:instrText xml:space="preserve"> SEQ CHAPTER \h \r 1</w:instrText>
      </w:r>
      <w:r w:rsidRPr="00BC604C">
        <w:rPr>
          <w:rFonts w:cs="Times New Roman"/>
          <w:sz w:val="20"/>
          <w:szCs w:val="20"/>
        </w:rPr>
        <w:fldChar w:fldCharType="end"/>
      </w:r>
      <w:r w:rsidRPr="00BC604C">
        <w:rPr>
          <w:rFonts w:cs="Times New Roman"/>
          <w:bCs/>
          <w:sz w:val="20"/>
          <w:szCs w:val="20"/>
          <w:lang w:val="fr-CA"/>
        </w:rPr>
        <w:t>parties.</w:t>
      </w:r>
    </w:p>
    <w:p w:rsidR="00DA3564" w:rsidRPr="00BC604C" w:rsidRDefault="00DA3564" w:rsidP="00D1641D">
      <w:pPr>
        <w:spacing w:line="232" w:lineRule="auto"/>
        <w:jc w:val="both"/>
        <w:rPr>
          <w:rFonts w:cs="Times New Roman"/>
          <w:sz w:val="20"/>
          <w:szCs w:val="20"/>
          <w:lang w:val="fr-CA"/>
        </w:rPr>
      </w:pPr>
    </w:p>
    <w:p w:rsidR="00DA3564" w:rsidRPr="00BC604C" w:rsidRDefault="00DA3564" w:rsidP="00D1641D">
      <w:pPr>
        <w:jc w:val="both"/>
        <w:rPr>
          <w:rFonts w:cs="Times New Roman"/>
          <w:sz w:val="20"/>
          <w:szCs w:val="20"/>
          <w:lang w:val="fr-CA" w:eastAsia="fr-FR"/>
        </w:rPr>
      </w:pPr>
      <w:r w:rsidRPr="00BC604C">
        <w:rPr>
          <w:rFonts w:cs="Times New Roman"/>
          <w:sz w:val="20"/>
          <w:szCs w:val="20"/>
          <w:lang w:val="fr-CA"/>
        </w:rPr>
        <w:t>Conformément à l’alinéa 59(1)</w:t>
      </w:r>
      <w:r w:rsidRPr="00BC604C">
        <w:rPr>
          <w:rFonts w:cs="Times New Roman"/>
          <w:i/>
          <w:iCs/>
          <w:sz w:val="20"/>
          <w:szCs w:val="20"/>
          <w:lang w:val="fr-CA"/>
        </w:rPr>
        <w:t>a</w:t>
      </w:r>
      <w:r w:rsidRPr="00BC604C">
        <w:rPr>
          <w:rFonts w:cs="Times New Roman"/>
          <w:sz w:val="20"/>
          <w:szCs w:val="20"/>
          <w:lang w:val="fr-CA"/>
        </w:rPr>
        <w:t xml:space="preserve">) des </w:t>
      </w:r>
      <w:r w:rsidRPr="00BC604C">
        <w:rPr>
          <w:rFonts w:cs="Times New Roman"/>
          <w:i/>
          <w:iCs/>
          <w:sz w:val="20"/>
          <w:szCs w:val="20"/>
          <w:lang w:val="fr-CA"/>
        </w:rPr>
        <w:t>Règles de la Cour suprême du Canada</w:t>
      </w:r>
      <w:r w:rsidRPr="00BC604C">
        <w:rPr>
          <w:rFonts w:cs="Times New Roman"/>
          <w:sz w:val="20"/>
          <w:szCs w:val="20"/>
          <w:lang w:val="fr-CA"/>
        </w:rPr>
        <w:t>, les intervenants ou groupe d’intervenants paieront à l’appelant et aux intimées tous débours supplémentaires résultant de leurs interventions.</w:t>
      </w:r>
    </w:p>
    <w:p w:rsidR="00DA3564" w:rsidRPr="00BC604C" w:rsidRDefault="00DA3564" w:rsidP="00D1641D">
      <w:pPr>
        <w:jc w:val="both"/>
        <w:rPr>
          <w:rFonts w:cs="Times New Roman"/>
          <w:sz w:val="20"/>
          <w:szCs w:val="20"/>
          <w:lang w:val="fr-CA"/>
        </w:rPr>
      </w:pPr>
    </w:p>
    <w:p w:rsidR="00DA3564" w:rsidRDefault="00DA3564" w:rsidP="00D1641D">
      <w:pPr>
        <w:spacing w:line="232" w:lineRule="auto"/>
        <w:jc w:val="both"/>
        <w:rPr>
          <w:rFonts w:cs="Times New Roman"/>
          <w:b/>
          <w:bCs/>
          <w:sz w:val="20"/>
          <w:szCs w:val="20"/>
          <w:lang w:val="fr-CA"/>
        </w:rPr>
      </w:pPr>
    </w:p>
    <w:p w:rsidR="00DA3564" w:rsidRPr="00BC604C" w:rsidRDefault="00DA3564" w:rsidP="00D1641D">
      <w:pPr>
        <w:spacing w:line="232" w:lineRule="auto"/>
        <w:jc w:val="both"/>
        <w:rPr>
          <w:rFonts w:cs="Times New Roman"/>
          <w:b/>
          <w:bCs/>
          <w:sz w:val="20"/>
          <w:szCs w:val="20"/>
          <w:lang w:val="fr-CA"/>
        </w:rPr>
      </w:pPr>
    </w:p>
    <w:p w:rsidR="00DA3564" w:rsidRPr="00BC604C" w:rsidRDefault="00DA3564" w:rsidP="00D1641D">
      <w:pPr>
        <w:spacing w:line="232" w:lineRule="auto"/>
        <w:jc w:val="both"/>
        <w:rPr>
          <w:rFonts w:cs="Times New Roman"/>
          <w:sz w:val="20"/>
          <w:szCs w:val="20"/>
        </w:rPr>
      </w:pPr>
      <w:r w:rsidRPr="00BC604C">
        <w:rPr>
          <w:rFonts w:cs="Times New Roman"/>
          <w:b/>
          <w:bCs/>
          <w:sz w:val="20"/>
          <w:szCs w:val="20"/>
        </w:rPr>
        <w:t xml:space="preserve">UPON APPLICATION </w:t>
      </w:r>
      <w:r w:rsidRPr="00BC604C">
        <w:rPr>
          <w:rFonts w:cs="Times New Roman"/>
          <w:sz w:val="20"/>
          <w:szCs w:val="20"/>
        </w:rPr>
        <w:t>by the Colour of Poverty – Colour of Change, the Income Security Advocacy Centre (jointly); the British Columbia Civil Liberties Association; the Aboriginal Legal Services; the Canadian Civil Liberties Association and the Pivot Legal Society for leave to intervene in the above appeal;</w:t>
      </w:r>
    </w:p>
    <w:p w:rsidR="00DA3564" w:rsidRPr="00BC604C" w:rsidRDefault="00DA3564" w:rsidP="00DA3564">
      <w:pPr>
        <w:spacing w:line="232" w:lineRule="auto"/>
        <w:rPr>
          <w:rFonts w:cs="Times New Roman"/>
          <w:b/>
          <w:bCs/>
          <w:sz w:val="20"/>
          <w:szCs w:val="20"/>
        </w:rPr>
      </w:pPr>
    </w:p>
    <w:p w:rsidR="00DA3564" w:rsidRPr="00BC604C" w:rsidRDefault="00DA3564" w:rsidP="00DA3564">
      <w:pPr>
        <w:spacing w:line="232" w:lineRule="auto"/>
        <w:rPr>
          <w:rFonts w:cs="Times New Roman"/>
          <w:sz w:val="20"/>
          <w:szCs w:val="20"/>
        </w:rPr>
      </w:pPr>
      <w:r w:rsidRPr="00BC604C">
        <w:rPr>
          <w:rFonts w:cs="Times New Roman"/>
          <w:b/>
          <w:bCs/>
          <w:sz w:val="20"/>
          <w:szCs w:val="20"/>
        </w:rPr>
        <w:t>AND THE MATERIAL FILED</w:t>
      </w:r>
      <w:r w:rsidRPr="00BC604C">
        <w:rPr>
          <w:rFonts w:cs="Times New Roman"/>
          <w:sz w:val="20"/>
          <w:szCs w:val="20"/>
        </w:rPr>
        <w:t xml:space="preserve"> having been read;</w:t>
      </w:r>
    </w:p>
    <w:p w:rsidR="00DA3564" w:rsidRPr="00BC604C" w:rsidRDefault="00DA3564" w:rsidP="00DA3564">
      <w:pPr>
        <w:spacing w:line="232" w:lineRule="auto"/>
        <w:rPr>
          <w:rFonts w:cs="Times New Roman"/>
          <w:sz w:val="20"/>
          <w:szCs w:val="20"/>
        </w:rPr>
      </w:pPr>
    </w:p>
    <w:p w:rsidR="007F08DB" w:rsidRDefault="007F08DB">
      <w:pPr>
        <w:rPr>
          <w:rFonts w:cs="Times New Roman"/>
          <w:b/>
          <w:bCs/>
          <w:sz w:val="20"/>
          <w:szCs w:val="20"/>
        </w:rPr>
      </w:pPr>
      <w:r>
        <w:rPr>
          <w:rFonts w:cs="Times New Roman"/>
          <w:b/>
          <w:bCs/>
          <w:sz w:val="20"/>
          <w:szCs w:val="20"/>
        </w:rPr>
        <w:br w:type="page"/>
      </w:r>
    </w:p>
    <w:p w:rsidR="00DA3564" w:rsidRPr="00BC604C" w:rsidRDefault="00DA3564" w:rsidP="00DA3564">
      <w:pPr>
        <w:spacing w:line="232" w:lineRule="auto"/>
        <w:rPr>
          <w:rFonts w:cs="Times New Roman"/>
          <w:sz w:val="20"/>
          <w:szCs w:val="20"/>
        </w:rPr>
      </w:pPr>
      <w:r w:rsidRPr="00BC604C">
        <w:rPr>
          <w:rFonts w:cs="Times New Roman"/>
          <w:b/>
          <w:bCs/>
          <w:sz w:val="20"/>
          <w:szCs w:val="20"/>
        </w:rPr>
        <w:lastRenderedPageBreak/>
        <w:t>IT IS HEREBY ORDERED THAT:</w:t>
      </w:r>
    </w:p>
    <w:p w:rsidR="00DA3564" w:rsidRPr="00BC604C" w:rsidRDefault="00DA3564" w:rsidP="00DA3564">
      <w:pPr>
        <w:spacing w:line="232" w:lineRule="auto"/>
        <w:rPr>
          <w:rFonts w:cs="Times New Roman"/>
          <w:sz w:val="20"/>
          <w:szCs w:val="20"/>
        </w:rPr>
      </w:pPr>
    </w:p>
    <w:p w:rsidR="00DA3564" w:rsidRPr="00BC604C" w:rsidRDefault="00DA3564" w:rsidP="00D1641D">
      <w:pPr>
        <w:spacing w:line="228" w:lineRule="auto"/>
        <w:jc w:val="both"/>
        <w:rPr>
          <w:rFonts w:cs="Times New Roman"/>
          <w:sz w:val="20"/>
          <w:szCs w:val="20"/>
        </w:rPr>
      </w:pPr>
      <w:r w:rsidRPr="00BC604C">
        <w:rPr>
          <w:rFonts w:cs="Times New Roman"/>
          <w:sz w:val="20"/>
          <w:szCs w:val="20"/>
        </w:rPr>
        <w:t>The motions for leave to intervene are granted and the said five (5) interveners</w:t>
      </w:r>
      <w:r w:rsidRPr="00BC604C">
        <w:rPr>
          <w:rFonts w:eastAsia="Times New Roman" w:cs="Times New Roman"/>
          <w:sz w:val="20"/>
          <w:szCs w:val="20"/>
          <w:lang w:eastAsia="fr-FR"/>
        </w:rPr>
        <w:t xml:space="preserve"> or group of interveners </w:t>
      </w:r>
      <w:r w:rsidRPr="00BC604C">
        <w:rPr>
          <w:rFonts w:cs="Times New Roman"/>
          <w:sz w:val="20"/>
          <w:szCs w:val="20"/>
        </w:rPr>
        <w:t xml:space="preserve">shall be entitled to serve and file a factum not to exceed ten (10) pages in length on or before December 13, 2017. </w:t>
      </w:r>
    </w:p>
    <w:p w:rsidR="00DA3564" w:rsidRPr="00BC604C" w:rsidRDefault="00DA3564" w:rsidP="00D1641D">
      <w:pPr>
        <w:spacing w:line="233" w:lineRule="auto"/>
        <w:jc w:val="both"/>
        <w:rPr>
          <w:rFonts w:cs="Times New Roman"/>
          <w:bCs/>
          <w:sz w:val="20"/>
          <w:szCs w:val="20"/>
        </w:rPr>
      </w:pPr>
    </w:p>
    <w:p w:rsidR="00DA3564" w:rsidRPr="00BC604C" w:rsidRDefault="00DA3564" w:rsidP="00D1641D">
      <w:pPr>
        <w:spacing w:line="228" w:lineRule="auto"/>
        <w:jc w:val="both"/>
        <w:rPr>
          <w:rFonts w:cs="Times New Roman"/>
          <w:sz w:val="20"/>
          <w:szCs w:val="20"/>
        </w:rPr>
      </w:pPr>
      <w:r w:rsidRPr="00BC604C">
        <w:rPr>
          <w:rFonts w:cs="Times New Roman"/>
          <w:bCs/>
          <w:sz w:val="20"/>
          <w:szCs w:val="20"/>
        </w:rPr>
        <w:t>The said interveners</w:t>
      </w:r>
      <w:r w:rsidRPr="00BC604C">
        <w:rPr>
          <w:rFonts w:cs="Times New Roman"/>
          <w:sz w:val="20"/>
          <w:szCs w:val="20"/>
        </w:rPr>
        <w:t xml:space="preserve"> or group of interveners are each granted permission to present oral argument not exceeding five (5) minutes at the hearing of the appeal.</w:t>
      </w:r>
    </w:p>
    <w:p w:rsidR="00DA3564" w:rsidRPr="00BC604C" w:rsidRDefault="00DA3564" w:rsidP="00D1641D">
      <w:pPr>
        <w:spacing w:line="228" w:lineRule="auto"/>
        <w:jc w:val="both"/>
        <w:rPr>
          <w:rFonts w:cs="Times New Roman"/>
          <w:sz w:val="20"/>
          <w:szCs w:val="20"/>
          <w:lang w:eastAsia="fr-FR"/>
        </w:rPr>
      </w:pPr>
    </w:p>
    <w:p w:rsidR="00DA3564" w:rsidRPr="00BC604C" w:rsidRDefault="00DA3564" w:rsidP="00D1641D">
      <w:pPr>
        <w:spacing w:line="228" w:lineRule="auto"/>
        <w:jc w:val="both"/>
        <w:rPr>
          <w:rFonts w:cs="Times New Roman"/>
          <w:bCs/>
          <w:sz w:val="20"/>
          <w:szCs w:val="20"/>
        </w:rPr>
      </w:pPr>
      <w:r w:rsidRPr="00BC604C">
        <w:rPr>
          <w:rFonts w:cs="Times New Roman"/>
          <w:sz w:val="20"/>
          <w:szCs w:val="20"/>
        </w:rPr>
        <w:fldChar w:fldCharType="begin"/>
      </w:r>
      <w:r w:rsidRPr="00BC604C">
        <w:rPr>
          <w:rFonts w:cs="Times New Roman"/>
          <w:sz w:val="20"/>
          <w:szCs w:val="20"/>
        </w:rPr>
        <w:instrText xml:space="preserve"> SEQ CHAPTER \h \r 1</w:instrText>
      </w:r>
      <w:r w:rsidRPr="00BC604C">
        <w:rPr>
          <w:rFonts w:cs="Times New Roman"/>
          <w:sz w:val="20"/>
          <w:szCs w:val="20"/>
        </w:rPr>
        <w:fldChar w:fldCharType="end"/>
      </w:r>
      <w:r w:rsidRPr="00BC604C">
        <w:rPr>
          <w:rFonts w:cs="Times New Roman"/>
          <w:bCs/>
          <w:sz w:val="20"/>
          <w:szCs w:val="20"/>
        </w:rPr>
        <w:t>The interveners or group of interveners are not entitled to raise new issues or to adduce further evidence or otherwise to supplement the record of the parties.</w:t>
      </w:r>
    </w:p>
    <w:p w:rsidR="00DA3564" w:rsidRPr="00BC604C" w:rsidRDefault="00DA3564" w:rsidP="00D1641D">
      <w:pPr>
        <w:spacing w:line="228" w:lineRule="auto"/>
        <w:jc w:val="both"/>
        <w:rPr>
          <w:rFonts w:cs="Times New Roman"/>
          <w:b/>
          <w:bCs/>
          <w:sz w:val="20"/>
          <w:szCs w:val="20"/>
        </w:rPr>
      </w:pPr>
    </w:p>
    <w:p w:rsidR="00DA3564" w:rsidRPr="00BC604C" w:rsidRDefault="00DA3564" w:rsidP="00D1641D">
      <w:pPr>
        <w:spacing w:line="230" w:lineRule="auto"/>
        <w:jc w:val="both"/>
        <w:rPr>
          <w:rFonts w:cs="Times New Roman"/>
          <w:sz w:val="20"/>
          <w:szCs w:val="20"/>
        </w:rPr>
      </w:pPr>
      <w:r w:rsidRPr="00BC604C">
        <w:rPr>
          <w:rFonts w:cs="Times New Roman"/>
          <w:sz w:val="20"/>
          <w:szCs w:val="20"/>
        </w:rPr>
        <w:t>Pursuant to Rule 59(1</w:t>
      </w:r>
      <w:proofErr w:type="gramStart"/>
      <w:r w:rsidRPr="00BC604C">
        <w:rPr>
          <w:rFonts w:cs="Times New Roman"/>
          <w:sz w:val="20"/>
          <w:szCs w:val="20"/>
        </w:rPr>
        <w:t>)(</w:t>
      </w:r>
      <w:proofErr w:type="gramEnd"/>
      <w:r w:rsidRPr="00BC604C">
        <w:rPr>
          <w:rFonts w:cs="Times New Roman"/>
          <w:i/>
          <w:iCs/>
          <w:sz w:val="20"/>
          <w:szCs w:val="20"/>
        </w:rPr>
        <w:t>a</w:t>
      </w:r>
      <w:r w:rsidRPr="00BC604C">
        <w:rPr>
          <w:rFonts w:cs="Times New Roman"/>
          <w:sz w:val="20"/>
          <w:szCs w:val="20"/>
        </w:rPr>
        <w:t xml:space="preserve">) of the </w:t>
      </w:r>
      <w:r w:rsidRPr="00BC604C">
        <w:rPr>
          <w:rFonts w:cs="Times New Roman"/>
          <w:i/>
          <w:iCs/>
          <w:sz w:val="20"/>
          <w:szCs w:val="20"/>
        </w:rPr>
        <w:t>Rules of the Supreme Court of Canada</w:t>
      </w:r>
      <w:r w:rsidRPr="00BC604C">
        <w:rPr>
          <w:rFonts w:cs="Times New Roman"/>
          <w:sz w:val="20"/>
          <w:szCs w:val="20"/>
        </w:rPr>
        <w:t>, the interveners or group of interveners shall pay to the appellant and the respondents any additional disbursements resulting from their intervention.</w:t>
      </w:r>
    </w:p>
    <w:p w:rsidR="00CA2DEA" w:rsidRDefault="00CA2DEA" w:rsidP="00D1641D">
      <w:pPr>
        <w:tabs>
          <w:tab w:val="left" w:pos="-1440"/>
          <w:tab w:val="left" w:pos="-720"/>
        </w:tabs>
        <w:jc w:val="both"/>
        <w:rPr>
          <w:sz w:val="20"/>
          <w:szCs w:val="20"/>
        </w:rPr>
      </w:pPr>
    </w:p>
    <w:p w:rsidR="007F08DB" w:rsidRDefault="00ED1F08" w:rsidP="00D1641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7F08DB" w:rsidRDefault="007F08DB" w:rsidP="0010587F">
      <w:pPr>
        <w:tabs>
          <w:tab w:val="left" w:pos="-1440"/>
          <w:tab w:val="left" w:pos="-720"/>
        </w:tabs>
        <w:jc w:val="both"/>
        <w:rPr>
          <w:rFonts w:eastAsia="Times New Roman" w:cs="Times New Roman"/>
          <w:sz w:val="20"/>
          <w:szCs w:val="20"/>
          <w:lang w:val="fr-CA" w:eastAsia="en-CA"/>
        </w:rPr>
      </w:pPr>
    </w:p>
    <w:p w:rsidR="007F08DB" w:rsidRDefault="00AC460B" w:rsidP="001058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03.11.2017</w:t>
      </w:r>
    </w:p>
    <w:p w:rsidR="00AC460B" w:rsidRDefault="00AC460B" w:rsidP="0010587F">
      <w:pPr>
        <w:tabs>
          <w:tab w:val="left" w:pos="-1440"/>
          <w:tab w:val="left" w:pos="-720"/>
        </w:tabs>
        <w:jc w:val="both"/>
        <w:rPr>
          <w:rFonts w:eastAsia="Times New Roman" w:cs="Times New Roman"/>
          <w:sz w:val="20"/>
          <w:szCs w:val="20"/>
          <w:lang w:val="fr-CA" w:eastAsia="en-CA"/>
        </w:rPr>
      </w:pPr>
    </w:p>
    <w:p w:rsidR="00AC460B" w:rsidRDefault="00AC460B" w:rsidP="001058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Before / Devant : BROWN J. / LE JUGE BROWN</w:t>
      </w:r>
    </w:p>
    <w:p w:rsidR="00AC460B" w:rsidRDefault="00AC460B" w:rsidP="0010587F">
      <w:pPr>
        <w:tabs>
          <w:tab w:val="left" w:pos="-1440"/>
          <w:tab w:val="left" w:pos="-720"/>
        </w:tabs>
        <w:jc w:val="both"/>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C460B" w:rsidRPr="00ED1F08" w:rsidTr="009E0AA9">
        <w:tc>
          <w:tcPr>
            <w:tcW w:w="4380" w:type="dxa"/>
            <w:tcBorders>
              <w:top w:val="nil"/>
              <w:left w:val="nil"/>
              <w:bottom w:val="nil"/>
              <w:right w:val="nil"/>
            </w:tcBorders>
          </w:tcPr>
          <w:p w:rsidR="00AC460B" w:rsidRDefault="00AC460B" w:rsidP="009E0AA9">
            <w:pPr>
              <w:jc w:val="both"/>
              <w:rPr>
                <w:rFonts w:cs="Times New Roman"/>
                <w:b/>
                <w:bCs/>
                <w:color w:val="000000"/>
                <w:sz w:val="20"/>
                <w:szCs w:val="20"/>
                <w:lang w:val="en-GB"/>
              </w:rPr>
            </w:pPr>
            <w:r w:rsidRPr="00D12F79">
              <w:rPr>
                <w:rFonts w:cs="Times New Roman"/>
                <w:b/>
                <w:bCs/>
                <w:color w:val="000000"/>
                <w:sz w:val="20"/>
                <w:szCs w:val="20"/>
                <w:lang w:val="en-GB"/>
              </w:rPr>
              <w:t>Motion to extend time</w:t>
            </w:r>
          </w:p>
          <w:p w:rsidR="00AC460B" w:rsidRPr="00D12F79" w:rsidRDefault="00AC460B" w:rsidP="009E0AA9">
            <w:pPr>
              <w:jc w:val="both"/>
              <w:rPr>
                <w:rFonts w:cs="Times New Roman"/>
                <w:color w:val="000000"/>
                <w:sz w:val="20"/>
                <w:szCs w:val="20"/>
                <w:lang w:val="en-GB"/>
              </w:rPr>
            </w:pPr>
          </w:p>
        </w:tc>
        <w:tc>
          <w:tcPr>
            <w:tcW w:w="720" w:type="dxa"/>
            <w:tcBorders>
              <w:top w:val="nil"/>
              <w:left w:val="nil"/>
              <w:bottom w:val="nil"/>
              <w:right w:val="nil"/>
            </w:tcBorders>
          </w:tcPr>
          <w:p w:rsidR="00AC460B" w:rsidRPr="00D12F79" w:rsidRDefault="00AC460B" w:rsidP="009E0AA9">
            <w:pPr>
              <w:rPr>
                <w:rFonts w:cs="Times New Roman"/>
                <w:color w:val="000000"/>
                <w:sz w:val="20"/>
                <w:szCs w:val="20"/>
                <w:lang w:val="en-GB"/>
              </w:rPr>
            </w:pPr>
          </w:p>
        </w:tc>
        <w:tc>
          <w:tcPr>
            <w:tcW w:w="4380" w:type="dxa"/>
            <w:tcBorders>
              <w:top w:val="nil"/>
              <w:left w:val="nil"/>
              <w:bottom w:val="nil"/>
              <w:right w:val="nil"/>
            </w:tcBorders>
          </w:tcPr>
          <w:p w:rsidR="00AC460B" w:rsidRPr="00D12F79" w:rsidRDefault="00AC460B" w:rsidP="009E0AA9">
            <w:pPr>
              <w:jc w:val="both"/>
              <w:rPr>
                <w:rFonts w:cs="Times New Roman"/>
                <w:color w:val="000000"/>
                <w:sz w:val="20"/>
                <w:szCs w:val="20"/>
                <w:lang w:val="fr-CA"/>
              </w:rPr>
            </w:pPr>
            <w:r w:rsidRPr="00D12F79">
              <w:rPr>
                <w:rFonts w:cs="Times New Roman"/>
                <w:b/>
                <w:bCs/>
                <w:color w:val="000000"/>
                <w:sz w:val="20"/>
                <w:szCs w:val="20"/>
                <w:lang w:val="fr-CA"/>
              </w:rPr>
              <w:t>Requête en prorogation de délai</w:t>
            </w:r>
          </w:p>
        </w:tc>
      </w:tr>
      <w:tr w:rsidR="00AC460B" w:rsidRPr="00ED1F08" w:rsidTr="009E0AA9">
        <w:tc>
          <w:tcPr>
            <w:tcW w:w="4380" w:type="dxa"/>
            <w:tcBorders>
              <w:top w:val="nil"/>
              <w:left w:val="nil"/>
              <w:bottom w:val="nil"/>
              <w:right w:val="nil"/>
            </w:tcBorders>
          </w:tcPr>
          <w:p w:rsidR="00AC460B" w:rsidRDefault="00AC460B" w:rsidP="009E0AA9">
            <w:pPr>
              <w:jc w:val="both"/>
              <w:rPr>
                <w:rFonts w:cs="Times New Roman"/>
                <w:color w:val="000000"/>
                <w:sz w:val="20"/>
                <w:szCs w:val="20"/>
                <w:lang w:val="en-US"/>
              </w:rPr>
            </w:pPr>
            <w:r>
              <w:rPr>
                <w:rFonts w:cs="Times New Roman"/>
                <w:color w:val="000000"/>
                <w:sz w:val="20"/>
                <w:szCs w:val="20"/>
                <w:lang w:val="en-US"/>
              </w:rPr>
              <w:t>Office of the Children’s Lawyer</w:t>
            </w:r>
          </w:p>
          <w:p w:rsidR="00AC460B" w:rsidRDefault="00AC460B" w:rsidP="009E0AA9">
            <w:pPr>
              <w:jc w:val="both"/>
              <w:rPr>
                <w:rFonts w:cs="Times New Roman"/>
                <w:color w:val="000000"/>
                <w:sz w:val="20"/>
                <w:szCs w:val="20"/>
                <w:lang w:val="en-US"/>
              </w:rPr>
            </w:pPr>
          </w:p>
          <w:p w:rsidR="00AC460B" w:rsidRDefault="00AC460B" w:rsidP="009E0AA9">
            <w:pPr>
              <w:jc w:val="both"/>
              <w:rPr>
                <w:rFonts w:cs="Times New Roman"/>
                <w:color w:val="000000"/>
                <w:sz w:val="20"/>
                <w:szCs w:val="20"/>
                <w:lang w:val="en-US"/>
              </w:rPr>
            </w:pPr>
            <w:r>
              <w:rPr>
                <w:rFonts w:cs="Times New Roman"/>
                <w:color w:val="000000"/>
                <w:sz w:val="20"/>
                <w:szCs w:val="20"/>
                <w:lang w:val="en-US"/>
              </w:rPr>
              <w:tab/>
              <w:t>v. (37250)</w:t>
            </w:r>
          </w:p>
          <w:p w:rsidR="00AC460B" w:rsidRDefault="00AC460B" w:rsidP="009E0AA9">
            <w:pPr>
              <w:jc w:val="both"/>
              <w:rPr>
                <w:rFonts w:cs="Times New Roman"/>
                <w:color w:val="000000"/>
                <w:sz w:val="20"/>
                <w:szCs w:val="20"/>
                <w:lang w:val="en-US"/>
              </w:rPr>
            </w:pPr>
          </w:p>
          <w:p w:rsidR="00AC460B" w:rsidRPr="00D12F79" w:rsidRDefault="00AC460B" w:rsidP="009E0AA9">
            <w:pPr>
              <w:jc w:val="both"/>
              <w:rPr>
                <w:rFonts w:cs="Times New Roman"/>
                <w:color w:val="000000"/>
                <w:sz w:val="20"/>
                <w:szCs w:val="20"/>
                <w:lang w:val="fr-CA"/>
              </w:rPr>
            </w:pPr>
            <w:r w:rsidRPr="00AC460B">
              <w:rPr>
                <w:rFonts w:cs="Times New Roman"/>
                <w:color w:val="000000"/>
                <w:sz w:val="20"/>
                <w:szCs w:val="20"/>
                <w:lang w:val="fr-CA"/>
              </w:rPr>
              <w:t xml:space="preserve">John Paul </w:t>
            </w:r>
            <w:proofErr w:type="spellStart"/>
            <w:r w:rsidRPr="00AC460B">
              <w:rPr>
                <w:rFonts w:cs="Times New Roman"/>
                <w:color w:val="000000"/>
                <w:sz w:val="20"/>
                <w:szCs w:val="20"/>
                <w:lang w:val="fr-CA"/>
              </w:rPr>
              <w:t>Balev</w:t>
            </w:r>
            <w:proofErr w:type="spellEnd"/>
            <w:r w:rsidRPr="00AC460B">
              <w:rPr>
                <w:rFonts w:cs="Times New Roman"/>
                <w:color w:val="000000"/>
                <w:sz w:val="20"/>
                <w:szCs w:val="20"/>
                <w:lang w:val="fr-CA"/>
              </w:rPr>
              <w:t xml:space="preserve"> et al. (Ont.)</w:t>
            </w:r>
          </w:p>
        </w:tc>
        <w:tc>
          <w:tcPr>
            <w:tcW w:w="720" w:type="dxa"/>
            <w:tcBorders>
              <w:top w:val="nil"/>
              <w:left w:val="nil"/>
              <w:bottom w:val="nil"/>
              <w:right w:val="nil"/>
            </w:tcBorders>
          </w:tcPr>
          <w:p w:rsidR="00AC460B" w:rsidRPr="00D12F79" w:rsidRDefault="00AC460B" w:rsidP="009E0AA9">
            <w:pPr>
              <w:jc w:val="both"/>
              <w:rPr>
                <w:rFonts w:cs="Times New Roman"/>
                <w:color w:val="000000"/>
                <w:sz w:val="20"/>
                <w:szCs w:val="20"/>
                <w:lang w:val="fr-CA"/>
              </w:rPr>
            </w:pPr>
          </w:p>
        </w:tc>
        <w:tc>
          <w:tcPr>
            <w:tcW w:w="4380" w:type="dxa"/>
            <w:tcBorders>
              <w:top w:val="nil"/>
              <w:left w:val="nil"/>
              <w:bottom w:val="nil"/>
              <w:right w:val="nil"/>
            </w:tcBorders>
          </w:tcPr>
          <w:p w:rsidR="00AC460B" w:rsidRPr="00D12F79" w:rsidRDefault="00AC460B" w:rsidP="009E0AA9">
            <w:pPr>
              <w:jc w:val="both"/>
              <w:rPr>
                <w:rFonts w:cs="Times New Roman"/>
                <w:color w:val="000000"/>
                <w:sz w:val="20"/>
                <w:szCs w:val="20"/>
                <w:lang w:val="fr-CA"/>
              </w:rPr>
            </w:pPr>
          </w:p>
        </w:tc>
      </w:tr>
    </w:tbl>
    <w:p w:rsidR="00AC460B" w:rsidRDefault="00AC460B" w:rsidP="0010587F">
      <w:pPr>
        <w:tabs>
          <w:tab w:val="left" w:pos="-1440"/>
          <w:tab w:val="left" w:pos="-720"/>
        </w:tabs>
        <w:jc w:val="both"/>
        <w:rPr>
          <w:rFonts w:eastAsia="Times New Roman" w:cs="Times New Roman"/>
          <w:sz w:val="20"/>
          <w:szCs w:val="20"/>
          <w:lang w:val="fr-CA" w:eastAsia="en-CA"/>
        </w:rPr>
      </w:pPr>
    </w:p>
    <w:p w:rsidR="007F08DB" w:rsidRPr="009E0AA9" w:rsidRDefault="00AC460B" w:rsidP="00D1641D">
      <w:pPr>
        <w:tabs>
          <w:tab w:val="left" w:pos="-1440"/>
          <w:tab w:val="left" w:pos="-720"/>
        </w:tabs>
        <w:jc w:val="both"/>
        <w:rPr>
          <w:b/>
          <w:sz w:val="20"/>
          <w:szCs w:val="20"/>
          <w:lang w:val="en-US"/>
        </w:rPr>
      </w:pPr>
      <w:r w:rsidRPr="009E0AA9">
        <w:rPr>
          <w:b/>
          <w:sz w:val="20"/>
          <w:szCs w:val="20"/>
          <w:lang w:val="en-US"/>
        </w:rPr>
        <w:t>GRANTED / ACCORDÉE</w:t>
      </w:r>
    </w:p>
    <w:p w:rsidR="00AC460B" w:rsidRPr="009E0AA9" w:rsidRDefault="00AC460B" w:rsidP="00D1641D">
      <w:pPr>
        <w:tabs>
          <w:tab w:val="left" w:pos="-1440"/>
          <w:tab w:val="left" w:pos="-720"/>
        </w:tabs>
        <w:jc w:val="both"/>
        <w:rPr>
          <w:b/>
          <w:sz w:val="20"/>
          <w:szCs w:val="20"/>
          <w:lang w:val="en-US"/>
        </w:rPr>
      </w:pPr>
    </w:p>
    <w:p w:rsidR="00AC460B" w:rsidRPr="007D3359" w:rsidRDefault="00AC460B" w:rsidP="00D1641D">
      <w:pPr>
        <w:spacing w:line="233" w:lineRule="auto"/>
        <w:jc w:val="both"/>
        <w:rPr>
          <w:rFonts w:cs="Times New Roman"/>
          <w:bCs/>
          <w:sz w:val="20"/>
          <w:szCs w:val="20"/>
        </w:rPr>
      </w:pPr>
      <w:r w:rsidRPr="007D3359">
        <w:rPr>
          <w:rFonts w:cs="Times New Roman"/>
          <w:b/>
          <w:bCs/>
          <w:sz w:val="20"/>
          <w:szCs w:val="20"/>
        </w:rPr>
        <w:t xml:space="preserve">UPON APPLICATION </w:t>
      </w:r>
      <w:r w:rsidRPr="007D3359">
        <w:rPr>
          <w:rFonts w:cs="Times New Roman"/>
          <w:sz w:val="20"/>
          <w:szCs w:val="20"/>
        </w:rPr>
        <w:t>by the appellant for an order extending the time to file its reply factum and any related book of authorities to November 2, 2017;</w:t>
      </w:r>
    </w:p>
    <w:p w:rsidR="00AC460B" w:rsidRPr="007D3359" w:rsidRDefault="00AC460B" w:rsidP="00D1641D">
      <w:pPr>
        <w:spacing w:line="232" w:lineRule="auto"/>
        <w:jc w:val="both"/>
        <w:rPr>
          <w:rFonts w:cs="Times New Roman"/>
          <w:b/>
          <w:bCs/>
          <w:sz w:val="20"/>
          <w:szCs w:val="20"/>
        </w:rPr>
      </w:pPr>
    </w:p>
    <w:p w:rsidR="00AC460B" w:rsidRPr="007D3359" w:rsidRDefault="00AC460B" w:rsidP="00D1641D">
      <w:pPr>
        <w:spacing w:line="232" w:lineRule="auto"/>
        <w:jc w:val="both"/>
        <w:rPr>
          <w:rFonts w:cs="Times New Roman"/>
          <w:sz w:val="20"/>
          <w:szCs w:val="20"/>
        </w:rPr>
      </w:pPr>
      <w:r w:rsidRPr="007D3359">
        <w:rPr>
          <w:rFonts w:cs="Times New Roman"/>
          <w:b/>
          <w:bCs/>
          <w:sz w:val="20"/>
          <w:szCs w:val="20"/>
        </w:rPr>
        <w:t>AND THE MATERIAL FILED</w:t>
      </w:r>
      <w:r w:rsidRPr="007D3359">
        <w:rPr>
          <w:rFonts w:cs="Times New Roman"/>
          <w:sz w:val="20"/>
          <w:szCs w:val="20"/>
        </w:rPr>
        <w:t xml:space="preserve"> having been read;</w:t>
      </w:r>
    </w:p>
    <w:p w:rsidR="00AC460B" w:rsidRPr="007D3359" w:rsidRDefault="00AC460B" w:rsidP="00D1641D">
      <w:pPr>
        <w:spacing w:line="232" w:lineRule="auto"/>
        <w:jc w:val="both"/>
        <w:rPr>
          <w:rFonts w:cs="Times New Roman"/>
          <w:sz w:val="20"/>
          <w:szCs w:val="20"/>
        </w:rPr>
      </w:pPr>
    </w:p>
    <w:p w:rsidR="00AC460B" w:rsidRPr="007D3359" w:rsidRDefault="00AC460B" w:rsidP="00D1641D">
      <w:pPr>
        <w:jc w:val="both"/>
        <w:rPr>
          <w:rFonts w:cs="Times New Roman"/>
          <w:sz w:val="20"/>
          <w:szCs w:val="20"/>
        </w:rPr>
      </w:pPr>
      <w:r w:rsidRPr="007D3359">
        <w:rPr>
          <w:rFonts w:cs="Times New Roman"/>
          <w:b/>
          <w:sz w:val="20"/>
          <w:szCs w:val="20"/>
        </w:rPr>
        <w:t>AND NOTING THAT</w:t>
      </w:r>
      <w:r w:rsidRPr="007D3359">
        <w:rPr>
          <w:sz w:val="20"/>
          <w:szCs w:val="20"/>
        </w:rPr>
        <w:t xml:space="preserve"> </w:t>
      </w:r>
      <w:r w:rsidRPr="007D3359">
        <w:rPr>
          <w:rFonts w:cs="Times New Roman"/>
          <w:sz w:val="20"/>
          <w:szCs w:val="20"/>
        </w:rPr>
        <w:t xml:space="preserve">the respondent, John Paul </w:t>
      </w:r>
      <w:proofErr w:type="spellStart"/>
      <w:r w:rsidRPr="007D3359">
        <w:rPr>
          <w:rFonts w:cs="Times New Roman"/>
          <w:sz w:val="20"/>
          <w:szCs w:val="20"/>
        </w:rPr>
        <w:t>Balev</w:t>
      </w:r>
      <w:proofErr w:type="spellEnd"/>
      <w:r w:rsidRPr="007D3359">
        <w:rPr>
          <w:rFonts w:cs="Times New Roman"/>
          <w:sz w:val="20"/>
          <w:szCs w:val="20"/>
        </w:rPr>
        <w:t>, takes no position on the motion;</w:t>
      </w:r>
    </w:p>
    <w:p w:rsidR="00AC460B" w:rsidRPr="007D3359" w:rsidRDefault="00AC460B" w:rsidP="00D1641D">
      <w:pPr>
        <w:jc w:val="both"/>
        <w:rPr>
          <w:rFonts w:cs="Times New Roman"/>
          <w:sz w:val="20"/>
          <w:szCs w:val="20"/>
        </w:rPr>
      </w:pPr>
    </w:p>
    <w:p w:rsidR="00AC460B" w:rsidRPr="007D3359" w:rsidRDefault="00AC460B" w:rsidP="00D1641D">
      <w:pPr>
        <w:jc w:val="both"/>
        <w:rPr>
          <w:rFonts w:cs="Times New Roman"/>
          <w:sz w:val="20"/>
          <w:szCs w:val="20"/>
        </w:rPr>
      </w:pPr>
      <w:r w:rsidRPr="007D3359">
        <w:rPr>
          <w:rFonts w:cs="Times New Roman"/>
          <w:b/>
          <w:sz w:val="20"/>
          <w:szCs w:val="20"/>
        </w:rPr>
        <w:t>AND NOTING THAT</w:t>
      </w:r>
      <w:r w:rsidRPr="007D3359">
        <w:rPr>
          <w:sz w:val="20"/>
          <w:szCs w:val="20"/>
        </w:rPr>
        <w:t xml:space="preserve"> </w:t>
      </w:r>
      <w:r w:rsidRPr="007D3359">
        <w:rPr>
          <w:rFonts w:cs="Times New Roman"/>
          <w:sz w:val="20"/>
          <w:szCs w:val="20"/>
        </w:rPr>
        <w:t xml:space="preserve">the respondent, Catherine-Rose </w:t>
      </w:r>
      <w:proofErr w:type="spellStart"/>
      <w:r w:rsidRPr="007D3359">
        <w:rPr>
          <w:rFonts w:cs="Times New Roman"/>
          <w:sz w:val="20"/>
          <w:szCs w:val="20"/>
        </w:rPr>
        <w:t>Baggott</w:t>
      </w:r>
      <w:proofErr w:type="spellEnd"/>
      <w:r w:rsidRPr="007D3359">
        <w:rPr>
          <w:rFonts w:cs="Times New Roman"/>
          <w:sz w:val="20"/>
          <w:szCs w:val="20"/>
        </w:rPr>
        <w:t>, and the interveners consent to the motion;</w:t>
      </w:r>
    </w:p>
    <w:p w:rsidR="00AC460B" w:rsidRPr="007D3359" w:rsidRDefault="00AC460B" w:rsidP="00D1641D">
      <w:pPr>
        <w:spacing w:line="232" w:lineRule="auto"/>
        <w:jc w:val="both"/>
        <w:rPr>
          <w:rFonts w:cs="Times New Roman"/>
          <w:sz w:val="20"/>
          <w:szCs w:val="20"/>
        </w:rPr>
      </w:pPr>
    </w:p>
    <w:p w:rsidR="00AC460B" w:rsidRPr="007D3359" w:rsidRDefault="00AC460B" w:rsidP="00D1641D">
      <w:pPr>
        <w:spacing w:line="232" w:lineRule="auto"/>
        <w:jc w:val="both"/>
        <w:rPr>
          <w:rFonts w:cs="Times New Roman"/>
          <w:sz w:val="20"/>
          <w:szCs w:val="20"/>
        </w:rPr>
      </w:pPr>
      <w:r w:rsidRPr="007D3359">
        <w:rPr>
          <w:rFonts w:cs="Times New Roman"/>
          <w:b/>
          <w:bCs/>
          <w:sz w:val="20"/>
          <w:szCs w:val="20"/>
        </w:rPr>
        <w:t>IT IS HEREBY ORDERED THAT:</w:t>
      </w:r>
    </w:p>
    <w:p w:rsidR="00AC460B" w:rsidRPr="007D3359" w:rsidRDefault="00AC460B" w:rsidP="00D1641D">
      <w:pPr>
        <w:spacing w:line="232" w:lineRule="auto"/>
        <w:jc w:val="both"/>
        <w:rPr>
          <w:rFonts w:cs="Times New Roman"/>
          <w:sz w:val="20"/>
          <w:szCs w:val="20"/>
        </w:rPr>
      </w:pPr>
    </w:p>
    <w:p w:rsidR="00AC460B" w:rsidRPr="007D3359" w:rsidRDefault="00AC460B" w:rsidP="00D1641D">
      <w:pPr>
        <w:spacing w:line="232" w:lineRule="auto"/>
        <w:jc w:val="both"/>
        <w:rPr>
          <w:rFonts w:cs="Times New Roman"/>
          <w:sz w:val="20"/>
          <w:szCs w:val="20"/>
          <w:lang w:val="fr-CA"/>
        </w:rPr>
      </w:pPr>
      <w:r w:rsidRPr="007D3359">
        <w:rPr>
          <w:rFonts w:cs="Times New Roman"/>
          <w:sz w:val="20"/>
          <w:szCs w:val="20"/>
          <w:lang w:val="fr-CA"/>
        </w:rPr>
        <w:t>The motion is granted.</w:t>
      </w: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sz w:val="20"/>
          <w:szCs w:val="20"/>
          <w:lang w:val="fr-CA"/>
        </w:rPr>
      </w:pPr>
      <w:r w:rsidRPr="007D3359">
        <w:rPr>
          <w:rFonts w:cs="Times New Roman"/>
          <w:b/>
          <w:sz w:val="20"/>
          <w:szCs w:val="20"/>
          <w:lang w:val="fr-CA"/>
        </w:rPr>
        <w:t>À LA SUITE DE LA DEMANDE</w:t>
      </w:r>
      <w:r w:rsidRPr="007D3359">
        <w:rPr>
          <w:rFonts w:cs="Times New Roman"/>
          <w:sz w:val="20"/>
          <w:szCs w:val="20"/>
          <w:lang w:val="fr-CA"/>
        </w:rPr>
        <w:t xml:space="preserve"> du demandeur en prorogation du délai pour déposer ses mémoires en réplique et tout recueil de sources connexe au 2 novembre 2017;</w:t>
      </w: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sz w:val="20"/>
          <w:szCs w:val="20"/>
          <w:lang w:val="fr-CA"/>
        </w:rPr>
      </w:pPr>
      <w:r w:rsidRPr="007D3359">
        <w:rPr>
          <w:rFonts w:cs="Times New Roman"/>
          <w:b/>
          <w:sz w:val="20"/>
          <w:szCs w:val="20"/>
          <w:lang w:val="fr-CA"/>
        </w:rPr>
        <w:t>ET APRÈS EXAMEN</w:t>
      </w:r>
      <w:r w:rsidRPr="007D3359">
        <w:rPr>
          <w:rFonts w:cs="Times New Roman"/>
          <w:sz w:val="20"/>
          <w:szCs w:val="20"/>
          <w:lang w:val="fr-CA"/>
        </w:rPr>
        <w:t xml:space="preserve"> des documents déposés;</w:t>
      </w: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sz w:val="20"/>
          <w:szCs w:val="20"/>
          <w:lang w:val="fr-CA"/>
        </w:rPr>
      </w:pPr>
      <w:r w:rsidRPr="007D3359">
        <w:rPr>
          <w:rFonts w:cs="Times New Roman"/>
          <w:b/>
          <w:sz w:val="20"/>
          <w:szCs w:val="20"/>
          <w:lang w:val="fr-CA"/>
        </w:rPr>
        <w:t>ET COMPTE TENU</w:t>
      </w:r>
      <w:r w:rsidRPr="007D3359">
        <w:rPr>
          <w:rFonts w:cs="Times New Roman"/>
          <w:sz w:val="20"/>
          <w:szCs w:val="20"/>
          <w:lang w:val="fr-CA"/>
        </w:rPr>
        <w:t xml:space="preserve"> du fait que l’intimé, John Paul Baley, ne prend pas position quant à la requête;</w:t>
      </w: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sz w:val="20"/>
          <w:szCs w:val="20"/>
          <w:lang w:val="fr-CA"/>
        </w:rPr>
      </w:pPr>
      <w:r w:rsidRPr="007D3359">
        <w:rPr>
          <w:rFonts w:cs="Times New Roman"/>
          <w:b/>
          <w:sz w:val="20"/>
          <w:szCs w:val="20"/>
          <w:lang w:val="fr-CA"/>
        </w:rPr>
        <w:t>ET COMPTE TENU</w:t>
      </w:r>
      <w:r w:rsidRPr="007D3359">
        <w:rPr>
          <w:rFonts w:cs="Times New Roman"/>
          <w:sz w:val="20"/>
          <w:szCs w:val="20"/>
          <w:lang w:val="fr-CA"/>
        </w:rPr>
        <w:t xml:space="preserve"> du fait que l’intimée, Catherine-Rose </w:t>
      </w:r>
      <w:proofErr w:type="spellStart"/>
      <w:r w:rsidRPr="007D3359">
        <w:rPr>
          <w:rFonts w:cs="Times New Roman"/>
          <w:sz w:val="20"/>
          <w:szCs w:val="20"/>
          <w:lang w:val="fr-CA"/>
        </w:rPr>
        <w:t>Baggott</w:t>
      </w:r>
      <w:proofErr w:type="spellEnd"/>
      <w:r w:rsidRPr="007D3359">
        <w:rPr>
          <w:rFonts w:cs="Times New Roman"/>
          <w:sz w:val="20"/>
          <w:szCs w:val="20"/>
          <w:lang w:val="fr-CA"/>
        </w:rPr>
        <w:t>, et les intervenants consentent à la requête;</w:t>
      </w: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b/>
          <w:sz w:val="20"/>
          <w:szCs w:val="20"/>
          <w:lang w:val="fr-CA"/>
        </w:rPr>
      </w:pPr>
      <w:r w:rsidRPr="007D3359">
        <w:rPr>
          <w:rFonts w:cs="Times New Roman"/>
          <w:b/>
          <w:sz w:val="20"/>
          <w:szCs w:val="20"/>
          <w:lang w:val="fr-CA"/>
        </w:rPr>
        <w:t>IL EST ORDONNÉ QUE :</w:t>
      </w:r>
    </w:p>
    <w:p w:rsidR="00AC460B" w:rsidRPr="007D3359" w:rsidRDefault="00AC460B" w:rsidP="00D1641D">
      <w:pPr>
        <w:spacing w:line="232" w:lineRule="auto"/>
        <w:jc w:val="both"/>
        <w:rPr>
          <w:rFonts w:cs="Times New Roman"/>
          <w:sz w:val="20"/>
          <w:szCs w:val="20"/>
          <w:lang w:val="fr-CA"/>
        </w:rPr>
      </w:pPr>
    </w:p>
    <w:p w:rsidR="00AC460B" w:rsidRPr="007D3359" w:rsidRDefault="00AC460B" w:rsidP="00D1641D">
      <w:pPr>
        <w:spacing w:line="232" w:lineRule="auto"/>
        <w:jc w:val="both"/>
        <w:rPr>
          <w:rFonts w:cs="Times New Roman"/>
          <w:sz w:val="20"/>
          <w:szCs w:val="20"/>
          <w:lang w:val="fr-CA"/>
        </w:rPr>
      </w:pPr>
      <w:r w:rsidRPr="007D3359">
        <w:rPr>
          <w:rFonts w:cs="Times New Roman"/>
          <w:sz w:val="20"/>
          <w:szCs w:val="20"/>
          <w:lang w:val="fr-CA"/>
        </w:rPr>
        <w:t>La requête est accueillie.</w:t>
      </w:r>
    </w:p>
    <w:p w:rsidR="00AC460B" w:rsidRPr="00AC460B" w:rsidRDefault="00ED1F08" w:rsidP="00D1641D">
      <w:pPr>
        <w:tabs>
          <w:tab w:val="left" w:pos="-1440"/>
          <w:tab w:val="left" w:pos="-720"/>
        </w:tabs>
        <w:jc w:val="both"/>
        <w:rPr>
          <w:sz w:val="20"/>
          <w:szCs w:val="20"/>
          <w:lang w:val="fr-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890FEB" w:rsidRDefault="00AC460B" w:rsidP="00831CA9">
      <w:pPr>
        <w:jc w:val="both"/>
        <w:rPr>
          <w:sz w:val="20"/>
          <w:szCs w:val="20"/>
          <w:lang w:val="fr-CA"/>
        </w:rPr>
      </w:pPr>
      <w:r>
        <w:rPr>
          <w:sz w:val="20"/>
          <w:szCs w:val="20"/>
          <w:lang w:val="fr-CA"/>
        </w:rPr>
        <w:lastRenderedPageBreak/>
        <w:t>07.11.2017</w:t>
      </w:r>
    </w:p>
    <w:p w:rsidR="00AC460B" w:rsidRDefault="00AC460B" w:rsidP="00831CA9">
      <w:pPr>
        <w:jc w:val="both"/>
        <w:rPr>
          <w:sz w:val="20"/>
          <w:szCs w:val="20"/>
          <w:lang w:val="fr-CA"/>
        </w:rPr>
      </w:pPr>
    </w:p>
    <w:p w:rsidR="00AC460B" w:rsidRDefault="00AC460B" w:rsidP="00831CA9">
      <w:pPr>
        <w:jc w:val="both"/>
        <w:rPr>
          <w:sz w:val="20"/>
          <w:szCs w:val="20"/>
          <w:lang w:val="fr-CA"/>
        </w:rPr>
      </w:pPr>
      <w:r>
        <w:rPr>
          <w:sz w:val="20"/>
          <w:szCs w:val="20"/>
          <w:lang w:val="fr-CA"/>
        </w:rPr>
        <w:t>Before / Devant : ABELLA J. / LA JUGE ABELLA</w:t>
      </w:r>
    </w:p>
    <w:p w:rsidR="00AC460B" w:rsidRDefault="00AC460B" w:rsidP="00831CA9">
      <w:pPr>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230"/>
        <w:gridCol w:w="1170"/>
        <w:gridCol w:w="4140"/>
      </w:tblGrid>
      <w:tr w:rsidR="00AC460B" w:rsidRPr="00DA3564" w:rsidTr="009E0AA9">
        <w:tc>
          <w:tcPr>
            <w:tcW w:w="4230" w:type="dxa"/>
            <w:tcBorders>
              <w:top w:val="nil"/>
              <w:left w:val="nil"/>
              <w:bottom w:val="nil"/>
              <w:right w:val="nil"/>
            </w:tcBorders>
          </w:tcPr>
          <w:p w:rsidR="00AC460B" w:rsidRPr="00DA3564" w:rsidRDefault="00AC460B" w:rsidP="0007399E">
            <w:pPr>
              <w:jc w:val="both"/>
              <w:rPr>
                <w:rFonts w:cs="Times New Roman"/>
                <w:b/>
                <w:bCs/>
                <w:sz w:val="20"/>
                <w:szCs w:val="20"/>
              </w:rPr>
            </w:pPr>
            <w:r w:rsidRPr="00DA3564">
              <w:rPr>
                <w:rFonts w:cs="Times New Roman"/>
                <w:b/>
                <w:bCs/>
                <w:sz w:val="20"/>
                <w:szCs w:val="20"/>
                <w:lang w:val="en-GB"/>
              </w:rPr>
              <w:t>Motion for leave to intervene</w:t>
            </w:r>
          </w:p>
        </w:tc>
        <w:tc>
          <w:tcPr>
            <w:tcW w:w="1170" w:type="dxa"/>
            <w:tcBorders>
              <w:top w:val="nil"/>
              <w:left w:val="nil"/>
              <w:bottom w:val="nil"/>
              <w:right w:val="nil"/>
            </w:tcBorders>
          </w:tcPr>
          <w:p w:rsidR="00AC460B" w:rsidRPr="00DA3564" w:rsidRDefault="00AC460B" w:rsidP="009E0AA9">
            <w:pPr>
              <w:jc w:val="both"/>
              <w:rPr>
                <w:rFonts w:cs="Times New Roman"/>
                <w:b/>
                <w:bCs/>
                <w:sz w:val="20"/>
                <w:szCs w:val="20"/>
              </w:rPr>
            </w:pPr>
          </w:p>
        </w:tc>
        <w:tc>
          <w:tcPr>
            <w:tcW w:w="4140" w:type="dxa"/>
            <w:tcBorders>
              <w:top w:val="nil"/>
              <w:left w:val="nil"/>
              <w:bottom w:val="nil"/>
              <w:right w:val="nil"/>
            </w:tcBorders>
          </w:tcPr>
          <w:p w:rsidR="00AC460B" w:rsidRPr="00DA3564" w:rsidRDefault="00AC460B" w:rsidP="009E0AA9">
            <w:pPr>
              <w:jc w:val="both"/>
              <w:rPr>
                <w:rFonts w:cs="Times New Roman"/>
                <w:b/>
                <w:bCs/>
                <w:sz w:val="20"/>
                <w:szCs w:val="20"/>
                <w:lang w:val="fr-CA"/>
              </w:rPr>
            </w:pPr>
            <w:r w:rsidRPr="00DA3564">
              <w:rPr>
                <w:rFonts w:cs="Times New Roman"/>
                <w:b/>
                <w:bCs/>
                <w:sz w:val="20"/>
                <w:szCs w:val="20"/>
                <w:lang w:val="fr-CA"/>
              </w:rPr>
              <w:t>Requête en autorisation d’intervenir</w:t>
            </w:r>
          </w:p>
          <w:p w:rsidR="00AC460B" w:rsidRPr="00DA3564" w:rsidRDefault="00AC460B" w:rsidP="009E0AA9">
            <w:pPr>
              <w:jc w:val="both"/>
              <w:rPr>
                <w:rFonts w:cs="Times New Roman"/>
                <w:b/>
                <w:bCs/>
                <w:sz w:val="20"/>
                <w:szCs w:val="20"/>
              </w:rPr>
            </w:pPr>
          </w:p>
        </w:tc>
      </w:tr>
    </w:tbl>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970"/>
        <w:gridCol w:w="1170"/>
        <w:gridCol w:w="4140"/>
      </w:tblGrid>
      <w:tr w:rsidR="00AC460B" w:rsidRPr="0007399E" w:rsidTr="00AC460B">
        <w:tc>
          <w:tcPr>
            <w:tcW w:w="1260" w:type="dxa"/>
          </w:tcPr>
          <w:p w:rsidR="00AC460B" w:rsidRPr="00DA3564" w:rsidRDefault="00AC460B" w:rsidP="009E0AA9">
            <w:pPr>
              <w:rPr>
                <w:sz w:val="20"/>
                <w:szCs w:val="20"/>
              </w:rPr>
            </w:pPr>
            <w:r w:rsidRPr="00DA3564">
              <w:rPr>
                <w:sz w:val="20"/>
                <w:szCs w:val="20"/>
              </w:rPr>
              <w:t>BY / PAR</w:t>
            </w:r>
          </w:p>
        </w:tc>
        <w:tc>
          <w:tcPr>
            <w:tcW w:w="2970" w:type="dxa"/>
          </w:tcPr>
          <w:p w:rsidR="00AC460B" w:rsidRDefault="0007399E" w:rsidP="009E0AA9">
            <w:pPr>
              <w:rPr>
                <w:rFonts w:cs="Times New Roman"/>
                <w:bCs/>
                <w:sz w:val="20"/>
                <w:szCs w:val="20"/>
              </w:rPr>
            </w:pPr>
            <w:r w:rsidRPr="00014215">
              <w:rPr>
                <w:rFonts w:cs="Times New Roman"/>
                <w:bCs/>
                <w:sz w:val="20"/>
                <w:szCs w:val="20"/>
              </w:rPr>
              <w:t>Director of Public Prosecutions of Canada</w:t>
            </w:r>
          </w:p>
          <w:p w:rsidR="0007399E" w:rsidRPr="0007399E" w:rsidRDefault="0007399E" w:rsidP="009E0AA9">
            <w:pPr>
              <w:rPr>
                <w:sz w:val="20"/>
                <w:szCs w:val="20"/>
                <w:lang w:val="en-US"/>
              </w:rPr>
            </w:pPr>
          </w:p>
        </w:tc>
        <w:tc>
          <w:tcPr>
            <w:tcW w:w="1170" w:type="dxa"/>
          </w:tcPr>
          <w:p w:rsidR="00AC460B" w:rsidRPr="0007399E" w:rsidRDefault="00AC460B" w:rsidP="009E0AA9">
            <w:pPr>
              <w:rPr>
                <w:sz w:val="20"/>
                <w:szCs w:val="20"/>
                <w:lang w:val="en-US"/>
              </w:rPr>
            </w:pPr>
          </w:p>
        </w:tc>
        <w:tc>
          <w:tcPr>
            <w:tcW w:w="4140" w:type="dxa"/>
          </w:tcPr>
          <w:p w:rsidR="00AC460B" w:rsidRPr="0007399E" w:rsidRDefault="00AC460B" w:rsidP="009E0AA9">
            <w:pPr>
              <w:rPr>
                <w:sz w:val="20"/>
                <w:szCs w:val="20"/>
                <w:lang w:val="en-US"/>
              </w:rPr>
            </w:pPr>
          </w:p>
        </w:tc>
      </w:tr>
      <w:tr w:rsidR="00AC460B" w:rsidRPr="0007399E" w:rsidTr="00AC460B">
        <w:tc>
          <w:tcPr>
            <w:tcW w:w="1260" w:type="dxa"/>
          </w:tcPr>
          <w:p w:rsidR="00AC460B" w:rsidRPr="00DA3564" w:rsidRDefault="00AC460B" w:rsidP="009E0AA9">
            <w:pPr>
              <w:rPr>
                <w:sz w:val="20"/>
                <w:szCs w:val="20"/>
              </w:rPr>
            </w:pPr>
            <w:r>
              <w:rPr>
                <w:sz w:val="20"/>
                <w:szCs w:val="20"/>
              </w:rPr>
              <w:t>IN / DANS</w:t>
            </w:r>
          </w:p>
        </w:tc>
        <w:tc>
          <w:tcPr>
            <w:tcW w:w="2970" w:type="dxa"/>
          </w:tcPr>
          <w:p w:rsidR="00AC460B" w:rsidRPr="009E0AA9" w:rsidRDefault="0007399E" w:rsidP="009E0AA9">
            <w:pPr>
              <w:rPr>
                <w:sz w:val="20"/>
                <w:szCs w:val="20"/>
                <w:lang w:val="en-US"/>
              </w:rPr>
            </w:pPr>
            <w:proofErr w:type="spellStart"/>
            <w:r w:rsidRPr="009E0AA9">
              <w:rPr>
                <w:sz w:val="20"/>
                <w:szCs w:val="20"/>
                <w:lang w:val="en-US"/>
              </w:rPr>
              <w:t>JefferyThomas</w:t>
            </w:r>
            <w:proofErr w:type="spellEnd"/>
            <w:r w:rsidRPr="009E0AA9">
              <w:rPr>
                <w:sz w:val="20"/>
                <w:szCs w:val="20"/>
                <w:lang w:val="en-US"/>
              </w:rPr>
              <w:t xml:space="preserve"> Raymond </w:t>
            </w:r>
            <w:proofErr w:type="spellStart"/>
            <w:r w:rsidRPr="009E0AA9">
              <w:rPr>
                <w:sz w:val="20"/>
                <w:szCs w:val="20"/>
                <w:lang w:val="en-US"/>
              </w:rPr>
              <w:t>Seipp</w:t>
            </w:r>
            <w:proofErr w:type="spellEnd"/>
          </w:p>
          <w:p w:rsidR="0007399E" w:rsidRPr="009E0AA9" w:rsidRDefault="0007399E" w:rsidP="009E0AA9">
            <w:pPr>
              <w:rPr>
                <w:sz w:val="20"/>
                <w:szCs w:val="20"/>
                <w:lang w:val="en-US"/>
              </w:rPr>
            </w:pPr>
          </w:p>
          <w:p w:rsidR="0007399E" w:rsidRPr="009E0AA9" w:rsidRDefault="0007399E" w:rsidP="009E0AA9">
            <w:pPr>
              <w:rPr>
                <w:sz w:val="20"/>
                <w:szCs w:val="20"/>
                <w:lang w:val="en-US"/>
              </w:rPr>
            </w:pPr>
            <w:r w:rsidRPr="009E0AA9">
              <w:rPr>
                <w:sz w:val="20"/>
                <w:szCs w:val="20"/>
                <w:lang w:val="en-US"/>
              </w:rPr>
              <w:tab/>
              <w:t>v. (37513)</w:t>
            </w:r>
          </w:p>
          <w:p w:rsidR="0007399E" w:rsidRPr="009E0AA9" w:rsidRDefault="0007399E" w:rsidP="009E0AA9">
            <w:pPr>
              <w:rPr>
                <w:sz w:val="20"/>
                <w:szCs w:val="20"/>
                <w:lang w:val="en-US"/>
              </w:rPr>
            </w:pPr>
          </w:p>
          <w:p w:rsidR="0007399E" w:rsidRPr="0007399E" w:rsidRDefault="0007399E" w:rsidP="009E0AA9">
            <w:pPr>
              <w:rPr>
                <w:sz w:val="20"/>
                <w:szCs w:val="20"/>
                <w:lang w:val="en-US"/>
              </w:rPr>
            </w:pPr>
            <w:r w:rsidRPr="0007399E">
              <w:rPr>
                <w:sz w:val="20"/>
                <w:szCs w:val="20"/>
                <w:lang w:val="en-US"/>
              </w:rPr>
              <w:t>Her Majesty the Queen (B.C.)</w:t>
            </w:r>
          </w:p>
        </w:tc>
        <w:tc>
          <w:tcPr>
            <w:tcW w:w="1170" w:type="dxa"/>
          </w:tcPr>
          <w:p w:rsidR="00AC460B" w:rsidRPr="0007399E" w:rsidRDefault="00AC460B" w:rsidP="009E0AA9">
            <w:pPr>
              <w:rPr>
                <w:sz w:val="20"/>
                <w:szCs w:val="20"/>
                <w:lang w:val="en-US"/>
              </w:rPr>
            </w:pPr>
          </w:p>
        </w:tc>
        <w:tc>
          <w:tcPr>
            <w:tcW w:w="4140" w:type="dxa"/>
          </w:tcPr>
          <w:p w:rsidR="00AC460B" w:rsidRPr="0007399E" w:rsidRDefault="00AC460B" w:rsidP="009E0AA9">
            <w:pPr>
              <w:rPr>
                <w:sz w:val="20"/>
                <w:szCs w:val="20"/>
                <w:lang w:val="en-US"/>
              </w:rPr>
            </w:pPr>
          </w:p>
        </w:tc>
      </w:tr>
    </w:tbl>
    <w:p w:rsidR="00AC460B" w:rsidRPr="0007399E" w:rsidRDefault="00AC460B" w:rsidP="00831CA9">
      <w:pPr>
        <w:jc w:val="both"/>
        <w:rPr>
          <w:sz w:val="20"/>
          <w:szCs w:val="20"/>
          <w:lang w:val="en-US"/>
        </w:rPr>
      </w:pPr>
    </w:p>
    <w:p w:rsidR="0007399E" w:rsidRDefault="0007399E" w:rsidP="0007399E">
      <w:pPr>
        <w:spacing w:line="232" w:lineRule="auto"/>
        <w:rPr>
          <w:rFonts w:cs="Times New Roman"/>
          <w:b/>
          <w:bCs/>
          <w:sz w:val="20"/>
          <w:szCs w:val="20"/>
        </w:rPr>
      </w:pPr>
      <w:r>
        <w:rPr>
          <w:rFonts w:cs="Times New Roman"/>
          <w:b/>
          <w:bCs/>
          <w:sz w:val="20"/>
          <w:szCs w:val="20"/>
        </w:rPr>
        <w:t>GRANTED / ACCORDÉE</w:t>
      </w:r>
    </w:p>
    <w:p w:rsidR="0007399E" w:rsidRDefault="0007399E" w:rsidP="0007399E">
      <w:pPr>
        <w:spacing w:line="232" w:lineRule="auto"/>
        <w:rPr>
          <w:rFonts w:cs="Times New Roman"/>
          <w:b/>
          <w:bCs/>
          <w:sz w:val="20"/>
          <w:szCs w:val="20"/>
        </w:rPr>
      </w:pPr>
    </w:p>
    <w:p w:rsidR="0007399E" w:rsidRPr="00014215" w:rsidRDefault="0007399E" w:rsidP="00D1641D">
      <w:pPr>
        <w:spacing w:line="232" w:lineRule="auto"/>
        <w:jc w:val="both"/>
        <w:rPr>
          <w:rFonts w:cs="Times New Roman"/>
          <w:sz w:val="20"/>
          <w:szCs w:val="20"/>
        </w:rPr>
      </w:pPr>
      <w:r w:rsidRPr="00014215">
        <w:rPr>
          <w:rFonts w:cs="Times New Roman"/>
          <w:b/>
          <w:bCs/>
          <w:sz w:val="20"/>
          <w:szCs w:val="20"/>
        </w:rPr>
        <w:t xml:space="preserve">UPON APPLICATION </w:t>
      </w:r>
      <w:r w:rsidRPr="00014215">
        <w:rPr>
          <w:rFonts w:cs="Times New Roman"/>
          <w:bCs/>
          <w:sz w:val="20"/>
          <w:szCs w:val="20"/>
        </w:rPr>
        <w:t>by</w:t>
      </w:r>
      <w:r w:rsidRPr="00014215">
        <w:rPr>
          <w:rFonts w:cs="Times New Roman"/>
          <w:b/>
          <w:bCs/>
          <w:sz w:val="20"/>
          <w:szCs w:val="20"/>
        </w:rPr>
        <w:t xml:space="preserve"> </w:t>
      </w:r>
      <w:r w:rsidRPr="00014215">
        <w:rPr>
          <w:rFonts w:cs="Times New Roman"/>
          <w:bCs/>
          <w:sz w:val="20"/>
          <w:szCs w:val="20"/>
        </w:rPr>
        <w:t>the Director of Public Prosecutions of Canada</w:t>
      </w:r>
      <w:r w:rsidRPr="00014215">
        <w:rPr>
          <w:rFonts w:cs="Times New Roman"/>
          <w:sz w:val="20"/>
          <w:szCs w:val="20"/>
        </w:rPr>
        <w:t xml:space="preserve"> for leave to intervene in the above appeal;</w:t>
      </w:r>
    </w:p>
    <w:p w:rsidR="0007399E" w:rsidRPr="00014215" w:rsidRDefault="0007399E" w:rsidP="00D1641D">
      <w:pPr>
        <w:spacing w:line="232" w:lineRule="auto"/>
        <w:jc w:val="both"/>
        <w:rPr>
          <w:rFonts w:cs="Times New Roman"/>
          <w:b/>
          <w:bCs/>
          <w:sz w:val="20"/>
          <w:szCs w:val="20"/>
        </w:rPr>
      </w:pPr>
    </w:p>
    <w:p w:rsidR="0007399E" w:rsidRPr="00014215" w:rsidRDefault="0007399E" w:rsidP="00D1641D">
      <w:pPr>
        <w:spacing w:line="232" w:lineRule="auto"/>
        <w:jc w:val="both"/>
        <w:rPr>
          <w:rFonts w:cs="Times New Roman"/>
          <w:sz w:val="20"/>
          <w:szCs w:val="20"/>
        </w:rPr>
      </w:pPr>
      <w:r w:rsidRPr="00014215">
        <w:rPr>
          <w:rFonts w:cs="Times New Roman"/>
          <w:b/>
          <w:bCs/>
          <w:sz w:val="20"/>
          <w:szCs w:val="20"/>
        </w:rPr>
        <w:t>AND THE MATERIAL FILED</w:t>
      </w:r>
      <w:r w:rsidRPr="00014215">
        <w:rPr>
          <w:rFonts w:cs="Times New Roman"/>
          <w:sz w:val="20"/>
          <w:szCs w:val="20"/>
        </w:rPr>
        <w:t xml:space="preserve"> having been read;</w:t>
      </w:r>
    </w:p>
    <w:p w:rsidR="0007399E" w:rsidRPr="00014215" w:rsidRDefault="0007399E" w:rsidP="00D1641D">
      <w:pPr>
        <w:spacing w:line="232" w:lineRule="auto"/>
        <w:jc w:val="both"/>
        <w:rPr>
          <w:rFonts w:cs="Times New Roman"/>
          <w:sz w:val="20"/>
          <w:szCs w:val="20"/>
        </w:rPr>
      </w:pPr>
    </w:p>
    <w:p w:rsidR="0007399E" w:rsidRPr="00014215" w:rsidRDefault="0007399E" w:rsidP="00D1641D">
      <w:pPr>
        <w:spacing w:line="232" w:lineRule="auto"/>
        <w:jc w:val="both"/>
        <w:rPr>
          <w:rFonts w:cs="Times New Roman"/>
          <w:sz w:val="20"/>
          <w:szCs w:val="20"/>
        </w:rPr>
      </w:pPr>
      <w:r w:rsidRPr="00014215">
        <w:rPr>
          <w:rFonts w:cs="Times New Roman"/>
          <w:b/>
          <w:bCs/>
          <w:sz w:val="20"/>
          <w:szCs w:val="20"/>
        </w:rPr>
        <w:t>IT IS HEREBY ORDERED THAT:</w:t>
      </w:r>
    </w:p>
    <w:p w:rsidR="0007399E" w:rsidRPr="00014215" w:rsidRDefault="0007399E" w:rsidP="00D1641D">
      <w:pPr>
        <w:spacing w:line="232" w:lineRule="auto"/>
        <w:jc w:val="both"/>
        <w:rPr>
          <w:rFonts w:cs="Times New Roman"/>
          <w:sz w:val="20"/>
          <w:szCs w:val="20"/>
        </w:rPr>
      </w:pPr>
    </w:p>
    <w:p w:rsidR="0007399E" w:rsidRPr="00014215" w:rsidRDefault="0007399E" w:rsidP="00D1641D">
      <w:pPr>
        <w:spacing w:line="228" w:lineRule="auto"/>
        <w:jc w:val="both"/>
        <w:rPr>
          <w:rFonts w:cs="Times New Roman"/>
          <w:sz w:val="20"/>
          <w:szCs w:val="20"/>
        </w:rPr>
      </w:pPr>
      <w:r w:rsidRPr="00014215">
        <w:rPr>
          <w:rFonts w:cs="Times New Roman"/>
          <w:sz w:val="20"/>
          <w:szCs w:val="20"/>
        </w:rPr>
        <w:t>The motion for leave to intervene is granted and the said intervener</w:t>
      </w:r>
      <w:r w:rsidRPr="00014215">
        <w:rPr>
          <w:rFonts w:eastAsia="Times New Roman" w:cs="Times New Roman"/>
          <w:sz w:val="20"/>
          <w:szCs w:val="20"/>
          <w:lang w:eastAsia="fr-FR"/>
        </w:rPr>
        <w:t xml:space="preserve"> </w:t>
      </w:r>
      <w:r w:rsidRPr="00014215">
        <w:rPr>
          <w:rFonts w:cs="Times New Roman"/>
          <w:sz w:val="20"/>
          <w:szCs w:val="20"/>
        </w:rPr>
        <w:t xml:space="preserve">shall be entitled to serve and file a factum not to exceed ten (10) pages in length on or before December 19, 2017. </w:t>
      </w:r>
    </w:p>
    <w:p w:rsidR="0007399E" w:rsidRPr="00014215" w:rsidRDefault="0007399E" w:rsidP="00D1641D">
      <w:pPr>
        <w:spacing w:line="233" w:lineRule="auto"/>
        <w:jc w:val="both"/>
        <w:rPr>
          <w:rFonts w:cs="Times New Roman"/>
          <w:bCs/>
          <w:sz w:val="20"/>
          <w:szCs w:val="20"/>
        </w:rPr>
      </w:pPr>
    </w:p>
    <w:p w:rsidR="0007399E" w:rsidRPr="00014215" w:rsidRDefault="0007399E" w:rsidP="00D1641D">
      <w:pPr>
        <w:spacing w:line="228" w:lineRule="auto"/>
        <w:jc w:val="both"/>
        <w:rPr>
          <w:rFonts w:cs="Times New Roman"/>
          <w:sz w:val="20"/>
          <w:szCs w:val="20"/>
        </w:rPr>
      </w:pPr>
      <w:r w:rsidRPr="00014215">
        <w:rPr>
          <w:rFonts w:cs="Times New Roman"/>
          <w:bCs/>
          <w:sz w:val="20"/>
          <w:szCs w:val="20"/>
        </w:rPr>
        <w:t>The said intervener</w:t>
      </w:r>
      <w:r w:rsidRPr="00014215">
        <w:rPr>
          <w:rFonts w:cs="Times New Roman"/>
          <w:sz w:val="20"/>
          <w:szCs w:val="20"/>
        </w:rPr>
        <w:t xml:space="preserve"> is granted permission to present oral argument not exceeding five (5) minutes at the hearing of the appeal.</w:t>
      </w:r>
    </w:p>
    <w:p w:rsidR="0007399E" w:rsidRPr="00014215" w:rsidRDefault="0007399E" w:rsidP="00D1641D">
      <w:pPr>
        <w:spacing w:line="228" w:lineRule="auto"/>
        <w:jc w:val="both"/>
        <w:rPr>
          <w:rFonts w:cs="Times New Roman"/>
          <w:sz w:val="20"/>
          <w:szCs w:val="20"/>
        </w:rPr>
      </w:pPr>
    </w:p>
    <w:p w:rsidR="0007399E" w:rsidRPr="00675D48" w:rsidRDefault="0007399E" w:rsidP="00D1641D">
      <w:pPr>
        <w:spacing w:line="228" w:lineRule="auto"/>
        <w:jc w:val="both"/>
        <w:rPr>
          <w:rFonts w:cs="Times New Roman"/>
          <w:bCs/>
          <w:sz w:val="20"/>
          <w:szCs w:val="20"/>
        </w:rPr>
      </w:pPr>
      <w:r w:rsidRPr="00675D48">
        <w:rPr>
          <w:rFonts w:cs="Times New Roman"/>
          <w:sz w:val="20"/>
          <w:szCs w:val="20"/>
        </w:rPr>
        <w:fldChar w:fldCharType="begin"/>
      </w:r>
      <w:r w:rsidRPr="00675D48">
        <w:rPr>
          <w:rFonts w:cs="Times New Roman"/>
          <w:sz w:val="20"/>
          <w:szCs w:val="20"/>
        </w:rPr>
        <w:instrText xml:space="preserve"> SEQ CHAPTER \h \r 1</w:instrText>
      </w:r>
      <w:r w:rsidRPr="00675D48">
        <w:rPr>
          <w:rFonts w:cs="Times New Roman"/>
          <w:sz w:val="20"/>
          <w:szCs w:val="20"/>
        </w:rPr>
        <w:fldChar w:fldCharType="end"/>
      </w:r>
      <w:r w:rsidRPr="00675D48">
        <w:rPr>
          <w:rFonts w:cs="Times New Roman"/>
          <w:bCs/>
          <w:sz w:val="20"/>
          <w:szCs w:val="20"/>
        </w:rPr>
        <w:t>The intervener is not entitled to raise new issues or to adduce further evidence or otherwise to supplement the record of the parties.</w:t>
      </w:r>
    </w:p>
    <w:p w:rsidR="0007399E" w:rsidRPr="00014215" w:rsidRDefault="0007399E" w:rsidP="00D1641D">
      <w:pPr>
        <w:spacing w:line="228" w:lineRule="auto"/>
        <w:jc w:val="both"/>
        <w:rPr>
          <w:rFonts w:cs="Times New Roman"/>
          <w:b/>
          <w:bCs/>
          <w:sz w:val="20"/>
          <w:szCs w:val="20"/>
        </w:rPr>
      </w:pPr>
    </w:p>
    <w:p w:rsidR="0007399E" w:rsidRPr="00014215" w:rsidRDefault="0007399E" w:rsidP="00D1641D">
      <w:pPr>
        <w:spacing w:line="230" w:lineRule="auto"/>
        <w:jc w:val="both"/>
        <w:rPr>
          <w:rFonts w:cs="Times New Roman"/>
          <w:sz w:val="20"/>
          <w:szCs w:val="20"/>
        </w:rPr>
      </w:pPr>
      <w:r w:rsidRPr="00014215">
        <w:rPr>
          <w:rFonts w:cs="Times New Roman"/>
          <w:sz w:val="20"/>
          <w:szCs w:val="20"/>
        </w:rPr>
        <w:t>Pursuant to Rule 59(1</w:t>
      </w:r>
      <w:proofErr w:type="gramStart"/>
      <w:r w:rsidRPr="00014215">
        <w:rPr>
          <w:rFonts w:cs="Times New Roman"/>
          <w:sz w:val="20"/>
          <w:szCs w:val="20"/>
        </w:rPr>
        <w:t>)(</w:t>
      </w:r>
      <w:proofErr w:type="gramEnd"/>
      <w:r w:rsidRPr="00014215">
        <w:rPr>
          <w:rFonts w:cs="Times New Roman"/>
          <w:i/>
          <w:iCs/>
          <w:sz w:val="20"/>
          <w:szCs w:val="20"/>
        </w:rPr>
        <w:t>a</w:t>
      </w:r>
      <w:r w:rsidRPr="00014215">
        <w:rPr>
          <w:rFonts w:cs="Times New Roman"/>
          <w:sz w:val="20"/>
          <w:szCs w:val="20"/>
        </w:rPr>
        <w:t xml:space="preserve">) of the </w:t>
      </w:r>
      <w:r w:rsidRPr="00014215">
        <w:rPr>
          <w:rFonts w:cs="Times New Roman"/>
          <w:i/>
          <w:iCs/>
          <w:sz w:val="20"/>
          <w:szCs w:val="20"/>
        </w:rPr>
        <w:t>Rules of the Supreme Court of Canada</w:t>
      </w:r>
      <w:r w:rsidRPr="00014215">
        <w:rPr>
          <w:rFonts w:cs="Times New Roman"/>
          <w:sz w:val="20"/>
          <w:szCs w:val="20"/>
        </w:rPr>
        <w:t>, the intervener shall pay to the appellant and the respondent any additional disbursements resulting from its intervention.</w:t>
      </w:r>
    </w:p>
    <w:p w:rsidR="0007399E" w:rsidRPr="00014215" w:rsidRDefault="0007399E" w:rsidP="00D1641D">
      <w:pPr>
        <w:spacing w:line="232" w:lineRule="auto"/>
        <w:jc w:val="both"/>
        <w:rPr>
          <w:rFonts w:cs="Times New Roman"/>
          <w:sz w:val="20"/>
          <w:szCs w:val="20"/>
        </w:rPr>
      </w:pPr>
    </w:p>
    <w:p w:rsidR="0007399E" w:rsidRPr="00014215" w:rsidRDefault="0007399E" w:rsidP="00D1641D">
      <w:pPr>
        <w:spacing w:line="232" w:lineRule="auto"/>
        <w:jc w:val="both"/>
        <w:rPr>
          <w:rFonts w:cs="Times New Roman"/>
          <w:b/>
          <w:sz w:val="20"/>
          <w:szCs w:val="20"/>
          <w:lang w:val="en-US"/>
        </w:rPr>
      </w:pPr>
    </w:p>
    <w:p w:rsidR="0007399E" w:rsidRPr="00014215" w:rsidRDefault="0007399E" w:rsidP="00D1641D">
      <w:pPr>
        <w:spacing w:line="232" w:lineRule="auto"/>
        <w:jc w:val="both"/>
        <w:rPr>
          <w:rFonts w:cs="Times New Roman"/>
          <w:sz w:val="20"/>
          <w:szCs w:val="20"/>
          <w:lang w:val="fr-CA"/>
        </w:rPr>
      </w:pPr>
      <w:r w:rsidRPr="00014215">
        <w:rPr>
          <w:rFonts w:cs="Times New Roman"/>
          <w:b/>
          <w:sz w:val="20"/>
          <w:szCs w:val="20"/>
          <w:lang w:val="fr-CA"/>
        </w:rPr>
        <w:t>À LA SUITE DE LA DEMANDE</w:t>
      </w:r>
      <w:r w:rsidRPr="00014215">
        <w:rPr>
          <w:rFonts w:cs="Times New Roman"/>
          <w:sz w:val="20"/>
          <w:szCs w:val="20"/>
          <w:lang w:val="fr-CA"/>
        </w:rPr>
        <w:t xml:space="preserve"> présentée par le Directeur des poursuites pénales du Canada en vue d’intervenir dans l’appel;</w:t>
      </w:r>
    </w:p>
    <w:p w:rsidR="0007399E" w:rsidRPr="00014215" w:rsidRDefault="0007399E" w:rsidP="00D1641D">
      <w:pPr>
        <w:spacing w:line="232" w:lineRule="auto"/>
        <w:jc w:val="both"/>
        <w:rPr>
          <w:rFonts w:cs="Times New Roman"/>
          <w:sz w:val="20"/>
          <w:szCs w:val="20"/>
          <w:lang w:val="fr-CA"/>
        </w:rPr>
      </w:pPr>
    </w:p>
    <w:p w:rsidR="0007399E" w:rsidRPr="00014215" w:rsidRDefault="0007399E" w:rsidP="00D1641D">
      <w:pPr>
        <w:spacing w:line="232" w:lineRule="auto"/>
        <w:jc w:val="both"/>
        <w:rPr>
          <w:rFonts w:cs="Times New Roman"/>
          <w:sz w:val="20"/>
          <w:szCs w:val="20"/>
          <w:lang w:val="fr-CA"/>
        </w:rPr>
      </w:pPr>
      <w:r w:rsidRPr="00014215">
        <w:rPr>
          <w:rFonts w:cs="Times New Roman"/>
          <w:b/>
          <w:sz w:val="20"/>
          <w:szCs w:val="20"/>
          <w:lang w:val="fr-CA"/>
        </w:rPr>
        <w:t>ET APRÈS EXAMEN</w:t>
      </w:r>
      <w:r w:rsidRPr="00014215">
        <w:rPr>
          <w:rFonts w:cs="Times New Roman"/>
          <w:sz w:val="20"/>
          <w:szCs w:val="20"/>
          <w:lang w:val="fr-CA"/>
        </w:rPr>
        <w:t xml:space="preserve"> des documents déposés;</w:t>
      </w:r>
    </w:p>
    <w:p w:rsidR="0007399E" w:rsidRPr="00014215" w:rsidRDefault="0007399E" w:rsidP="00D1641D">
      <w:pPr>
        <w:spacing w:line="232" w:lineRule="auto"/>
        <w:jc w:val="both"/>
        <w:rPr>
          <w:rFonts w:cs="Times New Roman"/>
          <w:sz w:val="20"/>
          <w:szCs w:val="20"/>
          <w:lang w:val="fr-CA"/>
        </w:rPr>
      </w:pPr>
    </w:p>
    <w:p w:rsidR="0007399E" w:rsidRPr="00014215" w:rsidRDefault="0007399E" w:rsidP="00D1641D">
      <w:pPr>
        <w:spacing w:line="232" w:lineRule="auto"/>
        <w:jc w:val="both"/>
        <w:rPr>
          <w:rFonts w:cs="Times New Roman"/>
          <w:b/>
          <w:sz w:val="20"/>
          <w:szCs w:val="20"/>
          <w:lang w:val="fr-CA"/>
        </w:rPr>
      </w:pPr>
      <w:r w:rsidRPr="00014215">
        <w:rPr>
          <w:rFonts w:cs="Times New Roman"/>
          <w:b/>
          <w:sz w:val="20"/>
          <w:szCs w:val="20"/>
          <w:lang w:val="fr-CA"/>
        </w:rPr>
        <w:t>IL EST ORDONNÉ CE QUI SUIT :</w:t>
      </w:r>
    </w:p>
    <w:p w:rsidR="0007399E" w:rsidRPr="00014215" w:rsidRDefault="0007399E" w:rsidP="00D1641D">
      <w:pPr>
        <w:spacing w:line="232" w:lineRule="auto"/>
        <w:jc w:val="both"/>
        <w:rPr>
          <w:rFonts w:cs="Times New Roman"/>
          <w:sz w:val="20"/>
          <w:szCs w:val="20"/>
          <w:lang w:val="fr-CA"/>
        </w:rPr>
      </w:pPr>
    </w:p>
    <w:p w:rsidR="0007399E" w:rsidRPr="00014215" w:rsidRDefault="0007399E" w:rsidP="00D1641D">
      <w:pPr>
        <w:spacing w:line="232" w:lineRule="auto"/>
        <w:jc w:val="both"/>
        <w:rPr>
          <w:rFonts w:cs="Times New Roman"/>
          <w:sz w:val="20"/>
          <w:szCs w:val="20"/>
          <w:lang w:val="fr-CA"/>
        </w:rPr>
      </w:pPr>
      <w:r w:rsidRPr="00014215">
        <w:rPr>
          <w:rFonts w:cs="Times New Roman"/>
          <w:sz w:val="20"/>
          <w:szCs w:val="20"/>
          <w:lang w:val="fr-CA"/>
        </w:rPr>
        <w:t>La requête en autorisation d’intervenir est accueillie et cet intervenant pourra signifier et déposer un mémoire d’au plus dix (10) pages au plus tard le 19 décembre 2017.</w:t>
      </w:r>
    </w:p>
    <w:p w:rsidR="0007399E" w:rsidRPr="00014215" w:rsidRDefault="0007399E" w:rsidP="00D1641D">
      <w:pPr>
        <w:spacing w:line="232" w:lineRule="auto"/>
        <w:jc w:val="both"/>
        <w:rPr>
          <w:rFonts w:cs="Times New Roman"/>
          <w:sz w:val="20"/>
          <w:szCs w:val="20"/>
          <w:lang w:val="fr-CA"/>
        </w:rPr>
      </w:pPr>
    </w:p>
    <w:p w:rsidR="0007399E" w:rsidRPr="00014215" w:rsidRDefault="0007399E" w:rsidP="00D1641D">
      <w:pPr>
        <w:spacing w:line="232" w:lineRule="auto"/>
        <w:jc w:val="both"/>
        <w:rPr>
          <w:rFonts w:cs="Times New Roman"/>
          <w:sz w:val="20"/>
          <w:szCs w:val="20"/>
          <w:lang w:val="fr-CA"/>
        </w:rPr>
      </w:pPr>
      <w:r w:rsidRPr="00014215">
        <w:rPr>
          <w:rFonts w:cs="Times New Roman"/>
          <w:sz w:val="20"/>
          <w:szCs w:val="20"/>
          <w:lang w:val="fr-CA"/>
        </w:rPr>
        <w:t>L’intervenant pourra présenter une plaidoirie orale d’au plus cinq (5) minutes lors de l’audition de l’appel.</w:t>
      </w:r>
    </w:p>
    <w:p w:rsidR="0007399E" w:rsidRPr="00014215" w:rsidRDefault="0007399E" w:rsidP="00D1641D">
      <w:pPr>
        <w:spacing w:line="232" w:lineRule="auto"/>
        <w:jc w:val="both"/>
        <w:rPr>
          <w:rFonts w:cs="Times New Roman"/>
          <w:sz w:val="20"/>
          <w:szCs w:val="20"/>
          <w:lang w:val="fr-CA"/>
        </w:rPr>
      </w:pPr>
    </w:p>
    <w:p w:rsidR="0007399E" w:rsidRPr="00675D48" w:rsidRDefault="0007399E" w:rsidP="00D1641D">
      <w:pPr>
        <w:spacing w:line="232" w:lineRule="auto"/>
        <w:jc w:val="both"/>
        <w:rPr>
          <w:rFonts w:cs="Times New Roman"/>
          <w:sz w:val="20"/>
          <w:szCs w:val="20"/>
          <w:lang w:val="fr-CA"/>
        </w:rPr>
      </w:pPr>
      <w:r w:rsidRPr="00675D48">
        <w:rPr>
          <w:rFonts w:cs="Times New Roman"/>
          <w:sz w:val="20"/>
          <w:szCs w:val="20"/>
          <w:lang w:val="fr-CA"/>
        </w:rPr>
        <w:t>L’intervenant n’a pas le droit de soulever de nouvelles questions, de produire d’autres éléments de preuve ni de compléter de quelque autre façon le dossier des parties.</w:t>
      </w:r>
    </w:p>
    <w:p w:rsidR="0007399E" w:rsidRPr="00014215" w:rsidRDefault="0007399E" w:rsidP="00D1641D">
      <w:pPr>
        <w:spacing w:line="232" w:lineRule="auto"/>
        <w:jc w:val="both"/>
        <w:rPr>
          <w:rFonts w:cs="Times New Roman"/>
          <w:sz w:val="20"/>
          <w:szCs w:val="20"/>
          <w:lang w:val="fr-CA"/>
        </w:rPr>
      </w:pPr>
    </w:p>
    <w:p w:rsidR="0007399E" w:rsidRPr="00014215" w:rsidRDefault="0007399E" w:rsidP="00D1641D">
      <w:pPr>
        <w:spacing w:line="232" w:lineRule="auto"/>
        <w:jc w:val="both"/>
        <w:rPr>
          <w:rFonts w:cs="Times New Roman"/>
          <w:sz w:val="20"/>
          <w:szCs w:val="20"/>
          <w:lang w:val="fr-CA"/>
        </w:rPr>
      </w:pPr>
      <w:r w:rsidRPr="00014215">
        <w:rPr>
          <w:rFonts w:cs="Times New Roman"/>
          <w:sz w:val="20"/>
          <w:szCs w:val="20"/>
          <w:lang w:val="fr-CA"/>
        </w:rPr>
        <w:t>Conformément à l’alinéa 59(1)</w:t>
      </w:r>
      <w:r w:rsidRPr="00014215">
        <w:rPr>
          <w:rFonts w:cs="Times New Roman"/>
          <w:i/>
          <w:sz w:val="20"/>
          <w:szCs w:val="20"/>
          <w:lang w:val="fr-CA"/>
        </w:rPr>
        <w:t>a</w:t>
      </w:r>
      <w:r w:rsidRPr="00014215">
        <w:rPr>
          <w:rFonts w:cs="Times New Roman"/>
          <w:sz w:val="20"/>
          <w:szCs w:val="20"/>
          <w:lang w:val="fr-CA"/>
        </w:rPr>
        <w:t xml:space="preserve">) des </w:t>
      </w:r>
      <w:r w:rsidRPr="00014215">
        <w:rPr>
          <w:rFonts w:cs="Times New Roman"/>
          <w:i/>
          <w:sz w:val="20"/>
          <w:szCs w:val="20"/>
          <w:lang w:val="fr-CA"/>
        </w:rPr>
        <w:t>Règles de la Cour suprême du Canada</w:t>
      </w:r>
      <w:r w:rsidRPr="00014215">
        <w:rPr>
          <w:rFonts w:cs="Times New Roman"/>
          <w:sz w:val="20"/>
          <w:szCs w:val="20"/>
          <w:lang w:val="fr-CA"/>
        </w:rPr>
        <w:t>, l’intervenant paiera à l’appelant et à l’intimée tous dépens supplémentaires résultant de son intervention.</w:t>
      </w:r>
    </w:p>
    <w:p w:rsidR="00831CA9" w:rsidRDefault="00ED1F08" w:rsidP="00831CA9">
      <w:pPr>
        <w:jc w:val="both"/>
        <w:rPr>
          <w:sz w:val="20"/>
          <w:szCs w:val="20"/>
          <w:lang w:val="fr-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07399E" w:rsidRDefault="0007399E">
      <w:pPr>
        <w:rPr>
          <w:sz w:val="20"/>
          <w:szCs w:val="20"/>
          <w:lang w:val="fr-CA"/>
        </w:rPr>
      </w:pPr>
      <w:r>
        <w:rPr>
          <w:sz w:val="20"/>
          <w:szCs w:val="20"/>
          <w:lang w:val="fr-CA"/>
        </w:rPr>
        <w:br w:type="page"/>
      </w:r>
    </w:p>
    <w:p w:rsidR="00AC460B" w:rsidRDefault="0007399E" w:rsidP="00831CA9">
      <w:pPr>
        <w:jc w:val="both"/>
        <w:rPr>
          <w:sz w:val="20"/>
          <w:szCs w:val="20"/>
          <w:lang w:val="fr-CA"/>
        </w:rPr>
      </w:pPr>
      <w:r>
        <w:rPr>
          <w:sz w:val="20"/>
          <w:szCs w:val="20"/>
          <w:lang w:val="fr-CA"/>
        </w:rPr>
        <w:lastRenderedPageBreak/>
        <w:t>08.11.2017</w:t>
      </w:r>
    </w:p>
    <w:p w:rsidR="0007399E" w:rsidRDefault="0007399E" w:rsidP="00831CA9">
      <w:pPr>
        <w:jc w:val="both"/>
        <w:rPr>
          <w:sz w:val="20"/>
          <w:szCs w:val="20"/>
          <w:lang w:val="fr-CA"/>
        </w:rPr>
      </w:pPr>
    </w:p>
    <w:p w:rsidR="0007399E" w:rsidRDefault="0007399E" w:rsidP="00831CA9">
      <w:pPr>
        <w:jc w:val="both"/>
        <w:rPr>
          <w:sz w:val="20"/>
          <w:szCs w:val="20"/>
          <w:lang w:val="fr-CA"/>
        </w:rPr>
      </w:pPr>
      <w:r>
        <w:rPr>
          <w:sz w:val="20"/>
          <w:szCs w:val="20"/>
          <w:lang w:val="fr-CA"/>
        </w:rPr>
        <w:t>Before / Devant : ABELLA J. / LA JUGE ABELLA</w:t>
      </w:r>
    </w:p>
    <w:p w:rsidR="0007399E" w:rsidRDefault="0007399E" w:rsidP="00831CA9">
      <w:pPr>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230"/>
        <w:gridCol w:w="1170"/>
        <w:gridCol w:w="4140"/>
      </w:tblGrid>
      <w:tr w:rsidR="0007399E" w:rsidRPr="00DA3564" w:rsidTr="009E0AA9">
        <w:tc>
          <w:tcPr>
            <w:tcW w:w="4230" w:type="dxa"/>
            <w:tcBorders>
              <w:top w:val="nil"/>
              <w:left w:val="nil"/>
              <w:bottom w:val="nil"/>
              <w:right w:val="nil"/>
            </w:tcBorders>
          </w:tcPr>
          <w:p w:rsidR="0007399E" w:rsidRPr="00DA3564" w:rsidRDefault="0007399E" w:rsidP="009E0AA9">
            <w:pPr>
              <w:jc w:val="both"/>
              <w:rPr>
                <w:rFonts w:cs="Times New Roman"/>
                <w:b/>
                <w:bCs/>
                <w:sz w:val="20"/>
                <w:szCs w:val="20"/>
              </w:rPr>
            </w:pPr>
            <w:r w:rsidRPr="00DA3564">
              <w:rPr>
                <w:rFonts w:cs="Times New Roman"/>
                <w:b/>
                <w:bCs/>
                <w:sz w:val="20"/>
                <w:szCs w:val="20"/>
                <w:lang w:val="en-GB"/>
              </w:rPr>
              <w:t>Motion</w:t>
            </w:r>
            <w:r w:rsidR="00675D48">
              <w:rPr>
                <w:rFonts w:cs="Times New Roman"/>
                <w:b/>
                <w:bCs/>
                <w:sz w:val="20"/>
                <w:szCs w:val="20"/>
                <w:lang w:val="en-GB"/>
              </w:rPr>
              <w:t>s</w:t>
            </w:r>
            <w:r w:rsidRPr="00DA3564">
              <w:rPr>
                <w:rFonts w:cs="Times New Roman"/>
                <w:b/>
                <w:bCs/>
                <w:sz w:val="20"/>
                <w:szCs w:val="20"/>
                <w:lang w:val="en-GB"/>
              </w:rPr>
              <w:t xml:space="preserve"> for leave to intervene</w:t>
            </w:r>
          </w:p>
        </w:tc>
        <w:tc>
          <w:tcPr>
            <w:tcW w:w="1170" w:type="dxa"/>
            <w:tcBorders>
              <w:top w:val="nil"/>
              <w:left w:val="nil"/>
              <w:bottom w:val="nil"/>
              <w:right w:val="nil"/>
            </w:tcBorders>
          </w:tcPr>
          <w:p w:rsidR="0007399E" w:rsidRPr="00DA3564" w:rsidRDefault="0007399E" w:rsidP="009E0AA9">
            <w:pPr>
              <w:jc w:val="both"/>
              <w:rPr>
                <w:rFonts w:cs="Times New Roman"/>
                <w:b/>
                <w:bCs/>
                <w:sz w:val="20"/>
                <w:szCs w:val="20"/>
              </w:rPr>
            </w:pPr>
          </w:p>
        </w:tc>
        <w:tc>
          <w:tcPr>
            <w:tcW w:w="4140" w:type="dxa"/>
            <w:tcBorders>
              <w:top w:val="nil"/>
              <w:left w:val="nil"/>
              <w:bottom w:val="nil"/>
              <w:right w:val="nil"/>
            </w:tcBorders>
          </w:tcPr>
          <w:p w:rsidR="0007399E" w:rsidRPr="00DA3564" w:rsidRDefault="0007399E" w:rsidP="009E0AA9">
            <w:pPr>
              <w:jc w:val="both"/>
              <w:rPr>
                <w:rFonts w:cs="Times New Roman"/>
                <w:b/>
                <w:bCs/>
                <w:sz w:val="20"/>
                <w:szCs w:val="20"/>
                <w:lang w:val="fr-CA"/>
              </w:rPr>
            </w:pPr>
            <w:r w:rsidRPr="00DA3564">
              <w:rPr>
                <w:rFonts w:cs="Times New Roman"/>
                <w:b/>
                <w:bCs/>
                <w:sz w:val="20"/>
                <w:szCs w:val="20"/>
                <w:lang w:val="fr-CA"/>
              </w:rPr>
              <w:t>Requête</w:t>
            </w:r>
            <w:r w:rsidR="00675D48">
              <w:rPr>
                <w:rFonts w:cs="Times New Roman"/>
                <w:b/>
                <w:bCs/>
                <w:sz w:val="20"/>
                <w:szCs w:val="20"/>
                <w:lang w:val="fr-CA"/>
              </w:rPr>
              <w:t>s</w:t>
            </w:r>
            <w:r w:rsidRPr="00DA3564">
              <w:rPr>
                <w:rFonts w:cs="Times New Roman"/>
                <w:b/>
                <w:bCs/>
                <w:sz w:val="20"/>
                <w:szCs w:val="20"/>
                <w:lang w:val="fr-CA"/>
              </w:rPr>
              <w:t xml:space="preserve"> en autorisation d’intervenir</w:t>
            </w:r>
          </w:p>
          <w:p w:rsidR="0007399E" w:rsidRPr="00DA3564" w:rsidRDefault="0007399E" w:rsidP="009E0AA9">
            <w:pPr>
              <w:jc w:val="both"/>
              <w:rPr>
                <w:rFonts w:cs="Times New Roman"/>
                <w:b/>
                <w:bCs/>
                <w:sz w:val="20"/>
                <w:szCs w:val="20"/>
              </w:rPr>
            </w:pPr>
          </w:p>
        </w:tc>
      </w:tr>
    </w:tbl>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60"/>
        <w:gridCol w:w="1080"/>
        <w:gridCol w:w="4140"/>
      </w:tblGrid>
      <w:tr w:rsidR="0007399E" w:rsidRPr="00ED1F08" w:rsidTr="0007399E">
        <w:tc>
          <w:tcPr>
            <w:tcW w:w="1260" w:type="dxa"/>
          </w:tcPr>
          <w:p w:rsidR="0007399E" w:rsidRPr="00DA3564" w:rsidRDefault="0007399E" w:rsidP="009E0AA9">
            <w:pPr>
              <w:rPr>
                <w:sz w:val="20"/>
                <w:szCs w:val="20"/>
              </w:rPr>
            </w:pPr>
            <w:r w:rsidRPr="00DA3564">
              <w:rPr>
                <w:sz w:val="20"/>
                <w:szCs w:val="20"/>
              </w:rPr>
              <w:t>BY / PAR</w:t>
            </w:r>
          </w:p>
        </w:tc>
        <w:tc>
          <w:tcPr>
            <w:tcW w:w="3060" w:type="dxa"/>
          </w:tcPr>
          <w:p w:rsidR="0007399E" w:rsidRDefault="0007399E" w:rsidP="009E0AA9">
            <w:pPr>
              <w:rPr>
                <w:rFonts w:cs="Times New Roman"/>
                <w:bCs/>
                <w:sz w:val="20"/>
                <w:szCs w:val="20"/>
                <w:lang w:val="fr-CA"/>
              </w:rPr>
            </w:pPr>
            <w:r w:rsidRPr="00602BD1">
              <w:rPr>
                <w:rFonts w:cs="Times New Roman"/>
                <w:bCs/>
                <w:sz w:val="20"/>
                <w:szCs w:val="20"/>
                <w:lang w:val="fr-CA"/>
              </w:rPr>
              <w:t>Barreau du Québec et l’Institut sur la gouvernance d’organisations privées et publiques</w:t>
            </w:r>
          </w:p>
          <w:p w:rsidR="0007399E" w:rsidRPr="0007399E" w:rsidRDefault="0007399E" w:rsidP="009E0AA9">
            <w:pPr>
              <w:rPr>
                <w:sz w:val="20"/>
                <w:szCs w:val="20"/>
                <w:lang w:val="fr-CA"/>
              </w:rPr>
            </w:pPr>
          </w:p>
        </w:tc>
        <w:tc>
          <w:tcPr>
            <w:tcW w:w="1080" w:type="dxa"/>
          </w:tcPr>
          <w:p w:rsidR="0007399E" w:rsidRPr="0007399E" w:rsidRDefault="0007399E" w:rsidP="009E0AA9">
            <w:pPr>
              <w:rPr>
                <w:sz w:val="20"/>
                <w:szCs w:val="20"/>
                <w:lang w:val="fr-CA"/>
              </w:rPr>
            </w:pPr>
          </w:p>
        </w:tc>
        <w:tc>
          <w:tcPr>
            <w:tcW w:w="4140" w:type="dxa"/>
          </w:tcPr>
          <w:p w:rsidR="0007399E" w:rsidRPr="0007399E" w:rsidRDefault="0007399E" w:rsidP="009E0AA9">
            <w:pPr>
              <w:rPr>
                <w:sz w:val="20"/>
                <w:szCs w:val="20"/>
                <w:lang w:val="fr-CA"/>
              </w:rPr>
            </w:pPr>
          </w:p>
        </w:tc>
      </w:tr>
      <w:tr w:rsidR="0007399E" w:rsidRPr="00ED1F08" w:rsidTr="0007399E">
        <w:tc>
          <w:tcPr>
            <w:tcW w:w="1260" w:type="dxa"/>
          </w:tcPr>
          <w:p w:rsidR="0007399E" w:rsidRPr="00DA3564" w:rsidRDefault="0007399E" w:rsidP="009E0AA9">
            <w:pPr>
              <w:rPr>
                <w:sz w:val="20"/>
                <w:szCs w:val="20"/>
              </w:rPr>
            </w:pPr>
            <w:r>
              <w:rPr>
                <w:sz w:val="20"/>
                <w:szCs w:val="20"/>
              </w:rPr>
              <w:t>IN / DANS</w:t>
            </w:r>
          </w:p>
        </w:tc>
        <w:tc>
          <w:tcPr>
            <w:tcW w:w="3060" w:type="dxa"/>
          </w:tcPr>
          <w:p w:rsidR="0007399E" w:rsidRPr="0007399E" w:rsidRDefault="0007399E" w:rsidP="009E0AA9">
            <w:pPr>
              <w:rPr>
                <w:sz w:val="20"/>
                <w:szCs w:val="20"/>
                <w:lang w:val="fr-CA"/>
              </w:rPr>
            </w:pPr>
            <w:r w:rsidRPr="0007399E">
              <w:rPr>
                <w:sz w:val="20"/>
                <w:szCs w:val="20"/>
                <w:lang w:val="fr-CA"/>
              </w:rPr>
              <w:t>Procureur général du Canada et autres</w:t>
            </w:r>
          </w:p>
          <w:p w:rsidR="0007399E" w:rsidRDefault="0007399E" w:rsidP="009E0AA9">
            <w:pPr>
              <w:rPr>
                <w:sz w:val="20"/>
                <w:szCs w:val="20"/>
                <w:lang w:val="fr-CA"/>
              </w:rPr>
            </w:pPr>
          </w:p>
          <w:p w:rsidR="0007399E" w:rsidRDefault="0007399E" w:rsidP="009E0AA9">
            <w:pPr>
              <w:rPr>
                <w:sz w:val="20"/>
                <w:szCs w:val="20"/>
                <w:lang w:val="fr-CA"/>
              </w:rPr>
            </w:pPr>
            <w:r>
              <w:rPr>
                <w:sz w:val="20"/>
                <w:szCs w:val="20"/>
                <w:lang w:val="fr-CA"/>
              </w:rPr>
              <w:tab/>
              <w:t>c. (37613)</w:t>
            </w:r>
          </w:p>
          <w:p w:rsidR="0007399E" w:rsidRDefault="0007399E" w:rsidP="009E0AA9">
            <w:pPr>
              <w:rPr>
                <w:sz w:val="20"/>
                <w:szCs w:val="20"/>
                <w:lang w:val="fr-CA"/>
              </w:rPr>
            </w:pPr>
          </w:p>
          <w:p w:rsidR="0007399E" w:rsidRPr="0007399E" w:rsidRDefault="0007399E" w:rsidP="009E0AA9">
            <w:pPr>
              <w:rPr>
                <w:sz w:val="20"/>
                <w:szCs w:val="20"/>
                <w:lang w:val="fr-CA"/>
              </w:rPr>
            </w:pPr>
            <w:r>
              <w:rPr>
                <w:sz w:val="20"/>
                <w:szCs w:val="20"/>
                <w:lang w:val="fr-CA"/>
              </w:rPr>
              <w:t>Procureure générale du Québec (Qc)</w:t>
            </w:r>
          </w:p>
        </w:tc>
        <w:tc>
          <w:tcPr>
            <w:tcW w:w="1080" w:type="dxa"/>
          </w:tcPr>
          <w:p w:rsidR="0007399E" w:rsidRPr="0007399E" w:rsidRDefault="0007399E" w:rsidP="009E0AA9">
            <w:pPr>
              <w:rPr>
                <w:sz w:val="20"/>
                <w:szCs w:val="20"/>
                <w:lang w:val="fr-CA"/>
              </w:rPr>
            </w:pPr>
          </w:p>
        </w:tc>
        <w:tc>
          <w:tcPr>
            <w:tcW w:w="4140" w:type="dxa"/>
          </w:tcPr>
          <w:p w:rsidR="0007399E" w:rsidRPr="0007399E" w:rsidRDefault="0007399E" w:rsidP="009E0AA9">
            <w:pPr>
              <w:rPr>
                <w:sz w:val="20"/>
                <w:szCs w:val="20"/>
                <w:lang w:val="fr-CA"/>
              </w:rPr>
            </w:pPr>
          </w:p>
        </w:tc>
      </w:tr>
    </w:tbl>
    <w:p w:rsidR="0007399E" w:rsidRDefault="0007399E" w:rsidP="00831CA9">
      <w:pPr>
        <w:jc w:val="both"/>
        <w:rPr>
          <w:sz w:val="20"/>
          <w:szCs w:val="20"/>
          <w:lang w:val="fr-CA"/>
        </w:rPr>
      </w:pPr>
    </w:p>
    <w:p w:rsidR="00675D48" w:rsidRPr="00675D48" w:rsidRDefault="00675D48" w:rsidP="00831CA9">
      <w:pPr>
        <w:jc w:val="both"/>
        <w:rPr>
          <w:b/>
          <w:sz w:val="20"/>
          <w:szCs w:val="20"/>
          <w:lang w:val="fr-CA"/>
        </w:rPr>
      </w:pPr>
      <w:r>
        <w:rPr>
          <w:b/>
          <w:sz w:val="20"/>
          <w:szCs w:val="20"/>
          <w:lang w:val="fr-CA"/>
        </w:rPr>
        <w:t>GRANTED / ACCORDÉES</w:t>
      </w:r>
    </w:p>
    <w:p w:rsidR="00675D48" w:rsidRPr="0007399E" w:rsidRDefault="00675D48" w:rsidP="00831CA9">
      <w:pPr>
        <w:jc w:val="both"/>
        <w:rPr>
          <w:sz w:val="20"/>
          <w:szCs w:val="20"/>
          <w:lang w:val="fr-CA"/>
        </w:rPr>
      </w:pPr>
    </w:p>
    <w:p w:rsidR="0007399E" w:rsidRPr="00602BD1" w:rsidRDefault="0007399E" w:rsidP="00D1641D">
      <w:pPr>
        <w:spacing w:line="232" w:lineRule="auto"/>
        <w:jc w:val="both"/>
        <w:rPr>
          <w:rFonts w:cs="Times New Roman"/>
          <w:sz w:val="20"/>
          <w:szCs w:val="20"/>
          <w:lang w:val="fr-CA"/>
        </w:rPr>
      </w:pPr>
      <w:r w:rsidRPr="00602BD1">
        <w:rPr>
          <w:rFonts w:cs="Times New Roman"/>
          <w:b/>
          <w:bCs/>
          <w:sz w:val="20"/>
          <w:szCs w:val="20"/>
          <w:lang w:val="fr-CA"/>
        </w:rPr>
        <w:t xml:space="preserve">À LA SUITE DES DEMANDES </w:t>
      </w:r>
      <w:r w:rsidRPr="00602BD1">
        <w:rPr>
          <w:rFonts w:cs="Times New Roman"/>
          <w:bCs/>
          <w:sz w:val="20"/>
          <w:szCs w:val="20"/>
          <w:lang w:val="fr-CA"/>
        </w:rPr>
        <w:t>présentées par le Barreau du Québec et l’Institut sur la gouvernance d’organisations privées et publiques en vue d’intervenir dans les appels</w:t>
      </w:r>
      <w:r w:rsidRPr="00602BD1">
        <w:rPr>
          <w:rFonts w:cs="Times New Roman"/>
          <w:sz w:val="20"/>
          <w:szCs w:val="20"/>
          <w:lang w:val="fr-CA"/>
        </w:rPr>
        <w:t>;</w:t>
      </w:r>
    </w:p>
    <w:p w:rsidR="0007399E" w:rsidRPr="00602BD1" w:rsidRDefault="0007399E" w:rsidP="00D1641D">
      <w:pPr>
        <w:spacing w:line="232" w:lineRule="auto"/>
        <w:jc w:val="both"/>
        <w:rPr>
          <w:rFonts w:cs="Times New Roman"/>
          <w:sz w:val="20"/>
          <w:szCs w:val="20"/>
          <w:lang w:val="fr-CA"/>
        </w:rPr>
      </w:pPr>
    </w:p>
    <w:p w:rsidR="0007399E" w:rsidRPr="00602BD1" w:rsidRDefault="0007399E" w:rsidP="00D1641D">
      <w:pPr>
        <w:spacing w:line="232" w:lineRule="auto"/>
        <w:jc w:val="both"/>
        <w:rPr>
          <w:rFonts w:cs="Times New Roman"/>
          <w:sz w:val="20"/>
          <w:szCs w:val="20"/>
          <w:lang w:val="fr-CA"/>
        </w:rPr>
      </w:pPr>
      <w:r w:rsidRPr="00602BD1">
        <w:rPr>
          <w:rFonts w:cs="Times New Roman"/>
          <w:b/>
          <w:bCs/>
          <w:sz w:val="20"/>
          <w:szCs w:val="20"/>
          <w:lang w:val="fr-CA"/>
        </w:rPr>
        <w:t xml:space="preserve">ET APRÈS EXAMEN </w:t>
      </w:r>
      <w:r w:rsidRPr="00602BD1">
        <w:rPr>
          <w:rFonts w:cs="Times New Roman"/>
          <w:bCs/>
          <w:sz w:val="20"/>
          <w:szCs w:val="20"/>
          <w:lang w:val="fr-CA"/>
        </w:rPr>
        <w:t>des documents déposés</w:t>
      </w:r>
      <w:r w:rsidRPr="00602BD1">
        <w:rPr>
          <w:rFonts w:cs="Times New Roman"/>
          <w:sz w:val="20"/>
          <w:szCs w:val="20"/>
          <w:lang w:val="fr-CA"/>
        </w:rPr>
        <w:t>;</w:t>
      </w:r>
    </w:p>
    <w:p w:rsidR="0007399E" w:rsidRPr="00602BD1" w:rsidRDefault="0007399E" w:rsidP="00D1641D">
      <w:pPr>
        <w:spacing w:line="232" w:lineRule="auto"/>
        <w:jc w:val="both"/>
        <w:rPr>
          <w:rFonts w:cs="Times New Roman"/>
          <w:sz w:val="20"/>
          <w:szCs w:val="20"/>
          <w:lang w:val="fr-CA"/>
        </w:rPr>
      </w:pPr>
    </w:p>
    <w:p w:rsidR="0007399E" w:rsidRPr="00602BD1" w:rsidRDefault="0007399E" w:rsidP="00D1641D">
      <w:pPr>
        <w:spacing w:line="232" w:lineRule="auto"/>
        <w:jc w:val="both"/>
        <w:rPr>
          <w:rFonts w:cs="Times New Roman"/>
          <w:sz w:val="20"/>
          <w:szCs w:val="20"/>
          <w:lang w:val="fr-CA"/>
        </w:rPr>
      </w:pPr>
      <w:r w:rsidRPr="00602BD1">
        <w:rPr>
          <w:rFonts w:cs="Times New Roman"/>
          <w:b/>
          <w:bCs/>
          <w:sz w:val="20"/>
          <w:szCs w:val="20"/>
          <w:lang w:val="fr-CA"/>
        </w:rPr>
        <w:t>IL EST ORDONNÉ CE QUI SUIT :</w:t>
      </w:r>
    </w:p>
    <w:p w:rsidR="0007399E" w:rsidRPr="00602BD1" w:rsidRDefault="0007399E" w:rsidP="00D1641D">
      <w:pPr>
        <w:spacing w:line="232" w:lineRule="auto"/>
        <w:jc w:val="both"/>
        <w:rPr>
          <w:rFonts w:cs="Times New Roman"/>
          <w:sz w:val="20"/>
          <w:szCs w:val="20"/>
          <w:lang w:val="fr-CA"/>
        </w:rPr>
      </w:pPr>
    </w:p>
    <w:p w:rsidR="0007399E" w:rsidRPr="00602BD1" w:rsidRDefault="0007399E" w:rsidP="00D1641D">
      <w:pPr>
        <w:spacing w:line="232" w:lineRule="auto"/>
        <w:jc w:val="both"/>
        <w:rPr>
          <w:rFonts w:cs="Times New Roman"/>
          <w:sz w:val="20"/>
          <w:szCs w:val="20"/>
          <w:lang w:val="fr-CA"/>
        </w:rPr>
      </w:pPr>
      <w:r w:rsidRPr="00602BD1">
        <w:rPr>
          <w:rFonts w:cs="Times New Roman"/>
          <w:sz w:val="20"/>
          <w:szCs w:val="20"/>
          <w:lang w:val="fr-CA"/>
        </w:rPr>
        <w:t>Les requêtes en autorisation d’intervenir sont accueillies et chacun de ces deux (2) intervenants pourra signifier et déposer un mémoire d’au plus dix (10) pages au plus tard le 19 décembre 2017.</w:t>
      </w:r>
    </w:p>
    <w:p w:rsidR="0007399E" w:rsidRPr="00602BD1" w:rsidRDefault="0007399E" w:rsidP="00D1641D">
      <w:pPr>
        <w:spacing w:line="232" w:lineRule="auto"/>
        <w:jc w:val="both"/>
        <w:rPr>
          <w:rFonts w:cs="Times New Roman"/>
          <w:sz w:val="20"/>
          <w:szCs w:val="20"/>
          <w:lang w:val="fr-CA"/>
        </w:rPr>
      </w:pPr>
    </w:p>
    <w:p w:rsidR="0007399E" w:rsidRPr="00602BD1" w:rsidRDefault="0007399E" w:rsidP="00D1641D">
      <w:pPr>
        <w:spacing w:line="233" w:lineRule="auto"/>
        <w:jc w:val="both"/>
        <w:rPr>
          <w:rFonts w:cs="Times New Roman"/>
          <w:sz w:val="20"/>
          <w:szCs w:val="20"/>
          <w:lang w:val="fr-CA"/>
        </w:rPr>
      </w:pPr>
      <w:r w:rsidRPr="00602BD1">
        <w:rPr>
          <w:rFonts w:cs="Times New Roman"/>
          <w:bCs/>
          <w:sz w:val="20"/>
          <w:szCs w:val="20"/>
          <w:lang w:val="fr-CA"/>
        </w:rPr>
        <w:t>Ces</w:t>
      </w:r>
      <w:r w:rsidRPr="00602BD1">
        <w:rPr>
          <w:rFonts w:cs="Times New Roman"/>
          <w:sz w:val="20"/>
          <w:szCs w:val="20"/>
          <w:lang w:val="fr-CA"/>
        </w:rPr>
        <w:t xml:space="preserve"> deux (2) intervenants auront chacun le droit de présenter une plaidoirie orale d’au plus cinq (5) minutes lors de l’audition des appels.</w:t>
      </w:r>
    </w:p>
    <w:p w:rsidR="0007399E" w:rsidRPr="00602BD1" w:rsidRDefault="0007399E" w:rsidP="00D1641D">
      <w:pPr>
        <w:spacing w:line="233" w:lineRule="auto"/>
        <w:jc w:val="both"/>
        <w:rPr>
          <w:rFonts w:cs="Times New Roman"/>
          <w:sz w:val="20"/>
          <w:szCs w:val="20"/>
          <w:lang w:val="fr-CA"/>
        </w:rPr>
      </w:pPr>
    </w:p>
    <w:p w:rsidR="0007399E" w:rsidRPr="00602BD1" w:rsidRDefault="0007399E" w:rsidP="00D1641D">
      <w:pPr>
        <w:spacing w:line="232" w:lineRule="auto"/>
        <w:jc w:val="both"/>
        <w:rPr>
          <w:rFonts w:cs="Times New Roman"/>
          <w:sz w:val="20"/>
          <w:szCs w:val="20"/>
          <w:lang w:val="fr-CA"/>
        </w:rPr>
      </w:pPr>
      <w:r w:rsidRPr="00602BD1">
        <w:rPr>
          <w:rFonts w:cs="Times New Roman"/>
          <w:sz w:val="20"/>
          <w:szCs w:val="20"/>
          <w:lang w:val="fr-CA"/>
        </w:rPr>
        <w:t>Le procureur général du Canada aura la permission de signifier et déposer une réplique à ces deux interventions d’au plus cinq (5) pages au plus tard le 15 janvier 2018.</w:t>
      </w:r>
    </w:p>
    <w:p w:rsidR="0007399E" w:rsidRPr="00602BD1" w:rsidRDefault="0007399E" w:rsidP="00D1641D">
      <w:pPr>
        <w:spacing w:line="233" w:lineRule="auto"/>
        <w:jc w:val="both"/>
        <w:rPr>
          <w:rFonts w:cs="Times New Roman"/>
          <w:sz w:val="20"/>
          <w:szCs w:val="20"/>
          <w:lang w:val="fr-CA"/>
        </w:rPr>
      </w:pPr>
    </w:p>
    <w:p w:rsidR="0007399E" w:rsidRPr="00675D48" w:rsidRDefault="0007399E" w:rsidP="00D1641D">
      <w:pPr>
        <w:spacing w:line="232" w:lineRule="auto"/>
        <w:jc w:val="both"/>
        <w:rPr>
          <w:rFonts w:cs="Times New Roman"/>
          <w:sz w:val="20"/>
          <w:szCs w:val="20"/>
          <w:lang w:val="fr-CA"/>
        </w:rPr>
      </w:pPr>
      <w:r w:rsidRPr="00675D48">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675D48">
        <w:rPr>
          <w:rFonts w:cs="Times New Roman"/>
          <w:sz w:val="20"/>
          <w:szCs w:val="20"/>
        </w:rPr>
        <w:fldChar w:fldCharType="begin"/>
      </w:r>
      <w:r w:rsidRPr="00675D48">
        <w:rPr>
          <w:rFonts w:cs="Times New Roman"/>
          <w:sz w:val="20"/>
          <w:szCs w:val="20"/>
          <w:lang w:val="fr-CA"/>
        </w:rPr>
        <w:instrText xml:space="preserve"> SEQ CHAPTER \h \r 1</w:instrText>
      </w:r>
      <w:r w:rsidRPr="00675D48">
        <w:rPr>
          <w:rFonts w:cs="Times New Roman"/>
          <w:sz w:val="20"/>
          <w:szCs w:val="20"/>
        </w:rPr>
        <w:fldChar w:fldCharType="end"/>
      </w:r>
      <w:r w:rsidRPr="00675D48">
        <w:rPr>
          <w:rFonts w:cs="Times New Roman"/>
          <w:bCs/>
          <w:sz w:val="20"/>
          <w:szCs w:val="20"/>
          <w:lang w:val="fr-CA"/>
        </w:rPr>
        <w:t>parties.</w:t>
      </w:r>
    </w:p>
    <w:p w:rsidR="0007399E" w:rsidRPr="00602BD1" w:rsidRDefault="0007399E" w:rsidP="00D1641D">
      <w:pPr>
        <w:spacing w:line="232" w:lineRule="auto"/>
        <w:jc w:val="both"/>
        <w:rPr>
          <w:rFonts w:cs="Times New Roman"/>
          <w:sz w:val="20"/>
          <w:szCs w:val="20"/>
          <w:lang w:val="fr-CA"/>
        </w:rPr>
      </w:pPr>
    </w:p>
    <w:p w:rsidR="0007399E" w:rsidRPr="00602BD1" w:rsidRDefault="0007399E" w:rsidP="00D1641D">
      <w:pPr>
        <w:jc w:val="both"/>
        <w:rPr>
          <w:rFonts w:cs="Times New Roman"/>
          <w:sz w:val="20"/>
          <w:szCs w:val="20"/>
          <w:lang w:val="fr-FR"/>
        </w:rPr>
      </w:pPr>
      <w:r w:rsidRPr="00602BD1">
        <w:rPr>
          <w:rFonts w:cs="Times New Roman"/>
          <w:sz w:val="20"/>
          <w:szCs w:val="20"/>
          <w:lang w:val="fr-FR"/>
        </w:rPr>
        <w:t>Conformément à l’alinéa 59(1)</w:t>
      </w:r>
      <w:r w:rsidRPr="00602BD1">
        <w:rPr>
          <w:rFonts w:cs="Times New Roman"/>
          <w:i/>
          <w:sz w:val="20"/>
          <w:szCs w:val="20"/>
          <w:lang w:val="fr-FR"/>
        </w:rPr>
        <w:t>a</w:t>
      </w:r>
      <w:r w:rsidRPr="00602BD1">
        <w:rPr>
          <w:rFonts w:cs="Times New Roman"/>
          <w:sz w:val="20"/>
          <w:szCs w:val="20"/>
          <w:lang w:val="fr-FR"/>
        </w:rPr>
        <w:t xml:space="preserve">) des </w:t>
      </w:r>
      <w:r w:rsidRPr="00602BD1">
        <w:rPr>
          <w:rFonts w:cs="Times New Roman"/>
          <w:i/>
          <w:sz w:val="20"/>
          <w:szCs w:val="20"/>
          <w:lang w:val="fr-FR"/>
        </w:rPr>
        <w:t>Règles de la Cour suprême du Canada</w:t>
      </w:r>
      <w:r w:rsidRPr="00602BD1">
        <w:rPr>
          <w:rFonts w:cs="Times New Roman"/>
          <w:sz w:val="20"/>
          <w:szCs w:val="20"/>
          <w:lang w:val="fr-FR"/>
        </w:rPr>
        <w:t>, les intervenants paieront aux appelants et à l’intimée tous débours supplémentaires résultant de leurs interventions.</w:t>
      </w:r>
    </w:p>
    <w:p w:rsidR="0007399E" w:rsidRPr="00602BD1" w:rsidRDefault="0007399E" w:rsidP="00D1641D">
      <w:pPr>
        <w:jc w:val="both"/>
        <w:rPr>
          <w:rFonts w:cs="Times New Roman"/>
          <w:sz w:val="20"/>
          <w:szCs w:val="20"/>
          <w:lang w:val="fr-FR"/>
        </w:rPr>
      </w:pPr>
    </w:p>
    <w:p w:rsidR="0007399E" w:rsidRPr="00602BD1" w:rsidRDefault="0007399E" w:rsidP="00D1641D">
      <w:pPr>
        <w:jc w:val="both"/>
        <w:rPr>
          <w:rFonts w:cs="Times New Roman"/>
          <w:b/>
          <w:sz w:val="20"/>
          <w:szCs w:val="20"/>
          <w:lang w:val="fr-FR"/>
        </w:rPr>
      </w:pPr>
      <w:r w:rsidRPr="00602BD1">
        <w:rPr>
          <w:rFonts w:cs="Times New Roman"/>
          <w:b/>
          <w:sz w:val="20"/>
          <w:szCs w:val="20"/>
          <w:lang w:val="fr-FR"/>
        </w:rPr>
        <w:t>IL EST EN OUTRE ORDONNÉ QUE :</w:t>
      </w:r>
    </w:p>
    <w:p w:rsidR="0007399E" w:rsidRPr="00602BD1" w:rsidRDefault="0007399E" w:rsidP="00D1641D">
      <w:pPr>
        <w:spacing w:line="228" w:lineRule="auto"/>
        <w:jc w:val="both"/>
        <w:rPr>
          <w:sz w:val="20"/>
          <w:szCs w:val="20"/>
          <w:lang w:val="fr-CA"/>
        </w:rPr>
      </w:pPr>
    </w:p>
    <w:p w:rsidR="0007399E" w:rsidRPr="00602BD1" w:rsidRDefault="0007399E" w:rsidP="00D1641D">
      <w:pPr>
        <w:spacing w:line="233" w:lineRule="auto"/>
        <w:jc w:val="both"/>
        <w:rPr>
          <w:rFonts w:cs="Times New Roman"/>
          <w:sz w:val="20"/>
          <w:szCs w:val="20"/>
          <w:lang w:val="fr-CA"/>
        </w:rPr>
      </w:pPr>
      <w:r w:rsidRPr="00602BD1">
        <w:rPr>
          <w:rFonts w:cs="Times New Roman"/>
          <w:sz w:val="20"/>
          <w:szCs w:val="20"/>
          <w:lang w:val="fr-CA"/>
        </w:rPr>
        <w:t xml:space="preserve">Le procureur général de l’Ontario, le procureur général de la Nouvelle-Écosse, le procureur général du Nouveau-Brunswick, le procureur général du Manitoba, le procureur général de l’Île-du-Prince-Édouard, le procureur général de la Saskatchewan et le procureur général de l’Alberta auront chacun le droit de présenter une plaidoirie orale d’au plus cinq (5) minutes lors de l’audition des appels.  </w:t>
      </w:r>
    </w:p>
    <w:p w:rsidR="0007399E" w:rsidRPr="00602BD1" w:rsidRDefault="0007399E" w:rsidP="00D1641D">
      <w:pPr>
        <w:spacing w:line="228" w:lineRule="auto"/>
        <w:jc w:val="both"/>
        <w:rPr>
          <w:sz w:val="20"/>
          <w:szCs w:val="20"/>
          <w:lang w:val="fr-CA"/>
        </w:rPr>
      </w:pPr>
    </w:p>
    <w:p w:rsidR="0007399E" w:rsidRDefault="0007399E" w:rsidP="00D1641D">
      <w:pPr>
        <w:spacing w:line="228" w:lineRule="auto"/>
        <w:jc w:val="both"/>
        <w:rPr>
          <w:rFonts w:cs="Times New Roman"/>
          <w:b/>
          <w:bCs/>
          <w:sz w:val="20"/>
          <w:szCs w:val="20"/>
          <w:lang w:val="fr-CA"/>
        </w:rPr>
      </w:pPr>
    </w:p>
    <w:p w:rsidR="0007399E" w:rsidRPr="00602BD1" w:rsidRDefault="0007399E" w:rsidP="00D1641D">
      <w:pPr>
        <w:spacing w:line="228" w:lineRule="auto"/>
        <w:jc w:val="both"/>
        <w:rPr>
          <w:rFonts w:cs="Times New Roman"/>
          <w:b/>
          <w:bCs/>
          <w:sz w:val="20"/>
          <w:szCs w:val="20"/>
          <w:lang w:val="fr-CA"/>
        </w:rPr>
      </w:pPr>
    </w:p>
    <w:p w:rsidR="0007399E" w:rsidRPr="00602BD1" w:rsidRDefault="0007399E" w:rsidP="00D1641D">
      <w:pPr>
        <w:spacing w:line="232" w:lineRule="auto"/>
        <w:jc w:val="both"/>
        <w:rPr>
          <w:rFonts w:cs="Times New Roman"/>
          <w:sz w:val="20"/>
          <w:szCs w:val="20"/>
        </w:rPr>
      </w:pPr>
      <w:r w:rsidRPr="00602BD1">
        <w:rPr>
          <w:rFonts w:cs="Times New Roman"/>
          <w:b/>
          <w:bCs/>
          <w:sz w:val="20"/>
          <w:szCs w:val="20"/>
        </w:rPr>
        <w:t xml:space="preserve">UPON APPLICATIONS </w:t>
      </w:r>
      <w:r w:rsidRPr="00602BD1">
        <w:rPr>
          <w:rFonts w:cs="Times New Roman"/>
          <w:sz w:val="20"/>
          <w:szCs w:val="20"/>
        </w:rPr>
        <w:t xml:space="preserve">by the </w:t>
      </w:r>
      <w:proofErr w:type="spellStart"/>
      <w:r w:rsidRPr="00602BD1">
        <w:rPr>
          <w:rFonts w:cs="Times New Roman"/>
          <w:sz w:val="20"/>
          <w:szCs w:val="20"/>
        </w:rPr>
        <w:t>Barreau</w:t>
      </w:r>
      <w:proofErr w:type="spellEnd"/>
      <w:r w:rsidRPr="00602BD1">
        <w:rPr>
          <w:rFonts w:cs="Times New Roman"/>
          <w:sz w:val="20"/>
          <w:szCs w:val="20"/>
        </w:rPr>
        <w:t xml:space="preserve"> du Québec and the Institute for Governance of Private and Public Organizations for leave to intervene in the above appeals;</w:t>
      </w:r>
    </w:p>
    <w:p w:rsidR="0007399E" w:rsidRPr="00602BD1" w:rsidRDefault="0007399E" w:rsidP="00D1641D">
      <w:pPr>
        <w:spacing w:line="232" w:lineRule="auto"/>
        <w:jc w:val="both"/>
        <w:rPr>
          <w:rFonts w:cs="Times New Roman"/>
          <w:sz w:val="20"/>
          <w:szCs w:val="20"/>
        </w:rPr>
      </w:pPr>
    </w:p>
    <w:p w:rsidR="0007399E" w:rsidRPr="00602BD1" w:rsidRDefault="0007399E" w:rsidP="00D1641D">
      <w:pPr>
        <w:spacing w:line="232" w:lineRule="auto"/>
        <w:jc w:val="both"/>
        <w:rPr>
          <w:rFonts w:cs="Times New Roman"/>
          <w:sz w:val="20"/>
          <w:szCs w:val="20"/>
        </w:rPr>
      </w:pPr>
      <w:r w:rsidRPr="00602BD1">
        <w:rPr>
          <w:rFonts w:cs="Times New Roman"/>
          <w:b/>
          <w:bCs/>
          <w:sz w:val="20"/>
          <w:szCs w:val="20"/>
        </w:rPr>
        <w:t>AND THE MATERIAL FILED</w:t>
      </w:r>
      <w:r w:rsidRPr="00602BD1">
        <w:rPr>
          <w:rFonts w:cs="Times New Roman"/>
          <w:sz w:val="20"/>
          <w:szCs w:val="20"/>
        </w:rPr>
        <w:t xml:space="preserve"> having been read;</w:t>
      </w:r>
    </w:p>
    <w:p w:rsidR="0007399E" w:rsidRPr="00602BD1" w:rsidRDefault="0007399E" w:rsidP="00D1641D">
      <w:pPr>
        <w:spacing w:line="232" w:lineRule="auto"/>
        <w:jc w:val="both"/>
        <w:rPr>
          <w:rFonts w:cs="Times New Roman"/>
          <w:sz w:val="20"/>
          <w:szCs w:val="20"/>
        </w:rPr>
      </w:pPr>
    </w:p>
    <w:p w:rsidR="0007399E" w:rsidRPr="00602BD1" w:rsidRDefault="0007399E" w:rsidP="0007399E">
      <w:pPr>
        <w:spacing w:line="232" w:lineRule="auto"/>
        <w:rPr>
          <w:rFonts w:cs="Times New Roman"/>
          <w:b/>
          <w:bCs/>
          <w:sz w:val="20"/>
          <w:szCs w:val="20"/>
        </w:rPr>
      </w:pPr>
      <w:r w:rsidRPr="00602BD1">
        <w:rPr>
          <w:rFonts w:cs="Times New Roman"/>
          <w:b/>
          <w:bCs/>
          <w:sz w:val="20"/>
          <w:szCs w:val="20"/>
        </w:rPr>
        <w:lastRenderedPageBreak/>
        <w:t>IT IS HEREBY ORDERED THAT:</w:t>
      </w:r>
    </w:p>
    <w:p w:rsidR="0007399E" w:rsidRPr="00602BD1" w:rsidRDefault="0007399E" w:rsidP="0007399E">
      <w:pPr>
        <w:spacing w:line="228" w:lineRule="auto"/>
        <w:rPr>
          <w:rFonts w:cs="Times New Roman"/>
          <w:sz w:val="20"/>
          <w:szCs w:val="20"/>
        </w:rPr>
      </w:pPr>
    </w:p>
    <w:p w:rsidR="0007399E" w:rsidRPr="00602BD1" w:rsidRDefault="0007399E" w:rsidP="00D1641D">
      <w:pPr>
        <w:spacing w:line="228" w:lineRule="auto"/>
        <w:jc w:val="both"/>
        <w:rPr>
          <w:rFonts w:cs="Times New Roman"/>
          <w:sz w:val="20"/>
          <w:szCs w:val="20"/>
        </w:rPr>
      </w:pPr>
      <w:r w:rsidRPr="00602BD1">
        <w:rPr>
          <w:rFonts w:cs="Times New Roman"/>
          <w:sz w:val="20"/>
          <w:szCs w:val="20"/>
        </w:rPr>
        <w:t>The motions for leave to intervene are granted and the said two (2) interveners</w:t>
      </w:r>
      <w:r w:rsidRPr="00602BD1">
        <w:rPr>
          <w:rFonts w:eastAsia="Times New Roman" w:cs="Times New Roman"/>
          <w:sz w:val="20"/>
          <w:szCs w:val="20"/>
          <w:lang w:eastAsia="fr-FR"/>
        </w:rPr>
        <w:t xml:space="preserve"> </w:t>
      </w:r>
      <w:r w:rsidRPr="00602BD1">
        <w:rPr>
          <w:rFonts w:cs="Times New Roman"/>
          <w:sz w:val="20"/>
          <w:szCs w:val="20"/>
        </w:rPr>
        <w:t xml:space="preserve">shall be entitled to each serve and file a factum not to exceed ten (10) pages in length on or before December 19, 2017. </w:t>
      </w:r>
    </w:p>
    <w:p w:rsidR="0007399E" w:rsidRPr="00602BD1" w:rsidRDefault="0007399E" w:rsidP="00D1641D">
      <w:pPr>
        <w:spacing w:line="233" w:lineRule="auto"/>
        <w:jc w:val="both"/>
        <w:rPr>
          <w:rFonts w:cs="Times New Roman"/>
          <w:bCs/>
          <w:sz w:val="20"/>
          <w:szCs w:val="20"/>
        </w:rPr>
      </w:pPr>
    </w:p>
    <w:p w:rsidR="0007399E" w:rsidRPr="00602BD1" w:rsidRDefault="0007399E" w:rsidP="00D1641D">
      <w:pPr>
        <w:spacing w:line="228" w:lineRule="auto"/>
        <w:jc w:val="both"/>
        <w:rPr>
          <w:rFonts w:cs="Times New Roman"/>
          <w:sz w:val="20"/>
          <w:szCs w:val="20"/>
        </w:rPr>
      </w:pPr>
      <w:r w:rsidRPr="00602BD1">
        <w:rPr>
          <w:rFonts w:cs="Times New Roman"/>
          <w:bCs/>
          <w:sz w:val="20"/>
          <w:szCs w:val="20"/>
        </w:rPr>
        <w:t>The said two (2) interveners</w:t>
      </w:r>
      <w:r w:rsidRPr="00602BD1">
        <w:rPr>
          <w:rFonts w:cs="Times New Roman"/>
          <w:sz w:val="20"/>
          <w:szCs w:val="20"/>
        </w:rPr>
        <w:t xml:space="preserve"> are each granted permission to present oral argument not exceeding five (5) minutes at the hearing of the appeals.</w:t>
      </w:r>
    </w:p>
    <w:p w:rsidR="0007399E" w:rsidRPr="00602BD1" w:rsidRDefault="0007399E" w:rsidP="00D1641D">
      <w:pPr>
        <w:spacing w:line="228" w:lineRule="auto"/>
        <w:jc w:val="both"/>
        <w:rPr>
          <w:rFonts w:cs="Times New Roman"/>
          <w:sz w:val="20"/>
          <w:szCs w:val="20"/>
        </w:rPr>
      </w:pPr>
    </w:p>
    <w:p w:rsidR="0007399E" w:rsidRPr="00602BD1" w:rsidRDefault="0007399E" w:rsidP="00D1641D">
      <w:pPr>
        <w:jc w:val="both"/>
        <w:rPr>
          <w:rFonts w:cs="Times New Roman"/>
          <w:sz w:val="20"/>
          <w:szCs w:val="20"/>
        </w:rPr>
      </w:pPr>
      <w:r w:rsidRPr="00602BD1">
        <w:rPr>
          <w:rFonts w:cs="Times New Roman"/>
          <w:sz w:val="20"/>
          <w:szCs w:val="20"/>
        </w:rPr>
        <w:t>The Attorney General of Canada is permitted to serve and file a single factum not exceeding five (5) pages in reply to these two (2) interventions on or before January 15, 2018.</w:t>
      </w:r>
    </w:p>
    <w:p w:rsidR="0007399E" w:rsidRPr="00602BD1" w:rsidRDefault="0007399E" w:rsidP="00D1641D">
      <w:pPr>
        <w:jc w:val="both"/>
        <w:rPr>
          <w:rFonts w:cs="Times New Roman"/>
          <w:sz w:val="20"/>
          <w:szCs w:val="20"/>
        </w:rPr>
      </w:pPr>
    </w:p>
    <w:p w:rsidR="0007399E" w:rsidRPr="00675D48" w:rsidRDefault="0007399E" w:rsidP="00D1641D">
      <w:pPr>
        <w:spacing w:line="228" w:lineRule="auto"/>
        <w:jc w:val="both"/>
        <w:rPr>
          <w:rFonts w:cs="Times New Roman"/>
          <w:bCs/>
          <w:sz w:val="20"/>
          <w:szCs w:val="20"/>
        </w:rPr>
      </w:pPr>
      <w:r w:rsidRPr="00675D48">
        <w:rPr>
          <w:rFonts w:cs="Times New Roman"/>
          <w:sz w:val="20"/>
          <w:szCs w:val="20"/>
        </w:rPr>
        <w:fldChar w:fldCharType="begin"/>
      </w:r>
      <w:r w:rsidRPr="00675D48">
        <w:rPr>
          <w:rFonts w:cs="Times New Roman"/>
          <w:sz w:val="20"/>
          <w:szCs w:val="20"/>
        </w:rPr>
        <w:instrText xml:space="preserve"> SEQ CHAPTER \h \r 1</w:instrText>
      </w:r>
      <w:r w:rsidRPr="00675D48">
        <w:rPr>
          <w:rFonts w:cs="Times New Roman"/>
          <w:sz w:val="20"/>
          <w:szCs w:val="20"/>
        </w:rPr>
        <w:fldChar w:fldCharType="end"/>
      </w:r>
      <w:r w:rsidRPr="00675D48">
        <w:rPr>
          <w:rFonts w:cs="Times New Roman"/>
          <w:bCs/>
          <w:sz w:val="20"/>
          <w:szCs w:val="20"/>
        </w:rPr>
        <w:t>The interveners are not entitled to raise new issues or to adduce further evidence or otherwise to supplement the record of the parties.</w:t>
      </w:r>
    </w:p>
    <w:p w:rsidR="0007399E" w:rsidRPr="00602BD1" w:rsidRDefault="0007399E" w:rsidP="00D1641D">
      <w:pPr>
        <w:spacing w:line="228" w:lineRule="auto"/>
        <w:jc w:val="both"/>
        <w:rPr>
          <w:rFonts w:cs="Times New Roman"/>
          <w:b/>
          <w:bCs/>
          <w:sz w:val="20"/>
          <w:szCs w:val="20"/>
        </w:rPr>
      </w:pPr>
    </w:p>
    <w:p w:rsidR="0007399E" w:rsidRPr="00602BD1" w:rsidRDefault="0007399E" w:rsidP="00D1641D">
      <w:pPr>
        <w:spacing w:line="230" w:lineRule="auto"/>
        <w:jc w:val="both"/>
        <w:rPr>
          <w:rFonts w:cs="Times New Roman"/>
          <w:sz w:val="20"/>
          <w:szCs w:val="20"/>
        </w:rPr>
      </w:pPr>
      <w:r w:rsidRPr="00602BD1">
        <w:rPr>
          <w:rFonts w:cs="Times New Roman"/>
          <w:sz w:val="20"/>
          <w:szCs w:val="20"/>
        </w:rPr>
        <w:t>Pursuant to Rule 59(1</w:t>
      </w:r>
      <w:proofErr w:type="gramStart"/>
      <w:r w:rsidRPr="00602BD1">
        <w:rPr>
          <w:rFonts w:cs="Times New Roman"/>
          <w:sz w:val="20"/>
          <w:szCs w:val="20"/>
        </w:rPr>
        <w:t>)(</w:t>
      </w:r>
      <w:proofErr w:type="gramEnd"/>
      <w:r w:rsidRPr="00602BD1">
        <w:rPr>
          <w:rFonts w:cs="Times New Roman"/>
          <w:i/>
          <w:iCs/>
          <w:sz w:val="20"/>
          <w:szCs w:val="20"/>
        </w:rPr>
        <w:t>a</w:t>
      </w:r>
      <w:r w:rsidRPr="00602BD1">
        <w:rPr>
          <w:rFonts w:cs="Times New Roman"/>
          <w:sz w:val="20"/>
          <w:szCs w:val="20"/>
        </w:rPr>
        <w:t xml:space="preserve">) of the </w:t>
      </w:r>
      <w:r w:rsidRPr="00602BD1">
        <w:rPr>
          <w:rFonts w:cs="Times New Roman"/>
          <w:i/>
          <w:iCs/>
          <w:sz w:val="20"/>
          <w:szCs w:val="20"/>
        </w:rPr>
        <w:t>Rules of the Supreme Court of Canada</w:t>
      </w:r>
      <w:r w:rsidRPr="00602BD1">
        <w:rPr>
          <w:rFonts w:cs="Times New Roman"/>
          <w:sz w:val="20"/>
          <w:szCs w:val="20"/>
        </w:rPr>
        <w:t>, the interveners shall pay to the appellants and respondent any additional disbursements resulting from their interventions.</w:t>
      </w:r>
    </w:p>
    <w:p w:rsidR="0007399E" w:rsidRPr="00602BD1" w:rsidRDefault="0007399E" w:rsidP="00D1641D">
      <w:pPr>
        <w:jc w:val="both"/>
        <w:rPr>
          <w:rFonts w:cs="Times New Roman"/>
          <w:b/>
          <w:bCs/>
          <w:sz w:val="20"/>
          <w:szCs w:val="20"/>
        </w:rPr>
      </w:pPr>
    </w:p>
    <w:p w:rsidR="0007399E" w:rsidRPr="00602BD1" w:rsidRDefault="0007399E" w:rsidP="00D1641D">
      <w:pPr>
        <w:jc w:val="both"/>
        <w:rPr>
          <w:rFonts w:cs="Times New Roman"/>
          <w:b/>
          <w:bCs/>
          <w:sz w:val="20"/>
          <w:szCs w:val="20"/>
        </w:rPr>
      </w:pPr>
      <w:r w:rsidRPr="00602BD1">
        <w:rPr>
          <w:rFonts w:cs="Times New Roman"/>
          <w:b/>
          <w:bCs/>
          <w:sz w:val="20"/>
          <w:szCs w:val="20"/>
        </w:rPr>
        <w:t>IT IS HEREBY FURTHER ORDERED THAT:</w:t>
      </w:r>
    </w:p>
    <w:p w:rsidR="0007399E" w:rsidRPr="00602BD1" w:rsidRDefault="0007399E" w:rsidP="00D1641D">
      <w:pPr>
        <w:jc w:val="both"/>
        <w:rPr>
          <w:rFonts w:cs="Times New Roman"/>
          <w:b/>
          <w:bCs/>
          <w:sz w:val="20"/>
          <w:szCs w:val="20"/>
        </w:rPr>
      </w:pPr>
    </w:p>
    <w:p w:rsidR="0007399E" w:rsidRPr="00602BD1" w:rsidRDefault="0007399E" w:rsidP="00D1641D">
      <w:pPr>
        <w:spacing w:line="228" w:lineRule="auto"/>
        <w:jc w:val="both"/>
        <w:rPr>
          <w:rFonts w:cs="Times New Roman"/>
          <w:sz w:val="20"/>
          <w:szCs w:val="20"/>
        </w:rPr>
      </w:pPr>
      <w:r w:rsidRPr="00602BD1">
        <w:rPr>
          <w:rFonts w:cs="Times New Roman"/>
          <w:sz w:val="20"/>
          <w:szCs w:val="20"/>
        </w:rPr>
        <w:t>The Attorney General of Ontario, the Attorney General of Nova Scotia, the Attorney General of New Brunswick, the Attorney General of Manitoba, the Attorney General of Prince Edward Island, the Attorney General for Saskatchewan and the Attorney General of Alberta are each granted permission to present oral argument not exceeding five (5) minutes at the hearing of the appeals.</w:t>
      </w:r>
    </w:p>
    <w:p w:rsidR="0007399E" w:rsidRPr="00602BD1" w:rsidRDefault="00ED1F08" w:rsidP="00D1641D">
      <w:pPr>
        <w:jc w:val="both"/>
        <w:rPr>
          <w:rFonts w:cs="Times New Roman"/>
          <w:b/>
          <w:bCs/>
          <w:sz w:val="20"/>
          <w:szCs w:val="20"/>
        </w:rPr>
      </w:pPr>
      <w:r>
        <w:rPr>
          <w:rFonts w:eastAsia="Times New Roman" w:cs="Times New Roman"/>
          <w:sz w:val="20"/>
          <w:szCs w:val="20"/>
          <w:lang w:val="fr-CA" w:eastAsia="en-CA"/>
        </w:rPr>
        <w:pict>
          <v:rect id="_x0000_i1052" style="width:2in;height:1pt" o:hrpct="0" o:hralign="center" o:hrstd="t" o:hrnoshade="t" o:hr="t" fillcolor="black [3213]" stroked="f"/>
        </w:pict>
      </w:r>
    </w:p>
    <w:p w:rsidR="00AC460B" w:rsidRPr="0007399E" w:rsidRDefault="00AC460B" w:rsidP="00831CA9">
      <w:pPr>
        <w:jc w:val="both"/>
        <w:rPr>
          <w:sz w:val="20"/>
          <w:szCs w:val="20"/>
        </w:rPr>
      </w:pPr>
    </w:p>
    <w:p w:rsidR="00AC460B" w:rsidRPr="009E0AA9" w:rsidRDefault="0007399E" w:rsidP="00831CA9">
      <w:pPr>
        <w:jc w:val="both"/>
        <w:rPr>
          <w:sz w:val="20"/>
          <w:szCs w:val="20"/>
          <w:lang w:val="fr-CA"/>
        </w:rPr>
      </w:pPr>
      <w:r w:rsidRPr="009E0AA9">
        <w:rPr>
          <w:sz w:val="20"/>
          <w:szCs w:val="20"/>
          <w:lang w:val="fr-CA"/>
        </w:rPr>
        <w:t>09.11.2017</w:t>
      </w:r>
    </w:p>
    <w:p w:rsidR="0007399E" w:rsidRPr="009E0AA9" w:rsidRDefault="0007399E" w:rsidP="00831CA9">
      <w:pPr>
        <w:jc w:val="both"/>
        <w:rPr>
          <w:sz w:val="20"/>
          <w:szCs w:val="20"/>
          <w:lang w:val="fr-CA"/>
        </w:rPr>
      </w:pPr>
    </w:p>
    <w:p w:rsidR="0007399E" w:rsidRPr="0007399E" w:rsidRDefault="0007399E" w:rsidP="00831CA9">
      <w:pPr>
        <w:jc w:val="both"/>
        <w:rPr>
          <w:sz w:val="20"/>
          <w:szCs w:val="20"/>
          <w:lang w:val="fr-CA"/>
        </w:rPr>
      </w:pPr>
      <w:r w:rsidRPr="0007399E">
        <w:rPr>
          <w:sz w:val="20"/>
          <w:szCs w:val="20"/>
          <w:lang w:val="fr-CA"/>
        </w:rPr>
        <w:t>Before / Devant: ABELLA J. / LA JUGE ABELLA</w:t>
      </w:r>
    </w:p>
    <w:p w:rsidR="0007399E" w:rsidRDefault="0007399E" w:rsidP="00831CA9">
      <w:pPr>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1080"/>
        <w:gridCol w:w="4140"/>
      </w:tblGrid>
      <w:tr w:rsidR="0007399E" w:rsidRPr="00ED1F08" w:rsidTr="0007399E">
        <w:tc>
          <w:tcPr>
            <w:tcW w:w="4320" w:type="dxa"/>
            <w:tcBorders>
              <w:top w:val="nil"/>
              <w:left w:val="nil"/>
              <w:bottom w:val="nil"/>
              <w:right w:val="nil"/>
            </w:tcBorders>
          </w:tcPr>
          <w:p w:rsidR="0007399E" w:rsidRPr="00DA3564" w:rsidRDefault="0007399E" w:rsidP="009E0AA9">
            <w:pPr>
              <w:jc w:val="both"/>
              <w:rPr>
                <w:rFonts w:cs="Times New Roman"/>
                <w:b/>
                <w:bCs/>
                <w:sz w:val="20"/>
                <w:szCs w:val="20"/>
              </w:rPr>
            </w:pPr>
            <w:r w:rsidRPr="00DA3564">
              <w:rPr>
                <w:rFonts w:cs="Times New Roman"/>
                <w:b/>
                <w:bCs/>
                <w:sz w:val="20"/>
                <w:szCs w:val="20"/>
                <w:lang w:val="en-GB"/>
              </w:rPr>
              <w:t>Motion</w:t>
            </w:r>
            <w:r>
              <w:rPr>
                <w:rFonts w:cs="Times New Roman"/>
                <w:b/>
                <w:bCs/>
                <w:sz w:val="20"/>
                <w:szCs w:val="20"/>
                <w:lang w:val="en-GB"/>
              </w:rPr>
              <w:t>s</w:t>
            </w:r>
            <w:r w:rsidRPr="00DA3564">
              <w:rPr>
                <w:rFonts w:cs="Times New Roman"/>
                <w:b/>
                <w:bCs/>
                <w:sz w:val="20"/>
                <w:szCs w:val="20"/>
                <w:lang w:val="en-GB"/>
              </w:rPr>
              <w:t xml:space="preserve"> for leave to intervene</w:t>
            </w:r>
            <w:r>
              <w:rPr>
                <w:rFonts w:cs="Times New Roman"/>
                <w:b/>
                <w:bCs/>
                <w:sz w:val="20"/>
                <w:szCs w:val="20"/>
                <w:lang w:val="en-GB"/>
              </w:rPr>
              <w:t xml:space="preserve"> and to extend time</w:t>
            </w:r>
          </w:p>
        </w:tc>
        <w:tc>
          <w:tcPr>
            <w:tcW w:w="1080" w:type="dxa"/>
            <w:tcBorders>
              <w:top w:val="nil"/>
              <w:left w:val="nil"/>
              <w:bottom w:val="nil"/>
              <w:right w:val="nil"/>
            </w:tcBorders>
          </w:tcPr>
          <w:p w:rsidR="0007399E" w:rsidRPr="00DA3564" w:rsidRDefault="0007399E" w:rsidP="009E0AA9">
            <w:pPr>
              <w:jc w:val="both"/>
              <w:rPr>
                <w:rFonts w:cs="Times New Roman"/>
                <w:b/>
                <w:bCs/>
                <w:sz w:val="20"/>
                <w:szCs w:val="20"/>
              </w:rPr>
            </w:pPr>
          </w:p>
        </w:tc>
        <w:tc>
          <w:tcPr>
            <w:tcW w:w="4140" w:type="dxa"/>
            <w:tcBorders>
              <w:top w:val="nil"/>
              <w:left w:val="nil"/>
              <w:bottom w:val="nil"/>
              <w:right w:val="nil"/>
            </w:tcBorders>
          </w:tcPr>
          <w:p w:rsidR="0007399E" w:rsidRPr="00DA3564" w:rsidRDefault="0007399E" w:rsidP="009E0AA9">
            <w:pPr>
              <w:jc w:val="both"/>
              <w:rPr>
                <w:rFonts w:cs="Times New Roman"/>
                <w:b/>
                <w:bCs/>
                <w:sz w:val="20"/>
                <w:szCs w:val="20"/>
                <w:lang w:val="fr-CA"/>
              </w:rPr>
            </w:pPr>
            <w:r w:rsidRPr="00DA3564">
              <w:rPr>
                <w:rFonts w:cs="Times New Roman"/>
                <w:b/>
                <w:bCs/>
                <w:sz w:val="20"/>
                <w:szCs w:val="20"/>
                <w:lang w:val="fr-CA"/>
              </w:rPr>
              <w:t>Requête</w:t>
            </w:r>
            <w:r>
              <w:rPr>
                <w:rFonts w:cs="Times New Roman"/>
                <w:b/>
                <w:bCs/>
                <w:sz w:val="20"/>
                <w:szCs w:val="20"/>
                <w:lang w:val="fr-CA"/>
              </w:rPr>
              <w:t>s</w:t>
            </w:r>
            <w:r w:rsidRPr="00DA3564">
              <w:rPr>
                <w:rFonts w:cs="Times New Roman"/>
                <w:b/>
                <w:bCs/>
                <w:sz w:val="20"/>
                <w:szCs w:val="20"/>
                <w:lang w:val="fr-CA"/>
              </w:rPr>
              <w:t xml:space="preserve"> en autorisation d’intervenir</w:t>
            </w:r>
            <w:r>
              <w:rPr>
                <w:rFonts w:cs="Times New Roman"/>
                <w:b/>
                <w:bCs/>
                <w:sz w:val="20"/>
                <w:szCs w:val="20"/>
                <w:lang w:val="fr-CA"/>
              </w:rPr>
              <w:t xml:space="preserve"> et en prorogation de délai</w:t>
            </w:r>
          </w:p>
          <w:p w:rsidR="0007399E" w:rsidRPr="0007399E" w:rsidRDefault="0007399E" w:rsidP="009E0AA9">
            <w:pPr>
              <w:jc w:val="both"/>
              <w:rPr>
                <w:rFonts w:cs="Times New Roman"/>
                <w:b/>
                <w:bCs/>
                <w:sz w:val="20"/>
                <w:szCs w:val="20"/>
                <w:lang w:val="fr-CA"/>
              </w:rPr>
            </w:pPr>
          </w:p>
        </w:tc>
      </w:tr>
    </w:tbl>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60"/>
        <w:gridCol w:w="1080"/>
        <w:gridCol w:w="4140"/>
      </w:tblGrid>
      <w:tr w:rsidR="0007399E" w:rsidRPr="0007399E" w:rsidTr="009E0AA9">
        <w:tc>
          <w:tcPr>
            <w:tcW w:w="1260" w:type="dxa"/>
          </w:tcPr>
          <w:p w:rsidR="0007399E" w:rsidRPr="00DA3564" w:rsidRDefault="0007399E" w:rsidP="009E0AA9">
            <w:pPr>
              <w:rPr>
                <w:sz w:val="20"/>
                <w:szCs w:val="20"/>
              </w:rPr>
            </w:pPr>
            <w:r w:rsidRPr="00DA3564">
              <w:rPr>
                <w:sz w:val="20"/>
                <w:szCs w:val="20"/>
              </w:rPr>
              <w:t>BY / PAR</w:t>
            </w:r>
          </w:p>
        </w:tc>
        <w:tc>
          <w:tcPr>
            <w:tcW w:w="3060" w:type="dxa"/>
          </w:tcPr>
          <w:p w:rsidR="0007399E" w:rsidRPr="0007399E" w:rsidRDefault="0007399E" w:rsidP="009E0AA9">
            <w:pPr>
              <w:rPr>
                <w:sz w:val="20"/>
                <w:szCs w:val="20"/>
                <w:lang w:val="fr-CA"/>
              </w:rPr>
            </w:pPr>
            <w:r w:rsidRPr="00474FFB">
              <w:rPr>
                <w:rFonts w:cs="Times New Roman"/>
                <w:sz w:val="20"/>
                <w:szCs w:val="20"/>
                <w:lang w:val="fr-CA"/>
              </w:rPr>
              <w:t>Communauté métropolitaine de Montréal</w:t>
            </w:r>
          </w:p>
        </w:tc>
        <w:tc>
          <w:tcPr>
            <w:tcW w:w="1080" w:type="dxa"/>
          </w:tcPr>
          <w:p w:rsidR="0007399E" w:rsidRPr="0007399E" w:rsidRDefault="0007399E" w:rsidP="009E0AA9">
            <w:pPr>
              <w:rPr>
                <w:sz w:val="20"/>
                <w:szCs w:val="20"/>
                <w:lang w:val="fr-CA"/>
              </w:rPr>
            </w:pPr>
          </w:p>
        </w:tc>
        <w:tc>
          <w:tcPr>
            <w:tcW w:w="4140" w:type="dxa"/>
          </w:tcPr>
          <w:p w:rsidR="0007399E" w:rsidRPr="0007399E" w:rsidRDefault="0007399E" w:rsidP="009E0AA9">
            <w:pPr>
              <w:rPr>
                <w:sz w:val="20"/>
                <w:szCs w:val="20"/>
                <w:lang w:val="fr-CA"/>
              </w:rPr>
            </w:pPr>
          </w:p>
        </w:tc>
      </w:tr>
      <w:tr w:rsidR="0007399E" w:rsidRPr="00ED1F08" w:rsidTr="009E0AA9">
        <w:tc>
          <w:tcPr>
            <w:tcW w:w="1260" w:type="dxa"/>
          </w:tcPr>
          <w:p w:rsidR="0007399E" w:rsidRPr="00DA3564" w:rsidRDefault="0007399E" w:rsidP="009E0AA9">
            <w:pPr>
              <w:rPr>
                <w:sz w:val="20"/>
                <w:szCs w:val="20"/>
              </w:rPr>
            </w:pPr>
          </w:p>
        </w:tc>
        <w:tc>
          <w:tcPr>
            <w:tcW w:w="3060" w:type="dxa"/>
          </w:tcPr>
          <w:p w:rsidR="0007399E" w:rsidRDefault="0007399E" w:rsidP="009E0AA9">
            <w:pPr>
              <w:rPr>
                <w:rFonts w:cs="Times New Roman"/>
                <w:sz w:val="20"/>
                <w:szCs w:val="20"/>
                <w:lang w:val="fr-CA"/>
              </w:rPr>
            </w:pPr>
            <w:r w:rsidRPr="00474FFB">
              <w:rPr>
                <w:rFonts w:cs="Times New Roman"/>
                <w:sz w:val="20"/>
                <w:szCs w:val="20"/>
                <w:lang w:val="fr-CA"/>
              </w:rPr>
              <w:t>Association des professionnels de la construction et de l’habitation du Québec inc.</w:t>
            </w:r>
          </w:p>
          <w:p w:rsidR="0007399E" w:rsidRPr="00474FFB" w:rsidRDefault="0007399E" w:rsidP="009E0AA9">
            <w:pPr>
              <w:rPr>
                <w:rFonts w:cs="Times New Roman"/>
                <w:sz w:val="20"/>
                <w:szCs w:val="20"/>
                <w:lang w:val="fr-CA"/>
              </w:rPr>
            </w:pPr>
          </w:p>
        </w:tc>
        <w:tc>
          <w:tcPr>
            <w:tcW w:w="1080" w:type="dxa"/>
          </w:tcPr>
          <w:p w:rsidR="0007399E" w:rsidRPr="0007399E" w:rsidRDefault="0007399E" w:rsidP="009E0AA9">
            <w:pPr>
              <w:rPr>
                <w:sz w:val="20"/>
                <w:szCs w:val="20"/>
                <w:lang w:val="fr-CA"/>
              </w:rPr>
            </w:pPr>
          </w:p>
        </w:tc>
        <w:tc>
          <w:tcPr>
            <w:tcW w:w="4140" w:type="dxa"/>
          </w:tcPr>
          <w:p w:rsidR="0007399E" w:rsidRPr="0007399E" w:rsidRDefault="0007399E" w:rsidP="009E0AA9">
            <w:pPr>
              <w:rPr>
                <w:sz w:val="20"/>
                <w:szCs w:val="20"/>
                <w:lang w:val="fr-CA"/>
              </w:rPr>
            </w:pPr>
          </w:p>
        </w:tc>
      </w:tr>
      <w:tr w:rsidR="0007399E" w:rsidRPr="0007399E" w:rsidTr="009E0AA9">
        <w:tc>
          <w:tcPr>
            <w:tcW w:w="1260" w:type="dxa"/>
          </w:tcPr>
          <w:p w:rsidR="0007399E" w:rsidRPr="00DA3564" w:rsidRDefault="0007399E" w:rsidP="009E0AA9">
            <w:pPr>
              <w:rPr>
                <w:sz w:val="20"/>
                <w:szCs w:val="20"/>
              </w:rPr>
            </w:pPr>
            <w:r>
              <w:rPr>
                <w:sz w:val="20"/>
                <w:szCs w:val="20"/>
              </w:rPr>
              <w:t>IN / DANS</w:t>
            </w:r>
          </w:p>
        </w:tc>
        <w:tc>
          <w:tcPr>
            <w:tcW w:w="3060" w:type="dxa"/>
          </w:tcPr>
          <w:p w:rsidR="0007399E" w:rsidRDefault="0007399E" w:rsidP="009E0AA9">
            <w:pPr>
              <w:rPr>
                <w:sz w:val="20"/>
                <w:szCs w:val="20"/>
                <w:lang w:val="fr-CA"/>
              </w:rPr>
            </w:pPr>
            <w:r>
              <w:rPr>
                <w:sz w:val="20"/>
                <w:szCs w:val="20"/>
                <w:lang w:val="fr-CA"/>
              </w:rPr>
              <w:t>Ville de Lorraine et autre</w:t>
            </w:r>
          </w:p>
          <w:p w:rsidR="0007399E" w:rsidRDefault="0007399E" w:rsidP="009E0AA9">
            <w:pPr>
              <w:rPr>
                <w:sz w:val="20"/>
                <w:szCs w:val="20"/>
                <w:lang w:val="fr-CA"/>
              </w:rPr>
            </w:pPr>
          </w:p>
          <w:p w:rsidR="0007399E" w:rsidRDefault="0007399E" w:rsidP="009E0AA9">
            <w:pPr>
              <w:rPr>
                <w:sz w:val="20"/>
                <w:szCs w:val="20"/>
                <w:lang w:val="fr-CA"/>
              </w:rPr>
            </w:pPr>
            <w:r>
              <w:rPr>
                <w:sz w:val="20"/>
                <w:szCs w:val="20"/>
                <w:lang w:val="fr-CA"/>
              </w:rPr>
              <w:tab/>
              <w:t>c. (37381)</w:t>
            </w:r>
          </w:p>
          <w:p w:rsidR="0007399E" w:rsidRDefault="0007399E" w:rsidP="009E0AA9">
            <w:pPr>
              <w:rPr>
                <w:sz w:val="20"/>
                <w:szCs w:val="20"/>
                <w:lang w:val="fr-CA"/>
              </w:rPr>
            </w:pPr>
          </w:p>
          <w:p w:rsidR="0007399E" w:rsidRPr="0007399E" w:rsidRDefault="0007399E" w:rsidP="009E0AA9">
            <w:pPr>
              <w:rPr>
                <w:sz w:val="20"/>
                <w:szCs w:val="20"/>
                <w:lang w:val="fr-CA"/>
              </w:rPr>
            </w:pPr>
            <w:r>
              <w:rPr>
                <w:sz w:val="20"/>
                <w:szCs w:val="20"/>
                <w:lang w:val="fr-CA"/>
              </w:rPr>
              <w:t>2646-8926 Québec inc. (Qc)</w:t>
            </w:r>
          </w:p>
        </w:tc>
        <w:tc>
          <w:tcPr>
            <w:tcW w:w="1080" w:type="dxa"/>
          </w:tcPr>
          <w:p w:rsidR="0007399E" w:rsidRPr="0007399E" w:rsidRDefault="0007399E" w:rsidP="009E0AA9">
            <w:pPr>
              <w:rPr>
                <w:sz w:val="20"/>
                <w:szCs w:val="20"/>
                <w:lang w:val="fr-CA"/>
              </w:rPr>
            </w:pPr>
          </w:p>
        </w:tc>
        <w:tc>
          <w:tcPr>
            <w:tcW w:w="4140" w:type="dxa"/>
          </w:tcPr>
          <w:p w:rsidR="0007399E" w:rsidRPr="0007399E" w:rsidRDefault="0007399E" w:rsidP="009E0AA9">
            <w:pPr>
              <w:rPr>
                <w:sz w:val="20"/>
                <w:szCs w:val="20"/>
                <w:lang w:val="fr-CA"/>
              </w:rPr>
            </w:pPr>
          </w:p>
        </w:tc>
      </w:tr>
    </w:tbl>
    <w:p w:rsidR="0007399E" w:rsidRPr="0007399E" w:rsidRDefault="0007399E" w:rsidP="00831CA9">
      <w:pPr>
        <w:jc w:val="both"/>
        <w:rPr>
          <w:sz w:val="20"/>
          <w:szCs w:val="20"/>
          <w:lang w:val="fr-CA"/>
        </w:rPr>
      </w:pPr>
    </w:p>
    <w:p w:rsidR="00AC460B" w:rsidRPr="0007399E" w:rsidRDefault="0007399E" w:rsidP="00831CA9">
      <w:pPr>
        <w:jc w:val="both"/>
        <w:rPr>
          <w:b/>
          <w:sz w:val="20"/>
          <w:szCs w:val="20"/>
          <w:lang w:val="fr-CA"/>
        </w:rPr>
      </w:pPr>
      <w:r w:rsidRPr="0007399E">
        <w:rPr>
          <w:b/>
          <w:sz w:val="20"/>
          <w:szCs w:val="20"/>
          <w:lang w:val="fr-CA"/>
        </w:rPr>
        <w:t>GRANTED / ACCORDÉE</w:t>
      </w:r>
      <w:r w:rsidR="00675D48">
        <w:rPr>
          <w:b/>
          <w:sz w:val="20"/>
          <w:szCs w:val="20"/>
          <w:lang w:val="fr-CA"/>
        </w:rPr>
        <w:t>S</w:t>
      </w:r>
    </w:p>
    <w:p w:rsidR="0007399E" w:rsidRDefault="0007399E" w:rsidP="00D1641D">
      <w:pPr>
        <w:jc w:val="both"/>
        <w:rPr>
          <w:sz w:val="20"/>
          <w:szCs w:val="20"/>
          <w:lang w:val="fr-CA"/>
        </w:rPr>
      </w:pPr>
    </w:p>
    <w:p w:rsidR="0007399E" w:rsidRPr="00474FFB" w:rsidRDefault="0007399E" w:rsidP="00D1641D">
      <w:pPr>
        <w:spacing w:line="232" w:lineRule="auto"/>
        <w:jc w:val="both"/>
        <w:rPr>
          <w:rFonts w:cs="Times New Roman"/>
          <w:sz w:val="20"/>
          <w:szCs w:val="20"/>
          <w:lang w:val="fr-CA"/>
        </w:rPr>
      </w:pPr>
      <w:r w:rsidRPr="00474FFB">
        <w:rPr>
          <w:rFonts w:cs="Times New Roman"/>
          <w:b/>
          <w:bCs/>
          <w:sz w:val="20"/>
          <w:szCs w:val="20"/>
          <w:lang w:val="fr-CA"/>
        </w:rPr>
        <w:t xml:space="preserve">À LA SUITE DES DEMANDES </w:t>
      </w:r>
      <w:r w:rsidRPr="00474FFB">
        <w:rPr>
          <w:rFonts w:cs="Times New Roman"/>
          <w:bCs/>
          <w:sz w:val="20"/>
          <w:szCs w:val="20"/>
          <w:lang w:val="fr-CA"/>
        </w:rPr>
        <w:t xml:space="preserve">présentées par la </w:t>
      </w:r>
      <w:r w:rsidRPr="00474FFB">
        <w:rPr>
          <w:rFonts w:cs="Times New Roman"/>
          <w:sz w:val="20"/>
          <w:szCs w:val="20"/>
          <w:lang w:val="fr-CA"/>
        </w:rPr>
        <w:t xml:space="preserve">Communauté métropolitaine de Montréal et l’Association des professionnels de la construction et de l’habitation du Québec inc. </w:t>
      </w:r>
      <w:r w:rsidRPr="00474FFB">
        <w:rPr>
          <w:rFonts w:cs="Times New Roman"/>
          <w:bCs/>
          <w:sz w:val="20"/>
          <w:szCs w:val="20"/>
          <w:lang w:val="fr-CA"/>
        </w:rPr>
        <w:t>en autorisation d’intervenir dans l’appel</w:t>
      </w:r>
      <w:r w:rsidRPr="00474FFB">
        <w:rPr>
          <w:rFonts w:cs="Times New Roman"/>
          <w:sz w:val="20"/>
          <w:szCs w:val="20"/>
          <w:lang w:val="fr-CA"/>
        </w:rPr>
        <w:t>;</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spacing w:line="232" w:lineRule="auto"/>
        <w:jc w:val="both"/>
        <w:rPr>
          <w:rFonts w:cs="Times New Roman"/>
          <w:sz w:val="20"/>
          <w:szCs w:val="20"/>
          <w:lang w:val="fr-CA"/>
        </w:rPr>
      </w:pPr>
      <w:r w:rsidRPr="00474FFB">
        <w:rPr>
          <w:rFonts w:cs="Times New Roman"/>
          <w:b/>
          <w:bCs/>
          <w:sz w:val="20"/>
          <w:szCs w:val="20"/>
          <w:lang w:val="fr-CA"/>
        </w:rPr>
        <w:t xml:space="preserve">ET À LA SUITE DE LA DEMANDE </w:t>
      </w:r>
      <w:r w:rsidRPr="00474FFB">
        <w:rPr>
          <w:rFonts w:cs="Times New Roman"/>
          <w:bCs/>
          <w:sz w:val="20"/>
          <w:szCs w:val="20"/>
          <w:lang w:val="fr-CA"/>
        </w:rPr>
        <w:t>présentée par les appelantes</w:t>
      </w:r>
      <w:r w:rsidRPr="00474FFB">
        <w:rPr>
          <w:rFonts w:cs="Times New Roman"/>
          <w:sz w:val="20"/>
          <w:szCs w:val="20"/>
          <w:lang w:val="fr-CA"/>
        </w:rPr>
        <w:t xml:space="preserve"> pour obtenir la prorogation du délai pour la signification et le dépôt de leurs réponses aux requêtes en autorisation d’intervenir; </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spacing w:line="232" w:lineRule="auto"/>
        <w:jc w:val="both"/>
        <w:rPr>
          <w:rFonts w:cs="Times New Roman"/>
          <w:sz w:val="20"/>
          <w:szCs w:val="20"/>
          <w:lang w:val="fr-CA"/>
        </w:rPr>
      </w:pPr>
      <w:r w:rsidRPr="00474FFB">
        <w:rPr>
          <w:rFonts w:cs="Times New Roman"/>
          <w:b/>
          <w:bCs/>
          <w:sz w:val="20"/>
          <w:szCs w:val="20"/>
          <w:lang w:val="fr-CA"/>
        </w:rPr>
        <w:t xml:space="preserve">ET APRÈS EXAMEN </w:t>
      </w:r>
      <w:r w:rsidRPr="00474FFB">
        <w:rPr>
          <w:rFonts w:cs="Times New Roman"/>
          <w:bCs/>
          <w:sz w:val="20"/>
          <w:szCs w:val="20"/>
          <w:lang w:val="fr-CA"/>
        </w:rPr>
        <w:t>des documents déposés</w:t>
      </w:r>
      <w:r w:rsidRPr="00474FFB">
        <w:rPr>
          <w:rFonts w:cs="Times New Roman"/>
          <w:sz w:val="20"/>
          <w:szCs w:val="20"/>
          <w:lang w:val="fr-CA"/>
        </w:rPr>
        <w:t>;</w:t>
      </w:r>
    </w:p>
    <w:p w:rsidR="0007399E" w:rsidRPr="00474FFB" w:rsidRDefault="0007399E" w:rsidP="00D1641D">
      <w:pPr>
        <w:spacing w:line="232" w:lineRule="auto"/>
        <w:jc w:val="both"/>
        <w:rPr>
          <w:rFonts w:cs="Times New Roman"/>
          <w:sz w:val="20"/>
          <w:szCs w:val="20"/>
          <w:lang w:val="fr-CA"/>
        </w:rPr>
      </w:pPr>
    </w:p>
    <w:p w:rsidR="0007399E" w:rsidRDefault="0007399E">
      <w:pPr>
        <w:rPr>
          <w:rFonts w:cs="Times New Roman"/>
          <w:b/>
          <w:bCs/>
          <w:sz w:val="20"/>
          <w:szCs w:val="20"/>
          <w:lang w:val="fr-CA"/>
        </w:rPr>
      </w:pPr>
      <w:r>
        <w:rPr>
          <w:rFonts w:cs="Times New Roman"/>
          <w:b/>
          <w:bCs/>
          <w:sz w:val="20"/>
          <w:szCs w:val="20"/>
          <w:lang w:val="fr-CA"/>
        </w:rPr>
        <w:br w:type="page"/>
      </w:r>
    </w:p>
    <w:p w:rsidR="0007399E" w:rsidRPr="00474FFB" w:rsidRDefault="0007399E" w:rsidP="0007399E">
      <w:pPr>
        <w:spacing w:line="232" w:lineRule="auto"/>
        <w:rPr>
          <w:rFonts w:cs="Times New Roman"/>
          <w:sz w:val="20"/>
          <w:szCs w:val="20"/>
          <w:lang w:val="fr-CA"/>
        </w:rPr>
      </w:pPr>
      <w:r w:rsidRPr="00474FFB">
        <w:rPr>
          <w:rFonts w:cs="Times New Roman"/>
          <w:b/>
          <w:bCs/>
          <w:sz w:val="20"/>
          <w:szCs w:val="20"/>
          <w:lang w:val="fr-CA"/>
        </w:rPr>
        <w:lastRenderedPageBreak/>
        <w:t>IL EST ORDONNÉ CE QUI SUIT :</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jc w:val="both"/>
        <w:rPr>
          <w:rFonts w:cs="Times New Roman"/>
          <w:sz w:val="20"/>
          <w:szCs w:val="20"/>
          <w:lang w:val="fr-CA"/>
        </w:rPr>
      </w:pPr>
      <w:r w:rsidRPr="00474FFB">
        <w:rPr>
          <w:rFonts w:cs="Times New Roman"/>
          <w:bCs/>
          <w:sz w:val="20"/>
          <w:szCs w:val="20"/>
          <w:lang w:val="fr-CA"/>
        </w:rPr>
        <w:t>La requête des appelantes en prorogation du délai est accueillie</w:t>
      </w:r>
      <w:r w:rsidRPr="00474FFB">
        <w:rPr>
          <w:rFonts w:cs="Times New Roman"/>
          <w:sz w:val="20"/>
          <w:szCs w:val="20"/>
          <w:lang w:val="fr-CA"/>
        </w:rPr>
        <w:t>.</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spacing w:line="232" w:lineRule="auto"/>
        <w:jc w:val="both"/>
        <w:rPr>
          <w:rFonts w:cs="Times New Roman"/>
          <w:sz w:val="20"/>
          <w:szCs w:val="20"/>
          <w:lang w:val="fr-CA"/>
        </w:rPr>
      </w:pPr>
      <w:r w:rsidRPr="00474FFB">
        <w:rPr>
          <w:rFonts w:cs="Times New Roman"/>
          <w:sz w:val="20"/>
          <w:szCs w:val="20"/>
          <w:lang w:val="fr-CA"/>
        </w:rPr>
        <w:t>Les requêtes en autorisation d’intervenir sont accueillies. Chacun de ces deux (2) intervenants pourra signifier et déposer un mémoire d’au plus dix (10) pages au plus tard le 7 décembre 2017.</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spacing w:line="233" w:lineRule="auto"/>
        <w:jc w:val="both"/>
        <w:rPr>
          <w:rFonts w:cs="Times New Roman"/>
          <w:sz w:val="20"/>
          <w:szCs w:val="20"/>
          <w:lang w:val="fr-CA"/>
        </w:rPr>
      </w:pPr>
      <w:r w:rsidRPr="00474FFB">
        <w:rPr>
          <w:rFonts w:cs="Times New Roman"/>
          <w:bCs/>
          <w:sz w:val="20"/>
          <w:szCs w:val="20"/>
          <w:lang w:val="fr-CA"/>
        </w:rPr>
        <w:t>Chacun de ces</w:t>
      </w:r>
      <w:r w:rsidRPr="00474FFB">
        <w:rPr>
          <w:rFonts w:cs="Times New Roman"/>
          <w:sz w:val="20"/>
          <w:szCs w:val="20"/>
          <w:lang w:val="fr-CA"/>
        </w:rPr>
        <w:t xml:space="preserve"> intervenants aura le droit de présenter une plaidoirie orale d’au plus cinq (5) minutes lors de l’audition de l’appel.</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spacing w:line="232" w:lineRule="auto"/>
        <w:jc w:val="both"/>
        <w:rPr>
          <w:rFonts w:cs="Times New Roman"/>
          <w:sz w:val="20"/>
          <w:szCs w:val="20"/>
          <w:lang w:val="fr-CA"/>
        </w:rPr>
      </w:pPr>
      <w:r w:rsidRPr="00474FFB">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474FFB">
        <w:rPr>
          <w:rFonts w:cs="Times New Roman"/>
          <w:sz w:val="20"/>
          <w:szCs w:val="20"/>
        </w:rPr>
        <w:fldChar w:fldCharType="begin"/>
      </w:r>
      <w:r w:rsidRPr="00474FFB">
        <w:rPr>
          <w:rFonts w:cs="Times New Roman"/>
          <w:sz w:val="20"/>
          <w:szCs w:val="20"/>
          <w:lang w:val="fr-CA"/>
        </w:rPr>
        <w:instrText xml:space="preserve"> SEQ CHAPTER \h \r 1</w:instrText>
      </w:r>
      <w:r w:rsidRPr="00474FFB">
        <w:rPr>
          <w:rFonts w:cs="Times New Roman"/>
          <w:sz w:val="20"/>
          <w:szCs w:val="20"/>
        </w:rPr>
        <w:fldChar w:fldCharType="end"/>
      </w:r>
      <w:r w:rsidRPr="00474FFB">
        <w:rPr>
          <w:rFonts w:cs="Times New Roman"/>
          <w:bCs/>
          <w:sz w:val="20"/>
          <w:szCs w:val="20"/>
          <w:lang w:val="fr-CA"/>
        </w:rPr>
        <w:t>parties.</w:t>
      </w:r>
    </w:p>
    <w:p w:rsidR="0007399E" w:rsidRPr="00474FFB" w:rsidRDefault="0007399E" w:rsidP="00D1641D">
      <w:pPr>
        <w:spacing w:line="232" w:lineRule="auto"/>
        <w:jc w:val="both"/>
        <w:rPr>
          <w:rFonts w:cs="Times New Roman"/>
          <w:sz w:val="20"/>
          <w:szCs w:val="20"/>
          <w:lang w:val="fr-CA"/>
        </w:rPr>
      </w:pPr>
    </w:p>
    <w:p w:rsidR="0007399E" w:rsidRPr="00474FFB" w:rsidRDefault="0007399E" w:rsidP="00D1641D">
      <w:pPr>
        <w:jc w:val="both"/>
        <w:rPr>
          <w:rFonts w:cs="Times New Roman"/>
          <w:sz w:val="20"/>
          <w:szCs w:val="20"/>
          <w:lang w:val="fr-CA" w:eastAsia="fr-FR"/>
        </w:rPr>
      </w:pPr>
      <w:r w:rsidRPr="00474FFB">
        <w:rPr>
          <w:rFonts w:cs="Times New Roman"/>
          <w:sz w:val="20"/>
          <w:szCs w:val="20"/>
          <w:lang w:val="fr-CA"/>
        </w:rPr>
        <w:t>Conformément à l’alinéa 59(1)</w:t>
      </w:r>
      <w:r w:rsidRPr="00474FFB">
        <w:rPr>
          <w:rFonts w:cs="Times New Roman"/>
          <w:i/>
          <w:iCs/>
          <w:sz w:val="20"/>
          <w:szCs w:val="20"/>
          <w:lang w:val="fr-CA"/>
        </w:rPr>
        <w:t>a</w:t>
      </w:r>
      <w:r w:rsidRPr="00474FFB">
        <w:rPr>
          <w:rFonts w:cs="Times New Roman"/>
          <w:sz w:val="20"/>
          <w:szCs w:val="20"/>
          <w:lang w:val="fr-CA"/>
        </w:rPr>
        <w:t xml:space="preserve">) des </w:t>
      </w:r>
      <w:r w:rsidRPr="00474FFB">
        <w:rPr>
          <w:rFonts w:cs="Times New Roman"/>
          <w:i/>
          <w:iCs/>
          <w:sz w:val="20"/>
          <w:szCs w:val="20"/>
          <w:lang w:val="fr-CA"/>
        </w:rPr>
        <w:t>Règles de la Cour suprême du Canada</w:t>
      </w:r>
      <w:r w:rsidRPr="00474FFB">
        <w:rPr>
          <w:rFonts w:cs="Times New Roman"/>
          <w:sz w:val="20"/>
          <w:szCs w:val="20"/>
          <w:lang w:val="fr-CA"/>
        </w:rPr>
        <w:t>, les intervenants paieront aux l’appelantes et à l’intimée tous débours supplémentaires résultant de leurs interventions.</w:t>
      </w:r>
    </w:p>
    <w:p w:rsidR="0007399E" w:rsidRPr="0007399E" w:rsidRDefault="0007399E" w:rsidP="00D1641D">
      <w:pPr>
        <w:jc w:val="both"/>
        <w:rPr>
          <w:sz w:val="20"/>
          <w:szCs w:val="20"/>
          <w:lang w:val="fr-CA"/>
        </w:rPr>
      </w:pPr>
    </w:p>
    <w:p w:rsidR="0007399E" w:rsidRDefault="0007399E" w:rsidP="00D1641D">
      <w:pPr>
        <w:jc w:val="both"/>
        <w:rPr>
          <w:sz w:val="20"/>
          <w:szCs w:val="20"/>
          <w:lang w:val="fr-CA"/>
        </w:rPr>
      </w:pPr>
    </w:p>
    <w:p w:rsidR="0007399E" w:rsidRPr="00131B9C" w:rsidRDefault="0007399E" w:rsidP="00D1641D">
      <w:pPr>
        <w:spacing w:line="232" w:lineRule="auto"/>
        <w:jc w:val="both"/>
        <w:rPr>
          <w:rFonts w:cs="Times New Roman"/>
          <w:sz w:val="20"/>
          <w:szCs w:val="20"/>
          <w:lang w:val="en-US"/>
        </w:rPr>
      </w:pPr>
      <w:r w:rsidRPr="00131B9C">
        <w:rPr>
          <w:rFonts w:cs="Times New Roman"/>
          <w:b/>
          <w:bCs/>
          <w:sz w:val="20"/>
          <w:szCs w:val="20"/>
          <w:lang w:val="en-US"/>
        </w:rPr>
        <w:t xml:space="preserve">UPON APPLICATIONS </w:t>
      </w:r>
      <w:r w:rsidRPr="00131B9C">
        <w:rPr>
          <w:rFonts w:cs="Times New Roman"/>
          <w:bCs/>
          <w:sz w:val="20"/>
          <w:szCs w:val="20"/>
          <w:lang w:val="en-US"/>
        </w:rPr>
        <w:t xml:space="preserve">by the </w:t>
      </w:r>
      <w:proofErr w:type="spellStart"/>
      <w:r w:rsidRPr="00131B9C">
        <w:rPr>
          <w:rFonts w:cs="Times New Roman"/>
          <w:sz w:val="20"/>
          <w:szCs w:val="20"/>
          <w:lang w:val="en-US"/>
        </w:rPr>
        <w:t>Communauté</w:t>
      </w:r>
      <w:proofErr w:type="spellEnd"/>
      <w:r w:rsidRPr="00131B9C">
        <w:rPr>
          <w:rFonts w:cs="Times New Roman"/>
          <w:sz w:val="20"/>
          <w:szCs w:val="20"/>
          <w:lang w:val="en-US"/>
        </w:rPr>
        <w:t xml:space="preserve"> </w:t>
      </w:r>
      <w:proofErr w:type="spellStart"/>
      <w:r w:rsidRPr="00131B9C">
        <w:rPr>
          <w:rFonts w:cs="Times New Roman"/>
          <w:sz w:val="20"/>
          <w:szCs w:val="20"/>
          <w:lang w:val="en-US"/>
        </w:rPr>
        <w:t>métropolitaine</w:t>
      </w:r>
      <w:proofErr w:type="spellEnd"/>
      <w:r w:rsidRPr="00131B9C">
        <w:rPr>
          <w:rFonts w:cs="Times New Roman"/>
          <w:sz w:val="20"/>
          <w:szCs w:val="20"/>
          <w:lang w:val="en-US"/>
        </w:rPr>
        <w:t xml:space="preserve"> de Montréal and the Québec Association of Construction and Housing Professionals Inc. for leave to intervene in the above appeal;</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spacing w:line="232" w:lineRule="auto"/>
        <w:jc w:val="both"/>
        <w:rPr>
          <w:rFonts w:cs="Times New Roman"/>
          <w:sz w:val="20"/>
          <w:szCs w:val="20"/>
          <w:lang w:val="en-US"/>
        </w:rPr>
      </w:pPr>
      <w:r w:rsidRPr="00131B9C">
        <w:rPr>
          <w:rFonts w:cs="Times New Roman"/>
          <w:b/>
          <w:bCs/>
          <w:sz w:val="20"/>
          <w:szCs w:val="20"/>
          <w:lang w:val="en-US"/>
        </w:rPr>
        <w:t xml:space="preserve">AND UPON APPLICATION </w:t>
      </w:r>
      <w:r w:rsidRPr="00131B9C">
        <w:rPr>
          <w:rFonts w:cs="Times New Roman"/>
          <w:bCs/>
          <w:sz w:val="20"/>
          <w:szCs w:val="20"/>
          <w:lang w:val="en-US"/>
        </w:rPr>
        <w:t>by the appellants</w:t>
      </w:r>
      <w:r w:rsidRPr="00131B9C">
        <w:rPr>
          <w:rFonts w:cs="Times New Roman"/>
          <w:sz w:val="20"/>
          <w:szCs w:val="20"/>
          <w:lang w:val="en-US"/>
        </w:rPr>
        <w:t xml:space="preserve"> for an order extending the time within which to serve and file their responses to the motions for leave to intervene; </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spacing w:line="232" w:lineRule="auto"/>
        <w:jc w:val="both"/>
        <w:rPr>
          <w:rFonts w:cs="Times New Roman"/>
          <w:sz w:val="20"/>
          <w:szCs w:val="20"/>
          <w:lang w:val="en-US"/>
        </w:rPr>
      </w:pPr>
      <w:r w:rsidRPr="00131B9C">
        <w:rPr>
          <w:rFonts w:cs="Times New Roman"/>
          <w:b/>
          <w:bCs/>
          <w:sz w:val="20"/>
          <w:szCs w:val="20"/>
          <w:lang w:val="en-US"/>
        </w:rPr>
        <w:t xml:space="preserve">AND THE MATERIAL FILED </w:t>
      </w:r>
      <w:r w:rsidRPr="00131B9C">
        <w:rPr>
          <w:rFonts w:cs="Times New Roman"/>
          <w:bCs/>
          <w:sz w:val="20"/>
          <w:szCs w:val="20"/>
          <w:lang w:val="en-US"/>
        </w:rPr>
        <w:t>having been read</w:t>
      </w:r>
      <w:r w:rsidRPr="00131B9C">
        <w:rPr>
          <w:rFonts w:cs="Times New Roman"/>
          <w:sz w:val="20"/>
          <w:szCs w:val="20"/>
          <w:lang w:val="en-US"/>
        </w:rPr>
        <w:t>;</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spacing w:line="232" w:lineRule="auto"/>
        <w:jc w:val="both"/>
        <w:rPr>
          <w:rFonts w:cs="Times New Roman"/>
          <w:sz w:val="20"/>
          <w:szCs w:val="20"/>
          <w:lang w:val="en-US"/>
        </w:rPr>
      </w:pPr>
      <w:r w:rsidRPr="00131B9C">
        <w:rPr>
          <w:rFonts w:cs="Times New Roman"/>
          <w:b/>
          <w:bCs/>
          <w:sz w:val="20"/>
          <w:szCs w:val="20"/>
          <w:lang w:val="en-US"/>
        </w:rPr>
        <w:t>IT IS HEREBY ORDERED THAT:</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jc w:val="both"/>
        <w:rPr>
          <w:rFonts w:cs="Times New Roman"/>
          <w:sz w:val="20"/>
          <w:szCs w:val="20"/>
          <w:lang w:val="en-US"/>
        </w:rPr>
      </w:pPr>
      <w:r w:rsidRPr="00131B9C">
        <w:rPr>
          <w:rFonts w:cs="Times New Roman"/>
          <w:bCs/>
          <w:sz w:val="20"/>
          <w:szCs w:val="20"/>
          <w:lang w:val="en-US"/>
        </w:rPr>
        <w:t>The appellants’ motion for an extension of time is granted</w:t>
      </w:r>
      <w:r w:rsidRPr="00131B9C">
        <w:rPr>
          <w:rFonts w:cs="Times New Roman"/>
          <w:sz w:val="20"/>
          <w:szCs w:val="20"/>
          <w:lang w:val="en-US"/>
        </w:rPr>
        <w:t>.</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spacing w:line="232" w:lineRule="auto"/>
        <w:jc w:val="both"/>
        <w:rPr>
          <w:rFonts w:cs="Times New Roman"/>
          <w:sz w:val="20"/>
          <w:szCs w:val="20"/>
          <w:lang w:val="en-US"/>
        </w:rPr>
      </w:pPr>
      <w:r w:rsidRPr="00131B9C">
        <w:rPr>
          <w:rFonts w:cs="Times New Roman"/>
          <w:sz w:val="20"/>
          <w:szCs w:val="20"/>
          <w:lang w:val="en-US"/>
        </w:rPr>
        <w:t>The motions for leave to intervene are granted. Each of the said two (2) interveners shall be entitled to serve and file a factum not to exceed ten (10) pages in length in this appeal on or before December 7, 2017.</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spacing w:line="233" w:lineRule="auto"/>
        <w:jc w:val="both"/>
        <w:rPr>
          <w:rFonts w:cs="Times New Roman"/>
          <w:sz w:val="20"/>
          <w:szCs w:val="20"/>
          <w:lang w:val="en-US"/>
        </w:rPr>
      </w:pPr>
      <w:r w:rsidRPr="00131B9C">
        <w:rPr>
          <w:rFonts w:cs="Times New Roman"/>
          <w:bCs/>
          <w:sz w:val="20"/>
          <w:szCs w:val="20"/>
          <w:lang w:val="en-US"/>
        </w:rPr>
        <w:t xml:space="preserve">Each of the said interveners is </w:t>
      </w:r>
      <w:r w:rsidRPr="00131B9C">
        <w:rPr>
          <w:rFonts w:cs="Times New Roman"/>
          <w:sz w:val="20"/>
          <w:szCs w:val="20"/>
          <w:lang w:val="en-US"/>
        </w:rPr>
        <w:t>granted permission to present oral argument not exceeding five (5) minutes at the hearing of the appeal.</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spacing w:line="232" w:lineRule="auto"/>
        <w:jc w:val="both"/>
        <w:rPr>
          <w:rFonts w:cs="Times New Roman"/>
          <w:sz w:val="20"/>
          <w:szCs w:val="20"/>
          <w:lang w:val="en-US"/>
        </w:rPr>
      </w:pPr>
      <w:r w:rsidRPr="00131B9C">
        <w:rPr>
          <w:rFonts w:cs="Times New Roman"/>
          <w:sz w:val="20"/>
          <w:szCs w:val="20"/>
          <w:lang w:val="en-US"/>
        </w:rPr>
        <w:t>The interveners shall not be entitled to raise new issues or to adduce further evidence or otherwise to supplement the record of the parties</w:t>
      </w:r>
      <w:r w:rsidRPr="00131B9C">
        <w:rPr>
          <w:rFonts w:cs="Times New Roman"/>
          <w:bCs/>
          <w:sz w:val="20"/>
          <w:szCs w:val="20"/>
          <w:lang w:val="en-US"/>
        </w:rPr>
        <w:t>.</w:t>
      </w:r>
    </w:p>
    <w:p w:rsidR="0007399E" w:rsidRPr="00131B9C" w:rsidRDefault="0007399E" w:rsidP="00D1641D">
      <w:pPr>
        <w:spacing w:line="232" w:lineRule="auto"/>
        <w:jc w:val="both"/>
        <w:rPr>
          <w:rFonts w:cs="Times New Roman"/>
          <w:sz w:val="20"/>
          <w:szCs w:val="20"/>
          <w:lang w:val="en-US"/>
        </w:rPr>
      </w:pPr>
    </w:p>
    <w:p w:rsidR="0007399E" w:rsidRPr="00131B9C" w:rsidRDefault="0007399E" w:rsidP="00D1641D">
      <w:pPr>
        <w:jc w:val="both"/>
        <w:rPr>
          <w:rFonts w:cs="Times New Roman"/>
          <w:sz w:val="20"/>
          <w:szCs w:val="20"/>
          <w:lang w:val="en-US" w:eastAsia="fr-FR"/>
        </w:rPr>
      </w:pPr>
      <w:r w:rsidRPr="00131B9C">
        <w:rPr>
          <w:rFonts w:cs="Times New Roman"/>
          <w:sz w:val="20"/>
          <w:szCs w:val="20"/>
          <w:lang w:val="en-US"/>
        </w:rPr>
        <w:t>Pursuant to Rule 59(1</w:t>
      </w:r>
      <w:proofErr w:type="gramStart"/>
      <w:r w:rsidRPr="00131B9C">
        <w:rPr>
          <w:rFonts w:cs="Times New Roman"/>
          <w:sz w:val="20"/>
          <w:szCs w:val="20"/>
          <w:lang w:val="en-US"/>
        </w:rPr>
        <w:t>)(</w:t>
      </w:r>
      <w:proofErr w:type="gramEnd"/>
      <w:r w:rsidRPr="00131B9C">
        <w:rPr>
          <w:rFonts w:cs="Times New Roman"/>
          <w:i/>
          <w:sz w:val="20"/>
          <w:szCs w:val="20"/>
          <w:lang w:val="en-US"/>
        </w:rPr>
        <w:t>a</w:t>
      </w:r>
      <w:r w:rsidRPr="00131B9C">
        <w:rPr>
          <w:rFonts w:cs="Times New Roman"/>
          <w:sz w:val="20"/>
          <w:szCs w:val="20"/>
          <w:lang w:val="en-US"/>
        </w:rPr>
        <w:t xml:space="preserve">) of the </w:t>
      </w:r>
      <w:r w:rsidRPr="00131B9C">
        <w:rPr>
          <w:rFonts w:cs="Times New Roman"/>
          <w:i/>
          <w:sz w:val="20"/>
          <w:szCs w:val="20"/>
          <w:lang w:val="en-US"/>
        </w:rPr>
        <w:t>Rules of the Supreme Court of Canada</w:t>
      </w:r>
      <w:r w:rsidRPr="00131B9C">
        <w:rPr>
          <w:rFonts w:cs="Times New Roman"/>
          <w:sz w:val="20"/>
          <w:szCs w:val="20"/>
          <w:lang w:val="en-US"/>
        </w:rPr>
        <w:t>, the interveners shall pay to the appellants and respondent any additional disbursements occasioned to the appellants and respondent by their interventions.</w:t>
      </w:r>
    </w:p>
    <w:p w:rsidR="0007399E" w:rsidRDefault="0007399E" w:rsidP="00D1641D">
      <w:pPr>
        <w:jc w:val="both"/>
        <w:rPr>
          <w:sz w:val="20"/>
          <w:szCs w:val="20"/>
          <w:lang w:val="en-US"/>
        </w:rPr>
      </w:pPr>
    </w:p>
    <w:p w:rsidR="0007399E" w:rsidRPr="0007399E" w:rsidRDefault="00ED1F08" w:rsidP="00D1641D">
      <w:pPr>
        <w:jc w:val="both"/>
        <w:rPr>
          <w:sz w:val="20"/>
          <w:szCs w:val="20"/>
          <w:lang w:val="en-US"/>
        </w:rPr>
      </w:pPr>
      <w:r>
        <w:rPr>
          <w:rFonts w:eastAsia="Times New Roman" w:cs="Times New Roman"/>
          <w:sz w:val="20"/>
          <w:szCs w:val="20"/>
          <w:lang w:val="fr-CA" w:eastAsia="en-CA"/>
        </w:rPr>
        <w:pict>
          <v:rect id="_x0000_i1053" style="width:2in;height:1pt" o:hrpct="0" o:hralign="center" o:hrstd="t" o:hrnoshade="t" o:hr="t" fillcolor="black [3213]" stroked="f"/>
        </w:pict>
      </w:r>
    </w:p>
    <w:p w:rsidR="0007399E" w:rsidRPr="0007399E" w:rsidRDefault="0007399E" w:rsidP="00831CA9">
      <w:pPr>
        <w:jc w:val="both"/>
        <w:rPr>
          <w:sz w:val="20"/>
          <w:szCs w:val="20"/>
          <w:lang w:val="en-US"/>
        </w:rPr>
      </w:pPr>
    </w:p>
    <w:p w:rsidR="0007399E" w:rsidRPr="0007399E" w:rsidRDefault="0007399E" w:rsidP="00831CA9">
      <w:pPr>
        <w:jc w:val="both"/>
        <w:rPr>
          <w:sz w:val="20"/>
          <w:szCs w:val="20"/>
          <w:lang w:val="en-US"/>
        </w:rPr>
        <w:sectPr w:rsidR="0007399E" w:rsidRPr="0007399E" w:rsidSect="00831CA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D1F0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335D5E" w:rsidRPr="00335D5E" w:rsidRDefault="00335D5E" w:rsidP="00335D5E">
            <w:pPr>
              <w:rPr>
                <w:sz w:val="20"/>
                <w:szCs w:val="20"/>
                <w:lang w:val="en-US"/>
              </w:rPr>
            </w:pPr>
            <w:r w:rsidRPr="00335D5E">
              <w:rPr>
                <w:sz w:val="20"/>
                <w:szCs w:val="20"/>
                <w:lang w:val="en-US"/>
              </w:rPr>
              <w:t>20.10.2017</w:t>
            </w:r>
          </w:p>
          <w:p w:rsidR="00335D5E" w:rsidRPr="00335D5E" w:rsidRDefault="00335D5E" w:rsidP="00335D5E">
            <w:pPr>
              <w:rPr>
                <w:sz w:val="20"/>
                <w:szCs w:val="20"/>
                <w:lang w:val="en-US"/>
              </w:rPr>
            </w:pPr>
          </w:p>
          <w:p w:rsidR="00335D5E" w:rsidRPr="00335D5E" w:rsidRDefault="00335D5E" w:rsidP="00335D5E">
            <w:pPr>
              <w:rPr>
                <w:b/>
                <w:sz w:val="20"/>
                <w:szCs w:val="20"/>
                <w:lang w:val="en-US"/>
              </w:rPr>
            </w:pPr>
            <w:r w:rsidRPr="00335D5E">
              <w:rPr>
                <w:b/>
                <w:sz w:val="20"/>
                <w:szCs w:val="20"/>
                <w:lang w:val="en-US"/>
              </w:rPr>
              <w:t>Her Majesty the Queen et al.</w:t>
            </w:r>
          </w:p>
          <w:p w:rsidR="00335D5E" w:rsidRPr="00335D5E" w:rsidRDefault="00335D5E" w:rsidP="00335D5E">
            <w:pPr>
              <w:rPr>
                <w:sz w:val="20"/>
                <w:szCs w:val="20"/>
                <w:lang w:val="en-US"/>
              </w:rPr>
            </w:pPr>
          </w:p>
          <w:p w:rsidR="00335D5E" w:rsidRPr="00335D5E" w:rsidRDefault="00335D5E" w:rsidP="00335D5E">
            <w:pPr>
              <w:rPr>
                <w:b/>
                <w:sz w:val="20"/>
                <w:szCs w:val="20"/>
                <w:lang w:val="fr-CA"/>
              </w:rPr>
            </w:pPr>
            <w:r>
              <w:rPr>
                <w:sz w:val="20"/>
                <w:szCs w:val="20"/>
                <w:lang w:val="en-US"/>
              </w:rPr>
              <w:tab/>
            </w:r>
            <w:r w:rsidRPr="00335D5E">
              <w:rPr>
                <w:b/>
                <w:sz w:val="20"/>
                <w:szCs w:val="20"/>
                <w:lang w:val="fr-CA"/>
              </w:rPr>
              <w:t>v. (37476)</w:t>
            </w:r>
          </w:p>
          <w:p w:rsidR="00335D5E" w:rsidRPr="00335D5E" w:rsidRDefault="00335D5E" w:rsidP="00335D5E">
            <w:pPr>
              <w:rPr>
                <w:sz w:val="20"/>
                <w:szCs w:val="20"/>
                <w:lang w:val="fr-CA"/>
              </w:rPr>
            </w:pPr>
          </w:p>
          <w:p w:rsidR="00335D5E" w:rsidRPr="00335D5E" w:rsidRDefault="00335D5E" w:rsidP="00335D5E">
            <w:pPr>
              <w:rPr>
                <w:sz w:val="20"/>
                <w:szCs w:val="20"/>
                <w:lang w:val="en-US"/>
              </w:rPr>
            </w:pPr>
            <w:r w:rsidRPr="00335D5E">
              <w:rPr>
                <w:b/>
                <w:sz w:val="20"/>
                <w:szCs w:val="20"/>
                <w:lang w:val="fr-CA"/>
              </w:rPr>
              <w:t xml:space="preserve">Derek </w:t>
            </w:r>
            <w:proofErr w:type="spellStart"/>
            <w:r w:rsidRPr="00335D5E">
              <w:rPr>
                <w:b/>
                <w:sz w:val="20"/>
                <w:szCs w:val="20"/>
                <w:lang w:val="fr-CA"/>
              </w:rPr>
              <w:t>Brassington</w:t>
            </w:r>
            <w:proofErr w:type="spellEnd"/>
            <w:r w:rsidRPr="00335D5E">
              <w:rPr>
                <w:b/>
                <w:sz w:val="20"/>
                <w:szCs w:val="20"/>
                <w:lang w:val="fr-CA"/>
              </w:rPr>
              <w:t xml:space="preserve"> et al.</w:t>
            </w:r>
            <w:r w:rsidRPr="00335D5E">
              <w:rPr>
                <w:sz w:val="20"/>
                <w:szCs w:val="20"/>
                <w:lang w:val="fr-CA"/>
              </w:rPr>
              <w:t xml:space="preserve"> </w:t>
            </w:r>
            <w:r w:rsidRPr="00335D5E">
              <w:rPr>
                <w:sz w:val="20"/>
                <w:szCs w:val="20"/>
                <w:lang w:val="en-US"/>
              </w:rPr>
              <w:t>(B.C.)</w:t>
            </w:r>
          </w:p>
          <w:p w:rsidR="00335D5E" w:rsidRPr="00335D5E" w:rsidRDefault="00335D5E" w:rsidP="00335D5E">
            <w:pPr>
              <w:rPr>
                <w:sz w:val="20"/>
                <w:szCs w:val="20"/>
                <w:lang w:val="en-US"/>
              </w:rPr>
            </w:pPr>
          </w:p>
          <w:p w:rsidR="00335D5E" w:rsidRPr="00335D5E" w:rsidRDefault="00335D5E" w:rsidP="00335D5E">
            <w:pPr>
              <w:rPr>
                <w:sz w:val="20"/>
                <w:szCs w:val="20"/>
                <w:lang w:val="en-US"/>
              </w:rPr>
            </w:pPr>
            <w:r w:rsidRPr="00335D5E">
              <w:rPr>
                <w:sz w:val="20"/>
                <w:szCs w:val="20"/>
                <w:lang w:val="en-US"/>
              </w:rPr>
              <w:t>(By Leave)</w:t>
            </w:r>
          </w:p>
          <w:p w:rsidR="00D47256" w:rsidRDefault="00335D5E" w:rsidP="00335D5E">
            <w:pPr>
              <w:rPr>
                <w:sz w:val="20"/>
                <w:szCs w:val="20"/>
                <w:lang w:val="en-US"/>
              </w:rPr>
            </w:pPr>
            <w:r w:rsidRPr="00335D5E">
              <w:rPr>
                <w:sz w:val="20"/>
                <w:szCs w:val="20"/>
                <w:lang w:val="en-US"/>
              </w:rPr>
              <w:t>(filed by Her Majesty the Queen from the judgment of the Supreme Court of British Columbia in file number 25813)</w:t>
            </w:r>
          </w:p>
          <w:p w:rsidR="00335D5E" w:rsidRPr="00D47256" w:rsidRDefault="00335D5E" w:rsidP="00335D5E">
            <w:pPr>
              <w:rPr>
                <w:sz w:val="20"/>
                <w:szCs w:val="20"/>
                <w:lang w:val="en-US"/>
              </w:rPr>
            </w:pPr>
          </w:p>
          <w:p w:rsidR="003E0AE6" w:rsidRDefault="00ED1F08" w:rsidP="005F1ED8">
            <w:pPr>
              <w:rPr>
                <w:sz w:val="20"/>
                <w:szCs w:val="20"/>
                <w:lang w:val="fr-CA"/>
              </w:rPr>
            </w:pPr>
            <w:r>
              <w:rPr>
                <w:sz w:val="20"/>
                <w:szCs w:val="20"/>
                <w:lang w:val="fr-CA"/>
              </w:rPr>
              <w:pict>
                <v:rect id="_x0000_i1056" style="width:108pt;height:1pt" o:hrpct="0" o:hralign="center" o:hrstd="t" o:hrnoshade="t" o:hr="t" fillcolor="black [3213]" stroked="f"/>
              </w:pict>
            </w:r>
          </w:p>
          <w:p w:rsidR="003E0AE6" w:rsidRPr="003B3977" w:rsidRDefault="003E0AE6" w:rsidP="005F1ED8">
            <w:pPr>
              <w:rPr>
                <w:sz w:val="20"/>
                <w:szCs w:val="20"/>
                <w:lang w:val="fr-CA"/>
              </w:rPr>
            </w:pPr>
          </w:p>
        </w:tc>
        <w:tc>
          <w:tcPr>
            <w:tcW w:w="588" w:type="pct"/>
          </w:tcPr>
          <w:p w:rsidR="0086340B" w:rsidRPr="003B3977" w:rsidRDefault="0086340B" w:rsidP="005F1ED8">
            <w:pPr>
              <w:jc w:val="center"/>
              <w:rPr>
                <w:sz w:val="20"/>
                <w:szCs w:val="20"/>
              </w:rPr>
            </w:pPr>
          </w:p>
        </w:tc>
        <w:tc>
          <w:tcPr>
            <w:tcW w:w="2206" w:type="pct"/>
          </w:tcPr>
          <w:p w:rsidR="00335D5E" w:rsidRPr="00335D5E" w:rsidRDefault="00335D5E" w:rsidP="00335D5E">
            <w:pPr>
              <w:rPr>
                <w:sz w:val="20"/>
                <w:szCs w:val="20"/>
                <w:lang w:val="en-US"/>
              </w:rPr>
            </w:pPr>
            <w:r w:rsidRPr="00335D5E">
              <w:rPr>
                <w:sz w:val="20"/>
                <w:szCs w:val="20"/>
                <w:lang w:val="en-US"/>
              </w:rPr>
              <w:t>20.10.2017</w:t>
            </w:r>
          </w:p>
          <w:p w:rsidR="00335D5E" w:rsidRPr="00335D5E" w:rsidRDefault="00335D5E" w:rsidP="00335D5E">
            <w:pPr>
              <w:rPr>
                <w:sz w:val="20"/>
                <w:szCs w:val="20"/>
                <w:lang w:val="en-US"/>
              </w:rPr>
            </w:pPr>
          </w:p>
          <w:p w:rsidR="00335D5E" w:rsidRPr="00335D5E" w:rsidRDefault="00335D5E" w:rsidP="00335D5E">
            <w:pPr>
              <w:rPr>
                <w:b/>
                <w:sz w:val="20"/>
                <w:szCs w:val="20"/>
                <w:lang w:val="en-US"/>
              </w:rPr>
            </w:pPr>
            <w:r w:rsidRPr="00335D5E">
              <w:rPr>
                <w:b/>
                <w:sz w:val="20"/>
                <w:szCs w:val="20"/>
                <w:lang w:val="en-US"/>
              </w:rPr>
              <w:t>Her Majesty the Queen et al.</w:t>
            </w:r>
          </w:p>
          <w:p w:rsidR="00335D5E" w:rsidRPr="00335D5E" w:rsidRDefault="00335D5E" w:rsidP="00335D5E">
            <w:pPr>
              <w:rPr>
                <w:sz w:val="20"/>
                <w:szCs w:val="20"/>
                <w:lang w:val="en-US"/>
              </w:rPr>
            </w:pPr>
          </w:p>
          <w:p w:rsidR="00335D5E" w:rsidRPr="00335D5E" w:rsidRDefault="00335D5E" w:rsidP="00335D5E">
            <w:pPr>
              <w:rPr>
                <w:b/>
                <w:sz w:val="20"/>
                <w:szCs w:val="20"/>
                <w:lang w:val="fr-CA"/>
              </w:rPr>
            </w:pPr>
            <w:r w:rsidRPr="00335D5E">
              <w:rPr>
                <w:b/>
                <w:sz w:val="20"/>
                <w:szCs w:val="20"/>
                <w:lang w:val="en-US"/>
              </w:rPr>
              <w:tab/>
            </w:r>
            <w:r w:rsidRPr="00335D5E">
              <w:rPr>
                <w:b/>
                <w:sz w:val="20"/>
                <w:szCs w:val="20"/>
                <w:lang w:val="fr-CA"/>
              </w:rPr>
              <w:t>v. (37476)</w:t>
            </w:r>
          </w:p>
          <w:p w:rsidR="00335D5E" w:rsidRPr="00335D5E" w:rsidRDefault="00335D5E" w:rsidP="00335D5E">
            <w:pPr>
              <w:rPr>
                <w:sz w:val="20"/>
                <w:szCs w:val="20"/>
                <w:lang w:val="fr-CA"/>
              </w:rPr>
            </w:pPr>
          </w:p>
          <w:p w:rsidR="00335D5E" w:rsidRPr="00335D5E" w:rsidRDefault="00335D5E" w:rsidP="00335D5E">
            <w:pPr>
              <w:rPr>
                <w:sz w:val="20"/>
                <w:szCs w:val="20"/>
                <w:lang w:val="en-US"/>
              </w:rPr>
            </w:pPr>
            <w:r w:rsidRPr="00335D5E">
              <w:rPr>
                <w:b/>
                <w:sz w:val="20"/>
                <w:szCs w:val="20"/>
                <w:lang w:val="fr-CA"/>
              </w:rPr>
              <w:t xml:space="preserve">Derek </w:t>
            </w:r>
            <w:proofErr w:type="spellStart"/>
            <w:r w:rsidRPr="00335D5E">
              <w:rPr>
                <w:b/>
                <w:sz w:val="20"/>
                <w:szCs w:val="20"/>
                <w:lang w:val="fr-CA"/>
              </w:rPr>
              <w:t>Brassington</w:t>
            </w:r>
            <w:proofErr w:type="spellEnd"/>
            <w:r w:rsidRPr="00335D5E">
              <w:rPr>
                <w:b/>
                <w:sz w:val="20"/>
                <w:szCs w:val="20"/>
                <w:lang w:val="fr-CA"/>
              </w:rPr>
              <w:t xml:space="preserve"> et al. </w:t>
            </w:r>
            <w:r w:rsidRPr="00335D5E">
              <w:rPr>
                <w:sz w:val="20"/>
                <w:szCs w:val="20"/>
                <w:lang w:val="en-US"/>
              </w:rPr>
              <w:t>(B.C.)</w:t>
            </w:r>
          </w:p>
          <w:p w:rsidR="00335D5E" w:rsidRPr="00335D5E" w:rsidRDefault="00335D5E" w:rsidP="00335D5E">
            <w:pPr>
              <w:rPr>
                <w:sz w:val="20"/>
                <w:szCs w:val="20"/>
                <w:lang w:val="en-US"/>
              </w:rPr>
            </w:pPr>
          </w:p>
          <w:p w:rsidR="00335D5E" w:rsidRPr="00335D5E" w:rsidRDefault="00335D5E" w:rsidP="00335D5E">
            <w:pPr>
              <w:rPr>
                <w:sz w:val="20"/>
                <w:szCs w:val="20"/>
                <w:lang w:val="en-US"/>
              </w:rPr>
            </w:pPr>
            <w:r w:rsidRPr="00335D5E">
              <w:rPr>
                <w:sz w:val="20"/>
                <w:szCs w:val="20"/>
                <w:lang w:val="en-US"/>
              </w:rPr>
              <w:t>(By Leave)</w:t>
            </w:r>
          </w:p>
          <w:p w:rsidR="00B2460C" w:rsidRPr="00335D5E" w:rsidRDefault="00335D5E" w:rsidP="00335D5E">
            <w:pPr>
              <w:rPr>
                <w:sz w:val="20"/>
                <w:szCs w:val="20"/>
              </w:rPr>
            </w:pPr>
            <w:r w:rsidRPr="00335D5E">
              <w:rPr>
                <w:sz w:val="20"/>
                <w:szCs w:val="20"/>
                <w:lang w:val="en-US"/>
              </w:rPr>
              <w:t>(filed by Her Majesty the Queen from the judgment of the British Columbia Court of Appeal in file numbers CA43391, CA43402, and CA43396)</w:t>
            </w:r>
          </w:p>
          <w:p w:rsidR="0086340B" w:rsidRPr="003B3977" w:rsidRDefault="00ED1F08" w:rsidP="00B2460C">
            <w:pPr>
              <w:rPr>
                <w:sz w:val="20"/>
                <w:szCs w:val="20"/>
              </w:rPr>
            </w:pPr>
            <w:r>
              <w:rPr>
                <w:sz w:val="20"/>
                <w:szCs w:val="20"/>
                <w:lang w:val="fr-CA"/>
              </w:rPr>
              <w:pict>
                <v:rect id="_x0000_i1057" style="width:108pt;height:1pt" o:hrpct="0" o:hralign="center" o:hrstd="t" o:hrnoshade="t" o:hr="t" fillcolor="black [3213]" stroked="f"/>
              </w:pict>
            </w:r>
          </w:p>
        </w:tc>
      </w:tr>
      <w:tr w:rsidR="0086340B" w:rsidRPr="00B2460C" w:rsidTr="005F1ED8">
        <w:trPr>
          <w:cantSplit/>
        </w:trPr>
        <w:tc>
          <w:tcPr>
            <w:tcW w:w="2206" w:type="pct"/>
            <w:tcMar>
              <w:left w:w="0" w:type="dxa"/>
              <w:right w:w="0" w:type="dxa"/>
            </w:tcMar>
          </w:tcPr>
          <w:p w:rsidR="00335D5E" w:rsidRDefault="00335D5E" w:rsidP="00335D5E">
            <w:pPr>
              <w:rPr>
                <w:sz w:val="20"/>
                <w:szCs w:val="20"/>
                <w:lang w:val="fr-CA"/>
              </w:rPr>
            </w:pPr>
            <w:r>
              <w:rPr>
                <w:sz w:val="20"/>
                <w:szCs w:val="20"/>
                <w:lang w:val="fr-CA"/>
              </w:rPr>
              <w:t>20.10.2017</w:t>
            </w:r>
          </w:p>
          <w:p w:rsidR="00335D5E" w:rsidRDefault="00335D5E" w:rsidP="00335D5E">
            <w:pPr>
              <w:rPr>
                <w:sz w:val="20"/>
                <w:szCs w:val="20"/>
                <w:lang w:val="fr-CA"/>
              </w:rPr>
            </w:pPr>
          </w:p>
          <w:p w:rsidR="00335D5E" w:rsidRDefault="00335D5E" w:rsidP="00335D5E">
            <w:pPr>
              <w:rPr>
                <w:b/>
                <w:bCs/>
                <w:sz w:val="20"/>
                <w:szCs w:val="20"/>
                <w:lang w:val="fr-CA"/>
              </w:rPr>
            </w:pPr>
            <w:r>
              <w:rPr>
                <w:b/>
                <w:bCs/>
                <w:sz w:val="20"/>
                <w:szCs w:val="20"/>
                <w:lang w:val="fr-CA"/>
              </w:rPr>
              <w:t>Person A et al.</w:t>
            </w:r>
          </w:p>
          <w:p w:rsidR="00335D5E" w:rsidRDefault="00335D5E" w:rsidP="00335D5E">
            <w:pPr>
              <w:rPr>
                <w:b/>
                <w:bCs/>
                <w:sz w:val="20"/>
                <w:szCs w:val="20"/>
                <w:lang w:val="fr-CA"/>
              </w:rPr>
            </w:pPr>
          </w:p>
          <w:p w:rsidR="00335D5E" w:rsidRDefault="00335D5E" w:rsidP="00335D5E">
            <w:pPr>
              <w:rPr>
                <w:b/>
                <w:bCs/>
                <w:sz w:val="20"/>
                <w:szCs w:val="20"/>
                <w:lang w:val="fr-CA"/>
              </w:rPr>
            </w:pPr>
            <w:r>
              <w:rPr>
                <w:b/>
                <w:bCs/>
                <w:sz w:val="20"/>
                <w:szCs w:val="20"/>
                <w:lang w:val="fr-CA"/>
              </w:rPr>
              <w:tab/>
              <w:t>v. (37476)</w:t>
            </w:r>
          </w:p>
          <w:p w:rsidR="00335D5E" w:rsidRDefault="00335D5E" w:rsidP="00335D5E">
            <w:pPr>
              <w:rPr>
                <w:b/>
                <w:bCs/>
                <w:sz w:val="20"/>
                <w:szCs w:val="20"/>
                <w:lang w:val="fr-CA"/>
              </w:rPr>
            </w:pPr>
          </w:p>
          <w:p w:rsidR="00335D5E" w:rsidRDefault="00335D5E" w:rsidP="00335D5E">
            <w:pPr>
              <w:rPr>
                <w:b/>
                <w:bCs/>
                <w:sz w:val="20"/>
                <w:szCs w:val="20"/>
                <w:lang w:val="fr-CA"/>
              </w:rPr>
            </w:pPr>
            <w:r>
              <w:rPr>
                <w:b/>
                <w:bCs/>
                <w:sz w:val="20"/>
                <w:szCs w:val="20"/>
                <w:lang w:val="fr-CA"/>
              </w:rPr>
              <w:t xml:space="preserve">Derek </w:t>
            </w:r>
            <w:proofErr w:type="spellStart"/>
            <w:r>
              <w:rPr>
                <w:b/>
                <w:bCs/>
                <w:sz w:val="20"/>
                <w:szCs w:val="20"/>
                <w:lang w:val="fr-CA"/>
              </w:rPr>
              <w:t>Brassington</w:t>
            </w:r>
            <w:proofErr w:type="spellEnd"/>
            <w:r>
              <w:rPr>
                <w:b/>
                <w:bCs/>
                <w:sz w:val="20"/>
                <w:szCs w:val="20"/>
                <w:lang w:val="fr-CA"/>
              </w:rPr>
              <w:t xml:space="preserve"> et al. (B.C.)</w:t>
            </w:r>
          </w:p>
          <w:p w:rsidR="00335D5E" w:rsidRDefault="00335D5E" w:rsidP="00335D5E">
            <w:pPr>
              <w:rPr>
                <w:b/>
                <w:bCs/>
                <w:sz w:val="20"/>
                <w:szCs w:val="20"/>
                <w:lang w:val="fr-CA"/>
              </w:rPr>
            </w:pPr>
          </w:p>
          <w:p w:rsidR="00335D5E" w:rsidRDefault="00335D5E" w:rsidP="00335D5E">
            <w:pPr>
              <w:rPr>
                <w:sz w:val="20"/>
                <w:szCs w:val="20"/>
                <w:lang w:val="en-US"/>
              </w:rPr>
            </w:pPr>
            <w:r>
              <w:rPr>
                <w:sz w:val="20"/>
                <w:szCs w:val="20"/>
              </w:rPr>
              <w:t>(By Leave)</w:t>
            </w:r>
          </w:p>
          <w:p w:rsidR="00335D5E" w:rsidRDefault="00335D5E" w:rsidP="00335D5E">
            <w:pPr>
              <w:rPr>
                <w:sz w:val="20"/>
                <w:szCs w:val="20"/>
              </w:rPr>
            </w:pPr>
            <w:r>
              <w:rPr>
                <w:sz w:val="20"/>
                <w:szCs w:val="20"/>
              </w:rPr>
              <w:t>(filed by Person A from the judgment of the Supreme Court of British Columbia in file number 25813)</w:t>
            </w:r>
          </w:p>
          <w:p w:rsidR="00B2460C" w:rsidRPr="00335D5E" w:rsidRDefault="00B2460C" w:rsidP="005F1ED8">
            <w:pPr>
              <w:rPr>
                <w:sz w:val="20"/>
                <w:szCs w:val="20"/>
              </w:rPr>
            </w:pPr>
          </w:p>
          <w:p w:rsidR="00B2460C" w:rsidRDefault="00ED1F08" w:rsidP="005F1ED8">
            <w:pPr>
              <w:rPr>
                <w:sz w:val="20"/>
                <w:szCs w:val="20"/>
                <w:lang w:val="fr-CA"/>
              </w:rPr>
            </w:pPr>
            <w:r>
              <w:rPr>
                <w:sz w:val="20"/>
                <w:szCs w:val="20"/>
                <w:lang w:val="fr-CA"/>
              </w:rPr>
              <w:pict>
                <v:rect id="_x0000_i1058" style="width:108pt;height:1pt" o:hrpct="0" o:hralign="center" o:hrstd="t" o:hrnoshade="t" o:hr="t" fillcolor="black [3213]" stroked="f"/>
              </w:pict>
            </w:r>
          </w:p>
          <w:p w:rsidR="00B2460C" w:rsidRPr="00B2460C" w:rsidRDefault="00B2460C" w:rsidP="005F1ED8">
            <w:pPr>
              <w:rPr>
                <w:sz w:val="20"/>
                <w:szCs w:val="20"/>
                <w:lang w:val="fr-CA"/>
              </w:rPr>
            </w:pPr>
          </w:p>
        </w:tc>
        <w:tc>
          <w:tcPr>
            <w:tcW w:w="588" w:type="pct"/>
          </w:tcPr>
          <w:p w:rsidR="0086340B" w:rsidRPr="00B2460C" w:rsidRDefault="0086340B" w:rsidP="005F1ED8">
            <w:pPr>
              <w:jc w:val="center"/>
              <w:rPr>
                <w:sz w:val="20"/>
                <w:szCs w:val="20"/>
                <w:lang w:val="fr-CA"/>
              </w:rPr>
            </w:pPr>
          </w:p>
        </w:tc>
        <w:tc>
          <w:tcPr>
            <w:tcW w:w="2206" w:type="pct"/>
          </w:tcPr>
          <w:p w:rsidR="00335D5E" w:rsidRDefault="00335D5E" w:rsidP="00335D5E">
            <w:pPr>
              <w:rPr>
                <w:sz w:val="20"/>
                <w:szCs w:val="20"/>
                <w:lang w:val="fr-CA"/>
              </w:rPr>
            </w:pPr>
            <w:r>
              <w:rPr>
                <w:sz w:val="20"/>
                <w:szCs w:val="20"/>
                <w:lang w:val="fr-CA"/>
              </w:rPr>
              <w:t>20.10.2017</w:t>
            </w:r>
          </w:p>
          <w:p w:rsidR="00335D5E" w:rsidRDefault="00335D5E" w:rsidP="00335D5E">
            <w:pPr>
              <w:rPr>
                <w:sz w:val="20"/>
                <w:szCs w:val="20"/>
                <w:lang w:val="fr-CA"/>
              </w:rPr>
            </w:pPr>
          </w:p>
          <w:p w:rsidR="00335D5E" w:rsidRDefault="00335D5E" w:rsidP="00335D5E">
            <w:pPr>
              <w:rPr>
                <w:b/>
                <w:bCs/>
                <w:sz w:val="20"/>
                <w:szCs w:val="20"/>
                <w:lang w:val="fr-CA"/>
              </w:rPr>
            </w:pPr>
            <w:r>
              <w:rPr>
                <w:b/>
                <w:bCs/>
                <w:sz w:val="20"/>
                <w:szCs w:val="20"/>
                <w:lang w:val="fr-CA"/>
              </w:rPr>
              <w:t>Person A et al.</w:t>
            </w:r>
          </w:p>
          <w:p w:rsidR="00335D5E" w:rsidRDefault="00335D5E" w:rsidP="00335D5E">
            <w:pPr>
              <w:rPr>
                <w:b/>
                <w:bCs/>
                <w:sz w:val="20"/>
                <w:szCs w:val="20"/>
                <w:lang w:val="fr-CA"/>
              </w:rPr>
            </w:pPr>
          </w:p>
          <w:p w:rsidR="00335D5E" w:rsidRDefault="00335D5E" w:rsidP="00335D5E">
            <w:pPr>
              <w:rPr>
                <w:b/>
                <w:bCs/>
                <w:sz w:val="20"/>
                <w:szCs w:val="20"/>
                <w:lang w:val="fr-CA"/>
              </w:rPr>
            </w:pPr>
            <w:r>
              <w:rPr>
                <w:b/>
                <w:bCs/>
                <w:sz w:val="20"/>
                <w:szCs w:val="20"/>
                <w:lang w:val="fr-CA"/>
              </w:rPr>
              <w:tab/>
              <w:t>v. (37476)</w:t>
            </w:r>
          </w:p>
          <w:p w:rsidR="00335D5E" w:rsidRDefault="00335D5E" w:rsidP="00335D5E">
            <w:pPr>
              <w:rPr>
                <w:b/>
                <w:bCs/>
                <w:sz w:val="20"/>
                <w:szCs w:val="20"/>
                <w:lang w:val="fr-CA"/>
              </w:rPr>
            </w:pPr>
          </w:p>
          <w:p w:rsidR="00335D5E" w:rsidRDefault="00335D5E" w:rsidP="00335D5E">
            <w:pPr>
              <w:rPr>
                <w:b/>
                <w:bCs/>
                <w:sz w:val="20"/>
                <w:szCs w:val="20"/>
                <w:lang w:val="fr-CA"/>
              </w:rPr>
            </w:pPr>
            <w:r>
              <w:rPr>
                <w:b/>
                <w:bCs/>
                <w:sz w:val="20"/>
                <w:szCs w:val="20"/>
                <w:lang w:val="fr-CA"/>
              </w:rPr>
              <w:t xml:space="preserve">Derek </w:t>
            </w:r>
            <w:proofErr w:type="spellStart"/>
            <w:r>
              <w:rPr>
                <w:b/>
                <w:bCs/>
                <w:sz w:val="20"/>
                <w:szCs w:val="20"/>
                <w:lang w:val="fr-CA"/>
              </w:rPr>
              <w:t>Brassington</w:t>
            </w:r>
            <w:proofErr w:type="spellEnd"/>
            <w:r>
              <w:rPr>
                <w:b/>
                <w:bCs/>
                <w:sz w:val="20"/>
                <w:szCs w:val="20"/>
                <w:lang w:val="fr-CA"/>
              </w:rPr>
              <w:t xml:space="preserve"> et al. (B.C.)</w:t>
            </w:r>
          </w:p>
          <w:p w:rsidR="00335D5E" w:rsidRDefault="00335D5E" w:rsidP="00335D5E">
            <w:pPr>
              <w:rPr>
                <w:b/>
                <w:bCs/>
                <w:sz w:val="20"/>
                <w:szCs w:val="20"/>
                <w:lang w:val="fr-CA"/>
              </w:rPr>
            </w:pPr>
          </w:p>
          <w:p w:rsidR="00335D5E" w:rsidRDefault="00335D5E" w:rsidP="00335D5E">
            <w:pPr>
              <w:rPr>
                <w:sz w:val="20"/>
                <w:szCs w:val="20"/>
                <w:lang w:val="en-US"/>
              </w:rPr>
            </w:pPr>
            <w:r>
              <w:rPr>
                <w:sz w:val="20"/>
                <w:szCs w:val="20"/>
              </w:rPr>
              <w:t>(By Leave)</w:t>
            </w:r>
          </w:p>
          <w:p w:rsidR="00335D5E" w:rsidRDefault="00335D5E" w:rsidP="00335D5E">
            <w:pPr>
              <w:rPr>
                <w:sz w:val="20"/>
                <w:szCs w:val="20"/>
              </w:rPr>
            </w:pPr>
            <w:r>
              <w:rPr>
                <w:sz w:val="20"/>
                <w:szCs w:val="20"/>
              </w:rPr>
              <w:t>(filed by Person A from the judgment of the British Columbia Court of Appeal in file numbers CA43391, CA43402, and CA43396)</w:t>
            </w:r>
          </w:p>
          <w:p w:rsidR="00B2460C" w:rsidRPr="00335D5E" w:rsidRDefault="00B2460C" w:rsidP="00B2460C">
            <w:pPr>
              <w:rPr>
                <w:sz w:val="20"/>
                <w:szCs w:val="20"/>
              </w:rPr>
            </w:pPr>
          </w:p>
          <w:p w:rsidR="0086340B" w:rsidRPr="00130B0E" w:rsidRDefault="00ED1F08" w:rsidP="00B2460C">
            <w:pPr>
              <w:rPr>
                <w:sz w:val="20"/>
                <w:szCs w:val="20"/>
                <w:lang w:val="fr-CA"/>
              </w:rPr>
            </w:pPr>
            <w:r>
              <w:rPr>
                <w:sz w:val="20"/>
                <w:szCs w:val="20"/>
                <w:lang w:val="fr-CA"/>
              </w:rPr>
              <w:pict>
                <v:rect id="_x0000_i1059" style="width:108pt;height:1pt" o:hrpct="0" o:hralign="center" o:hrstd="t" o:hrnoshade="t" o:hr="t" fillcolor="black [3213]" stroked="f"/>
              </w:pict>
            </w:r>
          </w:p>
        </w:tc>
      </w:tr>
      <w:tr w:rsidR="00335D5E" w:rsidRPr="00B2460C" w:rsidTr="005F1ED8">
        <w:trPr>
          <w:cantSplit/>
        </w:trPr>
        <w:tc>
          <w:tcPr>
            <w:tcW w:w="2206" w:type="pct"/>
            <w:tcMar>
              <w:left w:w="0" w:type="dxa"/>
              <w:right w:w="0" w:type="dxa"/>
            </w:tcMar>
          </w:tcPr>
          <w:p w:rsidR="00335D5E" w:rsidRDefault="00335D5E" w:rsidP="00335D5E">
            <w:pPr>
              <w:rPr>
                <w:sz w:val="20"/>
                <w:szCs w:val="20"/>
                <w:lang w:val="en-US"/>
              </w:rPr>
            </w:pPr>
            <w:r>
              <w:rPr>
                <w:sz w:val="20"/>
                <w:szCs w:val="20"/>
              </w:rPr>
              <w:t>23.10.2017</w:t>
            </w:r>
          </w:p>
          <w:p w:rsidR="00335D5E" w:rsidRDefault="00335D5E" w:rsidP="00335D5E">
            <w:pPr>
              <w:rPr>
                <w:sz w:val="20"/>
                <w:szCs w:val="20"/>
              </w:rPr>
            </w:pPr>
          </w:p>
          <w:p w:rsidR="00335D5E" w:rsidRDefault="00335D5E" w:rsidP="00335D5E">
            <w:pPr>
              <w:rPr>
                <w:b/>
                <w:bCs/>
                <w:sz w:val="20"/>
                <w:szCs w:val="20"/>
              </w:rPr>
            </w:pPr>
            <w:r>
              <w:rPr>
                <w:b/>
                <w:bCs/>
                <w:sz w:val="20"/>
                <w:szCs w:val="20"/>
              </w:rPr>
              <w:t>Her Majesty the Queen et al.</w:t>
            </w:r>
          </w:p>
          <w:p w:rsidR="00335D5E" w:rsidRDefault="00335D5E" w:rsidP="00335D5E">
            <w:pPr>
              <w:rPr>
                <w:b/>
                <w:bCs/>
                <w:sz w:val="20"/>
                <w:szCs w:val="20"/>
              </w:rPr>
            </w:pPr>
          </w:p>
          <w:p w:rsidR="00335D5E" w:rsidRDefault="00335D5E" w:rsidP="00335D5E">
            <w:pPr>
              <w:rPr>
                <w:b/>
                <w:bCs/>
                <w:sz w:val="20"/>
                <w:szCs w:val="20"/>
                <w:lang w:val="fr-CA"/>
              </w:rPr>
            </w:pPr>
            <w:r>
              <w:rPr>
                <w:b/>
                <w:bCs/>
                <w:sz w:val="20"/>
                <w:szCs w:val="20"/>
              </w:rPr>
              <w:tab/>
            </w:r>
            <w:r>
              <w:rPr>
                <w:b/>
                <w:bCs/>
                <w:sz w:val="20"/>
                <w:szCs w:val="20"/>
                <w:lang w:val="fr-CA"/>
              </w:rPr>
              <w:t>v. (37476)</w:t>
            </w:r>
          </w:p>
          <w:p w:rsidR="00335D5E" w:rsidRDefault="00335D5E" w:rsidP="00335D5E">
            <w:pPr>
              <w:rPr>
                <w:b/>
                <w:bCs/>
                <w:sz w:val="20"/>
                <w:szCs w:val="20"/>
                <w:lang w:val="fr-CA"/>
              </w:rPr>
            </w:pPr>
          </w:p>
          <w:p w:rsidR="00335D5E" w:rsidRDefault="00335D5E" w:rsidP="00335D5E">
            <w:pPr>
              <w:rPr>
                <w:b/>
                <w:bCs/>
                <w:sz w:val="20"/>
                <w:szCs w:val="20"/>
                <w:lang w:val="en-US"/>
              </w:rPr>
            </w:pPr>
            <w:r>
              <w:rPr>
                <w:b/>
                <w:bCs/>
                <w:sz w:val="20"/>
                <w:szCs w:val="20"/>
                <w:lang w:val="fr-CA"/>
              </w:rPr>
              <w:t xml:space="preserve">Derek </w:t>
            </w:r>
            <w:proofErr w:type="spellStart"/>
            <w:r>
              <w:rPr>
                <w:b/>
                <w:bCs/>
                <w:sz w:val="20"/>
                <w:szCs w:val="20"/>
                <w:lang w:val="fr-CA"/>
              </w:rPr>
              <w:t>Brassington</w:t>
            </w:r>
            <w:proofErr w:type="spellEnd"/>
            <w:r>
              <w:rPr>
                <w:b/>
                <w:bCs/>
                <w:sz w:val="20"/>
                <w:szCs w:val="20"/>
                <w:lang w:val="fr-CA"/>
              </w:rPr>
              <w:t xml:space="preserve"> et al. </w:t>
            </w:r>
            <w:r>
              <w:rPr>
                <w:b/>
                <w:bCs/>
                <w:sz w:val="20"/>
                <w:szCs w:val="20"/>
              </w:rPr>
              <w:t>(B.C.)</w:t>
            </w:r>
          </w:p>
          <w:p w:rsidR="00335D5E" w:rsidRDefault="00335D5E" w:rsidP="00335D5E">
            <w:pPr>
              <w:rPr>
                <w:sz w:val="20"/>
                <w:szCs w:val="20"/>
              </w:rPr>
            </w:pPr>
          </w:p>
          <w:p w:rsidR="00335D5E" w:rsidRDefault="00335D5E" w:rsidP="00335D5E">
            <w:pPr>
              <w:rPr>
                <w:sz w:val="20"/>
                <w:szCs w:val="20"/>
              </w:rPr>
            </w:pPr>
            <w:r>
              <w:rPr>
                <w:sz w:val="20"/>
                <w:szCs w:val="20"/>
              </w:rPr>
              <w:t>(By Leave)</w:t>
            </w:r>
          </w:p>
          <w:p w:rsidR="00335D5E" w:rsidRDefault="00335D5E" w:rsidP="00335D5E">
            <w:pPr>
              <w:rPr>
                <w:sz w:val="20"/>
                <w:szCs w:val="20"/>
              </w:rPr>
            </w:pPr>
            <w:r>
              <w:rPr>
                <w:sz w:val="20"/>
                <w:szCs w:val="20"/>
              </w:rPr>
              <w:t xml:space="preserve">(filed by the Attorney General of Canada and Superintendent Gary </w:t>
            </w:r>
            <w:proofErr w:type="spellStart"/>
            <w:r>
              <w:rPr>
                <w:sz w:val="20"/>
                <w:szCs w:val="20"/>
              </w:rPr>
              <w:t>Shinkaruk</w:t>
            </w:r>
            <w:proofErr w:type="spellEnd"/>
            <w:r>
              <w:rPr>
                <w:sz w:val="20"/>
                <w:szCs w:val="20"/>
              </w:rPr>
              <w:t xml:space="preserve"> from the judgment of the British Columbia Court of Appeal in file numbers CA43391, CA43402 and CA43396)</w:t>
            </w:r>
          </w:p>
          <w:p w:rsidR="00335D5E" w:rsidRPr="00335D5E" w:rsidRDefault="00335D5E" w:rsidP="00335D5E">
            <w:pPr>
              <w:rPr>
                <w:sz w:val="20"/>
                <w:szCs w:val="20"/>
              </w:rPr>
            </w:pPr>
          </w:p>
        </w:tc>
        <w:tc>
          <w:tcPr>
            <w:tcW w:w="588" w:type="pct"/>
          </w:tcPr>
          <w:p w:rsidR="00335D5E" w:rsidRPr="00335D5E" w:rsidRDefault="00335D5E" w:rsidP="005F1ED8">
            <w:pPr>
              <w:jc w:val="center"/>
              <w:rPr>
                <w:sz w:val="20"/>
                <w:szCs w:val="20"/>
                <w:lang w:val="en-US"/>
              </w:rPr>
            </w:pPr>
          </w:p>
        </w:tc>
        <w:tc>
          <w:tcPr>
            <w:tcW w:w="2206" w:type="pct"/>
          </w:tcPr>
          <w:p w:rsidR="00335D5E" w:rsidRPr="00335D5E" w:rsidRDefault="00335D5E" w:rsidP="00335D5E">
            <w:pPr>
              <w:rPr>
                <w:sz w:val="20"/>
                <w:szCs w:val="20"/>
                <w:lang w:val="en-US"/>
              </w:rPr>
            </w:pPr>
          </w:p>
        </w:tc>
      </w:tr>
    </w:tbl>
    <w:p w:rsidR="00F40249" w:rsidRPr="00335D5E" w:rsidRDefault="00F40249" w:rsidP="00F40249">
      <w:pPr>
        <w:rPr>
          <w:sz w:val="20"/>
          <w:szCs w:val="20"/>
          <w:lang w:val="en-US"/>
        </w:rPr>
      </w:pPr>
    </w:p>
    <w:p w:rsidR="0010587F" w:rsidRPr="00335D5E" w:rsidRDefault="0010587F" w:rsidP="00F40249">
      <w:pPr>
        <w:rPr>
          <w:sz w:val="20"/>
          <w:szCs w:val="20"/>
          <w:lang w:val="en-US"/>
        </w:rPr>
      </w:pPr>
    </w:p>
    <w:p w:rsidR="00EB2B90" w:rsidRPr="00335D5E" w:rsidRDefault="00EB2B90" w:rsidP="00F40249">
      <w:pPr>
        <w:rPr>
          <w:sz w:val="20"/>
          <w:szCs w:val="20"/>
          <w:lang w:val="en-US"/>
        </w:rPr>
        <w:sectPr w:rsidR="00EB2B90" w:rsidRPr="00335D5E" w:rsidSect="00F4024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3E0AE6">
            <w:pPr>
              <w:keepNext/>
              <w:keepLines/>
              <w:rPr>
                <w:b/>
                <w:szCs w:val="24"/>
              </w:rPr>
            </w:pPr>
            <w:r w:rsidRPr="00C50A5C">
              <w:rPr>
                <w:b/>
                <w:szCs w:val="24"/>
              </w:rPr>
              <w:lastRenderedPageBreak/>
              <w:t xml:space="preserve">AGENDA </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3E0AE6">
            <w:pPr>
              <w:keepNext/>
              <w:keepLines/>
              <w:rPr>
                <w:b/>
                <w:szCs w:val="24"/>
                <w:lang w:val="fr-CA"/>
              </w:rPr>
            </w:pPr>
            <w:r w:rsidRPr="00C50A5C">
              <w:rPr>
                <w:b/>
                <w:szCs w:val="24"/>
                <w:lang w:val="fr-CA"/>
              </w:rPr>
              <w:t>CALENDRIER</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3E0AE6">
        <w:rPr>
          <w:b/>
          <w:sz w:val="20"/>
          <w:szCs w:val="20"/>
        </w:rPr>
        <w:t>November</w:t>
      </w:r>
      <w:r>
        <w:rPr>
          <w:b/>
          <w:sz w:val="20"/>
          <w:szCs w:val="20"/>
        </w:rPr>
        <w:t xml:space="preserve"> </w:t>
      </w:r>
      <w:r w:rsidR="003E0AE6">
        <w:rPr>
          <w:b/>
          <w:sz w:val="20"/>
          <w:szCs w:val="20"/>
        </w:rPr>
        <w:t>27</w:t>
      </w:r>
      <w:r w:rsidRPr="00DD0B49">
        <w:rPr>
          <w:b/>
          <w:sz w:val="20"/>
          <w:szCs w:val="20"/>
        </w:rPr>
        <w:t xml:space="preserve"> and </w:t>
      </w:r>
      <w:r w:rsidR="003E0AE6">
        <w:rPr>
          <w:b/>
          <w:sz w:val="20"/>
          <w:szCs w:val="20"/>
        </w:rPr>
        <w:t>December 4</w:t>
      </w:r>
      <w:r w:rsidRPr="00DD0B49">
        <w:rPr>
          <w:b/>
          <w:sz w:val="20"/>
          <w:szCs w:val="20"/>
        </w:rPr>
        <w:t>, 201</w:t>
      </w:r>
      <w:r w:rsidR="0056248C">
        <w:rPr>
          <w:b/>
          <w:sz w:val="20"/>
          <w:szCs w:val="20"/>
        </w:rPr>
        <w:t>7</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3E0AE6">
        <w:rPr>
          <w:b/>
          <w:sz w:val="20"/>
          <w:szCs w:val="20"/>
          <w:lang w:val="fr-CA"/>
        </w:rPr>
        <w:t>27 novembre</w:t>
      </w:r>
      <w:r>
        <w:rPr>
          <w:b/>
          <w:sz w:val="20"/>
          <w:szCs w:val="20"/>
          <w:lang w:val="fr-CA"/>
        </w:rPr>
        <w:t xml:space="preserve"> </w:t>
      </w:r>
      <w:r w:rsidRPr="00DD0B49">
        <w:rPr>
          <w:b/>
          <w:sz w:val="20"/>
          <w:szCs w:val="20"/>
          <w:lang w:val="fr-CA"/>
        </w:rPr>
        <w:t xml:space="preserve">et celle du </w:t>
      </w:r>
      <w:r w:rsidR="003E0AE6">
        <w:rPr>
          <w:b/>
          <w:sz w:val="20"/>
          <w:szCs w:val="20"/>
          <w:lang w:val="fr-CA"/>
        </w:rPr>
        <w:t>4 décembre</w:t>
      </w:r>
      <w:r w:rsidRPr="00DD0B49">
        <w:rPr>
          <w:b/>
          <w:sz w:val="20"/>
          <w:szCs w:val="20"/>
          <w:lang w:val="fr-CA"/>
        </w:rPr>
        <w:t xml:space="preserve"> 201</w:t>
      </w:r>
      <w:r w:rsidR="00C01FCB">
        <w:rPr>
          <w:b/>
          <w:sz w:val="20"/>
          <w:szCs w:val="20"/>
          <w:lang w:val="fr-CA"/>
        </w:rPr>
        <w:t>7</w:t>
      </w:r>
      <w:r w:rsidRPr="00DD0B49">
        <w:rPr>
          <w:b/>
          <w:sz w:val="20"/>
          <w:szCs w:val="20"/>
          <w:lang w:val="fr-CA"/>
        </w:rPr>
        <w:t>.</w:t>
      </w:r>
    </w:p>
    <w:p w:rsidR="004B66B4" w:rsidRPr="00DD0B49" w:rsidRDefault="00ED1F08" w:rsidP="004B66B4">
      <w:pPr>
        <w:rPr>
          <w:sz w:val="20"/>
          <w:szCs w:val="20"/>
        </w:rPr>
      </w:pPr>
      <w:r>
        <w:rPr>
          <w:sz w:val="20"/>
          <w:szCs w:val="20"/>
        </w:rPr>
        <w:pict>
          <v:rect id="_x0000_i1062" style="width:480.95pt;height:1pt" o:hralign="center" o:hrstd="t" o:hrnoshade="t" o:hr="t" fillcolor="black [3213]" stroked="f"/>
        </w:pict>
      </w:r>
    </w:p>
    <w:p w:rsidR="004B66B4"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32D9A" w:rsidRPr="00ED1F08" w:rsidTr="00712AD2">
        <w:trPr>
          <w:cantSplit/>
        </w:trPr>
        <w:tc>
          <w:tcPr>
            <w:tcW w:w="2398" w:type="dxa"/>
          </w:tcPr>
          <w:p w:rsidR="00432D9A" w:rsidRPr="005E2D77" w:rsidRDefault="00432D9A" w:rsidP="00712AD2">
            <w:pPr>
              <w:rPr>
                <w:sz w:val="20"/>
                <w:szCs w:val="20"/>
              </w:rPr>
            </w:pPr>
            <w:r w:rsidRPr="005E2D77">
              <w:rPr>
                <w:sz w:val="20"/>
                <w:szCs w:val="20"/>
              </w:rPr>
              <w:t>DATE OF HEARING /</w:t>
            </w:r>
          </w:p>
          <w:p w:rsidR="00432D9A" w:rsidRPr="005E2D77" w:rsidRDefault="00432D9A" w:rsidP="00712AD2">
            <w:pPr>
              <w:rPr>
                <w:sz w:val="20"/>
                <w:szCs w:val="20"/>
              </w:rPr>
            </w:pPr>
            <w:r w:rsidRPr="005E2D77">
              <w:rPr>
                <w:sz w:val="20"/>
                <w:szCs w:val="20"/>
              </w:rPr>
              <w:t>DATE D’AUDITION</w:t>
            </w:r>
          </w:p>
        </w:tc>
        <w:tc>
          <w:tcPr>
            <w:tcW w:w="7178" w:type="dxa"/>
          </w:tcPr>
          <w:p w:rsidR="00432D9A" w:rsidRPr="005E2D77" w:rsidRDefault="00432D9A" w:rsidP="00712AD2">
            <w:pPr>
              <w:rPr>
                <w:sz w:val="20"/>
                <w:szCs w:val="20"/>
                <w:lang w:val="fr-CA"/>
              </w:rPr>
            </w:pPr>
            <w:r w:rsidRPr="005E2D77">
              <w:rPr>
                <w:sz w:val="20"/>
                <w:szCs w:val="20"/>
                <w:lang w:val="fr-CA"/>
              </w:rPr>
              <w:t>NAME AND CASE NUMBER /</w:t>
            </w:r>
          </w:p>
          <w:p w:rsidR="00432D9A" w:rsidRPr="005E2D77" w:rsidRDefault="00432D9A" w:rsidP="00712AD2">
            <w:pPr>
              <w:rPr>
                <w:sz w:val="20"/>
                <w:szCs w:val="20"/>
                <w:lang w:val="fr-CA"/>
              </w:rPr>
            </w:pPr>
            <w:r w:rsidRPr="005E2D77">
              <w:rPr>
                <w:sz w:val="20"/>
                <w:szCs w:val="20"/>
                <w:lang w:val="fr-CA"/>
              </w:rPr>
              <w:t>NOM DE LA CAUSE ET NUMÉRO</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2017-11-27</w:t>
            </w:r>
          </w:p>
        </w:tc>
        <w:tc>
          <w:tcPr>
            <w:tcW w:w="7178" w:type="dxa"/>
          </w:tcPr>
          <w:p w:rsidR="00432D9A" w:rsidRPr="005E2D77" w:rsidRDefault="00432D9A" w:rsidP="00712AD2">
            <w:pPr>
              <w:rPr>
                <w:sz w:val="20"/>
                <w:szCs w:val="20"/>
              </w:rPr>
            </w:pPr>
            <w:r w:rsidRPr="005E2D77">
              <w:rPr>
                <w:rStyle w:val="SCCSsocChar"/>
              </w:rPr>
              <w:t xml:space="preserve">Marie Eve </w:t>
            </w:r>
            <w:proofErr w:type="spellStart"/>
            <w:r w:rsidRPr="005E2D77">
              <w:rPr>
                <w:rStyle w:val="SCCSsocChar"/>
              </w:rPr>
              <w:t>Magoon</w:t>
            </w:r>
            <w:proofErr w:type="spellEnd"/>
            <w:r w:rsidRPr="005E2D77">
              <w:rPr>
                <w:rStyle w:val="SCCSsocChar"/>
              </w:rPr>
              <w:t xml:space="preserve"> v. Her Majesty the Queen</w:t>
            </w:r>
            <w:r w:rsidRPr="005E2D77">
              <w:rPr>
                <w:sz w:val="20"/>
                <w:szCs w:val="20"/>
              </w:rPr>
              <w:t xml:space="preserve"> (Alta.) (Criminal) (As of Right / By Leave)</w:t>
            </w:r>
            <w:r>
              <w:rPr>
                <w:sz w:val="20"/>
                <w:szCs w:val="20"/>
              </w:rPr>
              <w:t xml:space="preserve"> </w:t>
            </w:r>
            <w:r w:rsidRPr="00BF67CE">
              <w:rPr>
                <w:sz w:val="20"/>
              </w:rPr>
              <w:t>(</w:t>
            </w:r>
            <w:hyperlink r:id="rId60" w:history="1">
              <w:r w:rsidRPr="00BF67CE">
                <w:rPr>
                  <w:rStyle w:val="Hyperlink"/>
                  <w:sz w:val="20"/>
                </w:rPr>
                <w:t>3741</w:t>
              </w:r>
              <w:r>
                <w:rPr>
                  <w:rStyle w:val="Hyperlink"/>
                  <w:sz w:val="20"/>
                </w:rPr>
                <w:t>6</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2017-11-27</w:t>
            </w:r>
          </w:p>
        </w:tc>
        <w:tc>
          <w:tcPr>
            <w:tcW w:w="7178" w:type="dxa"/>
          </w:tcPr>
          <w:p w:rsidR="00432D9A" w:rsidRPr="005E2D77" w:rsidRDefault="00432D9A" w:rsidP="00712AD2">
            <w:pPr>
              <w:rPr>
                <w:sz w:val="20"/>
                <w:szCs w:val="20"/>
              </w:rPr>
            </w:pPr>
            <w:r w:rsidRPr="005E2D77">
              <w:rPr>
                <w:rStyle w:val="SCCSsocChar"/>
              </w:rPr>
              <w:t>Spencer Lee Jordan v. Her Majesty the Queen</w:t>
            </w:r>
            <w:r w:rsidRPr="005E2D77">
              <w:rPr>
                <w:sz w:val="20"/>
                <w:szCs w:val="20"/>
              </w:rPr>
              <w:t xml:space="preserve"> (Alta.) (Criminal) (As of Right / By Leave)</w:t>
            </w:r>
            <w:r>
              <w:rPr>
                <w:sz w:val="20"/>
                <w:szCs w:val="20"/>
              </w:rPr>
              <w:t xml:space="preserve"> </w:t>
            </w:r>
            <w:r w:rsidRPr="00BF67CE">
              <w:rPr>
                <w:sz w:val="20"/>
              </w:rPr>
              <w:t>(</w:t>
            </w:r>
            <w:hyperlink r:id="rId61" w:history="1">
              <w:r w:rsidRPr="00BF67CE">
                <w:rPr>
                  <w:rStyle w:val="Hyperlink"/>
                  <w:sz w:val="20"/>
                </w:rPr>
                <w:t>374</w:t>
              </w:r>
              <w:r>
                <w:rPr>
                  <w:rStyle w:val="Hyperlink"/>
                  <w:sz w:val="20"/>
                </w:rPr>
                <w:t>79</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2017-11-28</w:t>
            </w:r>
          </w:p>
        </w:tc>
        <w:tc>
          <w:tcPr>
            <w:tcW w:w="7178" w:type="dxa"/>
          </w:tcPr>
          <w:p w:rsidR="00432D9A" w:rsidRPr="005E2D77" w:rsidRDefault="00432D9A" w:rsidP="00712AD2">
            <w:pPr>
              <w:rPr>
                <w:sz w:val="20"/>
                <w:szCs w:val="20"/>
              </w:rPr>
            </w:pPr>
            <w:r w:rsidRPr="005E2D77">
              <w:rPr>
                <w:rStyle w:val="SCCSsocChar"/>
              </w:rPr>
              <w:t>Canadian Human Rights Commission v. Attorney General of Canada</w:t>
            </w:r>
            <w:r w:rsidRPr="005E2D77">
              <w:rPr>
                <w:sz w:val="20"/>
                <w:szCs w:val="20"/>
              </w:rPr>
              <w:t xml:space="preserve"> (F</w:t>
            </w:r>
            <w:r>
              <w:rPr>
                <w:sz w:val="20"/>
                <w:szCs w:val="20"/>
              </w:rPr>
              <w:t>.</w:t>
            </w:r>
            <w:r w:rsidRPr="005E2D77">
              <w:rPr>
                <w:sz w:val="20"/>
                <w:szCs w:val="20"/>
              </w:rPr>
              <w:t>C</w:t>
            </w:r>
            <w:r>
              <w:rPr>
                <w:sz w:val="20"/>
                <w:szCs w:val="20"/>
              </w:rPr>
              <w:t>.</w:t>
            </w:r>
            <w:r w:rsidRPr="005E2D77">
              <w:rPr>
                <w:sz w:val="20"/>
                <w:szCs w:val="20"/>
              </w:rPr>
              <w:t>) (Civil) (By Leave)</w:t>
            </w:r>
            <w:r>
              <w:rPr>
                <w:sz w:val="20"/>
                <w:szCs w:val="20"/>
              </w:rPr>
              <w:t xml:space="preserve"> </w:t>
            </w:r>
            <w:r w:rsidRPr="00BF67CE">
              <w:rPr>
                <w:sz w:val="20"/>
              </w:rPr>
              <w:t>(</w:t>
            </w:r>
            <w:hyperlink r:id="rId62" w:history="1">
              <w:r w:rsidRPr="00BF67CE">
                <w:rPr>
                  <w:rStyle w:val="Hyperlink"/>
                  <w:sz w:val="20"/>
                </w:rPr>
                <w:t>37</w:t>
              </w:r>
              <w:r>
                <w:rPr>
                  <w:rStyle w:val="Hyperlink"/>
                  <w:sz w:val="20"/>
                </w:rPr>
                <w:t>208</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2017-11-29</w:t>
            </w:r>
          </w:p>
        </w:tc>
        <w:tc>
          <w:tcPr>
            <w:tcW w:w="7178" w:type="dxa"/>
          </w:tcPr>
          <w:p w:rsidR="00432D9A" w:rsidRPr="005E2D77" w:rsidRDefault="00432D9A" w:rsidP="00712AD2">
            <w:pPr>
              <w:rPr>
                <w:sz w:val="20"/>
                <w:szCs w:val="20"/>
              </w:rPr>
            </w:pPr>
            <w:r w:rsidRPr="005E2D77">
              <w:rPr>
                <w:rStyle w:val="SCCSsocChar"/>
              </w:rPr>
              <w:t xml:space="preserve">Haaretz.com et al. v. Mitchell </w:t>
            </w:r>
            <w:proofErr w:type="spellStart"/>
            <w:r w:rsidRPr="005E2D77">
              <w:rPr>
                <w:rStyle w:val="SCCSsocChar"/>
              </w:rPr>
              <w:t>Goldhar</w:t>
            </w:r>
            <w:proofErr w:type="spellEnd"/>
            <w:r w:rsidRPr="005E2D77">
              <w:rPr>
                <w:sz w:val="20"/>
                <w:szCs w:val="20"/>
              </w:rPr>
              <w:t xml:space="preserve"> (Ont.) (Civil) (By Leave)</w:t>
            </w:r>
            <w:r>
              <w:rPr>
                <w:sz w:val="20"/>
                <w:szCs w:val="20"/>
              </w:rPr>
              <w:t xml:space="preserve"> </w:t>
            </w:r>
            <w:r w:rsidRPr="00BF67CE">
              <w:rPr>
                <w:sz w:val="20"/>
              </w:rPr>
              <w:t>(</w:t>
            </w:r>
            <w:hyperlink r:id="rId63" w:history="1">
              <w:r w:rsidRPr="00BF67CE">
                <w:rPr>
                  <w:rStyle w:val="Hyperlink"/>
                  <w:sz w:val="20"/>
                </w:rPr>
                <w:t>37</w:t>
              </w:r>
              <w:r>
                <w:rPr>
                  <w:rStyle w:val="Hyperlink"/>
                  <w:sz w:val="20"/>
                </w:rPr>
                <w:t>202</w:t>
              </w:r>
            </w:hyperlink>
            <w:r w:rsidRPr="00BF67CE">
              <w:rPr>
                <w:sz w:val="20"/>
              </w:rPr>
              <w:t>)</w:t>
            </w:r>
          </w:p>
        </w:tc>
      </w:tr>
      <w:tr w:rsidR="00432D9A" w:rsidRPr="005E2D77" w:rsidTr="00712AD2">
        <w:trPr>
          <w:cantSplit/>
        </w:trPr>
        <w:tc>
          <w:tcPr>
            <w:tcW w:w="2398" w:type="dxa"/>
          </w:tcPr>
          <w:p w:rsidR="00432D9A" w:rsidRPr="005E2D77" w:rsidRDefault="00432D9A" w:rsidP="00432D9A">
            <w:pPr>
              <w:rPr>
                <w:sz w:val="20"/>
                <w:szCs w:val="20"/>
              </w:rPr>
            </w:pPr>
            <w:r w:rsidRPr="005E2D77">
              <w:rPr>
                <w:sz w:val="20"/>
                <w:szCs w:val="20"/>
              </w:rPr>
              <w:t>2017-11-30</w:t>
            </w:r>
            <w:r>
              <w:rPr>
                <w:sz w:val="20"/>
                <w:szCs w:val="20"/>
              </w:rPr>
              <w:t xml:space="preserve"> </w:t>
            </w:r>
          </w:p>
        </w:tc>
        <w:tc>
          <w:tcPr>
            <w:tcW w:w="7178" w:type="dxa"/>
          </w:tcPr>
          <w:p w:rsidR="00432D9A" w:rsidRPr="005E2D77" w:rsidRDefault="00432D9A" w:rsidP="00712AD2">
            <w:pPr>
              <w:rPr>
                <w:sz w:val="20"/>
                <w:szCs w:val="20"/>
              </w:rPr>
            </w:pPr>
            <w:r w:rsidRPr="005E2D77">
              <w:rPr>
                <w:rStyle w:val="SCCSsocChar"/>
              </w:rPr>
              <w:t>Trinity Western University et al. v. Law Society of Upper Canada</w:t>
            </w:r>
            <w:r w:rsidRPr="005E2D77">
              <w:rPr>
                <w:sz w:val="20"/>
                <w:szCs w:val="20"/>
              </w:rPr>
              <w:t xml:space="preserve"> (Ont.) (Civil) (By Leave)</w:t>
            </w:r>
            <w:r>
              <w:rPr>
                <w:sz w:val="20"/>
                <w:szCs w:val="20"/>
              </w:rPr>
              <w:t xml:space="preserve"> </w:t>
            </w:r>
            <w:r w:rsidRPr="00BF67CE">
              <w:rPr>
                <w:sz w:val="20"/>
              </w:rPr>
              <w:t>(</w:t>
            </w:r>
            <w:hyperlink r:id="rId64" w:history="1">
              <w:r w:rsidRPr="00BF67CE">
                <w:rPr>
                  <w:rStyle w:val="Hyperlink"/>
                  <w:sz w:val="20"/>
                </w:rPr>
                <w:t>37</w:t>
              </w:r>
              <w:r>
                <w:rPr>
                  <w:rStyle w:val="Hyperlink"/>
                  <w:sz w:val="20"/>
                </w:rPr>
                <w:t>209</w:t>
              </w:r>
            </w:hyperlink>
            <w:r w:rsidRPr="00BF67CE">
              <w:rPr>
                <w:sz w:val="20"/>
              </w:rPr>
              <w:t>)</w:t>
            </w:r>
          </w:p>
        </w:tc>
      </w:tr>
      <w:tr w:rsidR="00432D9A" w:rsidRPr="005E2D77" w:rsidTr="00712AD2">
        <w:trPr>
          <w:cantSplit/>
        </w:trPr>
        <w:tc>
          <w:tcPr>
            <w:tcW w:w="2398" w:type="dxa"/>
          </w:tcPr>
          <w:p w:rsidR="00432D9A" w:rsidRPr="005E2D77" w:rsidRDefault="00432D9A" w:rsidP="00432D9A">
            <w:pPr>
              <w:rPr>
                <w:sz w:val="20"/>
                <w:szCs w:val="20"/>
              </w:rPr>
            </w:pPr>
            <w:r w:rsidRPr="005E2D77">
              <w:rPr>
                <w:sz w:val="20"/>
                <w:szCs w:val="20"/>
              </w:rPr>
              <w:t>2017-11-30</w:t>
            </w:r>
          </w:p>
        </w:tc>
        <w:tc>
          <w:tcPr>
            <w:tcW w:w="7178" w:type="dxa"/>
          </w:tcPr>
          <w:p w:rsidR="00432D9A" w:rsidRPr="005E2D77" w:rsidRDefault="00432D9A" w:rsidP="00712AD2">
            <w:pPr>
              <w:rPr>
                <w:sz w:val="20"/>
                <w:szCs w:val="20"/>
              </w:rPr>
            </w:pPr>
            <w:r w:rsidRPr="005E2D77">
              <w:rPr>
                <w:rStyle w:val="SCCSsocChar"/>
              </w:rPr>
              <w:t>Law Society of British Columbia v. Trinity Western University et al.</w:t>
            </w:r>
            <w:r w:rsidRPr="005E2D77">
              <w:rPr>
                <w:sz w:val="20"/>
                <w:szCs w:val="20"/>
              </w:rPr>
              <w:t xml:space="preserve"> (B.C.) (Civil) (By Leave)</w:t>
            </w:r>
            <w:r>
              <w:rPr>
                <w:sz w:val="20"/>
                <w:szCs w:val="20"/>
              </w:rPr>
              <w:t xml:space="preserve"> </w:t>
            </w:r>
            <w:r w:rsidRPr="00BF67CE">
              <w:rPr>
                <w:sz w:val="20"/>
              </w:rPr>
              <w:t>(</w:t>
            </w:r>
            <w:hyperlink r:id="rId65" w:history="1">
              <w:r w:rsidRPr="00BF67CE">
                <w:rPr>
                  <w:rStyle w:val="Hyperlink"/>
                  <w:sz w:val="20"/>
                </w:rPr>
                <w:t>37</w:t>
              </w:r>
              <w:r>
                <w:rPr>
                  <w:rStyle w:val="Hyperlink"/>
                  <w:sz w:val="20"/>
                </w:rPr>
                <w:t>318</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w:t>
            </w:r>
            <w:r>
              <w:rPr>
                <w:sz w:val="20"/>
                <w:szCs w:val="20"/>
              </w:rPr>
              <w:t>2</w:t>
            </w:r>
            <w:r w:rsidRPr="005E2D77">
              <w:rPr>
                <w:sz w:val="20"/>
                <w:szCs w:val="20"/>
              </w:rPr>
              <w:t>-0</w:t>
            </w:r>
            <w:r>
              <w:rPr>
                <w:sz w:val="20"/>
                <w:szCs w:val="20"/>
              </w:rPr>
              <w:t>1</w:t>
            </w:r>
          </w:p>
        </w:tc>
        <w:tc>
          <w:tcPr>
            <w:tcW w:w="7178" w:type="dxa"/>
          </w:tcPr>
          <w:p w:rsidR="00432D9A" w:rsidRPr="005E2D77" w:rsidRDefault="00432D9A" w:rsidP="00712AD2">
            <w:pPr>
              <w:rPr>
                <w:sz w:val="20"/>
                <w:szCs w:val="20"/>
              </w:rPr>
            </w:pPr>
            <w:r w:rsidRPr="005E2D77">
              <w:rPr>
                <w:rStyle w:val="SCCSsocChar"/>
              </w:rPr>
              <w:t>Trinity Western University et al. v. Law Society of Upper Canada</w:t>
            </w:r>
            <w:r w:rsidRPr="005E2D77">
              <w:rPr>
                <w:sz w:val="20"/>
                <w:szCs w:val="20"/>
              </w:rPr>
              <w:t xml:space="preserve"> (Ont.) (Civil) (By Leave)</w:t>
            </w:r>
            <w:r>
              <w:rPr>
                <w:sz w:val="20"/>
                <w:szCs w:val="20"/>
              </w:rPr>
              <w:t xml:space="preserve"> </w:t>
            </w:r>
            <w:r w:rsidRPr="00BF67CE">
              <w:rPr>
                <w:sz w:val="20"/>
              </w:rPr>
              <w:t>(</w:t>
            </w:r>
            <w:hyperlink r:id="rId66" w:history="1">
              <w:r w:rsidRPr="00BF67CE">
                <w:rPr>
                  <w:rStyle w:val="Hyperlink"/>
                  <w:sz w:val="20"/>
                </w:rPr>
                <w:t>37</w:t>
              </w:r>
              <w:r>
                <w:rPr>
                  <w:rStyle w:val="Hyperlink"/>
                  <w:sz w:val="20"/>
                </w:rPr>
                <w:t>209</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w:t>
            </w:r>
            <w:r>
              <w:rPr>
                <w:sz w:val="20"/>
                <w:szCs w:val="20"/>
              </w:rPr>
              <w:t>2</w:t>
            </w:r>
            <w:r w:rsidRPr="005E2D77">
              <w:rPr>
                <w:sz w:val="20"/>
                <w:szCs w:val="20"/>
              </w:rPr>
              <w:t>-0</w:t>
            </w:r>
            <w:r>
              <w:rPr>
                <w:sz w:val="20"/>
                <w:szCs w:val="20"/>
              </w:rPr>
              <w:t>1</w:t>
            </w:r>
          </w:p>
        </w:tc>
        <w:tc>
          <w:tcPr>
            <w:tcW w:w="7178" w:type="dxa"/>
          </w:tcPr>
          <w:p w:rsidR="00432D9A" w:rsidRPr="005E2D77" w:rsidRDefault="00432D9A" w:rsidP="00712AD2">
            <w:pPr>
              <w:rPr>
                <w:sz w:val="20"/>
                <w:szCs w:val="20"/>
              </w:rPr>
            </w:pPr>
            <w:r w:rsidRPr="005E2D77">
              <w:rPr>
                <w:rStyle w:val="SCCSsocChar"/>
              </w:rPr>
              <w:t>Law Society of British Columbia v. Trinity Western University et al.</w:t>
            </w:r>
            <w:r w:rsidRPr="005E2D77">
              <w:rPr>
                <w:sz w:val="20"/>
                <w:szCs w:val="20"/>
              </w:rPr>
              <w:t xml:space="preserve"> (B.C.) (Civil) (By Leave)</w:t>
            </w:r>
            <w:r>
              <w:rPr>
                <w:sz w:val="20"/>
                <w:szCs w:val="20"/>
              </w:rPr>
              <w:t xml:space="preserve"> </w:t>
            </w:r>
            <w:r w:rsidRPr="00BF67CE">
              <w:rPr>
                <w:sz w:val="20"/>
              </w:rPr>
              <w:t>(</w:t>
            </w:r>
            <w:hyperlink r:id="rId67" w:history="1">
              <w:r w:rsidRPr="00BF67CE">
                <w:rPr>
                  <w:rStyle w:val="Hyperlink"/>
                  <w:sz w:val="20"/>
                </w:rPr>
                <w:t>37</w:t>
              </w:r>
              <w:r>
                <w:rPr>
                  <w:rStyle w:val="Hyperlink"/>
                  <w:sz w:val="20"/>
                </w:rPr>
                <w:t>318</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2017-12-04</w:t>
            </w:r>
          </w:p>
        </w:tc>
        <w:tc>
          <w:tcPr>
            <w:tcW w:w="7178" w:type="dxa"/>
          </w:tcPr>
          <w:p w:rsidR="00432D9A" w:rsidRPr="005E2D77" w:rsidRDefault="00432D9A" w:rsidP="00712AD2">
            <w:pPr>
              <w:rPr>
                <w:sz w:val="20"/>
                <w:szCs w:val="20"/>
              </w:rPr>
            </w:pPr>
            <w:r w:rsidRPr="005E2D77">
              <w:rPr>
                <w:rStyle w:val="SCCSsocChar"/>
              </w:rPr>
              <w:t>West Fraser Mills Ltd. v. Workers' Compensation Appeal Tribunal et al.</w:t>
            </w:r>
            <w:r w:rsidRPr="005E2D77">
              <w:rPr>
                <w:sz w:val="20"/>
                <w:szCs w:val="20"/>
              </w:rPr>
              <w:t xml:space="preserve"> (B.C.) (Civil) (By Leave)</w:t>
            </w:r>
            <w:r>
              <w:rPr>
                <w:sz w:val="20"/>
                <w:szCs w:val="20"/>
              </w:rPr>
              <w:t xml:space="preserve"> </w:t>
            </w:r>
            <w:r w:rsidRPr="00BF67CE">
              <w:rPr>
                <w:sz w:val="20"/>
              </w:rPr>
              <w:t>(</w:t>
            </w:r>
            <w:hyperlink r:id="rId68" w:history="1">
              <w:r w:rsidRPr="00BF67CE">
                <w:rPr>
                  <w:rStyle w:val="Hyperlink"/>
                  <w:sz w:val="20"/>
                </w:rPr>
                <w:t>374</w:t>
              </w:r>
              <w:r>
                <w:rPr>
                  <w:rStyle w:val="Hyperlink"/>
                  <w:sz w:val="20"/>
                </w:rPr>
                <w:t>23</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2017-12-05</w:t>
            </w:r>
          </w:p>
        </w:tc>
        <w:tc>
          <w:tcPr>
            <w:tcW w:w="7178" w:type="dxa"/>
          </w:tcPr>
          <w:p w:rsidR="00432D9A" w:rsidRPr="005E2D77" w:rsidRDefault="00432D9A" w:rsidP="00712AD2">
            <w:pPr>
              <w:rPr>
                <w:sz w:val="20"/>
                <w:szCs w:val="20"/>
              </w:rPr>
            </w:pPr>
            <w:r w:rsidRPr="005E2D77">
              <w:rPr>
                <w:rStyle w:val="SCCSsocChar"/>
              </w:rPr>
              <w:t>Churchill Falls (Labrador) Corporation Limited v. Hydro-Québec</w:t>
            </w:r>
            <w:r w:rsidRPr="005E2D77">
              <w:rPr>
                <w:sz w:val="20"/>
                <w:szCs w:val="20"/>
              </w:rPr>
              <w:t xml:space="preserve"> (Que.) (Civil) (By Leave)</w:t>
            </w:r>
            <w:r>
              <w:rPr>
                <w:sz w:val="20"/>
                <w:szCs w:val="20"/>
              </w:rPr>
              <w:t xml:space="preserve"> </w:t>
            </w:r>
            <w:r w:rsidRPr="00BF67CE">
              <w:rPr>
                <w:sz w:val="20"/>
              </w:rPr>
              <w:t>(</w:t>
            </w:r>
            <w:hyperlink r:id="rId69" w:history="1">
              <w:r w:rsidRPr="00BF67CE">
                <w:rPr>
                  <w:rStyle w:val="Hyperlink"/>
                  <w:sz w:val="20"/>
                </w:rPr>
                <w:t>37</w:t>
              </w:r>
              <w:r>
                <w:rPr>
                  <w:rStyle w:val="Hyperlink"/>
                  <w:sz w:val="20"/>
                </w:rPr>
                <w:t>238</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rPr>
            </w:pPr>
            <w:r>
              <w:rPr>
                <w:sz w:val="20"/>
              </w:rPr>
              <w:t>2017-12-05</w:t>
            </w:r>
          </w:p>
        </w:tc>
        <w:tc>
          <w:tcPr>
            <w:tcW w:w="7178" w:type="dxa"/>
          </w:tcPr>
          <w:p w:rsidR="00432D9A" w:rsidRPr="00772617" w:rsidRDefault="00432D9A" w:rsidP="00712AD2">
            <w:pPr>
              <w:widowControl w:val="0"/>
              <w:rPr>
                <w:sz w:val="20"/>
                <w:szCs w:val="20"/>
              </w:rPr>
            </w:pPr>
            <w:r w:rsidRPr="00772617">
              <w:rPr>
                <w:i/>
                <w:sz w:val="20"/>
                <w:szCs w:val="20"/>
              </w:rPr>
              <w:t>R.A. v. Her Majesty the Queen</w:t>
            </w:r>
            <w:r w:rsidRPr="00772617">
              <w:rPr>
                <w:sz w:val="20"/>
                <w:szCs w:val="20"/>
              </w:rPr>
              <w:t xml:space="preserve"> (Ont.) (Criminal) (As of Right) (</w:t>
            </w:r>
            <w:hyperlink r:id="rId70" w:history="1">
              <w:r w:rsidRPr="00772617">
                <w:rPr>
                  <w:rStyle w:val="Hyperlink"/>
                  <w:sz w:val="20"/>
                  <w:szCs w:val="20"/>
                </w:rPr>
                <w:t>37757</w:t>
              </w:r>
            </w:hyperlink>
            <w:r w:rsidRPr="00772617">
              <w:rPr>
                <w:sz w:val="20"/>
                <w:szCs w:val="20"/>
              </w:rPr>
              <w:t>)</w:t>
            </w:r>
          </w:p>
          <w:p w:rsidR="00432D9A" w:rsidRPr="00772617" w:rsidRDefault="00432D9A" w:rsidP="00B43899">
            <w:pPr>
              <w:rPr>
                <w:rStyle w:val="SCCSsocChar"/>
                <w:i w:val="0"/>
                <w:lang w:val="en-US"/>
              </w:rPr>
            </w:pPr>
            <w:r>
              <w:rPr>
                <w:rStyle w:val="SCCSsocChar"/>
                <w:lang w:val="en-US"/>
              </w:rPr>
              <w:t>(</w:t>
            </w:r>
            <w:r w:rsidRPr="00772617">
              <w:rPr>
                <w:rStyle w:val="SCCSsocChar"/>
                <w:lang w:val="en-US"/>
              </w:rPr>
              <w:t xml:space="preserve">Oral hearing on motion to quash the appeal / Audition de la </w:t>
            </w:r>
            <w:proofErr w:type="spellStart"/>
            <w:r w:rsidRPr="00772617">
              <w:rPr>
                <w:rStyle w:val="SCCSsocChar"/>
                <w:lang w:val="en-US"/>
              </w:rPr>
              <w:t>requête</w:t>
            </w:r>
            <w:proofErr w:type="spellEnd"/>
            <w:r w:rsidRPr="00772617">
              <w:rPr>
                <w:rStyle w:val="SCCSsocChar"/>
                <w:lang w:val="en-US"/>
              </w:rPr>
              <w:t xml:space="preserve"> </w:t>
            </w:r>
            <w:proofErr w:type="spellStart"/>
            <w:r w:rsidRPr="00772617">
              <w:rPr>
                <w:rStyle w:val="SCCSsocChar"/>
                <w:lang w:val="en-US"/>
              </w:rPr>
              <w:t>en</w:t>
            </w:r>
            <w:proofErr w:type="spellEnd"/>
            <w:r w:rsidRPr="00772617">
              <w:rPr>
                <w:rStyle w:val="SCCSsocChar"/>
                <w:lang w:val="en-US"/>
              </w:rPr>
              <w:t xml:space="preserve"> c</w:t>
            </w:r>
            <w:r w:rsidR="00B43899">
              <w:rPr>
                <w:rStyle w:val="SCCSsocChar"/>
                <w:lang w:val="en-US"/>
              </w:rPr>
              <w:t>a</w:t>
            </w:r>
            <w:r w:rsidRPr="00772617">
              <w:rPr>
                <w:rStyle w:val="SCCSsocChar"/>
                <w:lang w:val="en-US"/>
              </w:rPr>
              <w:t xml:space="preserve">ssation de </w:t>
            </w:r>
            <w:proofErr w:type="spellStart"/>
            <w:r w:rsidRPr="00772617">
              <w:rPr>
                <w:rStyle w:val="SCCSsocChar"/>
                <w:lang w:val="en-US"/>
              </w:rPr>
              <w:t>l’appel</w:t>
            </w:r>
            <w:proofErr w:type="spellEnd"/>
            <w:r w:rsidRPr="00772617">
              <w:rPr>
                <w:rStyle w:val="SCCSsocChar"/>
                <w:lang w:val="en-US"/>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2017-12-06</w:t>
            </w:r>
          </w:p>
        </w:tc>
        <w:tc>
          <w:tcPr>
            <w:tcW w:w="7178" w:type="dxa"/>
          </w:tcPr>
          <w:p w:rsidR="00432D9A" w:rsidRPr="005E2D77" w:rsidRDefault="00432D9A" w:rsidP="00712AD2">
            <w:pPr>
              <w:rPr>
                <w:sz w:val="20"/>
                <w:szCs w:val="20"/>
              </w:rPr>
            </w:pPr>
            <w:r w:rsidRPr="005E2D77">
              <w:rPr>
                <w:rStyle w:val="SCCSsocChar"/>
              </w:rPr>
              <w:t xml:space="preserve">Her Majesty the Queen v. Gerard </w:t>
            </w:r>
            <w:proofErr w:type="spellStart"/>
            <w:r w:rsidRPr="005E2D77">
              <w:rPr>
                <w:rStyle w:val="SCCSsocChar"/>
              </w:rPr>
              <w:t>Comeau</w:t>
            </w:r>
            <w:proofErr w:type="spellEnd"/>
            <w:r w:rsidRPr="005E2D77">
              <w:rPr>
                <w:sz w:val="20"/>
                <w:szCs w:val="20"/>
              </w:rPr>
              <w:t xml:space="preserve"> (N.B.) (Civil) (By Leave)</w:t>
            </w:r>
            <w:r>
              <w:rPr>
                <w:sz w:val="20"/>
                <w:szCs w:val="20"/>
              </w:rPr>
              <w:t xml:space="preserve"> </w:t>
            </w:r>
            <w:r w:rsidRPr="00BF67CE">
              <w:rPr>
                <w:sz w:val="20"/>
              </w:rPr>
              <w:t>(</w:t>
            </w:r>
            <w:hyperlink r:id="rId71" w:history="1">
              <w:r w:rsidRPr="00BF67CE">
                <w:rPr>
                  <w:rStyle w:val="Hyperlink"/>
                  <w:sz w:val="20"/>
                </w:rPr>
                <w:t>37</w:t>
              </w:r>
              <w:r>
                <w:rPr>
                  <w:rStyle w:val="Hyperlink"/>
                  <w:sz w:val="20"/>
                </w:rPr>
                <w:t>398</w:t>
              </w:r>
            </w:hyperlink>
            <w:r w:rsidRPr="00BF67CE">
              <w:rPr>
                <w:sz w:val="20"/>
              </w:rPr>
              <w:t>)</w:t>
            </w:r>
          </w:p>
        </w:tc>
      </w:tr>
      <w:tr w:rsidR="00432D9A" w:rsidRPr="005E2D77" w:rsidTr="00712AD2">
        <w:trPr>
          <w:cantSplit/>
        </w:trPr>
        <w:tc>
          <w:tcPr>
            <w:tcW w:w="2398" w:type="dxa"/>
          </w:tcPr>
          <w:p w:rsidR="00432D9A" w:rsidRPr="005E2D77" w:rsidRDefault="00432D9A" w:rsidP="00712AD2">
            <w:pPr>
              <w:rPr>
                <w:sz w:val="20"/>
                <w:szCs w:val="20"/>
              </w:rPr>
            </w:pPr>
            <w:r w:rsidRPr="005E2D77">
              <w:rPr>
                <w:sz w:val="20"/>
                <w:szCs w:val="20"/>
              </w:rPr>
              <w:t>2017-12-0</w:t>
            </w:r>
            <w:r>
              <w:rPr>
                <w:sz w:val="20"/>
                <w:szCs w:val="20"/>
              </w:rPr>
              <w:t>7</w:t>
            </w:r>
          </w:p>
        </w:tc>
        <w:tc>
          <w:tcPr>
            <w:tcW w:w="7178" w:type="dxa"/>
          </w:tcPr>
          <w:p w:rsidR="00432D9A" w:rsidRPr="005E2D77" w:rsidRDefault="00432D9A" w:rsidP="00712AD2">
            <w:pPr>
              <w:rPr>
                <w:sz w:val="20"/>
                <w:szCs w:val="20"/>
              </w:rPr>
            </w:pPr>
            <w:r w:rsidRPr="005E2D77">
              <w:rPr>
                <w:rStyle w:val="SCCSsocChar"/>
              </w:rPr>
              <w:t xml:space="preserve">Her Majesty the Queen v. Gerard </w:t>
            </w:r>
            <w:proofErr w:type="spellStart"/>
            <w:r w:rsidRPr="005E2D77">
              <w:rPr>
                <w:rStyle w:val="SCCSsocChar"/>
              </w:rPr>
              <w:t>Comeau</w:t>
            </w:r>
            <w:proofErr w:type="spellEnd"/>
            <w:r w:rsidRPr="005E2D77">
              <w:rPr>
                <w:sz w:val="20"/>
                <w:szCs w:val="20"/>
              </w:rPr>
              <w:t xml:space="preserve"> (N.B.) (Civil) (By Leave)</w:t>
            </w:r>
            <w:r>
              <w:rPr>
                <w:sz w:val="20"/>
                <w:szCs w:val="20"/>
              </w:rPr>
              <w:t xml:space="preserve"> </w:t>
            </w:r>
            <w:r w:rsidRPr="00BF67CE">
              <w:rPr>
                <w:sz w:val="20"/>
              </w:rPr>
              <w:t>(</w:t>
            </w:r>
            <w:hyperlink r:id="rId72" w:history="1">
              <w:r w:rsidRPr="00BF67CE">
                <w:rPr>
                  <w:rStyle w:val="Hyperlink"/>
                  <w:sz w:val="20"/>
                </w:rPr>
                <w:t>37</w:t>
              </w:r>
              <w:r>
                <w:rPr>
                  <w:rStyle w:val="Hyperlink"/>
                  <w:sz w:val="20"/>
                </w:rPr>
                <w:t>398</w:t>
              </w:r>
            </w:hyperlink>
            <w:r w:rsidRPr="00BF67CE">
              <w:rPr>
                <w:sz w:val="20"/>
              </w:rPr>
              <w:t>)</w:t>
            </w:r>
          </w:p>
        </w:tc>
      </w:tr>
    </w:tbl>
    <w:p w:rsidR="005F1ED8" w:rsidRDefault="005F1ED8" w:rsidP="004B66B4">
      <w:pPr>
        <w:rPr>
          <w:sz w:val="20"/>
          <w:szCs w:val="20"/>
          <w:lang w:val="fr-CA"/>
        </w:rPr>
      </w:pPr>
    </w:p>
    <w:p w:rsidR="004B66B4" w:rsidRPr="00DD0B49" w:rsidRDefault="00ED1F08" w:rsidP="002868D0">
      <w:pPr>
        <w:jc w:val="both"/>
        <w:rPr>
          <w:sz w:val="20"/>
          <w:szCs w:val="20"/>
        </w:rPr>
      </w:pPr>
      <w:r>
        <w:rPr>
          <w:sz w:val="20"/>
          <w:szCs w:val="20"/>
          <w:lang w:val="fr-CA"/>
        </w:rPr>
        <w:pict>
          <v:rect id="_x0000_i1063"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bookmarkStart w:id="2" w:name="1"/>
    <w:bookmarkEnd w:id="2"/>
    <w:p w:rsidR="009E0AA9" w:rsidRPr="0046222C" w:rsidRDefault="009E0AA9" w:rsidP="009E0AA9">
      <w:pPr>
        <w:widowControl w:val="0"/>
        <w:ind w:left="720" w:hanging="720"/>
        <w:jc w:val="both"/>
        <w:rPr>
          <w:b/>
          <w:sz w:val="20"/>
          <w:szCs w:val="20"/>
        </w:rPr>
      </w:pPr>
      <w:r w:rsidRPr="008243D4">
        <w:rPr>
          <w:b/>
          <w:sz w:val="20"/>
          <w:szCs w:val="20"/>
        </w:rPr>
        <w:fldChar w:fldCharType="begin"/>
      </w:r>
      <w:r w:rsidRPr="008243D4">
        <w:rPr>
          <w:b/>
          <w:sz w:val="20"/>
          <w:szCs w:val="20"/>
        </w:rPr>
        <w:instrText xml:space="preserve"> SEQ CHAPTER \h \r 1</w:instrText>
      </w:r>
      <w:r w:rsidRPr="008243D4">
        <w:rPr>
          <w:b/>
          <w:sz w:val="20"/>
          <w:szCs w:val="20"/>
        </w:rPr>
        <w:fldChar w:fldCharType="end"/>
      </w:r>
      <w:r w:rsidRPr="008243D4">
        <w:rPr>
          <w:b/>
          <w:sz w:val="20"/>
          <w:szCs w:val="20"/>
        </w:rPr>
        <w:t>37416</w:t>
      </w:r>
      <w:r w:rsidRPr="008243D4">
        <w:rPr>
          <w:sz w:val="20"/>
          <w:szCs w:val="20"/>
        </w:rPr>
        <w:tab/>
      </w:r>
      <w:bookmarkStart w:id="3" w:name="3"/>
      <w:bookmarkEnd w:id="3"/>
      <w:r w:rsidRPr="0046222C">
        <w:rPr>
          <w:b/>
          <w:sz w:val="20"/>
          <w:szCs w:val="20"/>
        </w:rPr>
        <w:t xml:space="preserve">Marie-Eve </w:t>
      </w:r>
      <w:proofErr w:type="spellStart"/>
      <w:r w:rsidRPr="0046222C">
        <w:rPr>
          <w:b/>
          <w:sz w:val="20"/>
          <w:szCs w:val="20"/>
        </w:rPr>
        <w:t>Magoon</w:t>
      </w:r>
      <w:proofErr w:type="spellEnd"/>
      <w:r w:rsidRPr="0046222C">
        <w:rPr>
          <w:b/>
          <w:sz w:val="20"/>
          <w:szCs w:val="20"/>
        </w:rPr>
        <w:t xml:space="preserve"> v. Her Majesty the Queen</w:t>
      </w:r>
    </w:p>
    <w:p w:rsidR="009E0AA9" w:rsidRPr="008243D4" w:rsidRDefault="009E0AA9" w:rsidP="009E0AA9">
      <w:pPr>
        <w:widowControl w:val="0"/>
        <w:ind w:left="1440" w:hanging="720"/>
        <w:jc w:val="both"/>
        <w:rPr>
          <w:sz w:val="20"/>
          <w:szCs w:val="20"/>
        </w:rPr>
      </w:pPr>
      <w:r w:rsidRPr="008243D4">
        <w:rPr>
          <w:sz w:val="20"/>
          <w:szCs w:val="20"/>
        </w:rPr>
        <w:t>(Alta.) (Criminal) (As of Right / By Leave)</w:t>
      </w:r>
    </w:p>
    <w:p w:rsidR="009E0AA9" w:rsidRPr="008243D4" w:rsidRDefault="009E0AA9" w:rsidP="009E0AA9">
      <w:pPr>
        <w:widowControl w:val="0"/>
        <w:jc w:val="both"/>
        <w:rPr>
          <w:sz w:val="20"/>
          <w:szCs w:val="20"/>
        </w:rPr>
      </w:pPr>
    </w:p>
    <w:p w:rsidR="009E0AA9" w:rsidRPr="008243D4" w:rsidRDefault="009E0AA9" w:rsidP="009E0AA9">
      <w:pPr>
        <w:widowControl w:val="0"/>
        <w:jc w:val="both"/>
        <w:rPr>
          <w:sz w:val="20"/>
          <w:szCs w:val="20"/>
        </w:rPr>
      </w:pPr>
      <w:r w:rsidRPr="008243D4">
        <w:rPr>
          <w:sz w:val="20"/>
          <w:szCs w:val="20"/>
        </w:rPr>
        <w:t>Criminal law - Appeals - Jurisdiction - Murder - Elements of offence - Constructive first degree murder - Confinement - Evidence - Admissibility - Whether the Court of Appeal had jurisdiction to hear the Crown appeal seeking a conviction for first degree murder - Whether the Court of Appeal erred in entering a first degree murder conviction - Whether the trial judge erred in law in finding the appellant had the necessary intent for murder - Whether the Mr. Big confession evidence was admissible against the appellant.</w:t>
      </w:r>
    </w:p>
    <w:p w:rsidR="009E0AA9" w:rsidRPr="008243D4" w:rsidRDefault="009E0AA9" w:rsidP="009E0AA9">
      <w:pPr>
        <w:widowControl w:val="0"/>
        <w:jc w:val="both"/>
        <w:rPr>
          <w:sz w:val="20"/>
          <w:szCs w:val="20"/>
        </w:rPr>
      </w:pPr>
    </w:p>
    <w:p w:rsidR="009E0AA9" w:rsidRPr="008243D4" w:rsidRDefault="009E0AA9" w:rsidP="009E0AA9">
      <w:pPr>
        <w:widowControl w:val="0"/>
        <w:jc w:val="both"/>
        <w:rPr>
          <w:sz w:val="20"/>
          <w:szCs w:val="20"/>
        </w:rPr>
      </w:pPr>
      <w:r w:rsidRPr="008243D4">
        <w:rPr>
          <w:sz w:val="20"/>
          <w:szCs w:val="20"/>
        </w:rPr>
        <w:t xml:space="preserve">The appellant, Marie-Eve </w:t>
      </w:r>
      <w:proofErr w:type="spellStart"/>
      <w:r w:rsidRPr="008243D4">
        <w:rPr>
          <w:sz w:val="20"/>
          <w:szCs w:val="20"/>
        </w:rPr>
        <w:t>Magoon</w:t>
      </w:r>
      <w:proofErr w:type="spellEnd"/>
      <w:r w:rsidRPr="008243D4">
        <w:rPr>
          <w:sz w:val="20"/>
          <w:szCs w:val="20"/>
        </w:rPr>
        <w:t xml:space="preserve">, and her common-law partner, Spencer Lee Jordan, were charged with first degree murder following the death of Mr. Jordan’s six-year-old daughter, </w:t>
      </w:r>
      <w:proofErr w:type="spellStart"/>
      <w:r w:rsidRPr="008243D4">
        <w:rPr>
          <w:sz w:val="20"/>
          <w:szCs w:val="20"/>
        </w:rPr>
        <w:t>Meika</w:t>
      </w:r>
      <w:proofErr w:type="spellEnd"/>
      <w:r w:rsidRPr="008243D4">
        <w:rPr>
          <w:sz w:val="20"/>
          <w:szCs w:val="20"/>
        </w:rPr>
        <w:t xml:space="preserve"> Jordan. </w:t>
      </w:r>
      <w:proofErr w:type="spellStart"/>
      <w:r w:rsidRPr="008243D4">
        <w:rPr>
          <w:sz w:val="20"/>
          <w:szCs w:val="20"/>
        </w:rPr>
        <w:t>Meika</w:t>
      </w:r>
      <w:proofErr w:type="spellEnd"/>
      <w:r w:rsidRPr="008243D4">
        <w:rPr>
          <w:sz w:val="20"/>
          <w:szCs w:val="20"/>
        </w:rPr>
        <w:t xml:space="preserve"> died in hospital on November 14, 2011 as a result of severe injuries suffered while in the custody of Ms. </w:t>
      </w:r>
      <w:proofErr w:type="spellStart"/>
      <w:r w:rsidRPr="008243D4">
        <w:rPr>
          <w:sz w:val="20"/>
          <w:szCs w:val="20"/>
        </w:rPr>
        <w:t>Magoon</w:t>
      </w:r>
      <w:proofErr w:type="spellEnd"/>
      <w:r w:rsidRPr="008243D4">
        <w:rPr>
          <w:sz w:val="20"/>
          <w:szCs w:val="20"/>
        </w:rPr>
        <w:t xml:space="preserve"> and Mr. Jordan, which included a laceration to her pancreas, a tear of the liver, a subdural hematoma and cerebral swelling resulting from at least five serious blows to the head, extensive bruising all over her body, matted and broken hair with clumps missing, and a significant burn on her hand. At trial, inculpatory evidence led by the Crown included statements made by Mr. Jordan and Ms. </w:t>
      </w:r>
      <w:proofErr w:type="spellStart"/>
      <w:r w:rsidRPr="008243D4">
        <w:rPr>
          <w:sz w:val="20"/>
          <w:szCs w:val="20"/>
        </w:rPr>
        <w:t>Magoon</w:t>
      </w:r>
      <w:proofErr w:type="spellEnd"/>
      <w:r w:rsidRPr="008243D4">
        <w:rPr>
          <w:sz w:val="20"/>
          <w:szCs w:val="20"/>
        </w:rPr>
        <w:t xml:space="preserve"> during a “Mr. Big” operation. The accused were found guilty of second degree murder. The Crown appealed, seeking first degree murder convictions. Both accused also appealed their convictions. The Court of Appeal dismissed the appeals by the accused and allowed the Crown’s appeal, entering verdicts of first degree murder for both accused.</w:t>
      </w:r>
    </w:p>
    <w:p w:rsidR="003E0AE6" w:rsidRPr="009E0AA9" w:rsidRDefault="003E0AE6" w:rsidP="00C01FCB">
      <w:pPr>
        <w:tabs>
          <w:tab w:val="left" w:pos="-1440"/>
          <w:tab w:val="left" w:pos="-720"/>
        </w:tabs>
        <w:ind w:left="720" w:hanging="720"/>
        <w:jc w:val="both"/>
        <w:rPr>
          <w:sz w:val="20"/>
          <w:szCs w:val="20"/>
          <w:lang w:val="en-US"/>
        </w:rPr>
      </w:pPr>
    </w:p>
    <w:p w:rsidR="000B3C9A" w:rsidRPr="005F1ED8" w:rsidRDefault="00ED1F08" w:rsidP="00C01FCB">
      <w:pPr>
        <w:tabs>
          <w:tab w:val="left" w:pos="-1440"/>
          <w:tab w:val="left" w:pos="-720"/>
        </w:tabs>
        <w:ind w:left="720" w:hanging="720"/>
        <w:jc w:val="both"/>
        <w:rPr>
          <w:sz w:val="20"/>
          <w:szCs w:val="20"/>
        </w:rPr>
      </w:pPr>
      <w:r>
        <w:rPr>
          <w:sz w:val="20"/>
          <w:szCs w:val="20"/>
          <w:lang w:val="fr-CA"/>
        </w:rPr>
        <w:pict>
          <v:rect id="_x0000_i1066"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lang w:val="fr-CA"/>
        </w:rPr>
      </w:pPr>
    </w:p>
    <w:p w:rsidR="00044C59" w:rsidRDefault="00044C59" w:rsidP="000B3C9A">
      <w:pPr>
        <w:tabs>
          <w:tab w:val="left" w:pos="-1440"/>
          <w:tab w:val="left" w:pos="-720"/>
        </w:tabs>
        <w:ind w:left="720" w:hanging="720"/>
        <w:jc w:val="both"/>
        <w:rPr>
          <w:sz w:val="20"/>
          <w:szCs w:val="20"/>
          <w:lang w:val="fr-CA"/>
        </w:rPr>
      </w:pPr>
    </w:p>
    <w:p w:rsidR="00044C59" w:rsidRPr="00F01AC5" w:rsidRDefault="00044C59" w:rsidP="00044C59">
      <w:pPr>
        <w:widowControl w:val="0"/>
        <w:ind w:left="720" w:hanging="720"/>
        <w:jc w:val="both"/>
        <w:rPr>
          <w:b/>
          <w:i/>
          <w:sz w:val="20"/>
          <w:szCs w:val="20"/>
          <w:lang w:val="fr-CA"/>
        </w:rPr>
      </w:pPr>
      <w:r w:rsidRPr="00F01AC5">
        <w:rPr>
          <w:b/>
          <w:sz w:val="20"/>
          <w:szCs w:val="20"/>
        </w:rPr>
        <w:fldChar w:fldCharType="begin"/>
      </w:r>
      <w:r w:rsidRPr="00F01AC5">
        <w:rPr>
          <w:b/>
          <w:sz w:val="20"/>
          <w:szCs w:val="20"/>
          <w:lang w:val="fr-CA"/>
        </w:rPr>
        <w:instrText xml:space="preserve"> SEQ CHAPTER \h \r 1</w:instrText>
      </w:r>
      <w:r w:rsidRPr="00F01AC5">
        <w:rPr>
          <w:b/>
          <w:sz w:val="20"/>
          <w:szCs w:val="20"/>
        </w:rPr>
        <w:fldChar w:fldCharType="end"/>
      </w:r>
      <w:r w:rsidRPr="00F01AC5">
        <w:rPr>
          <w:b/>
          <w:sz w:val="20"/>
          <w:szCs w:val="20"/>
          <w:lang w:val="fr-CA"/>
        </w:rPr>
        <w:t>37416</w:t>
      </w:r>
      <w:r w:rsidRPr="00F01AC5">
        <w:rPr>
          <w:sz w:val="20"/>
          <w:szCs w:val="20"/>
          <w:lang w:val="fr-CA"/>
        </w:rPr>
        <w:tab/>
      </w:r>
      <w:r w:rsidRPr="00B97421">
        <w:rPr>
          <w:b/>
          <w:sz w:val="20"/>
          <w:szCs w:val="20"/>
          <w:lang w:val="fr-CA"/>
        </w:rPr>
        <w:t>Marie-</w:t>
      </w:r>
      <w:proofErr w:type="spellStart"/>
      <w:r w:rsidRPr="00B97421">
        <w:rPr>
          <w:b/>
          <w:sz w:val="20"/>
          <w:szCs w:val="20"/>
          <w:lang w:val="fr-CA"/>
        </w:rPr>
        <w:t>Eve</w:t>
      </w:r>
      <w:proofErr w:type="spellEnd"/>
      <w:r w:rsidRPr="00B97421">
        <w:rPr>
          <w:b/>
          <w:sz w:val="20"/>
          <w:szCs w:val="20"/>
          <w:lang w:val="fr-CA"/>
        </w:rPr>
        <w:t xml:space="preserve"> </w:t>
      </w:r>
      <w:proofErr w:type="spellStart"/>
      <w:r w:rsidRPr="00B97421">
        <w:rPr>
          <w:b/>
          <w:sz w:val="20"/>
          <w:szCs w:val="20"/>
          <w:lang w:val="fr-CA"/>
        </w:rPr>
        <w:t>Magoon</w:t>
      </w:r>
      <w:proofErr w:type="spellEnd"/>
      <w:r w:rsidRPr="00B97421">
        <w:rPr>
          <w:b/>
          <w:sz w:val="20"/>
          <w:szCs w:val="20"/>
          <w:lang w:val="fr-CA"/>
        </w:rPr>
        <w:t xml:space="preserve"> c. Sa Majesté la Reine</w:t>
      </w:r>
    </w:p>
    <w:p w:rsidR="00044C59" w:rsidRPr="00F01AC5" w:rsidRDefault="00044C59" w:rsidP="00044C59">
      <w:pPr>
        <w:widowControl w:val="0"/>
        <w:ind w:left="1440" w:hanging="720"/>
        <w:jc w:val="both"/>
        <w:rPr>
          <w:sz w:val="20"/>
          <w:szCs w:val="20"/>
          <w:lang w:val="fr-CA"/>
        </w:rPr>
      </w:pPr>
      <w:r w:rsidRPr="00F01AC5">
        <w:rPr>
          <w:sz w:val="20"/>
          <w:szCs w:val="20"/>
          <w:lang w:val="fr-CA"/>
        </w:rPr>
        <w:t>(Alb.) (Criminelle) (De plein droit / Sur autorisation)</w:t>
      </w:r>
    </w:p>
    <w:p w:rsidR="00044C59" w:rsidRPr="00F01AC5" w:rsidRDefault="00044C59" w:rsidP="00044C59">
      <w:pPr>
        <w:widowControl w:val="0"/>
        <w:jc w:val="both"/>
        <w:rPr>
          <w:sz w:val="20"/>
          <w:szCs w:val="20"/>
          <w:lang w:val="fr-CA"/>
        </w:rPr>
      </w:pPr>
    </w:p>
    <w:p w:rsidR="00044C59" w:rsidRPr="00F01AC5" w:rsidRDefault="00044C59" w:rsidP="00044C59">
      <w:pPr>
        <w:widowControl w:val="0"/>
        <w:jc w:val="both"/>
        <w:rPr>
          <w:sz w:val="20"/>
          <w:szCs w:val="20"/>
          <w:lang w:val="fr-CA"/>
        </w:rPr>
      </w:pPr>
      <w:r w:rsidRPr="00F01AC5">
        <w:rPr>
          <w:sz w:val="20"/>
          <w:szCs w:val="20"/>
          <w:lang w:val="fr-CA"/>
        </w:rPr>
        <w:t xml:space="preserve">Droit criminel - Appels - Compétence - Meurtre - Éléments de l’infraction - Meurtre au premier degré par imputation - Séquestration - Preuve - Admissibilité - La Cour d’appel avait-elle compétence pour instruire l’appel du ministère public, qui voulait obtenir une déclaration de meurtre au premier degré? - La Cour d’appel a-t-elle commis une erreur en inscrivant une déclaration de culpabilité pour meurtre au premier degré? - La juge du procès a-t-elle commis une erreur de droit en concluant que l’appelante avait l’intention requise à l’égard de l’infraction de meurtre? - La preuve sous forme d’aveu issu d’une opération « Monsieur </w:t>
      </w:r>
      <w:proofErr w:type="spellStart"/>
      <w:r w:rsidRPr="00F01AC5">
        <w:rPr>
          <w:sz w:val="20"/>
          <w:szCs w:val="20"/>
          <w:lang w:val="fr-CA"/>
        </w:rPr>
        <w:t>Big</w:t>
      </w:r>
      <w:proofErr w:type="spellEnd"/>
      <w:r w:rsidRPr="00F01AC5">
        <w:rPr>
          <w:sz w:val="20"/>
          <w:szCs w:val="20"/>
          <w:lang w:val="fr-CA"/>
        </w:rPr>
        <w:t> » était-elle admissible contre l’appelante?</w:t>
      </w:r>
    </w:p>
    <w:p w:rsidR="00044C59" w:rsidRPr="00F01AC5" w:rsidRDefault="00044C59" w:rsidP="00044C59">
      <w:pPr>
        <w:widowControl w:val="0"/>
        <w:jc w:val="both"/>
        <w:rPr>
          <w:sz w:val="20"/>
          <w:szCs w:val="20"/>
          <w:lang w:val="fr-CA"/>
        </w:rPr>
      </w:pPr>
    </w:p>
    <w:p w:rsidR="00044C59" w:rsidRPr="00F01AC5" w:rsidRDefault="00044C59" w:rsidP="00044C59">
      <w:pPr>
        <w:widowControl w:val="0"/>
        <w:jc w:val="both"/>
        <w:rPr>
          <w:sz w:val="20"/>
          <w:szCs w:val="20"/>
          <w:lang w:val="fr-CA"/>
        </w:rPr>
      </w:pPr>
      <w:r w:rsidRPr="00F01AC5">
        <w:rPr>
          <w:sz w:val="20"/>
          <w:szCs w:val="20"/>
          <w:lang w:val="fr-CA"/>
        </w:rPr>
        <w:t>L’appelante, Marie-</w:t>
      </w:r>
      <w:proofErr w:type="spellStart"/>
      <w:r w:rsidRPr="00F01AC5">
        <w:rPr>
          <w:sz w:val="20"/>
          <w:szCs w:val="20"/>
          <w:lang w:val="fr-CA"/>
        </w:rPr>
        <w:t>Eve</w:t>
      </w:r>
      <w:proofErr w:type="spellEnd"/>
      <w:r w:rsidRPr="00F01AC5">
        <w:rPr>
          <w:sz w:val="20"/>
          <w:szCs w:val="20"/>
          <w:lang w:val="fr-CA"/>
        </w:rPr>
        <w:t xml:space="preserve"> </w:t>
      </w:r>
      <w:proofErr w:type="spellStart"/>
      <w:r w:rsidRPr="00F01AC5">
        <w:rPr>
          <w:sz w:val="20"/>
          <w:szCs w:val="20"/>
          <w:lang w:val="fr-CA"/>
        </w:rPr>
        <w:t>Magoon</w:t>
      </w:r>
      <w:proofErr w:type="spellEnd"/>
      <w:r w:rsidRPr="00F01AC5">
        <w:rPr>
          <w:sz w:val="20"/>
          <w:szCs w:val="20"/>
          <w:lang w:val="fr-CA"/>
        </w:rPr>
        <w:t xml:space="preserve">, et son conjoint de fait, Spencer Lee Jordan, ont été accusés de meurtre au premier degré à la suite de la mort de la fille de M. Jordan âgée de 6 ans, </w:t>
      </w:r>
      <w:proofErr w:type="spellStart"/>
      <w:r w:rsidRPr="00F01AC5">
        <w:rPr>
          <w:sz w:val="20"/>
          <w:szCs w:val="20"/>
          <w:lang w:val="fr-CA"/>
        </w:rPr>
        <w:t>Meika</w:t>
      </w:r>
      <w:proofErr w:type="spellEnd"/>
      <w:r w:rsidRPr="00F01AC5">
        <w:rPr>
          <w:sz w:val="20"/>
          <w:szCs w:val="20"/>
          <w:lang w:val="fr-CA"/>
        </w:rPr>
        <w:t xml:space="preserve"> Jordan. Cette dernière est décédée à l’hôpital le 14 novembre 2011 des suites de blessures graves subies alors qu’elle était sous la garde de Mme </w:t>
      </w:r>
      <w:proofErr w:type="spellStart"/>
      <w:r w:rsidRPr="00F01AC5">
        <w:rPr>
          <w:sz w:val="20"/>
          <w:szCs w:val="20"/>
          <w:lang w:val="fr-CA"/>
        </w:rPr>
        <w:t>Magoon</w:t>
      </w:r>
      <w:proofErr w:type="spellEnd"/>
      <w:r w:rsidRPr="00F01AC5">
        <w:rPr>
          <w:sz w:val="20"/>
          <w:szCs w:val="20"/>
          <w:lang w:val="fr-CA"/>
        </w:rPr>
        <w:t xml:space="preserve"> et de M. Jordan, notamment une lacération au pancréas, une déchirure du foie, un hématome sous-dural et un œdème cérébral qu’ont entraîné au moins cinq coups violents à la tête, de nombreuses ecchymoses sur tout le corps, des cheveux emmêlés et cassés, dont certaines touffes manquaient, ainsi qu’une brûlure importante à la main. Au procès, la preuve incriminante présentée par le ministère public comprenait des déclarations faites par M. Jordan et Mme </w:t>
      </w:r>
      <w:proofErr w:type="spellStart"/>
      <w:r w:rsidRPr="00F01AC5">
        <w:rPr>
          <w:sz w:val="20"/>
          <w:szCs w:val="20"/>
          <w:lang w:val="fr-CA"/>
        </w:rPr>
        <w:t>Magoon</w:t>
      </w:r>
      <w:proofErr w:type="spellEnd"/>
      <w:r w:rsidRPr="00F01AC5">
        <w:rPr>
          <w:sz w:val="20"/>
          <w:szCs w:val="20"/>
          <w:lang w:val="fr-CA"/>
        </w:rPr>
        <w:t xml:space="preserve"> au cours d’une opération « Monsieur </w:t>
      </w:r>
      <w:proofErr w:type="spellStart"/>
      <w:r w:rsidRPr="00F01AC5">
        <w:rPr>
          <w:sz w:val="20"/>
          <w:szCs w:val="20"/>
          <w:lang w:val="fr-CA"/>
        </w:rPr>
        <w:t>Big</w:t>
      </w:r>
      <w:proofErr w:type="spellEnd"/>
      <w:r w:rsidRPr="00F01AC5">
        <w:rPr>
          <w:sz w:val="20"/>
          <w:szCs w:val="20"/>
          <w:lang w:val="fr-CA"/>
        </w:rPr>
        <w:t> ». Les accusés ont été déclarés coupables de meurtre au deuxième degré. Le ministère public a interjeté appel, sollicitant des déclarations de culpabilité pour meurtre au premier degré. Les deux accusés ont également interjeté appel de leurs déclarations de culpabilité. La Cour d’appel a rejeté les appels interjetés par les accusés et a accueilli l’appel du ministère public, inscrivant des verdicts de meurtre au premier degré à l’égard des deux accusés.</w:t>
      </w:r>
    </w:p>
    <w:p w:rsidR="00044C59" w:rsidRDefault="00044C59" w:rsidP="000B3C9A">
      <w:pPr>
        <w:tabs>
          <w:tab w:val="left" w:pos="-1440"/>
          <w:tab w:val="left" w:pos="-720"/>
        </w:tabs>
        <w:ind w:left="720" w:hanging="720"/>
        <w:jc w:val="both"/>
        <w:rPr>
          <w:sz w:val="20"/>
          <w:szCs w:val="20"/>
          <w:lang w:val="fr-CA"/>
        </w:rPr>
      </w:pPr>
    </w:p>
    <w:p w:rsidR="00044C59" w:rsidRPr="00DD0B49" w:rsidRDefault="00ED1F08" w:rsidP="000B3C9A">
      <w:pPr>
        <w:tabs>
          <w:tab w:val="left" w:pos="-1440"/>
          <w:tab w:val="left" w:pos="-720"/>
        </w:tabs>
        <w:ind w:left="720" w:hanging="720"/>
        <w:jc w:val="both"/>
        <w:rPr>
          <w:sz w:val="20"/>
          <w:szCs w:val="20"/>
          <w:lang w:val="fr-CA"/>
        </w:rPr>
      </w:pPr>
      <w:r>
        <w:rPr>
          <w:sz w:val="20"/>
          <w:szCs w:val="20"/>
          <w:lang w:val="fr-CA"/>
        </w:rPr>
        <w:pict>
          <v:rect id="_x0000_i1067" style="width:2in;height:1pt" o:hrpct="0" o:hralign="center" o:hrstd="t" o:hrnoshade="t" o:hr="t" fillcolor="black [3213]" stroked="f"/>
        </w:pict>
      </w:r>
    </w:p>
    <w:p w:rsidR="00044C59" w:rsidRDefault="00044C59" w:rsidP="000B3C9A">
      <w:pPr>
        <w:tabs>
          <w:tab w:val="left" w:pos="-1440"/>
          <w:tab w:val="left" w:pos="-720"/>
        </w:tabs>
        <w:ind w:left="720" w:hanging="720"/>
        <w:jc w:val="both"/>
        <w:rPr>
          <w:lang w:val="fr-CA"/>
        </w:rPr>
      </w:pPr>
    </w:p>
    <w:p w:rsidR="000B3C9A" w:rsidRDefault="000B3C9A" w:rsidP="000B3C9A">
      <w:pPr>
        <w:tabs>
          <w:tab w:val="left" w:pos="-1440"/>
          <w:tab w:val="left" w:pos="-720"/>
        </w:tabs>
        <w:ind w:left="720" w:hanging="720"/>
        <w:jc w:val="both"/>
        <w:rPr>
          <w:lang w:val="fr-CA"/>
        </w:rPr>
      </w:pPr>
      <w:r>
        <w:rPr>
          <w:lang w:val="fr-CA"/>
        </w:rPr>
        <w:br w:type="page"/>
      </w:r>
    </w:p>
    <w:p w:rsidR="00044C59" w:rsidRPr="001D6499" w:rsidRDefault="00044C59" w:rsidP="00044C59">
      <w:pPr>
        <w:widowControl w:val="0"/>
        <w:ind w:left="720" w:hanging="720"/>
        <w:jc w:val="both"/>
        <w:rPr>
          <w:b/>
          <w:i/>
          <w:sz w:val="20"/>
          <w:szCs w:val="20"/>
        </w:rPr>
      </w:pPr>
      <w:r w:rsidRPr="001D6499">
        <w:rPr>
          <w:b/>
          <w:sz w:val="20"/>
          <w:szCs w:val="20"/>
        </w:rPr>
        <w:lastRenderedPageBreak/>
        <w:fldChar w:fldCharType="begin"/>
      </w:r>
      <w:r w:rsidRPr="001D6499">
        <w:rPr>
          <w:b/>
          <w:sz w:val="20"/>
          <w:szCs w:val="20"/>
        </w:rPr>
        <w:instrText xml:space="preserve"> SEQ CHAPTER \h \r 1</w:instrText>
      </w:r>
      <w:r w:rsidRPr="001D6499">
        <w:rPr>
          <w:b/>
          <w:sz w:val="20"/>
          <w:szCs w:val="20"/>
        </w:rPr>
        <w:fldChar w:fldCharType="end"/>
      </w:r>
      <w:r w:rsidRPr="001D6499">
        <w:rPr>
          <w:b/>
          <w:sz w:val="20"/>
          <w:szCs w:val="20"/>
        </w:rPr>
        <w:t>37479</w:t>
      </w:r>
      <w:r w:rsidRPr="001D6499">
        <w:rPr>
          <w:sz w:val="20"/>
          <w:szCs w:val="20"/>
        </w:rPr>
        <w:tab/>
      </w:r>
      <w:r w:rsidRPr="0046222C">
        <w:rPr>
          <w:b/>
          <w:sz w:val="20"/>
          <w:szCs w:val="20"/>
        </w:rPr>
        <w:t>Spencer Lee Jordan v. Her Majesty the Queen</w:t>
      </w:r>
    </w:p>
    <w:p w:rsidR="00044C59" w:rsidRPr="001D6499" w:rsidRDefault="00044C59" w:rsidP="00044C59">
      <w:pPr>
        <w:widowControl w:val="0"/>
        <w:ind w:left="1440" w:hanging="720"/>
        <w:jc w:val="both"/>
        <w:rPr>
          <w:sz w:val="20"/>
          <w:szCs w:val="20"/>
        </w:rPr>
      </w:pPr>
      <w:r w:rsidRPr="001D6499">
        <w:rPr>
          <w:sz w:val="20"/>
          <w:szCs w:val="20"/>
        </w:rPr>
        <w:t>(Alta.) (Criminal) (As of Right / By Leave)</w:t>
      </w:r>
    </w:p>
    <w:p w:rsidR="00044C59" w:rsidRPr="001D6499" w:rsidRDefault="00044C59" w:rsidP="00044C59">
      <w:pPr>
        <w:widowControl w:val="0"/>
        <w:jc w:val="both"/>
        <w:rPr>
          <w:sz w:val="20"/>
          <w:szCs w:val="20"/>
        </w:rPr>
      </w:pPr>
    </w:p>
    <w:p w:rsidR="00044C59" w:rsidRPr="001D6499" w:rsidRDefault="00044C59" w:rsidP="00044C59">
      <w:pPr>
        <w:widowControl w:val="0"/>
        <w:jc w:val="both"/>
        <w:rPr>
          <w:sz w:val="20"/>
          <w:szCs w:val="20"/>
        </w:rPr>
      </w:pPr>
      <w:r w:rsidRPr="001D6499">
        <w:rPr>
          <w:sz w:val="20"/>
          <w:szCs w:val="20"/>
        </w:rPr>
        <w:t xml:space="preserve">Criminal law - Murder - Elements of offence - Parties to offence - Constructive first degree murder - Confinement - Whether common sense inference can be utilized to find accused had requisite </w:t>
      </w:r>
      <w:proofErr w:type="spellStart"/>
      <w:r w:rsidRPr="001D6499">
        <w:rPr>
          <w:i/>
          <w:sz w:val="20"/>
          <w:szCs w:val="20"/>
        </w:rPr>
        <w:t>mens</w:t>
      </w:r>
      <w:proofErr w:type="spellEnd"/>
      <w:r w:rsidRPr="001D6499">
        <w:rPr>
          <w:i/>
          <w:sz w:val="20"/>
          <w:szCs w:val="20"/>
        </w:rPr>
        <w:t xml:space="preserve"> rea</w:t>
      </w:r>
      <w:r w:rsidRPr="001D6499">
        <w:rPr>
          <w:sz w:val="20"/>
          <w:szCs w:val="20"/>
        </w:rPr>
        <w:t xml:space="preserve"> for murder under s. 229(a)(ii) of the </w:t>
      </w:r>
      <w:r w:rsidRPr="001D6499">
        <w:rPr>
          <w:i/>
          <w:sz w:val="20"/>
          <w:szCs w:val="20"/>
        </w:rPr>
        <w:t>Criminal Code</w:t>
      </w:r>
      <w:r w:rsidRPr="001D6499">
        <w:rPr>
          <w:sz w:val="20"/>
          <w:szCs w:val="20"/>
        </w:rPr>
        <w:t>, R.S.C. 1985, c. C-42, when trier of fact made specific findings of fact and ruled that requisite intent under s. 229(a)(</w:t>
      </w:r>
      <w:proofErr w:type="spellStart"/>
      <w:r w:rsidRPr="001D6499">
        <w:rPr>
          <w:sz w:val="20"/>
          <w:szCs w:val="20"/>
        </w:rPr>
        <w:t>i</w:t>
      </w:r>
      <w:proofErr w:type="spellEnd"/>
      <w:r w:rsidRPr="001D6499">
        <w:rPr>
          <w:sz w:val="20"/>
          <w:szCs w:val="20"/>
        </w:rPr>
        <w:t xml:space="preserve">) did not exist - Whether, once trial judge determines there is no factual causation, she can jettison causation analysis of co-accused individually and proceed directly to considering parties to offence under s. 21 of </w:t>
      </w:r>
      <w:r w:rsidRPr="001D6499">
        <w:rPr>
          <w:i/>
          <w:sz w:val="20"/>
          <w:szCs w:val="20"/>
        </w:rPr>
        <w:t>Criminal Code</w:t>
      </w:r>
      <w:r w:rsidRPr="001D6499">
        <w:rPr>
          <w:sz w:val="20"/>
          <w:szCs w:val="20"/>
        </w:rPr>
        <w:t xml:space="preserve"> - What is degree and scope of knowledge that must be proven by Crown to impose criminal liability for first or second degree murder when evidence does not factually support inference that two parents acted in concert resulting in death of child in their home by way of assault - What is proper legal test to be a party to an offence under s. 21(1)(a) of </w:t>
      </w:r>
      <w:r w:rsidRPr="001D6499">
        <w:rPr>
          <w:i/>
          <w:sz w:val="20"/>
          <w:szCs w:val="20"/>
        </w:rPr>
        <w:t>Criminal Code</w:t>
      </w:r>
      <w:r w:rsidRPr="001D6499">
        <w:rPr>
          <w:sz w:val="20"/>
          <w:szCs w:val="20"/>
        </w:rPr>
        <w:t xml:space="preserve"> - Whether s. 231(5) of </w:t>
      </w:r>
      <w:r w:rsidRPr="001D6499">
        <w:rPr>
          <w:i/>
          <w:sz w:val="20"/>
          <w:szCs w:val="20"/>
        </w:rPr>
        <w:t>Criminal Code</w:t>
      </w:r>
      <w:r w:rsidRPr="001D6499">
        <w:rPr>
          <w:sz w:val="20"/>
          <w:szCs w:val="20"/>
        </w:rPr>
        <w:t xml:space="preserve"> was available at trial or on appeal.</w:t>
      </w:r>
    </w:p>
    <w:p w:rsidR="00044C59" w:rsidRPr="001D6499" w:rsidRDefault="00044C59" w:rsidP="00044C59">
      <w:pPr>
        <w:widowControl w:val="0"/>
        <w:jc w:val="both"/>
        <w:rPr>
          <w:sz w:val="20"/>
          <w:szCs w:val="20"/>
        </w:rPr>
      </w:pPr>
    </w:p>
    <w:p w:rsidR="00044C59" w:rsidRDefault="00044C59" w:rsidP="00044C59">
      <w:pPr>
        <w:widowControl w:val="0"/>
        <w:jc w:val="both"/>
        <w:rPr>
          <w:sz w:val="20"/>
          <w:szCs w:val="20"/>
        </w:rPr>
      </w:pPr>
      <w:r w:rsidRPr="001D6499">
        <w:rPr>
          <w:sz w:val="20"/>
          <w:szCs w:val="20"/>
        </w:rPr>
        <w:t xml:space="preserve">The appellant, Spencer Lee Jordan, and his common-law partner, Marie Eve </w:t>
      </w:r>
      <w:proofErr w:type="spellStart"/>
      <w:r w:rsidRPr="001D6499">
        <w:rPr>
          <w:sz w:val="20"/>
          <w:szCs w:val="20"/>
        </w:rPr>
        <w:t>Magoon</w:t>
      </w:r>
      <w:proofErr w:type="spellEnd"/>
      <w:r w:rsidRPr="001D6499">
        <w:rPr>
          <w:sz w:val="20"/>
          <w:szCs w:val="20"/>
        </w:rPr>
        <w:t xml:space="preserve">, were charged with first degree murder following the death of Mr. Jordan’s six-year-old daughter, </w:t>
      </w:r>
      <w:proofErr w:type="spellStart"/>
      <w:r w:rsidRPr="001D6499">
        <w:rPr>
          <w:sz w:val="20"/>
          <w:szCs w:val="20"/>
        </w:rPr>
        <w:t>Meika</w:t>
      </w:r>
      <w:proofErr w:type="spellEnd"/>
      <w:r w:rsidRPr="001D6499">
        <w:rPr>
          <w:sz w:val="20"/>
          <w:szCs w:val="20"/>
        </w:rPr>
        <w:t xml:space="preserve"> Jordan. </w:t>
      </w:r>
      <w:proofErr w:type="spellStart"/>
      <w:r w:rsidRPr="001D6499">
        <w:rPr>
          <w:sz w:val="20"/>
          <w:szCs w:val="20"/>
        </w:rPr>
        <w:t>Meika</w:t>
      </w:r>
      <w:proofErr w:type="spellEnd"/>
      <w:r w:rsidRPr="001D6499">
        <w:rPr>
          <w:sz w:val="20"/>
          <w:szCs w:val="20"/>
        </w:rPr>
        <w:t xml:space="preserve"> died in hospital on November 14, 2011 as a result of severe injuries suffered while in the custody of Ms. </w:t>
      </w:r>
      <w:proofErr w:type="spellStart"/>
      <w:r w:rsidRPr="001D6499">
        <w:rPr>
          <w:sz w:val="20"/>
          <w:szCs w:val="20"/>
        </w:rPr>
        <w:t>Magoon</w:t>
      </w:r>
      <w:proofErr w:type="spellEnd"/>
      <w:r w:rsidRPr="001D6499">
        <w:rPr>
          <w:sz w:val="20"/>
          <w:szCs w:val="20"/>
        </w:rPr>
        <w:t xml:space="preserve"> and Mr. Jordan, which included a laceration to her pancreas, a tear of the liver, a subdural hematoma and cerebral swelling resulting from at least five serious blows to the head, extensive bruising all over her body, matted and broken hair with clumps missing, and a significant burn on her hand. At trial, inculpatory evidence led by the Crown included statements made by Mr. Jordan and Ms. </w:t>
      </w:r>
      <w:proofErr w:type="spellStart"/>
      <w:r w:rsidRPr="001D6499">
        <w:rPr>
          <w:sz w:val="20"/>
          <w:szCs w:val="20"/>
        </w:rPr>
        <w:t>Magoon</w:t>
      </w:r>
      <w:proofErr w:type="spellEnd"/>
      <w:r w:rsidRPr="001D6499">
        <w:rPr>
          <w:sz w:val="20"/>
          <w:szCs w:val="20"/>
        </w:rPr>
        <w:t xml:space="preserve"> during a “Mr. Big” operation. The accused were found guilty of second degree murder. The Crown appealed, seeking first degree murder convictions. Both accused also appealed their convictions. The Court of Appeal dismissed the appeals by the accused and allowed the Crown’s appeal, entering verdicts of first degree murder for both accused.</w:t>
      </w:r>
    </w:p>
    <w:p w:rsidR="00044C59" w:rsidRPr="001D6499" w:rsidRDefault="00044C59" w:rsidP="00044C59">
      <w:pPr>
        <w:widowControl w:val="0"/>
        <w:jc w:val="both"/>
        <w:rPr>
          <w:sz w:val="20"/>
          <w:szCs w:val="20"/>
        </w:rPr>
      </w:pPr>
    </w:p>
    <w:p w:rsidR="00C01FCB" w:rsidRPr="00044C59" w:rsidRDefault="00ED1F08" w:rsidP="00C01FCB">
      <w:pPr>
        <w:widowControl w:val="0"/>
        <w:rPr>
          <w:b/>
          <w:sz w:val="20"/>
          <w:szCs w:val="20"/>
        </w:rPr>
      </w:pPr>
      <w:r>
        <w:rPr>
          <w:sz w:val="20"/>
          <w:szCs w:val="20"/>
          <w:lang w:val="fr-CA"/>
        </w:rPr>
        <w:pict>
          <v:rect id="_x0000_i1068" style="width:2in;height:1pt" o:hrpct="0" o:hralign="center" o:hrstd="t" o:hrnoshade="t" o:hr="t" fillcolor="black [3213]" stroked="f"/>
        </w:pict>
      </w:r>
    </w:p>
    <w:p w:rsidR="003E0AE6" w:rsidRPr="00044C59" w:rsidRDefault="003E0AE6" w:rsidP="00C01FCB">
      <w:pPr>
        <w:widowControl w:val="0"/>
        <w:rPr>
          <w:b/>
          <w:sz w:val="20"/>
          <w:szCs w:val="20"/>
          <w:lang w:val="en-US"/>
        </w:rPr>
      </w:pPr>
    </w:p>
    <w:p w:rsidR="00044C59" w:rsidRPr="0084125D" w:rsidRDefault="00044C59" w:rsidP="00044C59">
      <w:pPr>
        <w:widowControl w:val="0"/>
        <w:ind w:left="720" w:hanging="720"/>
        <w:jc w:val="both"/>
        <w:rPr>
          <w:b/>
          <w:i/>
          <w:sz w:val="20"/>
          <w:szCs w:val="20"/>
          <w:lang w:val="fr-CA"/>
        </w:rPr>
      </w:pPr>
      <w:r w:rsidRPr="0084125D">
        <w:rPr>
          <w:b/>
          <w:sz w:val="20"/>
          <w:szCs w:val="20"/>
          <w:lang w:val="fr-CA"/>
        </w:rPr>
        <w:fldChar w:fldCharType="begin"/>
      </w:r>
      <w:r w:rsidRPr="0084125D">
        <w:rPr>
          <w:b/>
          <w:sz w:val="20"/>
          <w:szCs w:val="20"/>
          <w:lang w:val="fr-CA"/>
        </w:rPr>
        <w:instrText xml:space="preserve"> SEQ CHAPTER \h \r 1</w:instrText>
      </w:r>
      <w:r w:rsidRPr="0084125D">
        <w:rPr>
          <w:b/>
          <w:sz w:val="20"/>
          <w:szCs w:val="20"/>
          <w:lang w:val="fr-CA"/>
        </w:rPr>
        <w:fldChar w:fldCharType="end"/>
      </w:r>
      <w:r w:rsidRPr="0084125D">
        <w:rPr>
          <w:b/>
          <w:sz w:val="20"/>
          <w:szCs w:val="20"/>
          <w:lang w:val="fr-CA"/>
        </w:rPr>
        <w:t>37479</w:t>
      </w:r>
      <w:r w:rsidRPr="0084125D">
        <w:rPr>
          <w:sz w:val="20"/>
          <w:szCs w:val="20"/>
          <w:lang w:val="fr-CA"/>
        </w:rPr>
        <w:tab/>
      </w:r>
      <w:r w:rsidRPr="00B97421">
        <w:rPr>
          <w:b/>
          <w:sz w:val="20"/>
          <w:szCs w:val="20"/>
          <w:lang w:val="fr-CA"/>
        </w:rPr>
        <w:t>Spencer Lee Jordan c. Sa Majesté la Reine</w:t>
      </w:r>
    </w:p>
    <w:p w:rsidR="00044C59" w:rsidRPr="0084125D" w:rsidRDefault="00044C59" w:rsidP="00044C59">
      <w:pPr>
        <w:widowControl w:val="0"/>
        <w:ind w:left="1440" w:hanging="720"/>
        <w:jc w:val="both"/>
        <w:rPr>
          <w:sz w:val="20"/>
          <w:szCs w:val="20"/>
          <w:lang w:val="fr-CA"/>
        </w:rPr>
      </w:pPr>
      <w:r w:rsidRPr="0084125D">
        <w:rPr>
          <w:sz w:val="20"/>
          <w:szCs w:val="20"/>
          <w:lang w:val="fr-CA"/>
        </w:rPr>
        <w:t>(Alb.) (Criminelle) (De plein droit / Sur autorisation)</w:t>
      </w:r>
    </w:p>
    <w:p w:rsidR="00044C59" w:rsidRPr="0084125D" w:rsidRDefault="00044C59" w:rsidP="00044C59">
      <w:pPr>
        <w:widowControl w:val="0"/>
        <w:jc w:val="both"/>
        <w:rPr>
          <w:sz w:val="20"/>
          <w:szCs w:val="20"/>
          <w:lang w:val="fr-CA"/>
        </w:rPr>
      </w:pPr>
    </w:p>
    <w:p w:rsidR="00044C59" w:rsidRPr="0084125D" w:rsidRDefault="00044C59" w:rsidP="00044C59">
      <w:pPr>
        <w:widowControl w:val="0"/>
        <w:jc w:val="both"/>
        <w:rPr>
          <w:sz w:val="20"/>
          <w:szCs w:val="20"/>
          <w:lang w:val="fr-CA"/>
        </w:rPr>
      </w:pPr>
      <w:r w:rsidRPr="0084125D">
        <w:rPr>
          <w:sz w:val="20"/>
          <w:szCs w:val="20"/>
          <w:lang w:val="fr-CA"/>
        </w:rPr>
        <w:t xml:space="preserve">Droit criminel - Meurtre - Éléments de l’infraction - Participants à une infraction - Meurtre au premier degré par imputation - Séquestration - Peut-on par déduction logique conclure que l’accusé avait la </w:t>
      </w:r>
      <w:r w:rsidRPr="0084125D">
        <w:rPr>
          <w:i/>
          <w:sz w:val="20"/>
          <w:szCs w:val="20"/>
          <w:lang w:val="fr-CA"/>
        </w:rPr>
        <w:t xml:space="preserve">mens </w:t>
      </w:r>
      <w:proofErr w:type="spellStart"/>
      <w:r w:rsidRPr="0084125D">
        <w:rPr>
          <w:i/>
          <w:sz w:val="20"/>
          <w:szCs w:val="20"/>
          <w:lang w:val="fr-CA"/>
        </w:rPr>
        <w:t>rea</w:t>
      </w:r>
      <w:proofErr w:type="spellEnd"/>
      <w:r w:rsidRPr="0084125D">
        <w:rPr>
          <w:sz w:val="20"/>
          <w:szCs w:val="20"/>
          <w:lang w:val="fr-CA"/>
        </w:rPr>
        <w:t xml:space="preserve"> requise à l’égard de l’infraction de meurtre en application du sous-al. 229a</w:t>
      </w:r>
      <w:proofErr w:type="gramStart"/>
      <w:r w:rsidRPr="0084125D">
        <w:rPr>
          <w:sz w:val="20"/>
          <w:szCs w:val="20"/>
          <w:lang w:val="fr-CA"/>
        </w:rPr>
        <w:t>)(</w:t>
      </w:r>
      <w:proofErr w:type="gramEnd"/>
      <w:r w:rsidRPr="0084125D">
        <w:rPr>
          <w:sz w:val="20"/>
          <w:szCs w:val="20"/>
          <w:lang w:val="fr-CA"/>
        </w:rPr>
        <w:t xml:space="preserve">ii) du </w:t>
      </w:r>
      <w:r w:rsidRPr="0084125D">
        <w:rPr>
          <w:i/>
          <w:sz w:val="20"/>
          <w:szCs w:val="20"/>
          <w:lang w:val="fr-CA"/>
        </w:rPr>
        <w:t>Code criminel</w:t>
      </w:r>
      <w:r w:rsidRPr="0084125D">
        <w:rPr>
          <w:sz w:val="20"/>
          <w:szCs w:val="20"/>
          <w:lang w:val="fr-CA"/>
        </w:rPr>
        <w:t>, L.R.C. 1985, ch. C-42, alors que le juge des faits a tiré des conclusions de fait précises et a statué que l’intention requise n’existait pas en vertu du sous-al. 229a</w:t>
      </w:r>
      <w:proofErr w:type="gramStart"/>
      <w:r w:rsidRPr="0084125D">
        <w:rPr>
          <w:sz w:val="20"/>
          <w:szCs w:val="20"/>
          <w:lang w:val="fr-CA"/>
        </w:rPr>
        <w:t>)(</w:t>
      </w:r>
      <w:proofErr w:type="gramEnd"/>
      <w:r w:rsidRPr="0084125D">
        <w:rPr>
          <w:sz w:val="20"/>
          <w:szCs w:val="20"/>
          <w:lang w:val="fr-CA"/>
        </w:rPr>
        <w:t xml:space="preserve">i)? - Lorsque la juge du procès conclut qu’il n’y a aucune causalité factuelle, peut-elle faire abstraction de l’analyse de la causalité à l’égard des coaccusés individuellement et passer directement à l’examen des participants à l’infraction en application de l’art. 21 du </w:t>
      </w:r>
      <w:r w:rsidRPr="0084125D">
        <w:rPr>
          <w:i/>
          <w:sz w:val="20"/>
          <w:szCs w:val="20"/>
          <w:lang w:val="fr-CA"/>
        </w:rPr>
        <w:t>Code criminel</w:t>
      </w:r>
      <w:r w:rsidRPr="0084125D">
        <w:rPr>
          <w:sz w:val="20"/>
          <w:szCs w:val="20"/>
          <w:lang w:val="fr-CA"/>
        </w:rPr>
        <w:t xml:space="preserve">? - Quel est le degré de connaissance que doit prouver le ministère public pour imposer la responsabilité criminelle liée au meurtre au premier ou au deuxième degré lorsque la preuve n’appuie pas par les faits l’inférence selon laquelle les deux parents ont agi de concert, entraînant la mort de l’enfant chez-eux par voies de fait? - Quel est le critère juridique qui permet de conclure qu’une personne a participé à l’infraction au sens de l’al. 21(1)a) du </w:t>
      </w:r>
      <w:r w:rsidRPr="0084125D">
        <w:rPr>
          <w:i/>
          <w:sz w:val="20"/>
          <w:szCs w:val="20"/>
          <w:lang w:val="fr-CA"/>
        </w:rPr>
        <w:t>Code criminel</w:t>
      </w:r>
      <w:r w:rsidRPr="0084125D">
        <w:rPr>
          <w:sz w:val="20"/>
          <w:szCs w:val="20"/>
          <w:lang w:val="fr-CA"/>
        </w:rPr>
        <w:t xml:space="preserve">? - Le par. 231(5) du </w:t>
      </w:r>
      <w:r w:rsidRPr="0084125D">
        <w:rPr>
          <w:i/>
          <w:sz w:val="20"/>
          <w:szCs w:val="20"/>
          <w:lang w:val="fr-CA"/>
        </w:rPr>
        <w:t>Code criminel</w:t>
      </w:r>
      <w:r w:rsidRPr="0084125D">
        <w:rPr>
          <w:sz w:val="20"/>
          <w:szCs w:val="20"/>
          <w:lang w:val="fr-CA"/>
        </w:rPr>
        <w:t xml:space="preserve"> était-il applicable au procès ou en appel?</w:t>
      </w:r>
    </w:p>
    <w:p w:rsidR="00044C59" w:rsidRPr="0084125D" w:rsidRDefault="00044C59" w:rsidP="00044C59">
      <w:pPr>
        <w:widowControl w:val="0"/>
        <w:jc w:val="both"/>
        <w:rPr>
          <w:sz w:val="20"/>
          <w:szCs w:val="20"/>
          <w:lang w:val="fr-CA"/>
        </w:rPr>
      </w:pPr>
    </w:p>
    <w:p w:rsidR="00044C59" w:rsidRPr="0084125D" w:rsidRDefault="00044C59" w:rsidP="00044C59">
      <w:pPr>
        <w:widowControl w:val="0"/>
        <w:jc w:val="both"/>
        <w:rPr>
          <w:sz w:val="20"/>
          <w:szCs w:val="20"/>
          <w:lang w:val="fr-CA"/>
        </w:rPr>
      </w:pPr>
      <w:r w:rsidRPr="0084125D">
        <w:rPr>
          <w:sz w:val="20"/>
          <w:szCs w:val="20"/>
          <w:lang w:val="fr-CA"/>
        </w:rPr>
        <w:t xml:space="preserve">L’appelant, Spencer Lee Jordan, et sa conjointe de fait, Marie </w:t>
      </w:r>
      <w:proofErr w:type="spellStart"/>
      <w:r w:rsidRPr="0084125D">
        <w:rPr>
          <w:sz w:val="20"/>
          <w:szCs w:val="20"/>
          <w:lang w:val="fr-CA"/>
        </w:rPr>
        <w:t>Eve</w:t>
      </w:r>
      <w:proofErr w:type="spellEnd"/>
      <w:r w:rsidRPr="0084125D">
        <w:rPr>
          <w:sz w:val="20"/>
          <w:szCs w:val="20"/>
          <w:lang w:val="fr-CA"/>
        </w:rPr>
        <w:t xml:space="preserve"> </w:t>
      </w:r>
      <w:proofErr w:type="spellStart"/>
      <w:r w:rsidRPr="0084125D">
        <w:rPr>
          <w:sz w:val="20"/>
          <w:szCs w:val="20"/>
          <w:lang w:val="fr-CA"/>
        </w:rPr>
        <w:t>Magoon</w:t>
      </w:r>
      <w:proofErr w:type="spellEnd"/>
      <w:r w:rsidRPr="0084125D">
        <w:rPr>
          <w:sz w:val="20"/>
          <w:szCs w:val="20"/>
          <w:lang w:val="fr-CA"/>
        </w:rPr>
        <w:t xml:space="preserve">, ont été accusés de meurtre au premier degré à la suite de la mort de la fille de M. Jordan âgée de 6 ans, </w:t>
      </w:r>
      <w:proofErr w:type="spellStart"/>
      <w:r w:rsidRPr="0084125D">
        <w:rPr>
          <w:sz w:val="20"/>
          <w:szCs w:val="20"/>
          <w:lang w:val="fr-CA"/>
        </w:rPr>
        <w:t>Meika</w:t>
      </w:r>
      <w:proofErr w:type="spellEnd"/>
      <w:r w:rsidRPr="0084125D">
        <w:rPr>
          <w:sz w:val="20"/>
          <w:szCs w:val="20"/>
          <w:lang w:val="fr-CA"/>
        </w:rPr>
        <w:t xml:space="preserve"> Jordan. Cette dernière est décédée à l’hôpital le 14 novembre 2011 des suites de blessures graves subies alors qu’elle était sous la garde de Mme </w:t>
      </w:r>
      <w:proofErr w:type="spellStart"/>
      <w:r w:rsidRPr="0084125D">
        <w:rPr>
          <w:sz w:val="20"/>
          <w:szCs w:val="20"/>
          <w:lang w:val="fr-CA"/>
        </w:rPr>
        <w:t>Magoon</w:t>
      </w:r>
      <w:proofErr w:type="spellEnd"/>
      <w:r w:rsidRPr="0084125D">
        <w:rPr>
          <w:sz w:val="20"/>
          <w:szCs w:val="20"/>
          <w:lang w:val="fr-CA"/>
        </w:rPr>
        <w:t xml:space="preserve"> et de M. Jordan, notamment une lacération au pancréas, une déchirure du foie, un hématome sous-dural et un œdème cérébral qu’ont entraîné au moins cinq coups violents à la tête, de nombreuses ecchymoses sur tout le corps, des cheveux emmêlés et cassés, dont certaines touffes manquaient, ainsi qu’une brûlure importante à la main. Au procès, la preuve incriminante présentée par le ministère public comprenait des déclarations faites par M. Jordan et Mme </w:t>
      </w:r>
      <w:proofErr w:type="spellStart"/>
      <w:r w:rsidRPr="0084125D">
        <w:rPr>
          <w:sz w:val="20"/>
          <w:szCs w:val="20"/>
          <w:lang w:val="fr-CA"/>
        </w:rPr>
        <w:t>Magoon</w:t>
      </w:r>
      <w:proofErr w:type="spellEnd"/>
      <w:r w:rsidRPr="0084125D">
        <w:rPr>
          <w:sz w:val="20"/>
          <w:szCs w:val="20"/>
          <w:lang w:val="fr-CA"/>
        </w:rPr>
        <w:t xml:space="preserve"> au cours d’une opération « Monsieur </w:t>
      </w:r>
      <w:proofErr w:type="spellStart"/>
      <w:r w:rsidRPr="0084125D">
        <w:rPr>
          <w:sz w:val="20"/>
          <w:szCs w:val="20"/>
          <w:lang w:val="fr-CA"/>
        </w:rPr>
        <w:t>Big</w:t>
      </w:r>
      <w:proofErr w:type="spellEnd"/>
      <w:r w:rsidRPr="0084125D">
        <w:rPr>
          <w:sz w:val="20"/>
          <w:szCs w:val="20"/>
          <w:lang w:val="fr-CA"/>
        </w:rPr>
        <w:t xml:space="preserve"> ». Les accusés ont été déclarés coupables de meurtre au deuxième degré. Le ministère public a interjeté appel, sollicitant des déclarations de culpabilité pour meurtre au premier degré. Les deux accusés ont également interjeté appel de leurs déclarations de culpabilité. La Cour d’appel a rejeté les appels interjetés par les accusés et a accueilli l’appel du ministère public, inscrivant des verdicts de meurtre au premier degré à l’égard des deux accusés. </w:t>
      </w:r>
    </w:p>
    <w:p w:rsidR="003E0AE6" w:rsidRPr="00044C59" w:rsidRDefault="003E0AE6" w:rsidP="00C01FCB">
      <w:pPr>
        <w:widowControl w:val="0"/>
        <w:rPr>
          <w:sz w:val="20"/>
          <w:szCs w:val="20"/>
          <w:lang w:val="fr-CA"/>
        </w:rPr>
      </w:pPr>
    </w:p>
    <w:p w:rsidR="000B3C9A" w:rsidRPr="00DD0B49" w:rsidRDefault="00ED1F08" w:rsidP="000B3C9A">
      <w:pPr>
        <w:tabs>
          <w:tab w:val="left" w:pos="-1440"/>
          <w:tab w:val="left" w:pos="-720"/>
        </w:tabs>
        <w:jc w:val="both"/>
        <w:rPr>
          <w:sz w:val="20"/>
          <w:szCs w:val="20"/>
          <w:lang w:val="fr-CA"/>
        </w:rPr>
      </w:pPr>
      <w:r>
        <w:rPr>
          <w:sz w:val="20"/>
          <w:szCs w:val="20"/>
          <w:lang w:val="fr-CA"/>
        </w:rPr>
        <w:pict>
          <v:rect id="_x0000_i1069" style="width:2in;height:1pt" o:hrpct="0" o:hralign="center" o:hrstd="t" o:hrnoshade="t" o:hr="t" fillcolor="black [3213]" stroked="f"/>
        </w:pict>
      </w:r>
    </w:p>
    <w:p w:rsidR="00044C59" w:rsidRDefault="00044C59">
      <w:pPr>
        <w:rPr>
          <w:sz w:val="20"/>
          <w:szCs w:val="20"/>
          <w:lang w:val="fr-CA"/>
        </w:rPr>
      </w:pPr>
      <w:r>
        <w:rPr>
          <w:sz w:val="20"/>
          <w:szCs w:val="20"/>
          <w:lang w:val="fr-CA"/>
        </w:rPr>
        <w:br w:type="page"/>
      </w:r>
    </w:p>
    <w:p w:rsidR="00044C59" w:rsidRPr="0046222C" w:rsidRDefault="00044C59" w:rsidP="00044C59">
      <w:pPr>
        <w:widowControl w:val="0"/>
        <w:ind w:left="720" w:hanging="720"/>
        <w:jc w:val="both"/>
        <w:rPr>
          <w:b/>
          <w:sz w:val="20"/>
          <w:szCs w:val="20"/>
        </w:rPr>
      </w:pPr>
      <w:r w:rsidRPr="0026513D">
        <w:rPr>
          <w:b/>
          <w:sz w:val="20"/>
          <w:szCs w:val="20"/>
        </w:rPr>
        <w:lastRenderedPageBreak/>
        <w:fldChar w:fldCharType="begin"/>
      </w:r>
      <w:r w:rsidRPr="0026513D">
        <w:rPr>
          <w:b/>
          <w:sz w:val="20"/>
          <w:szCs w:val="20"/>
        </w:rPr>
        <w:instrText xml:space="preserve"> SEQ CHAPTER \h \r 1</w:instrText>
      </w:r>
      <w:r w:rsidRPr="0026513D">
        <w:rPr>
          <w:b/>
          <w:sz w:val="20"/>
          <w:szCs w:val="20"/>
        </w:rPr>
        <w:fldChar w:fldCharType="end"/>
      </w:r>
      <w:r w:rsidRPr="0026513D">
        <w:rPr>
          <w:b/>
          <w:sz w:val="20"/>
          <w:szCs w:val="20"/>
        </w:rPr>
        <w:t>37208</w:t>
      </w:r>
      <w:r w:rsidRPr="0026513D">
        <w:rPr>
          <w:b/>
          <w:sz w:val="20"/>
          <w:szCs w:val="20"/>
        </w:rPr>
        <w:tab/>
      </w:r>
      <w:r w:rsidRPr="0046222C">
        <w:rPr>
          <w:b/>
          <w:sz w:val="20"/>
          <w:szCs w:val="20"/>
        </w:rPr>
        <w:t>Canadian Human Rights Commission v. Attorney General of Canada</w:t>
      </w:r>
    </w:p>
    <w:p w:rsidR="00044C59" w:rsidRPr="0026513D" w:rsidRDefault="00044C59" w:rsidP="00044C59">
      <w:pPr>
        <w:widowControl w:val="0"/>
        <w:jc w:val="both"/>
        <w:rPr>
          <w:sz w:val="20"/>
          <w:szCs w:val="20"/>
        </w:rPr>
      </w:pPr>
      <w:r w:rsidRPr="0026513D">
        <w:rPr>
          <w:sz w:val="20"/>
          <w:szCs w:val="20"/>
        </w:rPr>
        <w:tab/>
        <w:t>(F</w:t>
      </w:r>
      <w:r>
        <w:rPr>
          <w:sz w:val="20"/>
          <w:szCs w:val="20"/>
        </w:rPr>
        <w:t>.</w:t>
      </w:r>
      <w:r w:rsidRPr="0026513D">
        <w:rPr>
          <w:sz w:val="20"/>
          <w:szCs w:val="20"/>
        </w:rPr>
        <w:t>C</w:t>
      </w:r>
      <w:r>
        <w:rPr>
          <w:sz w:val="20"/>
          <w:szCs w:val="20"/>
        </w:rPr>
        <w:t>.</w:t>
      </w:r>
      <w:r w:rsidRPr="0026513D">
        <w:rPr>
          <w:sz w:val="20"/>
          <w:szCs w:val="20"/>
        </w:rPr>
        <w:t>) (Civil) (By Leave)</w:t>
      </w:r>
    </w:p>
    <w:p w:rsidR="00044C59" w:rsidRPr="0026513D" w:rsidRDefault="00044C59" w:rsidP="00044C59">
      <w:pPr>
        <w:widowControl w:val="0"/>
        <w:jc w:val="both"/>
        <w:rPr>
          <w:sz w:val="20"/>
          <w:szCs w:val="20"/>
        </w:rPr>
      </w:pPr>
    </w:p>
    <w:p w:rsidR="00044C59" w:rsidRPr="0026513D" w:rsidRDefault="00044C59" w:rsidP="00044C59">
      <w:pPr>
        <w:jc w:val="both"/>
        <w:rPr>
          <w:sz w:val="20"/>
          <w:szCs w:val="20"/>
        </w:rPr>
      </w:pPr>
      <w:r w:rsidRPr="0026513D">
        <w:rPr>
          <w:i/>
          <w:sz w:val="20"/>
          <w:szCs w:val="20"/>
        </w:rPr>
        <w:t>Canadian Charter of Rights and Freedoms</w:t>
      </w:r>
      <w:r w:rsidRPr="0026513D">
        <w:rPr>
          <w:sz w:val="20"/>
          <w:szCs w:val="20"/>
        </w:rPr>
        <w:t xml:space="preserve"> - Equality rights - Administrative law - Standard of review - Human Rights - Discrimination - Meaning of “services customarily available to the general public,” under s. 5 of the </w:t>
      </w:r>
      <w:r w:rsidRPr="0026513D">
        <w:rPr>
          <w:i/>
          <w:sz w:val="20"/>
          <w:szCs w:val="20"/>
        </w:rPr>
        <w:t>Canadian Human Rights Act</w:t>
      </w:r>
      <w:r w:rsidRPr="0026513D">
        <w:rPr>
          <w:sz w:val="20"/>
          <w:szCs w:val="20"/>
        </w:rPr>
        <w:t xml:space="preserve"> - Aboriginal law - “Indian” status - Eligibility for registration under </w:t>
      </w:r>
      <w:r w:rsidRPr="0026513D">
        <w:rPr>
          <w:i/>
          <w:sz w:val="20"/>
          <w:szCs w:val="20"/>
        </w:rPr>
        <w:t>Indian Act</w:t>
      </w:r>
      <w:r w:rsidRPr="0026513D">
        <w:rPr>
          <w:sz w:val="20"/>
          <w:szCs w:val="20"/>
        </w:rPr>
        <w:t xml:space="preserve"> - What standard of review is to be applied when a human rights tribunal (</w:t>
      </w:r>
      <w:proofErr w:type="spellStart"/>
      <w:r w:rsidRPr="0026513D">
        <w:rPr>
          <w:sz w:val="20"/>
          <w:szCs w:val="20"/>
        </w:rPr>
        <w:t>i</w:t>
      </w:r>
      <w:proofErr w:type="spellEnd"/>
      <w:r w:rsidRPr="0026513D">
        <w:rPr>
          <w:sz w:val="20"/>
          <w:szCs w:val="20"/>
        </w:rPr>
        <w:t xml:space="preserve">) articulates the legal test to be used in deciding whether something is a “service” within the meaning of its enabling legislation, and (ii) applies that test to the facts before it? - How is the term “services” to be interpreted, in the context of statutory human rights protections against discrimination in the provision of “services customarily available to the general public”? - Do human rights statutes apply where a complainant seeks to access benefits, but is denied because of legislated eligibility criteria? - </w:t>
      </w:r>
      <w:r w:rsidRPr="0026513D">
        <w:rPr>
          <w:i/>
          <w:sz w:val="20"/>
          <w:szCs w:val="20"/>
        </w:rPr>
        <w:t>Canadian Charter of Rights and Freedoms</w:t>
      </w:r>
      <w:r w:rsidRPr="0026513D">
        <w:rPr>
          <w:sz w:val="20"/>
          <w:szCs w:val="20"/>
        </w:rPr>
        <w:t xml:space="preserve">, s. 15 - </w:t>
      </w:r>
      <w:r w:rsidRPr="0026513D">
        <w:rPr>
          <w:i/>
          <w:sz w:val="20"/>
          <w:szCs w:val="20"/>
        </w:rPr>
        <w:t>Canadian Human Rights Act</w:t>
      </w:r>
      <w:r w:rsidRPr="0026513D">
        <w:rPr>
          <w:sz w:val="20"/>
          <w:szCs w:val="20"/>
        </w:rPr>
        <w:t xml:space="preserve">, R.S.C. 1985, c. H-6, s. 5 - </w:t>
      </w:r>
      <w:r w:rsidRPr="0026513D">
        <w:rPr>
          <w:i/>
          <w:sz w:val="20"/>
          <w:szCs w:val="20"/>
        </w:rPr>
        <w:t>Indian Act</w:t>
      </w:r>
      <w:r w:rsidRPr="0026513D">
        <w:rPr>
          <w:sz w:val="20"/>
          <w:szCs w:val="20"/>
        </w:rPr>
        <w:t>, R.S.C. 1985, c. 1-5, s. 6.</w:t>
      </w:r>
    </w:p>
    <w:p w:rsidR="00044C59" w:rsidRPr="0026513D" w:rsidRDefault="00044C59" w:rsidP="00044C59">
      <w:pPr>
        <w:widowControl w:val="0"/>
        <w:jc w:val="both"/>
        <w:rPr>
          <w:sz w:val="20"/>
          <w:szCs w:val="20"/>
        </w:rPr>
      </w:pPr>
    </w:p>
    <w:p w:rsidR="00044C59" w:rsidRDefault="00044C59" w:rsidP="00044C59">
      <w:pPr>
        <w:widowControl w:val="0"/>
        <w:jc w:val="both"/>
        <w:rPr>
          <w:sz w:val="20"/>
          <w:szCs w:val="20"/>
        </w:rPr>
      </w:pPr>
      <w:r w:rsidRPr="0026513D">
        <w:rPr>
          <w:sz w:val="20"/>
          <w:szCs w:val="20"/>
        </w:rPr>
        <w:t xml:space="preserve">Several members of two families belonging to two separate First Nations filed complaints under the </w:t>
      </w:r>
      <w:r w:rsidRPr="0026513D">
        <w:rPr>
          <w:i/>
          <w:sz w:val="20"/>
          <w:szCs w:val="20"/>
        </w:rPr>
        <w:t>Canadian Human Rights Act</w:t>
      </w:r>
      <w:r w:rsidRPr="0026513D">
        <w:rPr>
          <w:sz w:val="20"/>
          <w:szCs w:val="20"/>
        </w:rPr>
        <w:t>, R.S.C. 1985, c. H-6 (“</w:t>
      </w:r>
      <w:r w:rsidRPr="0026513D">
        <w:rPr>
          <w:i/>
          <w:sz w:val="20"/>
          <w:szCs w:val="20"/>
        </w:rPr>
        <w:t>CHRA</w:t>
      </w:r>
      <w:r w:rsidRPr="0026513D">
        <w:rPr>
          <w:sz w:val="20"/>
          <w:szCs w:val="20"/>
        </w:rPr>
        <w:t xml:space="preserve">”) with the Canadian Human Rights Commission (the Matson and Andrews complaints). The complainants alleged that the eligibility criteria in s. 6 of the </w:t>
      </w:r>
      <w:r w:rsidRPr="0026513D">
        <w:rPr>
          <w:i/>
          <w:sz w:val="20"/>
          <w:szCs w:val="20"/>
        </w:rPr>
        <w:t>Indian Act</w:t>
      </w:r>
      <w:r w:rsidRPr="0026513D">
        <w:rPr>
          <w:sz w:val="20"/>
          <w:szCs w:val="20"/>
        </w:rPr>
        <w:t xml:space="preserve">, R.S.C. 1985, c. I-5, that precludes the registration of their children as “Indians” in their particular circumstances, violates their human rights because the impugned restrictions constitute prohibited discrimination on the basis of race, national or ethnic origin, sex or family status, in the provision of a “services customarily available to the general public” under s. 5 of the </w:t>
      </w:r>
      <w:r w:rsidRPr="0026513D">
        <w:rPr>
          <w:i/>
          <w:sz w:val="20"/>
          <w:szCs w:val="20"/>
        </w:rPr>
        <w:t>CHRA</w:t>
      </w:r>
      <w:r w:rsidRPr="0026513D">
        <w:rPr>
          <w:sz w:val="20"/>
          <w:szCs w:val="20"/>
        </w:rPr>
        <w:t xml:space="preserve">. In two decisions which relied on </w:t>
      </w:r>
      <w:r w:rsidRPr="0026513D">
        <w:rPr>
          <w:i/>
          <w:sz w:val="20"/>
          <w:szCs w:val="20"/>
        </w:rPr>
        <w:t>Public Service Alliance of Canada v. Canada (Revenue Agency)</w:t>
      </w:r>
      <w:r w:rsidRPr="0026513D">
        <w:rPr>
          <w:sz w:val="20"/>
          <w:szCs w:val="20"/>
        </w:rPr>
        <w:t xml:space="preserve">, 2012 FCA 7, 428 N.R. 240, the Canadian Human Rights Tribunal dismissed the complaints for lack of jurisdiction. In doing so, the Tribunal found the complaints were direct challenges to provisions in the </w:t>
      </w:r>
      <w:r w:rsidRPr="0026513D">
        <w:rPr>
          <w:i/>
          <w:sz w:val="20"/>
          <w:szCs w:val="20"/>
        </w:rPr>
        <w:t>Indian Act</w:t>
      </w:r>
      <w:r w:rsidRPr="0026513D">
        <w:rPr>
          <w:sz w:val="20"/>
          <w:szCs w:val="20"/>
        </w:rPr>
        <w:t xml:space="preserve"> and the adoption of legislation is not a service customarily available to the general public within the meaning of s. 5 of the </w:t>
      </w:r>
      <w:r w:rsidRPr="0026513D">
        <w:rPr>
          <w:i/>
          <w:sz w:val="20"/>
          <w:szCs w:val="20"/>
        </w:rPr>
        <w:t>CHRA</w:t>
      </w:r>
      <w:r w:rsidRPr="0026513D">
        <w:rPr>
          <w:sz w:val="20"/>
          <w:szCs w:val="20"/>
        </w:rPr>
        <w:t xml:space="preserve">. The Tribunal concluded such a challenge may only be brought under s. 15 of the </w:t>
      </w:r>
      <w:r w:rsidRPr="0026513D">
        <w:rPr>
          <w:i/>
          <w:sz w:val="20"/>
          <w:szCs w:val="20"/>
        </w:rPr>
        <w:t>Canadian Charter of Rights and Freedoms</w:t>
      </w:r>
      <w:r w:rsidRPr="0026513D">
        <w:rPr>
          <w:sz w:val="20"/>
          <w:szCs w:val="20"/>
        </w:rPr>
        <w:t xml:space="preserve"> and therefore must be made to a court of law. Applying a reasonableness standard of review, the Federal Court held the Tribunal’s decisions were reasonable and dismissed the Commission’s applications for judicial review. The Federal Court of Appeal dismissed the Commission’s appeal.</w:t>
      </w:r>
    </w:p>
    <w:p w:rsidR="00044C59" w:rsidRPr="0026513D" w:rsidRDefault="00044C59" w:rsidP="00044C59">
      <w:pPr>
        <w:widowControl w:val="0"/>
        <w:jc w:val="both"/>
        <w:rPr>
          <w:sz w:val="20"/>
          <w:szCs w:val="20"/>
        </w:rPr>
      </w:pPr>
    </w:p>
    <w:p w:rsidR="005F263E" w:rsidRDefault="00ED1F08" w:rsidP="00782AE4">
      <w:pPr>
        <w:jc w:val="both"/>
        <w:rPr>
          <w:sz w:val="20"/>
          <w:szCs w:val="20"/>
          <w:lang w:val="fr-CA"/>
        </w:rPr>
      </w:pPr>
      <w:r>
        <w:rPr>
          <w:sz w:val="20"/>
          <w:szCs w:val="20"/>
          <w:lang w:val="fr-CA"/>
        </w:rPr>
        <w:pict>
          <v:rect id="_x0000_i1070" style="width:2in;height:1pt" o:hrpct="0" o:hralign="center" o:hrstd="t" o:hrnoshade="t" o:hr="t" fillcolor="black [3213]" stroked="f"/>
        </w:pict>
      </w:r>
    </w:p>
    <w:p w:rsidR="00C01FCB" w:rsidRDefault="00C01FCB" w:rsidP="00782AE4">
      <w:pPr>
        <w:jc w:val="both"/>
        <w:rPr>
          <w:sz w:val="20"/>
          <w:szCs w:val="20"/>
          <w:lang w:val="fr-CA"/>
        </w:rPr>
      </w:pPr>
    </w:p>
    <w:p w:rsidR="00044C59" w:rsidRDefault="00044C59">
      <w:pPr>
        <w:rPr>
          <w:b/>
          <w:sz w:val="20"/>
          <w:szCs w:val="20"/>
          <w:lang w:val="fr-CA"/>
        </w:rPr>
      </w:pPr>
      <w:r>
        <w:rPr>
          <w:b/>
          <w:sz w:val="20"/>
          <w:szCs w:val="20"/>
          <w:lang w:val="fr-CA"/>
        </w:rPr>
        <w:br w:type="page"/>
      </w:r>
    </w:p>
    <w:p w:rsidR="00044C59" w:rsidRPr="00753FA7" w:rsidRDefault="00044C59" w:rsidP="00044C59">
      <w:pPr>
        <w:widowControl w:val="0"/>
        <w:ind w:left="720" w:hanging="720"/>
        <w:jc w:val="both"/>
        <w:rPr>
          <w:b/>
          <w:i/>
          <w:sz w:val="20"/>
          <w:szCs w:val="20"/>
          <w:lang w:val="fr-CA"/>
        </w:rPr>
      </w:pPr>
      <w:r w:rsidRPr="00753FA7">
        <w:rPr>
          <w:b/>
          <w:sz w:val="20"/>
          <w:szCs w:val="20"/>
          <w:lang w:val="fr-CA"/>
        </w:rPr>
        <w:lastRenderedPageBreak/>
        <w:fldChar w:fldCharType="begin"/>
      </w:r>
      <w:r w:rsidRPr="00753FA7">
        <w:rPr>
          <w:b/>
          <w:sz w:val="20"/>
          <w:szCs w:val="20"/>
          <w:lang w:val="fr-CA"/>
        </w:rPr>
        <w:instrText xml:space="preserve"> SEQ CHAPTER \h \r 1</w:instrText>
      </w:r>
      <w:r w:rsidRPr="00753FA7">
        <w:rPr>
          <w:b/>
          <w:sz w:val="20"/>
          <w:szCs w:val="20"/>
          <w:lang w:val="fr-CA"/>
        </w:rPr>
        <w:fldChar w:fldCharType="end"/>
      </w:r>
      <w:r w:rsidRPr="00753FA7">
        <w:rPr>
          <w:b/>
          <w:sz w:val="20"/>
          <w:szCs w:val="20"/>
          <w:lang w:val="fr-CA"/>
        </w:rPr>
        <w:t>37208</w:t>
      </w:r>
      <w:r w:rsidRPr="00753FA7">
        <w:rPr>
          <w:b/>
          <w:sz w:val="20"/>
          <w:szCs w:val="20"/>
          <w:lang w:val="fr-CA"/>
        </w:rPr>
        <w:tab/>
      </w:r>
      <w:r w:rsidRPr="00B97421">
        <w:rPr>
          <w:b/>
          <w:sz w:val="20"/>
          <w:szCs w:val="20"/>
          <w:lang w:val="fr-CA"/>
        </w:rPr>
        <w:t>Commission canadienne des droits de la personne c. Procureur général du Canada</w:t>
      </w:r>
    </w:p>
    <w:p w:rsidR="00044C59" w:rsidRPr="00753FA7" w:rsidRDefault="00044C59" w:rsidP="00044C59">
      <w:pPr>
        <w:widowControl w:val="0"/>
        <w:ind w:left="1440" w:hanging="720"/>
        <w:jc w:val="both"/>
        <w:rPr>
          <w:sz w:val="20"/>
          <w:szCs w:val="20"/>
          <w:lang w:val="fr-CA"/>
        </w:rPr>
      </w:pPr>
      <w:r w:rsidRPr="00753FA7">
        <w:rPr>
          <w:sz w:val="20"/>
          <w:szCs w:val="20"/>
          <w:lang w:val="fr-CA"/>
        </w:rPr>
        <w:t>(C</w:t>
      </w:r>
      <w:r>
        <w:rPr>
          <w:sz w:val="20"/>
          <w:szCs w:val="20"/>
          <w:lang w:val="fr-CA"/>
        </w:rPr>
        <w:t>.</w:t>
      </w:r>
      <w:r w:rsidRPr="00753FA7">
        <w:rPr>
          <w:sz w:val="20"/>
          <w:szCs w:val="20"/>
          <w:lang w:val="fr-CA"/>
        </w:rPr>
        <w:t>F</w:t>
      </w:r>
      <w:r>
        <w:rPr>
          <w:sz w:val="20"/>
          <w:szCs w:val="20"/>
          <w:lang w:val="fr-CA"/>
        </w:rPr>
        <w:t>.</w:t>
      </w:r>
      <w:r w:rsidRPr="00753FA7">
        <w:rPr>
          <w:sz w:val="20"/>
          <w:szCs w:val="20"/>
          <w:lang w:val="fr-CA"/>
        </w:rPr>
        <w:t>) (Civile) (Sur autorisation)</w:t>
      </w:r>
    </w:p>
    <w:p w:rsidR="00044C59" w:rsidRPr="00753FA7" w:rsidRDefault="00044C59" w:rsidP="00044C59">
      <w:pPr>
        <w:widowControl w:val="0"/>
        <w:jc w:val="both"/>
        <w:rPr>
          <w:sz w:val="20"/>
          <w:szCs w:val="20"/>
          <w:lang w:val="fr-CA"/>
        </w:rPr>
      </w:pPr>
    </w:p>
    <w:p w:rsidR="00044C59" w:rsidRPr="00753FA7" w:rsidRDefault="00044C59" w:rsidP="00044C59">
      <w:pPr>
        <w:jc w:val="both"/>
        <w:rPr>
          <w:sz w:val="20"/>
          <w:szCs w:val="20"/>
          <w:lang w:val="fr-CA"/>
        </w:rPr>
      </w:pPr>
      <w:r w:rsidRPr="00753FA7">
        <w:rPr>
          <w:i/>
          <w:sz w:val="20"/>
          <w:szCs w:val="20"/>
          <w:lang w:val="fr-CA"/>
        </w:rPr>
        <w:t xml:space="preserve">Charte canadienne des droits et libertés </w:t>
      </w:r>
      <w:r w:rsidRPr="00753FA7">
        <w:rPr>
          <w:sz w:val="20"/>
          <w:szCs w:val="20"/>
          <w:lang w:val="fr-CA"/>
        </w:rPr>
        <w:t>- Droits à l’égalité - Droit administratif - Norme de contrôle - Droits de la personne - Discrimination - Sens de l’expression « services destinés au public » que l’on trouve à l’art. 5 de la</w:t>
      </w:r>
      <w:r w:rsidRPr="00753FA7">
        <w:rPr>
          <w:i/>
          <w:sz w:val="20"/>
          <w:szCs w:val="20"/>
          <w:lang w:val="fr-CA"/>
        </w:rPr>
        <w:t xml:space="preserve"> Loi canadienne sur les droits de la personne </w:t>
      </w:r>
      <w:r w:rsidRPr="00753FA7">
        <w:rPr>
          <w:sz w:val="20"/>
          <w:szCs w:val="20"/>
          <w:lang w:val="fr-CA"/>
        </w:rPr>
        <w:t>- Droit des Autochtones - Statut d’« Indien » - Admissibilité à l’inscription sous le régime de la</w:t>
      </w:r>
      <w:r w:rsidRPr="00753FA7">
        <w:rPr>
          <w:i/>
          <w:sz w:val="20"/>
          <w:szCs w:val="20"/>
          <w:lang w:val="fr-CA"/>
        </w:rPr>
        <w:t xml:space="preserve"> Loi sur les Indiens </w:t>
      </w:r>
      <w:r w:rsidRPr="00753FA7">
        <w:rPr>
          <w:sz w:val="20"/>
          <w:szCs w:val="20"/>
          <w:lang w:val="fr-CA"/>
        </w:rPr>
        <w:t xml:space="preserve">- Quelle norme de contrôle s’applique lorsqu’un tribunal des droits de la personne (i) formule le critère juridique à employer pour trancher la question de savoir si quelque chose est un « service » au sens de sa loi habilitante et (ii) applique ce critère aux faits dont il dispose? - Comment faut-il interpréter le terme « services », dans le contexte des protections légales des droits de la personne contre la discrimination dans la prestation de « services destinés au public »? - Les lois sur les droits de la personne s’appliquent-elles lorsqu’un plaignant demande l’accès à des avantages, mais se les voit refuser en raison de critères législatifs d’admissibilité? - </w:t>
      </w:r>
      <w:r w:rsidRPr="00753FA7">
        <w:rPr>
          <w:i/>
          <w:sz w:val="20"/>
          <w:szCs w:val="20"/>
          <w:lang w:val="fr-CA"/>
        </w:rPr>
        <w:t>Charte canadienne des droits et libertés</w:t>
      </w:r>
      <w:r w:rsidRPr="00753FA7">
        <w:rPr>
          <w:sz w:val="20"/>
          <w:szCs w:val="20"/>
          <w:lang w:val="fr-CA"/>
        </w:rPr>
        <w:t xml:space="preserve">, art. 15 - </w:t>
      </w:r>
      <w:r w:rsidRPr="00753FA7">
        <w:rPr>
          <w:i/>
          <w:sz w:val="20"/>
          <w:szCs w:val="20"/>
          <w:lang w:val="fr-CA"/>
        </w:rPr>
        <w:t>Loi canadienne sur les droits de la personne</w:t>
      </w:r>
      <w:r w:rsidRPr="00753FA7">
        <w:rPr>
          <w:sz w:val="20"/>
          <w:szCs w:val="20"/>
          <w:lang w:val="fr-CA"/>
        </w:rPr>
        <w:t xml:space="preserve">, L.R.C. 1985, ch. H-6, art. 5 - </w:t>
      </w:r>
      <w:r w:rsidRPr="00753FA7">
        <w:rPr>
          <w:i/>
          <w:sz w:val="20"/>
          <w:szCs w:val="20"/>
          <w:lang w:val="fr-CA"/>
        </w:rPr>
        <w:t>Loi sur les Indiens</w:t>
      </w:r>
      <w:r w:rsidRPr="00753FA7">
        <w:rPr>
          <w:sz w:val="20"/>
          <w:szCs w:val="20"/>
          <w:lang w:val="fr-CA"/>
        </w:rPr>
        <w:t>, L.R.C. 1985, ch. 1-5, art. 6.</w:t>
      </w:r>
    </w:p>
    <w:p w:rsidR="00044C59" w:rsidRPr="00753FA7" w:rsidRDefault="00044C59" w:rsidP="00044C59">
      <w:pPr>
        <w:widowControl w:val="0"/>
        <w:jc w:val="both"/>
        <w:rPr>
          <w:sz w:val="20"/>
          <w:szCs w:val="20"/>
          <w:lang w:val="fr-CA"/>
        </w:rPr>
      </w:pPr>
    </w:p>
    <w:p w:rsidR="00044C59" w:rsidRDefault="00044C59" w:rsidP="00044C59">
      <w:pPr>
        <w:widowControl w:val="0"/>
        <w:jc w:val="both"/>
        <w:rPr>
          <w:sz w:val="20"/>
          <w:szCs w:val="20"/>
          <w:lang w:val="fr-CA"/>
        </w:rPr>
      </w:pPr>
      <w:r w:rsidRPr="00753FA7">
        <w:rPr>
          <w:sz w:val="20"/>
          <w:szCs w:val="20"/>
          <w:lang w:val="fr-CA"/>
        </w:rPr>
        <w:t xml:space="preserve">Plusieurs membres de deux familles appartenant à deux Premières Nations distinctes ont déposé à la Commission canadienne des droits de la personne des plaintes sous le régime de la </w:t>
      </w:r>
      <w:r w:rsidRPr="00753FA7">
        <w:rPr>
          <w:i/>
          <w:sz w:val="20"/>
          <w:szCs w:val="20"/>
          <w:lang w:val="fr-CA"/>
        </w:rPr>
        <w:t>Loi canadienne sur les droits de la personne</w:t>
      </w:r>
      <w:r w:rsidRPr="00753FA7">
        <w:rPr>
          <w:sz w:val="20"/>
          <w:szCs w:val="20"/>
          <w:lang w:val="fr-CA"/>
        </w:rPr>
        <w:t>, L.R.C. 1985, ch. H-6 (« </w:t>
      </w:r>
      <w:r w:rsidRPr="00753FA7">
        <w:rPr>
          <w:i/>
          <w:sz w:val="20"/>
          <w:szCs w:val="20"/>
          <w:lang w:val="fr-CA"/>
        </w:rPr>
        <w:t>LCDP</w:t>
      </w:r>
      <w:r w:rsidRPr="00753FA7">
        <w:rPr>
          <w:sz w:val="20"/>
          <w:szCs w:val="20"/>
          <w:lang w:val="fr-CA"/>
        </w:rPr>
        <w:t xml:space="preserve"> ») (les plaintes </w:t>
      </w:r>
      <w:proofErr w:type="spellStart"/>
      <w:r w:rsidRPr="00753FA7">
        <w:rPr>
          <w:sz w:val="20"/>
          <w:szCs w:val="20"/>
          <w:lang w:val="fr-CA"/>
        </w:rPr>
        <w:t>Matson</w:t>
      </w:r>
      <w:proofErr w:type="spellEnd"/>
      <w:r w:rsidRPr="00753FA7">
        <w:rPr>
          <w:sz w:val="20"/>
          <w:szCs w:val="20"/>
          <w:lang w:val="fr-CA"/>
        </w:rPr>
        <w:t xml:space="preserve"> et Andrews). Selon les plaignants, les critères d’admissibilité prévus à l’art. 6 de la </w:t>
      </w:r>
      <w:r w:rsidRPr="00753FA7">
        <w:rPr>
          <w:i/>
          <w:sz w:val="20"/>
          <w:szCs w:val="20"/>
          <w:lang w:val="fr-CA"/>
        </w:rPr>
        <w:t>Loi sur les Indiens</w:t>
      </w:r>
      <w:r w:rsidRPr="00753FA7">
        <w:rPr>
          <w:sz w:val="20"/>
          <w:szCs w:val="20"/>
          <w:lang w:val="fr-CA"/>
        </w:rPr>
        <w:t xml:space="preserve">, L.R.C. 1985, ch. I-5, qui empêchent l’inscription de leurs enfants comme « Indiens » dans leur situation particulière, violent leurs droits de la personne, parce que les restrictions contestées constituent de la discrimination illicite fondée sur la race, l’origine nationale ou ethnique, le sexe ou la situation de famille dans la prestation d’un service « destiné au public » visé par l’art. 5 de la </w:t>
      </w:r>
      <w:r w:rsidRPr="00753FA7">
        <w:rPr>
          <w:i/>
          <w:sz w:val="20"/>
          <w:szCs w:val="20"/>
          <w:lang w:val="fr-CA"/>
        </w:rPr>
        <w:t>LCDP</w:t>
      </w:r>
      <w:r w:rsidRPr="00753FA7">
        <w:rPr>
          <w:sz w:val="20"/>
          <w:szCs w:val="20"/>
          <w:lang w:val="fr-CA"/>
        </w:rPr>
        <w:t xml:space="preserve">. Dans deux décisions qui s’appuyaient sur l’arrêt </w:t>
      </w:r>
      <w:r w:rsidRPr="00753FA7">
        <w:rPr>
          <w:i/>
          <w:sz w:val="20"/>
          <w:szCs w:val="20"/>
          <w:lang w:val="fr-CA"/>
        </w:rPr>
        <w:t>Alliance de la fonction publique du Canada c. Canada (Agence du revenu)</w:t>
      </w:r>
      <w:r w:rsidRPr="00753FA7">
        <w:rPr>
          <w:sz w:val="20"/>
          <w:szCs w:val="20"/>
          <w:lang w:val="fr-CA"/>
        </w:rPr>
        <w:t xml:space="preserve">, 2012 CAF 7, 428 N.R. 240, le Tribunal canadien des droits de la personne a rejeté les plaintes, se déclarant incompétent. Ce faisant, le Tribunal a conclu que les plaintes constituaient des contestations directes de dispositions de la </w:t>
      </w:r>
      <w:r w:rsidRPr="00753FA7">
        <w:rPr>
          <w:i/>
          <w:sz w:val="20"/>
          <w:szCs w:val="20"/>
          <w:lang w:val="fr-CA"/>
        </w:rPr>
        <w:t>Loi sur les Indiens</w:t>
      </w:r>
      <w:r w:rsidRPr="00753FA7">
        <w:rPr>
          <w:sz w:val="20"/>
          <w:szCs w:val="20"/>
          <w:lang w:val="fr-CA"/>
        </w:rPr>
        <w:t xml:space="preserve"> et que l’adoption de la loi n’était pas un service destiné au public au sens de l’art. 5 de la </w:t>
      </w:r>
      <w:r w:rsidRPr="00753FA7">
        <w:rPr>
          <w:i/>
          <w:sz w:val="20"/>
          <w:szCs w:val="20"/>
          <w:lang w:val="fr-CA"/>
        </w:rPr>
        <w:t>LCDP</w:t>
      </w:r>
      <w:r w:rsidRPr="00753FA7">
        <w:rPr>
          <w:sz w:val="20"/>
          <w:szCs w:val="20"/>
          <w:lang w:val="fr-CA"/>
        </w:rPr>
        <w:t>. Le Tribunal a conclu qu’une telle contestation ne pouvait être présentée qu’en application de l’art. 15 de la</w:t>
      </w:r>
      <w:r w:rsidRPr="00753FA7">
        <w:rPr>
          <w:i/>
          <w:sz w:val="20"/>
          <w:szCs w:val="20"/>
          <w:lang w:val="fr-CA"/>
        </w:rPr>
        <w:t xml:space="preserve"> Charte canadienne des droits et libertés </w:t>
      </w:r>
      <w:r w:rsidRPr="00753FA7">
        <w:rPr>
          <w:sz w:val="20"/>
          <w:szCs w:val="20"/>
          <w:lang w:val="fr-CA"/>
        </w:rPr>
        <w:t>et qu’elle devait donc être présentée à une cour de justice. Appliquant la norme de contrôle de la décision raisonnable, la Cour fédérale a statué que les décisions du Tribunal étaient raisonnables et a rejeté les demandes de contrôle judiciaire de la Commission. La Cour d’appel fédérale a rejeté l’appel de la Commission.</w:t>
      </w:r>
    </w:p>
    <w:p w:rsidR="00044C59" w:rsidRPr="00753FA7" w:rsidRDefault="00044C59" w:rsidP="00044C59">
      <w:pPr>
        <w:widowControl w:val="0"/>
        <w:jc w:val="both"/>
        <w:rPr>
          <w:sz w:val="20"/>
          <w:szCs w:val="20"/>
          <w:lang w:val="fr-CA"/>
        </w:rPr>
      </w:pPr>
    </w:p>
    <w:p w:rsidR="00044C59" w:rsidRDefault="00ED1F08" w:rsidP="00782AE4">
      <w:pPr>
        <w:jc w:val="both"/>
        <w:rPr>
          <w:sz w:val="20"/>
          <w:szCs w:val="20"/>
          <w:lang w:val="fr-CA"/>
        </w:rPr>
      </w:pPr>
      <w:r>
        <w:rPr>
          <w:sz w:val="20"/>
          <w:szCs w:val="20"/>
          <w:lang w:val="fr-CA"/>
        </w:rPr>
        <w:pict>
          <v:rect id="_x0000_i1071" style="width:2in;height:1pt" o:hrpct="0" o:hralign="center" o:hrstd="t" o:hrnoshade="t" o:hr="t" fillcolor="black [3213]" stroked="f"/>
        </w:pict>
      </w:r>
    </w:p>
    <w:p w:rsidR="00044C59" w:rsidRDefault="00044C59" w:rsidP="00782AE4">
      <w:pPr>
        <w:jc w:val="both"/>
        <w:rPr>
          <w:sz w:val="20"/>
          <w:szCs w:val="20"/>
          <w:lang w:val="fr-CA"/>
        </w:rPr>
      </w:pPr>
    </w:p>
    <w:p w:rsidR="00044C59" w:rsidRDefault="00044C59">
      <w:pPr>
        <w:rPr>
          <w:sz w:val="20"/>
          <w:szCs w:val="20"/>
          <w:lang w:val="fr-CA"/>
        </w:rPr>
      </w:pPr>
      <w:r>
        <w:rPr>
          <w:sz w:val="20"/>
          <w:szCs w:val="20"/>
          <w:lang w:val="fr-CA"/>
        </w:rPr>
        <w:br w:type="page"/>
      </w:r>
    </w:p>
    <w:p w:rsidR="00044C59" w:rsidRPr="00044C59" w:rsidRDefault="00044C59" w:rsidP="00044C59">
      <w:pPr>
        <w:widowControl w:val="0"/>
        <w:ind w:left="720" w:hanging="720"/>
        <w:jc w:val="both"/>
        <w:rPr>
          <w:b/>
          <w:i/>
          <w:sz w:val="20"/>
          <w:szCs w:val="20"/>
          <w:lang w:val="en-US"/>
        </w:rPr>
      </w:pPr>
      <w:r w:rsidRPr="008E7565">
        <w:rPr>
          <w:b/>
          <w:sz w:val="20"/>
          <w:szCs w:val="20"/>
        </w:rPr>
        <w:lastRenderedPageBreak/>
        <w:fldChar w:fldCharType="begin"/>
      </w:r>
      <w:r w:rsidRPr="00044C59">
        <w:rPr>
          <w:b/>
          <w:sz w:val="20"/>
          <w:szCs w:val="20"/>
          <w:lang w:val="en-US"/>
        </w:rPr>
        <w:instrText xml:space="preserve"> SEQ CHAPTER \h \r 1</w:instrText>
      </w:r>
      <w:r w:rsidRPr="008E7565">
        <w:rPr>
          <w:b/>
          <w:sz w:val="20"/>
          <w:szCs w:val="20"/>
        </w:rPr>
        <w:fldChar w:fldCharType="end"/>
      </w:r>
      <w:r w:rsidRPr="00044C59">
        <w:rPr>
          <w:b/>
          <w:sz w:val="20"/>
          <w:szCs w:val="20"/>
          <w:lang w:val="en-US"/>
        </w:rPr>
        <w:t>37202</w:t>
      </w:r>
      <w:r w:rsidRPr="00044C59">
        <w:rPr>
          <w:sz w:val="20"/>
          <w:szCs w:val="20"/>
          <w:lang w:val="en-US"/>
        </w:rPr>
        <w:tab/>
      </w:r>
      <w:r w:rsidRPr="0046222C">
        <w:rPr>
          <w:b/>
          <w:sz w:val="20"/>
          <w:szCs w:val="20"/>
        </w:rPr>
        <w:t xml:space="preserve">Haaretz.com, </w:t>
      </w:r>
      <w:proofErr w:type="spellStart"/>
      <w:r w:rsidRPr="0046222C">
        <w:rPr>
          <w:b/>
          <w:sz w:val="20"/>
          <w:szCs w:val="20"/>
        </w:rPr>
        <w:t>Haaretz</w:t>
      </w:r>
      <w:proofErr w:type="spellEnd"/>
      <w:r w:rsidRPr="0046222C">
        <w:rPr>
          <w:b/>
          <w:sz w:val="20"/>
          <w:szCs w:val="20"/>
        </w:rPr>
        <w:t xml:space="preserve"> Daily Newspaper Ltd., </w:t>
      </w:r>
      <w:proofErr w:type="spellStart"/>
      <w:r w:rsidRPr="0046222C">
        <w:rPr>
          <w:b/>
          <w:sz w:val="20"/>
          <w:szCs w:val="20"/>
        </w:rPr>
        <w:t>Haaretz</w:t>
      </w:r>
      <w:proofErr w:type="spellEnd"/>
      <w:r w:rsidRPr="0046222C">
        <w:rPr>
          <w:b/>
          <w:sz w:val="20"/>
          <w:szCs w:val="20"/>
        </w:rPr>
        <w:t xml:space="preserve"> Group, </w:t>
      </w:r>
      <w:proofErr w:type="spellStart"/>
      <w:r w:rsidRPr="0046222C">
        <w:rPr>
          <w:b/>
          <w:sz w:val="20"/>
          <w:szCs w:val="20"/>
        </w:rPr>
        <w:t>Haaretz.CoII</w:t>
      </w:r>
      <w:proofErr w:type="spellEnd"/>
      <w:r w:rsidRPr="0046222C">
        <w:rPr>
          <w:b/>
          <w:sz w:val="20"/>
          <w:szCs w:val="20"/>
        </w:rPr>
        <w:t xml:space="preserve">, </w:t>
      </w:r>
      <w:proofErr w:type="spellStart"/>
      <w:r w:rsidRPr="0046222C">
        <w:rPr>
          <w:b/>
          <w:sz w:val="20"/>
          <w:szCs w:val="20"/>
        </w:rPr>
        <w:t>Shlomi</w:t>
      </w:r>
      <w:proofErr w:type="spellEnd"/>
      <w:r w:rsidRPr="0046222C">
        <w:rPr>
          <w:b/>
          <w:sz w:val="20"/>
          <w:szCs w:val="20"/>
        </w:rPr>
        <w:t xml:space="preserve"> </w:t>
      </w:r>
      <w:proofErr w:type="spellStart"/>
      <w:r w:rsidRPr="0046222C">
        <w:rPr>
          <w:b/>
          <w:sz w:val="20"/>
          <w:szCs w:val="20"/>
        </w:rPr>
        <w:t>Barzel</w:t>
      </w:r>
      <w:proofErr w:type="spellEnd"/>
      <w:r w:rsidRPr="0046222C">
        <w:rPr>
          <w:b/>
          <w:sz w:val="20"/>
          <w:szCs w:val="20"/>
        </w:rPr>
        <w:t xml:space="preserve"> and David </w:t>
      </w:r>
      <w:proofErr w:type="spellStart"/>
      <w:r w:rsidRPr="0046222C">
        <w:rPr>
          <w:b/>
          <w:sz w:val="20"/>
          <w:szCs w:val="20"/>
        </w:rPr>
        <w:t>Marouani</w:t>
      </w:r>
      <w:proofErr w:type="spellEnd"/>
      <w:r w:rsidRPr="0046222C">
        <w:rPr>
          <w:b/>
          <w:sz w:val="20"/>
          <w:szCs w:val="20"/>
        </w:rPr>
        <w:t xml:space="preserve"> v. Mitchell </w:t>
      </w:r>
      <w:proofErr w:type="spellStart"/>
      <w:r w:rsidRPr="0046222C">
        <w:rPr>
          <w:b/>
          <w:sz w:val="20"/>
          <w:szCs w:val="20"/>
        </w:rPr>
        <w:t>Goldhar</w:t>
      </w:r>
      <w:proofErr w:type="spellEnd"/>
      <w:r w:rsidRPr="00044C59">
        <w:rPr>
          <w:b/>
          <w:i/>
          <w:sz w:val="20"/>
          <w:szCs w:val="20"/>
          <w:lang w:val="en-US"/>
        </w:rPr>
        <w:t xml:space="preserve"> </w:t>
      </w:r>
    </w:p>
    <w:p w:rsidR="00044C59" w:rsidRPr="008E7565" w:rsidRDefault="00044C59" w:rsidP="00044C59">
      <w:pPr>
        <w:widowControl w:val="0"/>
        <w:ind w:left="1440" w:hanging="720"/>
        <w:jc w:val="both"/>
        <w:rPr>
          <w:sz w:val="20"/>
          <w:szCs w:val="20"/>
        </w:rPr>
      </w:pPr>
      <w:r w:rsidRPr="008E7565">
        <w:rPr>
          <w:sz w:val="20"/>
          <w:szCs w:val="20"/>
        </w:rPr>
        <w:t>(Ont.) (Civil) (By leave)</w:t>
      </w:r>
    </w:p>
    <w:p w:rsidR="00044C59" w:rsidRPr="008E7565" w:rsidRDefault="00044C59" w:rsidP="00044C59">
      <w:pPr>
        <w:widowControl w:val="0"/>
        <w:jc w:val="both"/>
        <w:rPr>
          <w:sz w:val="20"/>
          <w:szCs w:val="20"/>
        </w:rPr>
      </w:pPr>
    </w:p>
    <w:p w:rsidR="00044C59" w:rsidRPr="008E7565" w:rsidRDefault="00044C59" w:rsidP="00044C59">
      <w:pPr>
        <w:jc w:val="both"/>
        <w:rPr>
          <w:sz w:val="20"/>
          <w:szCs w:val="20"/>
        </w:rPr>
      </w:pPr>
      <w:r w:rsidRPr="008E7565">
        <w:rPr>
          <w:sz w:val="20"/>
          <w:szCs w:val="20"/>
        </w:rPr>
        <w:t xml:space="preserve">Private international law - Choice of forum - </w:t>
      </w:r>
      <w:r w:rsidRPr="008E7565">
        <w:rPr>
          <w:i/>
          <w:sz w:val="20"/>
          <w:szCs w:val="20"/>
        </w:rPr>
        <w:t xml:space="preserve">Forum non </w:t>
      </w:r>
      <w:proofErr w:type="spellStart"/>
      <w:r w:rsidRPr="008E7565">
        <w:rPr>
          <w:i/>
          <w:sz w:val="20"/>
          <w:szCs w:val="20"/>
        </w:rPr>
        <w:t>conveniens</w:t>
      </w:r>
      <w:proofErr w:type="spellEnd"/>
      <w:r w:rsidRPr="008E7565">
        <w:rPr>
          <w:i/>
          <w:sz w:val="20"/>
          <w:szCs w:val="20"/>
        </w:rPr>
        <w:t xml:space="preserve"> </w:t>
      </w:r>
      <w:r w:rsidRPr="008E7565">
        <w:rPr>
          <w:sz w:val="20"/>
          <w:szCs w:val="20"/>
        </w:rPr>
        <w:t xml:space="preserve">- Applicable law - </w:t>
      </w:r>
      <w:r w:rsidRPr="008E7565">
        <w:rPr>
          <w:sz w:val="20"/>
          <w:szCs w:val="20"/>
          <w:lang w:val="en-GB"/>
        </w:rPr>
        <w:t>Libel action commenced in Ontario over an article published by an Israeli newspaper in print and on its websites -</w:t>
      </w:r>
      <w:r w:rsidRPr="008E7565">
        <w:rPr>
          <w:sz w:val="20"/>
          <w:szCs w:val="20"/>
        </w:rPr>
        <w:t xml:space="preserve"> Motion to stay an action on the basis that Ontario courts lack jurisdiction </w:t>
      </w:r>
      <w:r w:rsidRPr="008E7565">
        <w:rPr>
          <w:i/>
          <w:iCs/>
          <w:sz w:val="20"/>
          <w:szCs w:val="20"/>
        </w:rPr>
        <w:t>simpliciter</w:t>
      </w:r>
      <w:r w:rsidRPr="008E7565">
        <w:rPr>
          <w:sz w:val="20"/>
          <w:szCs w:val="20"/>
        </w:rPr>
        <w:t xml:space="preserve"> or, alternatively, that Israel is a clearly more appropriate forum - What are the limits, if any, to a court assuming jurisdiction over an alleged libel on the internet simply because it is downloaded by somebody in Canada? - Further, under what circumstances, if any, can the presumption of jurisdiction be rebutted in cases of internet libel? - How should the principle of </w:t>
      </w:r>
      <w:r w:rsidRPr="008E7565">
        <w:rPr>
          <w:i/>
          <w:iCs/>
          <w:sz w:val="20"/>
          <w:szCs w:val="20"/>
        </w:rPr>
        <w:t xml:space="preserve">forum non </w:t>
      </w:r>
      <w:proofErr w:type="spellStart"/>
      <w:r w:rsidRPr="008E7565">
        <w:rPr>
          <w:i/>
          <w:iCs/>
          <w:sz w:val="20"/>
          <w:szCs w:val="20"/>
        </w:rPr>
        <w:t>conveniens</w:t>
      </w:r>
      <w:proofErr w:type="spellEnd"/>
      <w:r w:rsidRPr="008E7565">
        <w:rPr>
          <w:i/>
          <w:iCs/>
          <w:sz w:val="20"/>
          <w:szCs w:val="20"/>
        </w:rPr>
        <w:t xml:space="preserve"> </w:t>
      </w:r>
      <w:r w:rsidRPr="008E7565">
        <w:rPr>
          <w:sz w:val="20"/>
          <w:szCs w:val="20"/>
        </w:rPr>
        <w:t xml:space="preserve">apply to internet libel, in order to “temper the consequences of a strict application of the rules governing the assumption of jurisdiction” and have proper regard for the impact of these rules on freedom of expression? - Should the place of “most substantial harm” rather than </w:t>
      </w:r>
      <w:proofErr w:type="spellStart"/>
      <w:r w:rsidRPr="008E7565">
        <w:rPr>
          <w:i/>
          <w:iCs/>
          <w:sz w:val="20"/>
          <w:szCs w:val="20"/>
        </w:rPr>
        <w:t>lex</w:t>
      </w:r>
      <w:proofErr w:type="spellEnd"/>
      <w:r w:rsidRPr="008E7565">
        <w:rPr>
          <w:i/>
          <w:iCs/>
          <w:sz w:val="20"/>
          <w:szCs w:val="20"/>
        </w:rPr>
        <w:t xml:space="preserve"> loci </w:t>
      </w:r>
      <w:proofErr w:type="spellStart"/>
      <w:r w:rsidRPr="008E7565">
        <w:rPr>
          <w:i/>
          <w:iCs/>
          <w:sz w:val="20"/>
          <w:szCs w:val="20"/>
        </w:rPr>
        <w:t>delicti</w:t>
      </w:r>
      <w:proofErr w:type="spellEnd"/>
      <w:r w:rsidRPr="008E7565">
        <w:rPr>
          <w:i/>
          <w:iCs/>
          <w:sz w:val="20"/>
          <w:szCs w:val="20"/>
        </w:rPr>
        <w:t xml:space="preserve"> </w:t>
      </w:r>
      <w:r w:rsidRPr="008E7565">
        <w:rPr>
          <w:sz w:val="20"/>
          <w:szCs w:val="20"/>
        </w:rPr>
        <w:t>apply to determine the applicable law in defamation actions?</w:t>
      </w:r>
    </w:p>
    <w:p w:rsidR="00044C59" w:rsidRPr="008E7565" w:rsidRDefault="00044C59" w:rsidP="00044C59">
      <w:pPr>
        <w:widowControl w:val="0"/>
        <w:jc w:val="both"/>
        <w:rPr>
          <w:sz w:val="20"/>
          <w:szCs w:val="20"/>
        </w:rPr>
      </w:pPr>
    </w:p>
    <w:p w:rsidR="00044C59" w:rsidRPr="008E7565" w:rsidRDefault="00044C59" w:rsidP="00044C59">
      <w:pPr>
        <w:jc w:val="both"/>
        <w:rPr>
          <w:sz w:val="20"/>
          <w:szCs w:val="20"/>
        </w:rPr>
      </w:pPr>
      <w:r w:rsidRPr="008E7565">
        <w:rPr>
          <w:sz w:val="20"/>
          <w:szCs w:val="20"/>
        </w:rPr>
        <w:t xml:space="preserve">The appellant </w:t>
      </w:r>
      <w:proofErr w:type="spellStart"/>
      <w:r w:rsidRPr="008E7565">
        <w:rPr>
          <w:sz w:val="20"/>
          <w:szCs w:val="20"/>
        </w:rPr>
        <w:t>Haaretz</w:t>
      </w:r>
      <w:proofErr w:type="spellEnd"/>
      <w:r w:rsidRPr="008E7565">
        <w:rPr>
          <w:sz w:val="20"/>
          <w:szCs w:val="20"/>
        </w:rPr>
        <w:t xml:space="preserve"> is Israel’s oldest daily newspaper. It also has the smallest circulation of the daily Hebrew-language newspapers in Israel, with a market share of about seven per cent. The individual appellants are, respectively, the newspaper’s former sports editor and the author of the article alleged to be defamatory. </w:t>
      </w:r>
    </w:p>
    <w:p w:rsidR="00044C59" w:rsidRPr="008E7565" w:rsidRDefault="00044C59" w:rsidP="00044C59">
      <w:pPr>
        <w:jc w:val="both"/>
        <w:rPr>
          <w:sz w:val="20"/>
          <w:szCs w:val="20"/>
        </w:rPr>
      </w:pPr>
    </w:p>
    <w:p w:rsidR="00044C59" w:rsidRDefault="00044C59" w:rsidP="00044C59">
      <w:pPr>
        <w:jc w:val="both"/>
        <w:rPr>
          <w:sz w:val="20"/>
          <w:szCs w:val="20"/>
        </w:rPr>
      </w:pPr>
      <w:proofErr w:type="spellStart"/>
      <w:r w:rsidRPr="008E7565">
        <w:rPr>
          <w:sz w:val="20"/>
          <w:szCs w:val="20"/>
        </w:rPr>
        <w:t>Haaretz</w:t>
      </w:r>
      <w:proofErr w:type="spellEnd"/>
      <w:r w:rsidRPr="008E7565">
        <w:rPr>
          <w:sz w:val="20"/>
          <w:szCs w:val="20"/>
        </w:rPr>
        <w:t xml:space="preserve"> published an article criticizing the management style and business practices of the respondent Mitchell </w:t>
      </w:r>
      <w:proofErr w:type="spellStart"/>
      <w:r w:rsidRPr="008E7565">
        <w:rPr>
          <w:sz w:val="20"/>
          <w:szCs w:val="20"/>
        </w:rPr>
        <w:t>Goldhar</w:t>
      </w:r>
      <w:proofErr w:type="spellEnd"/>
      <w:r w:rsidRPr="008E7565">
        <w:rPr>
          <w:sz w:val="20"/>
          <w:szCs w:val="20"/>
        </w:rPr>
        <w:t xml:space="preserve">. </w:t>
      </w:r>
      <w:proofErr w:type="spellStart"/>
      <w:r w:rsidRPr="008E7565">
        <w:rPr>
          <w:sz w:val="20"/>
          <w:szCs w:val="20"/>
        </w:rPr>
        <w:t>Goldhar</w:t>
      </w:r>
      <w:proofErr w:type="spellEnd"/>
      <w:r w:rsidRPr="008E7565">
        <w:rPr>
          <w:sz w:val="20"/>
          <w:szCs w:val="20"/>
        </w:rPr>
        <w:t xml:space="preserve"> is a Canadian businessman who owns Maccabi Tel Aviv Football Club, a soccer team based in Tel Aviv. The article was available in print and on the newspaper’s Hebrew and English-language websites. </w:t>
      </w:r>
      <w:proofErr w:type="spellStart"/>
      <w:r w:rsidRPr="008E7565">
        <w:rPr>
          <w:sz w:val="20"/>
          <w:szCs w:val="20"/>
        </w:rPr>
        <w:t>Goldhar</w:t>
      </w:r>
      <w:proofErr w:type="spellEnd"/>
      <w:r w:rsidRPr="008E7565">
        <w:rPr>
          <w:sz w:val="20"/>
          <w:szCs w:val="20"/>
        </w:rPr>
        <w:t xml:space="preserve"> commenced a defamation action in Ontario against the newspaper, its former sports editor and the author of the article alleged to be defamatory. </w:t>
      </w:r>
      <w:proofErr w:type="spellStart"/>
      <w:r w:rsidRPr="008E7565">
        <w:rPr>
          <w:sz w:val="20"/>
          <w:szCs w:val="20"/>
        </w:rPr>
        <w:t>Haaretz</w:t>
      </w:r>
      <w:proofErr w:type="spellEnd"/>
      <w:r w:rsidRPr="008E7565">
        <w:rPr>
          <w:sz w:val="20"/>
          <w:szCs w:val="20"/>
        </w:rPr>
        <w:t xml:space="preserve"> moved to stay the action, arguing that Ontario courts lack jurisdiction </w:t>
      </w:r>
      <w:r w:rsidRPr="008E7565">
        <w:rPr>
          <w:i/>
          <w:iCs/>
          <w:sz w:val="20"/>
          <w:szCs w:val="20"/>
        </w:rPr>
        <w:t>simpliciter</w:t>
      </w:r>
      <w:r w:rsidRPr="008E7565">
        <w:rPr>
          <w:sz w:val="20"/>
          <w:szCs w:val="20"/>
        </w:rPr>
        <w:t xml:space="preserve"> or, alternatively, that Israel is a clearly more appropriate forum.</w:t>
      </w:r>
    </w:p>
    <w:p w:rsidR="00044C59" w:rsidRPr="008E7565" w:rsidRDefault="00044C59" w:rsidP="00044C59">
      <w:pPr>
        <w:jc w:val="both"/>
        <w:rPr>
          <w:sz w:val="20"/>
          <w:szCs w:val="20"/>
        </w:rPr>
      </w:pPr>
    </w:p>
    <w:p w:rsidR="00044C59" w:rsidRPr="00044C59" w:rsidRDefault="00ED1F08" w:rsidP="00782AE4">
      <w:pPr>
        <w:jc w:val="both"/>
        <w:rPr>
          <w:sz w:val="20"/>
          <w:szCs w:val="20"/>
        </w:rPr>
      </w:pPr>
      <w:r>
        <w:rPr>
          <w:sz w:val="20"/>
          <w:szCs w:val="20"/>
          <w:lang w:val="fr-CA"/>
        </w:rPr>
        <w:pict>
          <v:rect id="_x0000_i1072" style="width:2in;height:1pt" o:hrpct="0" o:hralign="center" o:hrstd="t" o:hrnoshade="t" o:hr="t" fillcolor="black [3213]" stroked="f"/>
        </w:pict>
      </w:r>
    </w:p>
    <w:p w:rsidR="00044C59" w:rsidRDefault="00044C59" w:rsidP="00782AE4">
      <w:pPr>
        <w:jc w:val="both"/>
        <w:rPr>
          <w:sz w:val="20"/>
          <w:szCs w:val="20"/>
          <w:lang w:val="en-US"/>
        </w:rPr>
      </w:pPr>
    </w:p>
    <w:p w:rsidR="00044C59" w:rsidRDefault="00044C59" w:rsidP="00782AE4">
      <w:pPr>
        <w:jc w:val="both"/>
        <w:rPr>
          <w:sz w:val="20"/>
          <w:szCs w:val="20"/>
          <w:lang w:val="en-US"/>
        </w:rPr>
      </w:pPr>
    </w:p>
    <w:p w:rsidR="00044C59" w:rsidRDefault="00044C59" w:rsidP="00782AE4">
      <w:pPr>
        <w:jc w:val="both"/>
        <w:rPr>
          <w:sz w:val="20"/>
          <w:szCs w:val="20"/>
          <w:lang w:val="en-US"/>
        </w:rPr>
      </w:pPr>
    </w:p>
    <w:p w:rsidR="00044C59" w:rsidRDefault="00044C59">
      <w:pPr>
        <w:rPr>
          <w:sz w:val="20"/>
          <w:szCs w:val="20"/>
          <w:lang w:val="en-US"/>
        </w:rPr>
      </w:pPr>
      <w:r>
        <w:rPr>
          <w:sz w:val="20"/>
          <w:szCs w:val="20"/>
          <w:lang w:val="en-US"/>
        </w:rPr>
        <w:br w:type="page"/>
      </w:r>
    </w:p>
    <w:p w:rsidR="00044C59" w:rsidRPr="00044C59" w:rsidRDefault="00044C59" w:rsidP="00044C59">
      <w:pPr>
        <w:widowControl w:val="0"/>
        <w:ind w:left="720" w:hanging="720"/>
        <w:jc w:val="both"/>
        <w:rPr>
          <w:b/>
          <w:i/>
          <w:sz w:val="20"/>
          <w:szCs w:val="20"/>
          <w:lang w:val="en-US"/>
        </w:rPr>
      </w:pPr>
      <w:r w:rsidRPr="00C54371">
        <w:rPr>
          <w:b/>
          <w:sz w:val="20"/>
          <w:szCs w:val="20"/>
          <w:lang w:val="fr-CA"/>
        </w:rPr>
        <w:lastRenderedPageBreak/>
        <w:fldChar w:fldCharType="begin"/>
      </w:r>
      <w:r w:rsidRPr="00044C59">
        <w:rPr>
          <w:b/>
          <w:sz w:val="20"/>
          <w:szCs w:val="20"/>
          <w:lang w:val="en-US"/>
        </w:rPr>
        <w:instrText xml:space="preserve"> SEQ CHAPTER \h \r 1</w:instrText>
      </w:r>
      <w:r w:rsidRPr="00C54371">
        <w:rPr>
          <w:b/>
          <w:sz w:val="20"/>
          <w:szCs w:val="20"/>
          <w:lang w:val="fr-CA"/>
        </w:rPr>
        <w:fldChar w:fldCharType="end"/>
      </w:r>
      <w:r w:rsidRPr="00044C59">
        <w:rPr>
          <w:b/>
          <w:sz w:val="20"/>
          <w:szCs w:val="20"/>
          <w:lang w:val="en-US"/>
        </w:rPr>
        <w:t>37202</w:t>
      </w:r>
      <w:r w:rsidRPr="00044C59">
        <w:rPr>
          <w:sz w:val="20"/>
          <w:szCs w:val="20"/>
          <w:lang w:val="en-US"/>
        </w:rPr>
        <w:tab/>
      </w:r>
      <w:r w:rsidRPr="0046222C">
        <w:rPr>
          <w:b/>
          <w:sz w:val="20"/>
          <w:szCs w:val="20"/>
        </w:rPr>
        <w:t xml:space="preserve">Haaretz.com, </w:t>
      </w:r>
      <w:proofErr w:type="spellStart"/>
      <w:r w:rsidRPr="0046222C">
        <w:rPr>
          <w:b/>
          <w:sz w:val="20"/>
          <w:szCs w:val="20"/>
        </w:rPr>
        <w:t>Haaretz</w:t>
      </w:r>
      <w:proofErr w:type="spellEnd"/>
      <w:r w:rsidRPr="0046222C">
        <w:rPr>
          <w:b/>
          <w:sz w:val="20"/>
          <w:szCs w:val="20"/>
        </w:rPr>
        <w:t xml:space="preserve"> Daily Newspaper Ltd., </w:t>
      </w:r>
      <w:proofErr w:type="spellStart"/>
      <w:r w:rsidRPr="0046222C">
        <w:rPr>
          <w:b/>
          <w:sz w:val="20"/>
          <w:szCs w:val="20"/>
        </w:rPr>
        <w:t>Haaretz</w:t>
      </w:r>
      <w:proofErr w:type="spellEnd"/>
      <w:r w:rsidRPr="0046222C">
        <w:rPr>
          <w:b/>
          <w:sz w:val="20"/>
          <w:szCs w:val="20"/>
        </w:rPr>
        <w:t xml:space="preserve"> Group, </w:t>
      </w:r>
      <w:proofErr w:type="spellStart"/>
      <w:r w:rsidRPr="0046222C">
        <w:rPr>
          <w:b/>
          <w:sz w:val="20"/>
          <w:szCs w:val="20"/>
        </w:rPr>
        <w:t>Haaretz.CoII</w:t>
      </w:r>
      <w:proofErr w:type="spellEnd"/>
      <w:r w:rsidRPr="0046222C">
        <w:rPr>
          <w:b/>
          <w:sz w:val="20"/>
          <w:szCs w:val="20"/>
        </w:rPr>
        <w:t xml:space="preserve">, </w:t>
      </w:r>
      <w:proofErr w:type="spellStart"/>
      <w:r w:rsidRPr="0046222C">
        <w:rPr>
          <w:b/>
          <w:sz w:val="20"/>
          <w:szCs w:val="20"/>
        </w:rPr>
        <w:t>Shlomi</w:t>
      </w:r>
      <w:proofErr w:type="spellEnd"/>
      <w:r w:rsidRPr="0046222C">
        <w:rPr>
          <w:b/>
          <w:sz w:val="20"/>
          <w:szCs w:val="20"/>
        </w:rPr>
        <w:t xml:space="preserve"> </w:t>
      </w:r>
      <w:proofErr w:type="spellStart"/>
      <w:r w:rsidRPr="0046222C">
        <w:rPr>
          <w:b/>
          <w:sz w:val="20"/>
          <w:szCs w:val="20"/>
        </w:rPr>
        <w:t>Barzel</w:t>
      </w:r>
      <w:proofErr w:type="spellEnd"/>
      <w:r w:rsidRPr="0046222C">
        <w:rPr>
          <w:b/>
          <w:sz w:val="20"/>
          <w:szCs w:val="20"/>
        </w:rPr>
        <w:t xml:space="preserve"> and David </w:t>
      </w:r>
      <w:proofErr w:type="spellStart"/>
      <w:r w:rsidRPr="0046222C">
        <w:rPr>
          <w:b/>
          <w:sz w:val="20"/>
          <w:szCs w:val="20"/>
        </w:rPr>
        <w:t>Marouani</w:t>
      </w:r>
      <w:proofErr w:type="spellEnd"/>
      <w:r w:rsidRPr="0046222C">
        <w:rPr>
          <w:b/>
          <w:sz w:val="20"/>
          <w:szCs w:val="20"/>
        </w:rPr>
        <w:t xml:space="preserve"> v. Mitchell </w:t>
      </w:r>
      <w:proofErr w:type="spellStart"/>
      <w:r w:rsidRPr="0046222C">
        <w:rPr>
          <w:b/>
          <w:sz w:val="20"/>
          <w:szCs w:val="20"/>
        </w:rPr>
        <w:t>Goldhar</w:t>
      </w:r>
      <w:proofErr w:type="spellEnd"/>
    </w:p>
    <w:p w:rsidR="00044C59" w:rsidRPr="00C54371" w:rsidRDefault="00044C59" w:rsidP="00044C59">
      <w:pPr>
        <w:widowControl w:val="0"/>
        <w:ind w:left="1440" w:hanging="720"/>
        <w:jc w:val="both"/>
        <w:rPr>
          <w:sz w:val="20"/>
          <w:szCs w:val="20"/>
          <w:lang w:val="fr-CA"/>
        </w:rPr>
      </w:pPr>
      <w:r w:rsidRPr="00C54371">
        <w:rPr>
          <w:sz w:val="20"/>
          <w:szCs w:val="20"/>
          <w:lang w:val="fr-CA"/>
        </w:rPr>
        <w:t>(Ont.) (Civile) (Sur autorisation)</w:t>
      </w:r>
    </w:p>
    <w:p w:rsidR="00044C59" w:rsidRPr="00C54371" w:rsidRDefault="00044C59" w:rsidP="00044C59">
      <w:pPr>
        <w:widowControl w:val="0"/>
        <w:jc w:val="both"/>
        <w:rPr>
          <w:sz w:val="20"/>
          <w:szCs w:val="20"/>
          <w:lang w:val="fr-CA"/>
        </w:rPr>
      </w:pPr>
    </w:p>
    <w:p w:rsidR="00044C59" w:rsidRPr="00C54371" w:rsidRDefault="00044C59" w:rsidP="00044C59">
      <w:pPr>
        <w:jc w:val="both"/>
        <w:rPr>
          <w:sz w:val="20"/>
          <w:szCs w:val="20"/>
          <w:lang w:val="fr-CA"/>
        </w:rPr>
      </w:pPr>
      <w:r w:rsidRPr="00C54371">
        <w:rPr>
          <w:sz w:val="20"/>
          <w:szCs w:val="20"/>
          <w:lang w:val="fr-CA"/>
        </w:rPr>
        <w:t xml:space="preserve">Droit international privé - Choix du tribunal - </w:t>
      </w:r>
      <w:r w:rsidRPr="00C54371">
        <w:rPr>
          <w:i/>
          <w:sz w:val="20"/>
          <w:szCs w:val="20"/>
          <w:lang w:val="fr-CA"/>
        </w:rPr>
        <w:t xml:space="preserve">Forum non </w:t>
      </w:r>
      <w:proofErr w:type="spellStart"/>
      <w:r w:rsidRPr="00C54371">
        <w:rPr>
          <w:i/>
          <w:sz w:val="20"/>
          <w:szCs w:val="20"/>
          <w:lang w:val="fr-CA"/>
        </w:rPr>
        <w:t>conveniens</w:t>
      </w:r>
      <w:proofErr w:type="spellEnd"/>
      <w:r w:rsidRPr="00C54371">
        <w:rPr>
          <w:i/>
          <w:sz w:val="20"/>
          <w:szCs w:val="20"/>
          <w:lang w:val="fr-CA"/>
        </w:rPr>
        <w:t xml:space="preserve"> </w:t>
      </w:r>
      <w:r w:rsidRPr="00C54371">
        <w:rPr>
          <w:sz w:val="20"/>
          <w:szCs w:val="20"/>
          <w:lang w:val="fr-CA"/>
        </w:rPr>
        <w:t xml:space="preserve">- Droit applicable - Action en diffamation intentée en Ontario à propos d’un article publié par un journal israélien en format papier et sur ses sites Web - Motion en suspension d’une action alléguant que les tribunaux ontariens n’ont pas compétence ou, subsidiairement, qu’Israël est manifestement le ressort le plus approprié - Quelles sont les limites, s’il en est, à ce qu’un tribunal se déclare compétent à l’égard d’une diffamation alléguée commise sur Internet simplement parce que l’article en cause a été téléchargé par quelqu’un au Canada? - Par ailleurs, dans quelles situations, s’il en est, la présomption de compétence peut-elle être réfutée dans des affaires de diffamation sur Internet? - Comment le principe </w:t>
      </w:r>
      <w:r w:rsidRPr="00C54371">
        <w:rPr>
          <w:i/>
          <w:iCs/>
          <w:sz w:val="20"/>
          <w:szCs w:val="20"/>
          <w:lang w:val="fr-CA"/>
        </w:rPr>
        <w:t xml:space="preserve">forum non </w:t>
      </w:r>
      <w:proofErr w:type="spellStart"/>
      <w:r w:rsidRPr="00C54371">
        <w:rPr>
          <w:i/>
          <w:iCs/>
          <w:sz w:val="20"/>
          <w:szCs w:val="20"/>
          <w:lang w:val="fr-CA"/>
        </w:rPr>
        <w:t>conveniens</w:t>
      </w:r>
      <w:proofErr w:type="spellEnd"/>
      <w:r w:rsidRPr="00C54371">
        <w:rPr>
          <w:sz w:val="20"/>
          <w:szCs w:val="20"/>
          <w:lang w:val="fr-CA"/>
        </w:rPr>
        <w:t xml:space="preserve"> doit-il s’appliquer à la diffamation sur Internet afin d’« atténuer les effets d’une application stricte des règles régissant la déclaration de compétence » et de dûment prendre en compte l’effet de ces règles sur la liberté d’expression? - Le principe du lieu « où la réputation a subi l’atteinte la plus substantielle » plutôt que la </w:t>
      </w:r>
      <w:proofErr w:type="spellStart"/>
      <w:r w:rsidRPr="00C54371">
        <w:rPr>
          <w:i/>
          <w:iCs/>
          <w:sz w:val="20"/>
          <w:szCs w:val="20"/>
          <w:lang w:val="fr-CA"/>
        </w:rPr>
        <w:t>lex</w:t>
      </w:r>
      <w:proofErr w:type="spellEnd"/>
      <w:r w:rsidRPr="00C54371">
        <w:rPr>
          <w:i/>
          <w:iCs/>
          <w:sz w:val="20"/>
          <w:szCs w:val="20"/>
          <w:lang w:val="fr-CA"/>
        </w:rPr>
        <w:t xml:space="preserve"> </w:t>
      </w:r>
      <w:proofErr w:type="spellStart"/>
      <w:r w:rsidRPr="00C54371">
        <w:rPr>
          <w:i/>
          <w:iCs/>
          <w:sz w:val="20"/>
          <w:szCs w:val="20"/>
          <w:lang w:val="fr-CA"/>
        </w:rPr>
        <w:t>loci</w:t>
      </w:r>
      <w:proofErr w:type="spellEnd"/>
      <w:r w:rsidRPr="00C54371">
        <w:rPr>
          <w:i/>
          <w:iCs/>
          <w:sz w:val="20"/>
          <w:szCs w:val="20"/>
          <w:lang w:val="fr-CA"/>
        </w:rPr>
        <w:t xml:space="preserve"> </w:t>
      </w:r>
      <w:proofErr w:type="spellStart"/>
      <w:r w:rsidRPr="00C54371">
        <w:rPr>
          <w:i/>
          <w:iCs/>
          <w:sz w:val="20"/>
          <w:szCs w:val="20"/>
          <w:lang w:val="fr-CA"/>
        </w:rPr>
        <w:t>delicti</w:t>
      </w:r>
      <w:proofErr w:type="spellEnd"/>
      <w:r w:rsidRPr="00C54371">
        <w:rPr>
          <w:sz w:val="20"/>
          <w:szCs w:val="20"/>
          <w:lang w:val="fr-CA"/>
        </w:rPr>
        <w:t xml:space="preserve"> doit-il s’appliquer pour déterminer le droit applicable dans les actions en diffamation?</w:t>
      </w:r>
    </w:p>
    <w:p w:rsidR="00044C59" w:rsidRPr="00C54371" w:rsidRDefault="00044C59" w:rsidP="00044C59">
      <w:pPr>
        <w:widowControl w:val="0"/>
        <w:jc w:val="both"/>
        <w:rPr>
          <w:sz w:val="20"/>
          <w:szCs w:val="20"/>
          <w:lang w:val="fr-CA"/>
        </w:rPr>
      </w:pPr>
    </w:p>
    <w:p w:rsidR="00044C59" w:rsidRPr="00C54371" w:rsidRDefault="00044C59" w:rsidP="00044C59">
      <w:pPr>
        <w:jc w:val="both"/>
        <w:rPr>
          <w:sz w:val="20"/>
          <w:szCs w:val="20"/>
          <w:lang w:val="fr-CA"/>
        </w:rPr>
      </w:pPr>
      <w:r w:rsidRPr="00C54371">
        <w:rPr>
          <w:sz w:val="20"/>
          <w:szCs w:val="20"/>
          <w:lang w:val="fr-CA"/>
        </w:rPr>
        <w:t xml:space="preserve">L’appelant Haaretz est le plus vieux quotidien d’Israël. Il a aussi le plus petit tirage parmi les quotidiens d’Israël en langue hébraïque, ayant une part de marché d’environ sept pour cent. Les personnes physiques appelantes sont, respectivement, l’ancien réviseur de nouvelles sportives du journal et l’auteur de l’article prétendument diffamatoire. </w:t>
      </w:r>
    </w:p>
    <w:p w:rsidR="00044C59" w:rsidRPr="00C54371" w:rsidRDefault="00044C59" w:rsidP="00044C59">
      <w:pPr>
        <w:jc w:val="both"/>
        <w:rPr>
          <w:sz w:val="20"/>
          <w:szCs w:val="20"/>
          <w:lang w:val="fr-CA"/>
        </w:rPr>
      </w:pPr>
    </w:p>
    <w:p w:rsidR="00044C59" w:rsidRPr="00C54371" w:rsidRDefault="00044C59" w:rsidP="00044C59">
      <w:pPr>
        <w:jc w:val="both"/>
        <w:rPr>
          <w:sz w:val="20"/>
          <w:szCs w:val="20"/>
          <w:lang w:val="fr-CA"/>
        </w:rPr>
      </w:pPr>
      <w:r w:rsidRPr="00C54371">
        <w:rPr>
          <w:sz w:val="20"/>
          <w:szCs w:val="20"/>
          <w:lang w:val="fr-CA"/>
        </w:rPr>
        <w:t xml:space="preserve">Haaretz a publié un article critiquant le style de gestion et les pratiques commerciales de l’intimé Mitchell </w:t>
      </w:r>
      <w:proofErr w:type="spellStart"/>
      <w:r w:rsidRPr="00C54371">
        <w:rPr>
          <w:sz w:val="20"/>
          <w:szCs w:val="20"/>
          <w:lang w:val="fr-CA"/>
        </w:rPr>
        <w:t>Goldhar</w:t>
      </w:r>
      <w:proofErr w:type="spellEnd"/>
      <w:r w:rsidRPr="00C54371">
        <w:rPr>
          <w:sz w:val="20"/>
          <w:szCs w:val="20"/>
          <w:lang w:val="fr-CA"/>
        </w:rPr>
        <w:t xml:space="preserve">. Monsieur </w:t>
      </w:r>
      <w:proofErr w:type="spellStart"/>
      <w:r w:rsidRPr="00C54371">
        <w:rPr>
          <w:sz w:val="20"/>
          <w:szCs w:val="20"/>
          <w:lang w:val="fr-CA"/>
        </w:rPr>
        <w:t>Goldhar</w:t>
      </w:r>
      <w:proofErr w:type="spellEnd"/>
      <w:r w:rsidRPr="00C54371">
        <w:rPr>
          <w:sz w:val="20"/>
          <w:szCs w:val="20"/>
          <w:lang w:val="fr-CA"/>
        </w:rPr>
        <w:t xml:space="preserve">, un homme d’affaires canadien, est propriétaire du </w:t>
      </w:r>
      <w:proofErr w:type="spellStart"/>
      <w:r w:rsidRPr="00C54371">
        <w:rPr>
          <w:sz w:val="20"/>
          <w:szCs w:val="20"/>
          <w:lang w:val="fr-CA"/>
        </w:rPr>
        <w:t>Maccabi</w:t>
      </w:r>
      <w:proofErr w:type="spellEnd"/>
      <w:r w:rsidRPr="00C54371">
        <w:rPr>
          <w:sz w:val="20"/>
          <w:szCs w:val="20"/>
          <w:lang w:val="fr-CA"/>
        </w:rPr>
        <w:t xml:space="preserve"> Tel Aviv Football Club, une équipe de soccer ayant son siège à Tel-Aviv. L’article était disponible dans la version imprimée du quotidien et sur ses sites Web en langues hébraïque et anglaise. Monsieur </w:t>
      </w:r>
      <w:proofErr w:type="spellStart"/>
      <w:r w:rsidRPr="00C54371">
        <w:rPr>
          <w:sz w:val="20"/>
          <w:szCs w:val="20"/>
          <w:lang w:val="fr-CA"/>
        </w:rPr>
        <w:t>Goldhar</w:t>
      </w:r>
      <w:proofErr w:type="spellEnd"/>
      <w:r w:rsidRPr="00C54371">
        <w:rPr>
          <w:sz w:val="20"/>
          <w:szCs w:val="20"/>
          <w:lang w:val="fr-CA"/>
        </w:rPr>
        <w:t xml:space="preserve"> a intenté en Ontario une action en diffamation contre le journal, son ancien réviseur de nouvelles sportives et l’auteur de l’article prétendument diffamatoire. Haaretz a présenté une motion en suspension de l’action, plaidant que les tribunaux ontariens n’avaient pas compétence ou, subsidiairement, qu’Israël était manifestement un ressort plus approprié.</w:t>
      </w:r>
    </w:p>
    <w:p w:rsidR="00044C59" w:rsidRDefault="00044C59" w:rsidP="00782AE4">
      <w:pPr>
        <w:jc w:val="both"/>
        <w:rPr>
          <w:sz w:val="20"/>
          <w:szCs w:val="20"/>
          <w:lang w:val="fr-CA"/>
        </w:rPr>
      </w:pPr>
    </w:p>
    <w:p w:rsidR="00044C59" w:rsidRDefault="00ED1F08" w:rsidP="00782AE4">
      <w:pPr>
        <w:jc w:val="both"/>
        <w:rPr>
          <w:sz w:val="20"/>
          <w:szCs w:val="20"/>
          <w:lang w:val="fr-CA"/>
        </w:rPr>
      </w:pPr>
      <w:r>
        <w:rPr>
          <w:sz w:val="20"/>
          <w:szCs w:val="20"/>
          <w:lang w:val="fr-CA"/>
        </w:rPr>
        <w:pict>
          <v:rect id="_x0000_i1073" style="width:2in;height:1pt" o:hrpct="0" o:hralign="center" o:hrstd="t" o:hrnoshade="t" o:hr="t" fillcolor="black [3213]" stroked="f"/>
        </w:pict>
      </w:r>
    </w:p>
    <w:p w:rsidR="00044C59" w:rsidRDefault="00044C59" w:rsidP="00782AE4">
      <w:pPr>
        <w:jc w:val="both"/>
        <w:rPr>
          <w:sz w:val="20"/>
          <w:szCs w:val="20"/>
          <w:lang w:val="fr-CA"/>
        </w:rPr>
      </w:pPr>
    </w:p>
    <w:p w:rsidR="00044C59" w:rsidRDefault="00044C59">
      <w:pPr>
        <w:rPr>
          <w:sz w:val="20"/>
          <w:szCs w:val="20"/>
          <w:lang w:val="fr-CA"/>
        </w:rPr>
      </w:pPr>
      <w:r>
        <w:rPr>
          <w:sz w:val="20"/>
          <w:szCs w:val="20"/>
          <w:lang w:val="fr-CA"/>
        </w:rPr>
        <w:br w:type="page"/>
      </w:r>
    </w:p>
    <w:p w:rsidR="00044C59" w:rsidRPr="00044C59" w:rsidRDefault="00044C59" w:rsidP="00044C59">
      <w:pPr>
        <w:pStyle w:val="SCCLsocParty"/>
        <w:jc w:val="left"/>
        <w:rPr>
          <w:i/>
          <w:sz w:val="20"/>
          <w:szCs w:val="20"/>
          <w:lang w:val="en-US"/>
        </w:rPr>
      </w:pPr>
      <w:r w:rsidRPr="004856B4">
        <w:rPr>
          <w:rStyle w:val="SCCFileNumberChar"/>
          <w:sz w:val="20"/>
          <w:szCs w:val="20"/>
        </w:rPr>
        <w:lastRenderedPageBreak/>
        <w:t>37209</w:t>
      </w:r>
      <w:r w:rsidRPr="004856B4">
        <w:rPr>
          <w:rStyle w:val="SCCFileNumberChar"/>
          <w:sz w:val="20"/>
          <w:szCs w:val="20"/>
        </w:rPr>
        <w:tab/>
      </w:r>
      <w:r w:rsidRPr="0046222C">
        <w:rPr>
          <w:rFonts w:eastAsiaTheme="minorHAnsi" w:cstheme="minorBidi"/>
          <w:b/>
          <w:sz w:val="20"/>
          <w:szCs w:val="20"/>
          <w:lang w:val="en-CA"/>
        </w:rPr>
        <w:t xml:space="preserve">Trinity Western University, Brayden </w:t>
      </w:r>
      <w:proofErr w:type="spellStart"/>
      <w:r w:rsidRPr="0046222C">
        <w:rPr>
          <w:rFonts w:eastAsiaTheme="minorHAnsi" w:cstheme="minorBidi"/>
          <w:b/>
          <w:sz w:val="20"/>
          <w:szCs w:val="20"/>
          <w:lang w:val="en-CA"/>
        </w:rPr>
        <w:t>Volkenant</w:t>
      </w:r>
      <w:proofErr w:type="spellEnd"/>
      <w:r w:rsidRPr="0046222C">
        <w:rPr>
          <w:rFonts w:eastAsiaTheme="minorHAnsi" w:cstheme="minorBidi"/>
          <w:b/>
          <w:sz w:val="20"/>
          <w:szCs w:val="20"/>
          <w:lang w:val="en-CA"/>
        </w:rPr>
        <w:t xml:space="preserve"> v. Law Society of Upper Canada</w:t>
      </w:r>
    </w:p>
    <w:p w:rsidR="00044C59" w:rsidRPr="004856B4" w:rsidRDefault="00044C59" w:rsidP="00044C59">
      <w:pPr>
        <w:widowControl w:val="0"/>
        <w:ind w:firstLine="720"/>
        <w:rPr>
          <w:sz w:val="20"/>
          <w:szCs w:val="20"/>
        </w:rPr>
      </w:pPr>
      <w:r w:rsidRPr="004856B4">
        <w:rPr>
          <w:sz w:val="20"/>
          <w:szCs w:val="20"/>
        </w:rPr>
        <w:t>(Ont.) (Civil) (By Leave)</w:t>
      </w:r>
    </w:p>
    <w:p w:rsidR="00044C59" w:rsidRPr="004856B4" w:rsidRDefault="00044C59" w:rsidP="00044C59">
      <w:pPr>
        <w:widowControl w:val="0"/>
        <w:rPr>
          <w:sz w:val="20"/>
          <w:szCs w:val="20"/>
        </w:rPr>
      </w:pPr>
    </w:p>
    <w:p w:rsidR="00044C59" w:rsidRPr="004856B4" w:rsidRDefault="00044C59" w:rsidP="00044C59">
      <w:pPr>
        <w:jc w:val="both"/>
        <w:rPr>
          <w:sz w:val="20"/>
          <w:szCs w:val="20"/>
        </w:rPr>
      </w:pPr>
      <w:r w:rsidRPr="004856B4">
        <w:rPr>
          <w:i/>
          <w:sz w:val="20"/>
          <w:szCs w:val="20"/>
        </w:rPr>
        <w:t>Charter</w:t>
      </w:r>
      <w:r w:rsidRPr="004856B4">
        <w:rPr>
          <w:sz w:val="20"/>
          <w:szCs w:val="20"/>
        </w:rPr>
        <w:t xml:space="preserve"> - Freedom of religion - Equality rights - Regulation of legal profession - Law societies and governing bodies - Ontario law society denied accreditation to British Columbia’s Trinity Western University (“TWU”) proposed law school because students there would sign community covenant that does not recognize same-sex marriage - TWU sought judicial review - Law society’s refusal decision was confirmed by reviewing court and TWU’s subsequent appeal was dismissed - Whether law society’s refusal decision was reasonable - What is proper analysis when administrative decision is alleged to infringe </w:t>
      </w:r>
      <w:r w:rsidRPr="004856B4">
        <w:rPr>
          <w:i/>
          <w:sz w:val="20"/>
          <w:szCs w:val="20"/>
        </w:rPr>
        <w:t>Charter</w:t>
      </w:r>
      <w:r w:rsidRPr="004856B4">
        <w:rPr>
          <w:sz w:val="20"/>
          <w:szCs w:val="20"/>
        </w:rPr>
        <w:t xml:space="preserve">? - Does LSUC’s refusal decision infringe s. 2(a), (b), (d) or s. 15(1) of </w:t>
      </w:r>
      <w:r w:rsidRPr="004856B4">
        <w:rPr>
          <w:i/>
          <w:sz w:val="20"/>
          <w:szCs w:val="20"/>
        </w:rPr>
        <w:t>Charter</w:t>
      </w:r>
      <w:r w:rsidRPr="004856B4">
        <w:rPr>
          <w:sz w:val="20"/>
          <w:szCs w:val="20"/>
        </w:rPr>
        <w:t xml:space="preserve">? - Are there conflicting rights in this case? - Are infringements proportionate given statutory objectives of </w:t>
      </w:r>
      <w:r w:rsidRPr="004856B4">
        <w:rPr>
          <w:i/>
          <w:sz w:val="20"/>
          <w:szCs w:val="20"/>
        </w:rPr>
        <w:t>Law Society Act</w:t>
      </w:r>
      <w:r w:rsidRPr="004856B4">
        <w:rPr>
          <w:sz w:val="20"/>
          <w:szCs w:val="20"/>
        </w:rPr>
        <w:t xml:space="preserve">, RSO 1990, </w:t>
      </w:r>
      <w:proofErr w:type="gramStart"/>
      <w:r w:rsidRPr="004856B4">
        <w:rPr>
          <w:sz w:val="20"/>
          <w:szCs w:val="20"/>
        </w:rPr>
        <w:t>c</w:t>
      </w:r>
      <w:proofErr w:type="gramEnd"/>
      <w:r w:rsidRPr="004856B4">
        <w:rPr>
          <w:sz w:val="20"/>
          <w:szCs w:val="20"/>
        </w:rPr>
        <w:t>. L 8?</w:t>
      </w:r>
    </w:p>
    <w:p w:rsidR="00044C59" w:rsidRPr="004856B4" w:rsidRDefault="00044C59" w:rsidP="00044C59">
      <w:pPr>
        <w:jc w:val="both"/>
        <w:rPr>
          <w:sz w:val="20"/>
          <w:szCs w:val="20"/>
        </w:rPr>
      </w:pPr>
    </w:p>
    <w:p w:rsidR="00044C59" w:rsidRPr="004856B4" w:rsidRDefault="00044C59" w:rsidP="00044C59">
      <w:pPr>
        <w:jc w:val="both"/>
        <w:rPr>
          <w:sz w:val="20"/>
          <w:szCs w:val="20"/>
        </w:rPr>
      </w:pPr>
      <w:r w:rsidRPr="004856B4">
        <w:rPr>
          <w:sz w:val="20"/>
          <w:szCs w:val="20"/>
        </w:rPr>
        <w:t>The respondent Law Society of Upper Canada (“LSUC”) denied accreditation to the proposed law school of the appellant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behaviour based on Evangelical Christian notions of Biblical teaching and morality. The covenant prohibited sexual intimacy except after marriage, between a man and a woman. TWU does not prohibit admission to lesbian, gay, bisexual or transgendered (LGBTQ) students, and the covenant prohibited any forms of discrimination or prejudice. However, TWU would prohibit admission to its proposed law school if a student refused to sign the covenant. Because of TWU’s covenant,</w:t>
      </w:r>
      <w:r w:rsidRPr="004856B4">
        <w:rPr>
          <w:b/>
          <w:sz w:val="20"/>
          <w:szCs w:val="20"/>
        </w:rPr>
        <w:t xml:space="preserve"> </w:t>
      </w:r>
      <w:r w:rsidRPr="004856B4">
        <w:rPr>
          <w:sz w:val="20"/>
          <w:szCs w:val="20"/>
        </w:rPr>
        <w:t xml:space="preserve">the LSUC’s Benchers voted to refuse its accreditation in Ontario. On judicial review, the court held that the LSUC was entitled, in the exercise of its statutory mandate to act in the public interest, to refuse to accredit TWU’s proposed law school based on the discriminatory nature of the community covenant. The reviewing court found that although the refusal decision breached the freedom of religion rights of the appellants, TWU and its representative student (“TWU et al.”), the LSUC had engaged in a reasonable and proportionate balancing of the </w:t>
      </w:r>
      <w:r w:rsidRPr="004856B4">
        <w:rPr>
          <w:i/>
          <w:sz w:val="20"/>
          <w:szCs w:val="20"/>
        </w:rPr>
        <w:t xml:space="preserve">Charter </w:t>
      </w:r>
      <w:r w:rsidRPr="004856B4">
        <w:rPr>
          <w:sz w:val="20"/>
          <w:szCs w:val="20"/>
        </w:rPr>
        <w:t>protections at issue. The reviewing court therefore concluded that the LSUC’s refusal decision was reasonable. A unanimous Court of Appeal</w:t>
      </w:r>
      <w:r w:rsidRPr="004856B4">
        <w:rPr>
          <w:b/>
          <w:sz w:val="20"/>
          <w:szCs w:val="20"/>
        </w:rPr>
        <w:t xml:space="preserve"> </w:t>
      </w:r>
      <w:r w:rsidRPr="004856B4">
        <w:rPr>
          <w:sz w:val="20"/>
          <w:szCs w:val="20"/>
        </w:rPr>
        <w:t>dismissed TWU et al.’s subsequent appeal.</w:t>
      </w:r>
    </w:p>
    <w:p w:rsidR="00044C59" w:rsidRPr="00044C59" w:rsidRDefault="00ED1F08" w:rsidP="00782AE4">
      <w:pPr>
        <w:jc w:val="both"/>
        <w:rPr>
          <w:sz w:val="20"/>
          <w:szCs w:val="20"/>
        </w:rPr>
      </w:pPr>
      <w:r>
        <w:rPr>
          <w:sz w:val="20"/>
          <w:szCs w:val="20"/>
          <w:lang w:val="fr-CA"/>
        </w:rPr>
        <w:pict>
          <v:rect id="_x0000_i1074" style="width:2in;height:1pt" o:hrpct="0" o:hralign="center" o:hrstd="t" o:hrnoshade="t" o:hr="t" fillcolor="black [3213]" stroked="f"/>
        </w:pict>
      </w:r>
    </w:p>
    <w:p w:rsidR="00044C59" w:rsidRPr="00044C59" w:rsidRDefault="00044C59" w:rsidP="00782AE4">
      <w:pPr>
        <w:jc w:val="both"/>
        <w:rPr>
          <w:sz w:val="20"/>
          <w:szCs w:val="20"/>
          <w:lang w:val="en-US"/>
        </w:rPr>
      </w:pPr>
    </w:p>
    <w:p w:rsidR="00044C59" w:rsidRDefault="00044C59">
      <w:pPr>
        <w:rPr>
          <w:sz w:val="20"/>
          <w:szCs w:val="20"/>
          <w:lang w:val="en-US"/>
        </w:rPr>
      </w:pPr>
      <w:r>
        <w:rPr>
          <w:sz w:val="20"/>
          <w:szCs w:val="20"/>
          <w:lang w:val="en-US"/>
        </w:rPr>
        <w:br w:type="page"/>
      </w:r>
    </w:p>
    <w:p w:rsidR="00044C59" w:rsidRPr="00E644E0" w:rsidRDefault="00044C59" w:rsidP="00044C59">
      <w:pPr>
        <w:widowControl w:val="0"/>
        <w:rPr>
          <w:b/>
          <w:i/>
          <w:sz w:val="20"/>
          <w:szCs w:val="20"/>
          <w:lang w:val="fr-CA"/>
        </w:rPr>
      </w:pPr>
      <w:r w:rsidRPr="00E644E0">
        <w:rPr>
          <w:b/>
          <w:sz w:val="20"/>
          <w:szCs w:val="20"/>
          <w:lang w:val="fr-CA"/>
        </w:rPr>
        <w:lastRenderedPageBreak/>
        <w:t>37209</w:t>
      </w:r>
      <w:r w:rsidRPr="00E644E0">
        <w:rPr>
          <w:b/>
          <w:sz w:val="20"/>
          <w:szCs w:val="20"/>
          <w:lang w:val="fr-CA"/>
        </w:rPr>
        <w:tab/>
      </w:r>
      <w:r w:rsidRPr="00335D5E">
        <w:rPr>
          <w:b/>
          <w:sz w:val="20"/>
          <w:szCs w:val="20"/>
          <w:lang w:val="fr-CA"/>
        </w:rPr>
        <w:t xml:space="preserve">Trinity Western </w:t>
      </w:r>
      <w:proofErr w:type="spellStart"/>
      <w:r w:rsidRPr="00335D5E">
        <w:rPr>
          <w:b/>
          <w:sz w:val="20"/>
          <w:szCs w:val="20"/>
          <w:lang w:val="fr-CA"/>
        </w:rPr>
        <w:t>University</w:t>
      </w:r>
      <w:proofErr w:type="spellEnd"/>
      <w:r w:rsidRPr="00335D5E">
        <w:rPr>
          <w:b/>
          <w:sz w:val="20"/>
          <w:szCs w:val="20"/>
          <w:lang w:val="fr-CA"/>
        </w:rPr>
        <w:t xml:space="preserve">, </w:t>
      </w:r>
      <w:proofErr w:type="spellStart"/>
      <w:r w:rsidRPr="00335D5E">
        <w:rPr>
          <w:b/>
          <w:sz w:val="20"/>
          <w:szCs w:val="20"/>
          <w:lang w:val="fr-CA"/>
        </w:rPr>
        <w:t>Brayden</w:t>
      </w:r>
      <w:proofErr w:type="spellEnd"/>
      <w:r w:rsidRPr="00335D5E">
        <w:rPr>
          <w:b/>
          <w:sz w:val="20"/>
          <w:szCs w:val="20"/>
          <w:lang w:val="fr-CA"/>
        </w:rPr>
        <w:t xml:space="preserve"> </w:t>
      </w:r>
      <w:proofErr w:type="spellStart"/>
      <w:r w:rsidRPr="00335D5E">
        <w:rPr>
          <w:b/>
          <w:sz w:val="20"/>
          <w:szCs w:val="20"/>
          <w:lang w:val="fr-CA"/>
        </w:rPr>
        <w:t>Volkenant</w:t>
      </w:r>
      <w:proofErr w:type="spellEnd"/>
      <w:r w:rsidRPr="00335D5E">
        <w:rPr>
          <w:b/>
          <w:sz w:val="20"/>
          <w:szCs w:val="20"/>
          <w:lang w:val="fr-CA"/>
        </w:rPr>
        <w:t xml:space="preserve"> c. Barreau du Haut-Canada</w:t>
      </w:r>
    </w:p>
    <w:p w:rsidR="00044C59" w:rsidRPr="00E644E0" w:rsidRDefault="00044C59" w:rsidP="00044C59">
      <w:pPr>
        <w:widowControl w:val="0"/>
        <w:ind w:firstLine="720"/>
        <w:rPr>
          <w:sz w:val="20"/>
          <w:szCs w:val="20"/>
          <w:lang w:val="fr-CA"/>
        </w:rPr>
      </w:pPr>
      <w:r w:rsidRPr="00E644E0">
        <w:rPr>
          <w:sz w:val="20"/>
          <w:szCs w:val="20"/>
          <w:lang w:val="fr-CA"/>
        </w:rPr>
        <w:t>(Ont.) (Civile) (Sur autorisation)</w:t>
      </w:r>
    </w:p>
    <w:p w:rsidR="00044C59" w:rsidRPr="00E644E0" w:rsidRDefault="00044C59" w:rsidP="00044C59">
      <w:pPr>
        <w:widowControl w:val="0"/>
        <w:rPr>
          <w:sz w:val="20"/>
          <w:szCs w:val="20"/>
          <w:lang w:val="fr-CA"/>
        </w:rPr>
      </w:pPr>
    </w:p>
    <w:p w:rsidR="00044C59" w:rsidRPr="00E644E0" w:rsidRDefault="00044C59" w:rsidP="00044C59">
      <w:pPr>
        <w:jc w:val="both"/>
        <w:rPr>
          <w:sz w:val="20"/>
          <w:szCs w:val="20"/>
          <w:lang w:val="fr-CA"/>
        </w:rPr>
      </w:pPr>
      <w:r w:rsidRPr="00E644E0">
        <w:rPr>
          <w:i/>
          <w:sz w:val="20"/>
          <w:szCs w:val="20"/>
          <w:lang w:val="fr-CA"/>
        </w:rPr>
        <w:t>Charte</w:t>
      </w:r>
      <w:r w:rsidRPr="00E644E0">
        <w:rPr>
          <w:sz w:val="20"/>
          <w:szCs w:val="20"/>
          <w:lang w:val="fr-CA"/>
        </w:rPr>
        <w:t xml:space="preserve"> - Liberté de religion - Droits à l’égalité - Réglementation de la profession juridique - Barreaux et ordres professionnels - Refus du barreau de l’Ontario d’accorder l’agrément à la faculté de droit proposée de la Trinity Western </w:t>
      </w:r>
      <w:proofErr w:type="spellStart"/>
      <w:r w:rsidRPr="00E644E0">
        <w:rPr>
          <w:sz w:val="20"/>
          <w:szCs w:val="20"/>
          <w:lang w:val="fr-CA"/>
        </w:rPr>
        <w:t>University</w:t>
      </w:r>
      <w:proofErr w:type="spellEnd"/>
      <w:r w:rsidRPr="00E644E0">
        <w:rPr>
          <w:sz w:val="20"/>
          <w:szCs w:val="20"/>
          <w:lang w:val="fr-CA"/>
        </w:rPr>
        <w:t xml:space="preserve"> (« TWU ») de la Colombie-Britannique parce que les étudiants signeraient un engagement communautaire qui ne reconnaît pas le mariage entre personnes du même sexe - Demande de contrôle judiciaire de la TWU - Confirmation du refus du barreau par la cour de révision et rejet de l’appel subséquent de la TWU - Le refus du barreau était-il raisonnable? - Comment faut-il analyser la décision administrative qui aurait porté atteinte à la </w:t>
      </w:r>
      <w:r w:rsidRPr="00E644E0">
        <w:rPr>
          <w:i/>
          <w:sz w:val="20"/>
          <w:szCs w:val="20"/>
          <w:lang w:val="fr-CA"/>
        </w:rPr>
        <w:t>Charte</w:t>
      </w:r>
      <w:r w:rsidRPr="00E644E0">
        <w:rPr>
          <w:sz w:val="20"/>
          <w:szCs w:val="20"/>
          <w:lang w:val="fr-CA"/>
        </w:rPr>
        <w:t xml:space="preserve">? - Le refus du Barreau porte-t-elle atteinte aux al. 2a), b) ou d) ou au </w:t>
      </w:r>
      <w:proofErr w:type="spellStart"/>
      <w:r w:rsidRPr="00E644E0">
        <w:rPr>
          <w:sz w:val="20"/>
          <w:szCs w:val="20"/>
          <w:lang w:val="fr-CA"/>
        </w:rPr>
        <w:t>par</w:t>
      </w:r>
      <w:proofErr w:type="spellEnd"/>
      <w:r w:rsidRPr="00E644E0">
        <w:rPr>
          <w:sz w:val="20"/>
          <w:szCs w:val="20"/>
          <w:lang w:val="fr-CA"/>
        </w:rPr>
        <w:t xml:space="preserve">. 15(1) de la </w:t>
      </w:r>
      <w:r w:rsidRPr="00E644E0">
        <w:rPr>
          <w:i/>
          <w:sz w:val="20"/>
          <w:szCs w:val="20"/>
          <w:lang w:val="fr-CA"/>
        </w:rPr>
        <w:t>Charte</w:t>
      </w:r>
      <w:r w:rsidRPr="00E644E0">
        <w:rPr>
          <w:sz w:val="20"/>
          <w:szCs w:val="20"/>
          <w:lang w:val="fr-CA"/>
        </w:rPr>
        <w:t xml:space="preserve">? - Y </w:t>
      </w:r>
      <w:proofErr w:type="spellStart"/>
      <w:r w:rsidRPr="00E644E0">
        <w:rPr>
          <w:sz w:val="20"/>
          <w:szCs w:val="20"/>
          <w:lang w:val="fr-CA"/>
        </w:rPr>
        <w:t>a-t-il</w:t>
      </w:r>
      <w:proofErr w:type="spellEnd"/>
      <w:r w:rsidRPr="00E644E0">
        <w:rPr>
          <w:sz w:val="20"/>
          <w:szCs w:val="20"/>
          <w:lang w:val="fr-CA"/>
        </w:rPr>
        <w:t xml:space="preserve"> des droits contradictoires en l’espèce? - Les atteintes sont-elles proportionnées, compte tenu des objectifs de la </w:t>
      </w:r>
      <w:r w:rsidRPr="00E644E0">
        <w:rPr>
          <w:i/>
          <w:sz w:val="20"/>
          <w:szCs w:val="20"/>
          <w:lang w:val="fr-CA"/>
        </w:rPr>
        <w:t>Loi sur le Barreau</w:t>
      </w:r>
      <w:r w:rsidRPr="00E644E0">
        <w:rPr>
          <w:sz w:val="20"/>
          <w:szCs w:val="20"/>
          <w:lang w:val="fr-CA"/>
        </w:rPr>
        <w:t>, LRO 1990, ch. L.8?</w:t>
      </w:r>
    </w:p>
    <w:p w:rsidR="00044C59" w:rsidRPr="00E644E0" w:rsidRDefault="00044C59" w:rsidP="00044C59">
      <w:pPr>
        <w:widowControl w:val="0"/>
        <w:jc w:val="both"/>
        <w:rPr>
          <w:sz w:val="20"/>
          <w:szCs w:val="20"/>
          <w:lang w:val="fr-CA"/>
        </w:rPr>
      </w:pPr>
    </w:p>
    <w:p w:rsidR="00044C59" w:rsidRPr="00E644E0" w:rsidRDefault="00044C59" w:rsidP="00044C59">
      <w:pPr>
        <w:jc w:val="both"/>
        <w:rPr>
          <w:sz w:val="20"/>
          <w:szCs w:val="20"/>
          <w:lang w:val="fr-CA"/>
        </w:rPr>
      </w:pPr>
      <w:r w:rsidRPr="00E644E0">
        <w:rPr>
          <w:sz w:val="20"/>
          <w:szCs w:val="20"/>
          <w:lang w:val="fr-CA"/>
        </w:rPr>
        <w:t xml:space="preserve">L’intimé, le Barreau du Haut-Canada (le « Barreau »), a refusé de donner l’agrément à la faculté de droit proposée de l’appelante, la Trinity Western </w:t>
      </w:r>
      <w:proofErr w:type="spellStart"/>
      <w:r w:rsidRPr="00E644E0">
        <w:rPr>
          <w:sz w:val="20"/>
          <w:szCs w:val="20"/>
          <w:lang w:val="fr-CA"/>
        </w:rPr>
        <w:t>University</w:t>
      </w:r>
      <w:proofErr w:type="spellEnd"/>
      <w:r w:rsidRPr="00E644E0">
        <w:rPr>
          <w:sz w:val="20"/>
          <w:szCs w:val="20"/>
          <w:lang w:val="fr-CA"/>
        </w:rPr>
        <w:t xml:space="preserve"> (« TWU »), qui est un établissement postsecondaire privé situé en Colombie-Britannique offrant de la formation fondée sur des principes chrétiens évangéliques. Son approche de développement communautaire est énoncée sous la forme d’un [</w:t>
      </w:r>
      <w:r w:rsidRPr="00E644E0">
        <w:rPr>
          <w:smallCaps/>
          <w:sz w:val="20"/>
          <w:szCs w:val="20"/>
          <w:lang w:val="fr-CA"/>
        </w:rPr>
        <w:t>traduction</w:t>
      </w:r>
      <w:r w:rsidRPr="00E644E0">
        <w:rPr>
          <w:sz w:val="20"/>
          <w:szCs w:val="20"/>
          <w:lang w:val="fr-CA"/>
        </w:rPr>
        <w:t>] « engagement communautaire », qui consiste en un code de conduite qui encourage ou décourage certains comportements selon des principes chrétiens évangéliques d’enseignement et de moralité bibliques. L’engagement interdit l’intimité sexuelle sauf après le mariage entre un homme et une femme. TWU n’empêche pas l’admission d’étudiants homosexuels, bisexuels ou transgenres (LGBTQ), et l’engagement interdit toute forme de discrimination ou de préjudice. Cependant, la TWU refuserait d’admettre à sa faculté de droit proposée tout étudiant qui ne veut pas signer l’engagement. En raison de cet engagement, les conseillers du Barreau ont décidé, par vote, de refuser d’accorder l’agrément à la TWU en Ontario. Lors du contrôle judiciaire, la cour a conclu que le Barreau était habilité, dans l’exercice de son mandat d’agir dans l’intérêt public conféré par la loi, à refuser de donner l’agrément à la faculté de droit proposée de la TWU compte tenu de la nature discriminatoire de l’engagement communautaire. La cour de révision a conclu que, même si la décision contrevenait à la liberté de religion des appelants, la TWU et son représentant étudiant (« TWU et autre »), le Barreau avait procédé à une mise en balance raisonnable et proportionnée des droits en cause protégés par la Charte. La cour de révision a donc conclu que le refus du Barreau était raisonnable. La Cour d’appel, à l’unanimité, a rejeté l’appel subséquent de la TWU et autre.</w:t>
      </w:r>
    </w:p>
    <w:p w:rsidR="00044C59" w:rsidRPr="00044C59" w:rsidRDefault="00044C59" w:rsidP="00782AE4">
      <w:pPr>
        <w:jc w:val="both"/>
        <w:rPr>
          <w:sz w:val="20"/>
          <w:szCs w:val="20"/>
          <w:lang w:val="fr-CA"/>
        </w:rPr>
      </w:pPr>
    </w:p>
    <w:p w:rsidR="00044C59" w:rsidRDefault="00ED1F08" w:rsidP="00782AE4">
      <w:pPr>
        <w:jc w:val="both"/>
        <w:rPr>
          <w:sz w:val="20"/>
          <w:szCs w:val="20"/>
          <w:lang w:val="fr-CA"/>
        </w:rPr>
      </w:pPr>
      <w:r>
        <w:rPr>
          <w:sz w:val="20"/>
          <w:szCs w:val="20"/>
          <w:lang w:val="fr-CA"/>
        </w:rPr>
        <w:pict>
          <v:rect id="_x0000_i1075" style="width:2in;height:1pt" o:hrpct="0" o:hralign="center" o:hrstd="t" o:hrnoshade="t" o:hr="t" fillcolor="black [3213]" stroked="f"/>
        </w:pict>
      </w:r>
    </w:p>
    <w:p w:rsidR="00044C59" w:rsidRDefault="00044C59" w:rsidP="00782AE4">
      <w:pPr>
        <w:jc w:val="both"/>
        <w:rPr>
          <w:sz w:val="20"/>
          <w:szCs w:val="20"/>
          <w:lang w:val="fr-CA"/>
        </w:rPr>
      </w:pPr>
    </w:p>
    <w:p w:rsidR="00044C59" w:rsidRDefault="00044C59">
      <w:pPr>
        <w:rPr>
          <w:sz w:val="20"/>
          <w:szCs w:val="20"/>
          <w:lang w:val="fr-CA"/>
        </w:rPr>
      </w:pPr>
      <w:r>
        <w:rPr>
          <w:sz w:val="20"/>
          <w:szCs w:val="20"/>
          <w:lang w:val="fr-CA"/>
        </w:rPr>
        <w:br w:type="page"/>
      </w:r>
    </w:p>
    <w:p w:rsidR="00C60725" w:rsidRPr="00C60725" w:rsidRDefault="00C60725" w:rsidP="00C60725">
      <w:pPr>
        <w:pStyle w:val="SCCLsocParty"/>
        <w:ind w:left="720" w:hanging="720"/>
        <w:jc w:val="left"/>
        <w:rPr>
          <w:i/>
          <w:sz w:val="20"/>
          <w:szCs w:val="20"/>
          <w:lang w:val="en-US"/>
        </w:rPr>
      </w:pPr>
      <w:r w:rsidRPr="006B77C0">
        <w:rPr>
          <w:b/>
          <w:sz w:val="20"/>
          <w:szCs w:val="20"/>
        </w:rPr>
        <w:lastRenderedPageBreak/>
        <w:fldChar w:fldCharType="begin"/>
      </w:r>
      <w:r w:rsidRPr="00C60725">
        <w:rPr>
          <w:b/>
          <w:sz w:val="20"/>
          <w:szCs w:val="20"/>
          <w:lang w:val="en-US"/>
        </w:rPr>
        <w:instrText xml:space="preserve"> SEQ CHAPTER \h \r 1</w:instrText>
      </w:r>
      <w:r w:rsidRPr="006B77C0">
        <w:rPr>
          <w:b/>
          <w:sz w:val="20"/>
          <w:szCs w:val="20"/>
        </w:rPr>
        <w:fldChar w:fldCharType="end"/>
      </w:r>
      <w:r w:rsidRPr="00C60725">
        <w:rPr>
          <w:b/>
          <w:sz w:val="20"/>
          <w:szCs w:val="20"/>
          <w:lang w:val="en-US"/>
        </w:rPr>
        <w:t>37318</w:t>
      </w:r>
      <w:r w:rsidRPr="00C60725">
        <w:rPr>
          <w:sz w:val="20"/>
          <w:szCs w:val="20"/>
          <w:lang w:val="en-US"/>
        </w:rPr>
        <w:tab/>
      </w:r>
      <w:r w:rsidRPr="0046222C">
        <w:rPr>
          <w:rFonts w:eastAsiaTheme="minorHAnsi" w:cstheme="minorBidi"/>
          <w:b/>
          <w:sz w:val="20"/>
          <w:szCs w:val="20"/>
          <w:lang w:val="en-CA"/>
        </w:rPr>
        <w:t xml:space="preserve">Law Society of British Columbia v. Trinity Western University, Brayden </w:t>
      </w:r>
      <w:proofErr w:type="spellStart"/>
      <w:r w:rsidRPr="0046222C">
        <w:rPr>
          <w:rFonts w:eastAsiaTheme="minorHAnsi" w:cstheme="minorBidi"/>
          <w:b/>
          <w:sz w:val="20"/>
          <w:szCs w:val="20"/>
          <w:lang w:val="en-CA"/>
        </w:rPr>
        <w:t>Volkenant</w:t>
      </w:r>
      <w:proofErr w:type="spellEnd"/>
    </w:p>
    <w:p w:rsidR="00C60725" w:rsidRPr="006B77C0" w:rsidRDefault="00C60725" w:rsidP="00C60725">
      <w:pPr>
        <w:widowControl w:val="0"/>
        <w:ind w:left="709"/>
        <w:jc w:val="both"/>
        <w:rPr>
          <w:b/>
          <w:i/>
          <w:sz w:val="20"/>
          <w:szCs w:val="20"/>
        </w:rPr>
      </w:pPr>
      <w:r w:rsidRPr="006B77C0">
        <w:rPr>
          <w:sz w:val="20"/>
          <w:szCs w:val="20"/>
        </w:rPr>
        <w:t>(B.C.) (Civil) (By Leave)</w:t>
      </w:r>
    </w:p>
    <w:p w:rsidR="00C60725" w:rsidRPr="006B77C0" w:rsidRDefault="00C60725" w:rsidP="00C60725">
      <w:pPr>
        <w:widowControl w:val="0"/>
        <w:jc w:val="both"/>
        <w:rPr>
          <w:sz w:val="20"/>
          <w:szCs w:val="20"/>
        </w:rPr>
      </w:pPr>
    </w:p>
    <w:p w:rsidR="00C60725" w:rsidRPr="006B77C0" w:rsidRDefault="00C60725" w:rsidP="00C60725">
      <w:pPr>
        <w:widowControl w:val="0"/>
        <w:jc w:val="both"/>
        <w:rPr>
          <w:sz w:val="20"/>
          <w:szCs w:val="20"/>
        </w:rPr>
      </w:pPr>
      <w:r w:rsidRPr="006B77C0">
        <w:rPr>
          <w:i/>
          <w:sz w:val="20"/>
          <w:szCs w:val="20"/>
        </w:rPr>
        <w:t>Charter</w:t>
      </w:r>
      <w:r w:rsidRPr="006B77C0">
        <w:rPr>
          <w:sz w:val="20"/>
          <w:szCs w:val="20"/>
        </w:rPr>
        <w:t xml:space="preserve"> - Freedom of religion - Equality rights - Regulation of legal profession - Law societies and governing bodies - British Columbia law society denied accreditation to Trinity Western University (“TWU”) proposed law school because students would sign community covenant that does not recognize same-sex marriage - TWU sought judicial review - Law society’s refusal decision was set aside by reviewing court and law society’s subsequent appeal was dismissed - Whether law society’s refusal decision was reasonable - Whether law society’s decision </w:t>
      </w:r>
      <w:r w:rsidRPr="006B77C0">
        <w:rPr>
          <w:bCs/>
          <w:sz w:val="20"/>
          <w:szCs w:val="20"/>
        </w:rPr>
        <w:t xml:space="preserve">represents proportionate balancing of rights and values contained in </w:t>
      </w:r>
      <w:r w:rsidRPr="006B77C0">
        <w:rPr>
          <w:bCs/>
          <w:i/>
          <w:sz w:val="20"/>
          <w:szCs w:val="20"/>
        </w:rPr>
        <w:t>Canadian Charter of Rights and Freedoms</w:t>
      </w:r>
      <w:r w:rsidRPr="006B77C0">
        <w:rPr>
          <w:bCs/>
          <w:sz w:val="20"/>
          <w:szCs w:val="20"/>
        </w:rPr>
        <w:t xml:space="preserve"> with applicable statutory objectives of </w:t>
      </w:r>
      <w:r w:rsidRPr="006B77C0">
        <w:rPr>
          <w:bCs/>
          <w:i/>
          <w:sz w:val="20"/>
          <w:szCs w:val="20"/>
        </w:rPr>
        <w:t>Legal Profession Act</w:t>
      </w:r>
      <w:r w:rsidRPr="006B77C0">
        <w:rPr>
          <w:bCs/>
          <w:sz w:val="20"/>
          <w:szCs w:val="20"/>
        </w:rPr>
        <w:t>, SBC 1998, c 9?</w:t>
      </w:r>
    </w:p>
    <w:p w:rsidR="00C60725" w:rsidRPr="006B77C0" w:rsidRDefault="00C60725" w:rsidP="00C60725">
      <w:pPr>
        <w:widowControl w:val="0"/>
        <w:jc w:val="both"/>
        <w:rPr>
          <w:sz w:val="20"/>
          <w:szCs w:val="20"/>
        </w:rPr>
      </w:pPr>
    </w:p>
    <w:p w:rsidR="00C60725" w:rsidRPr="006B77C0" w:rsidRDefault="00C60725" w:rsidP="00C60725">
      <w:pPr>
        <w:jc w:val="both"/>
        <w:rPr>
          <w:sz w:val="20"/>
          <w:szCs w:val="20"/>
        </w:rPr>
      </w:pPr>
      <w:r w:rsidRPr="006B77C0">
        <w:rPr>
          <w:sz w:val="20"/>
          <w:szCs w:val="20"/>
        </w:rPr>
        <w:t xml:space="preserve">The appellant Law Society of British Columbia (“LSBC”) denied accreditation to the proposed law school of the respondent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behaviour based on Evangelical Christian notions of Biblical teaching and morality. The covenant prohibited sexual intimacy except after marriage and between a man and a woman. TWU does not prohibit admission to lesbian, gay, bisexual or transgendered (LGBTQ) students, and the covenant prohibited any forms of discrimination or prejudice. However, TWU would prohibit admission to its proposed law school if a student refused to sign the covenant. In 2014, the LSBC held a binding referendum amongst its members on the issue of whether TWU’s proposed law school should be approved as a recognized law faculty for the purpose of admission of graduates to the bar. Based on the referendum outcome, the LSBC refused recognition. The respondents, TWU and its representative student (“TWU et al.”), sought judicial review. The reviewing court found that the LSBC’s refusal to accredit TWU on the basis of its admissions policy was directly related to the LSBC’s statutory mandate. It also held that the LSBC correctly found that it had discretion to disapprove the academic qualifications of a law faculty, so long as it followed the appropriate procedures and employed the correct analytical framework. However, the Benchers’ delegation of the issue to members, and consequent acceptance of the outcome of the membership referendum, constituted an impermissible delegation and fettering of their discretion, because it ignored their obligation to consider and apply the proportionate balancing of the competing </w:t>
      </w:r>
      <w:r w:rsidRPr="006B77C0">
        <w:rPr>
          <w:i/>
          <w:sz w:val="20"/>
          <w:szCs w:val="20"/>
        </w:rPr>
        <w:t xml:space="preserve">Charter </w:t>
      </w:r>
      <w:r w:rsidRPr="006B77C0">
        <w:rPr>
          <w:sz w:val="20"/>
          <w:szCs w:val="20"/>
        </w:rPr>
        <w:t>rights at issue related to same-sex marriage and religious freedoms. The reviewing court therefore set aside the LSBC’s refusal decision. The LSBC appealed, but unsuccessfully.</w:t>
      </w:r>
    </w:p>
    <w:p w:rsidR="00044C59" w:rsidRDefault="00044C59" w:rsidP="00782AE4">
      <w:pPr>
        <w:jc w:val="both"/>
        <w:rPr>
          <w:sz w:val="20"/>
          <w:szCs w:val="20"/>
          <w:lang w:val="fr-CA"/>
        </w:rPr>
      </w:pPr>
    </w:p>
    <w:p w:rsidR="00C60725" w:rsidRDefault="00ED1F08" w:rsidP="00782AE4">
      <w:pPr>
        <w:jc w:val="both"/>
        <w:rPr>
          <w:sz w:val="20"/>
          <w:szCs w:val="20"/>
          <w:lang w:val="fr-CA"/>
        </w:rPr>
      </w:pPr>
      <w:r>
        <w:rPr>
          <w:sz w:val="20"/>
          <w:szCs w:val="20"/>
          <w:lang w:val="fr-CA"/>
        </w:rPr>
        <w:pict>
          <v:rect id="_x0000_i1076" style="width:2in;height:1pt" o:hrpct="0" o:hralign="center" o:hrstd="t" o:hrnoshade="t" o:hr="t" fillcolor="black [3213]" stroked="f"/>
        </w:pict>
      </w:r>
    </w:p>
    <w:p w:rsidR="00C60725" w:rsidRDefault="00C60725">
      <w:pPr>
        <w:rPr>
          <w:sz w:val="20"/>
          <w:szCs w:val="20"/>
          <w:lang w:val="fr-CA"/>
        </w:rPr>
      </w:pPr>
      <w:r>
        <w:rPr>
          <w:sz w:val="20"/>
          <w:szCs w:val="20"/>
          <w:lang w:val="fr-CA"/>
        </w:rPr>
        <w:br w:type="page"/>
      </w:r>
    </w:p>
    <w:p w:rsidR="00C60725" w:rsidRPr="00BF0D88" w:rsidRDefault="00C60725" w:rsidP="00C60725">
      <w:pPr>
        <w:widowControl w:val="0"/>
        <w:ind w:left="720" w:hanging="720"/>
        <w:jc w:val="both"/>
        <w:rPr>
          <w:b/>
          <w:i/>
          <w:sz w:val="20"/>
          <w:szCs w:val="20"/>
        </w:rPr>
      </w:pPr>
      <w:r w:rsidRPr="00BF0D88">
        <w:rPr>
          <w:b/>
          <w:sz w:val="20"/>
          <w:szCs w:val="20"/>
        </w:rPr>
        <w:lastRenderedPageBreak/>
        <w:fldChar w:fldCharType="begin"/>
      </w:r>
      <w:r w:rsidRPr="00BF0D88">
        <w:rPr>
          <w:b/>
          <w:sz w:val="20"/>
          <w:szCs w:val="20"/>
        </w:rPr>
        <w:instrText xml:space="preserve"> SEQ CHAPTER \h \r 1</w:instrText>
      </w:r>
      <w:r w:rsidRPr="00BF0D88">
        <w:rPr>
          <w:b/>
          <w:sz w:val="20"/>
          <w:szCs w:val="20"/>
        </w:rPr>
        <w:fldChar w:fldCharType="end"/>
      </w:r>
      <w:r w:rsidRPr="00BF0D88">
        <w:rPr>
          <w:b/>
          <w:sz w:val="20"/>
          <w:szCs w:val="20"/>
        </w:rPr>
        <w:t>37318</w:t>
      </w:r>
      <w:r w:rsidRPr="00BF0D88">
        <w:rPr>
          <w:sz w:val="20"/>
          <w:szCs w:val="20"/>
        </w:rPr>
        <w:tab/>
      </w:r>
      <w:r w:rsidRPr="0046222C">
        <w:rPr>
          <w:b/>
          <w:sz w:val="20"/>
          <w:szCs w:val="20"/>
        </w:rPr>
        <w:t xml:space="preserve">Law Society of British Columbia c. Trinity Western University </w:t>
      </w:r>
      <w:proofErr w:type="gramStart"/>
      <w:r w:rsidRPr="0046222C">
        <w:rPr>
          <w:b/>
          <w:sz w:val="20"/>
          <w:szCs w:val="20"/>
        </w:rPr>
        <w:t>et</w:t>
      </w:r>
      <w:proofErr w:type="gramEnd"/>
      <w:r w:rsidRPr="0046222C">
        <w:rPr>
          <w:b/>
          <w:sz w:val="20"/>
          <w:szCs w:val="20"/>
        </w:rPr>
        <w:t xml:space="preserve"> Brayden </w:t>
      </w:r>
      <w:proofErr w:type="spellStart"/>
      <w:r w:rsidRPr="0046222C">
        <w:rPr>
          <w:b/>
          <w:sz w:val="20"/>
          <w:szCs w:val="20"/>
        </w:rPr>
        <w:t>Volkenant</w:t>
      </w:r>
      <w:proofErr w:type="spellEnd"/>
    </w:p>
    <w:p w:rsidR="00C60725" w:rsidRPr="00BF0D88" w:rsidRDefault="00C60725" w:rsidP="00C60725">
      <w:pPr>
        <w:widowControl w:val="0"/>
        <w:ind w:firstLine="720"/>
        <w:jc w:val="both"/>
        <w:rPr>
          <w:b/>
          <w:i/>
          <w:sz w:val="20"/>
          <w:szCs w:val="20"/>
          <w:lang w:val="fr-CA"/>
        </w:rPr>
      </w:pPr>
      <w:r w:rsidRPr="00BF0D88">
        <w:rPr>
          <w:sz w:val="20"/>
          <w:szCs w:val="20"/>
          <w:lang w:val="fr-CA"/>
        </w:rPr>
        <w:t>(C.-B.) (Civile) (Sur autorisation)</w:t>
      </w:r>
    </w:p>
    <w:p w:rsidR="00C60725" w:rsidRPr="00BF0D88" w:rsidRDefault="00C60725" w:rsidP="00C60725">
      <w:pPr>
        <w:widowControl w:val="0"/>
        <w:ind w:left="1440" w:hanging="1440"/>
        <w:jc w:val="both"/>
        <w:rPr>
          <w:sz w:val="20"/>
          <w:szCs w:val="20"/>
          <w:lang w:val="fr-CA"/>
        </w:rPr>
      </w:pPr>
    </w:p>
    <w:p w:rsidR="00C60725" w:rsidRPr="00BF0D88" w:rsidRDefault="00C60725" w:rsidP="00C60725">
      <w:pPr>
        <w:widowControl w:val="0"/>
        <w:jc w:val="both"/>
        <w:rPr>
          <w:sz w:val="20"/>
          <w:szCs w:val="20"/>
          <w:lang w:val="fr-CA"/>
        </w:rPr>
      </w:pPr>
      <w:r w:rsidRPr="00BF0D88">
        <w:rPr>
          <w:i/>
          <w:sz w:val="20"/>
          <w:szCs w:val="20"/>
          <w:lang w:val="fr-CA"/>
        </w:rPr>
        <w:t>Charte</w:t>
      </w:r>
      <w:r w:rsidRPr="00BF0D88">
        <w:rPr>
          <w:sz w:val="20"/>
          <w:szCs w:val="20"/>
          <w:lang w:val="fr-CA"/>
        </w:rPr>
        <w:t xml:space="preserve"> - Liberté de religion - Droits à l’égalité - Réglementation de la profession juridique - Barreaux et ordres professionnels - Refus du barreau de la Colombie-Britannique d’accorder l’agrément à la faculté de droit proposée de la Trinity Western </w:t>
      </w:r>
      <w:proofErr w:type="spellStart"/>
      <w:r w:rsidRPr="00BF0D88">
        <w:rPr>
          <w:sz w:val="20"/>
          <w:szCs w:val="20"/>
          <w:lang w:val="fr-CA"/>
        </w:rPr>
        <w:t>University</w:t>
      </w:r>
      <w:proofErr w:type="spellEnd"/>
      <w:r w:rsidRPr="00BF0D88">
        <w:rPr>
          <w:sz w:val="20"/>
          <w:szCs w:val="20"/>
          <w:lang w:val="fr-CA"/>
        </w:rPr>
        <w:t xml:space="preserve"> (« TWU ») parce que les étudiants signeraient un engagement communautaire qui ne reconnaît pas le mariage entre personnes du même sexe - Demande de contrôle judiciaire de la TWU - Annulation du refus du barreau par la cour de révision et rejet de l’appel subséquent du barreau - Le refus du barreau était-il raisonnable? - La décision du barreau représente-t-elle une mise en balance proportionnée des droits et valeurs contenus dans la </w:t>
      </w:r>
      <w:r w:rsidRPr="00BF0D88">
        <w:rPr>
          <w:i/>
          <w:sz w:val="20"/>
          <w:szCs w:val="20"/>
          <w:lang w:val="fr-CA"/>
        </w:rPr>
        <w:t>Charte canadienne des droits et libertés</w:t>
      </w:r>
      <w:r w:rsidRPr="00BF0D88">
        <w:rPr>
          <w:sz w:val="20"/>
          <w:szCs w:val="20"/>
          <w:lang w:val="fr-CA"/>
        </w:rPr>
        <w:t xml:space="preserve"> et des objectifs applicables de la </w:t>
      </w:r>
      <w:proofErr w:type="spellStart"/>
      <w:r w:rsidRPr="00BF0D88">
        <w:rPr>
          <w:i/>
          <w:sz w:val="20"/>
          <w:szCs w:val="20"/>
          <w:lang w:val="fr-CA"/>
        </w:rPr>
        <w:t>Legal</w:t>
      </w:r>
      <w:proofErr w:type="spellEnd"/>
      <w:r w:rsidRPr="00BF0D88">
        <w:rPr>
          <w:i/>
          <w:sz w:val="20"/>
          <w:szCs w:val="20"/>
          <w:lang w:val="fr-CA"/>
        </w:rPr>
        <w:t xml:space="preserve"> Profession </w:t>
      </w:r>
      <w:proofErr w:type="spellStart"/>
      <w:r w:rsidRPr="00BF0D88">
        <w:rPr>
          <w:i/>
          <w:sz w:val="20"/>
          <w:szCs w:val="20"/>
          <w:lang w:val="fr-CA"/>
        </w:rPr>
        <w:t>Act</w:t>
      </w:r>
      <w:proofErr w:type="spellEnd"/>
      <w:r w:rsidRPr="00BF0D88">
        <w:rPr>
          <w:sz w:val="20"/>
          <w:szCs w:val="20"/>
          <w:lang w:val="fr-CA"/>
        </w:rPr>
        <w:t>, SBC, 1998, ch. 9?</w:t>
      </w:r>
    </w:p>
    <w:p w:rsidR="00C60725" w:rsidRPr="00BF0D88" w:rsidRDefault="00C60725" w:rsidP="00C60725">
      <w:pPr>
        <w:widowControl w:val="0"/>
        <w:jc w:val="both"/>
        <w:rPr>
          <w:sz w:val="20"/>
          <w:szCs w:val="20"/>
          <w:lang w:val="fr-CA"/>
        </w:rPr>
      </w:pPr>
    </w:p>
    <w:p w:rsidR="00C60725" w:rsidRPr="00BF0D88" w:rsidRDefault="00C60725" w:rsidP="00C60725">
      <w:pPr>
        <w:jc w:val="both"/>
        <w:rPr>
          <w:sz w:val="20"/>
          <w:szCs w:val="20"/>
        </w:rPr>
      </w:pPr>
      <w:r w:rsidRPr="00BF0D88">
        <w:rPr>
          <w:sz w:val="20"/>
          <w:szCs w:val="20"/>
          <w:lang w:val="fr-CA"/>
        </w:rPr>
        <w:t xml:space="preserve">L’appelante, la Law Society of British Columbia (le « Barreau »), a refusé de donner l’agrément à la faculté de droit proposée de l’intimée, la Trinity Western </w:t>
      </w:r>
      <w:proofErr w:type="spellStart"/>
      <w:r w:rsidRPr="00BF0D88">
        <w:rPr>
          <w:sz w:val="20"/>
          <w:szCs w:val="20"/>
          <w:lang w:val="fr-CA"/>
        </w:rPr>
        <w:t>University</w:t>
      </w:r>
      <w:proofErr w:type="spellEnd"/>
      <w:r w:rsidRPr="00BF0D88">
        <w:rPr>
          <w:sz w:val="20"/>
          <w:szCs w:val="20"/>
          <w:lang w:val="fr-CA"/>
        </w:rPr>
        <w:t xml:space="preserve"> (« TWU »), qui est un établissement postsecondaire privé situé en Colombie-Britannique offrant de la formation fondée sur des principes chrétiens évangéliques. Son approche de développement communautaire est énoncée sous la forme d’un [</w:t>
      </w:r>
      <w:r w:rsidRPr="00BF0D88">
        <w:rPr>
          <w:smallCaps/>
          <w:sz w:val="20"/>
          <w:szCs w:val="20"/>
          <w:lang w:val="fr-CA"/>
        </w:rPr>
        <w:t>traduction</w:t>
      </w:r>
      <w:r w:rsidRPr="00BF0D88">
        <w:rPr>
          <w:sz w:val="20"/>
          <w:szCs w:val="20"/>
          <w:lang w:val="fr-CA"/>
        </w:rPr>
        <w:t>] « engagement communautaire », qui consiste en un code de conduite qui encourage ou décourage certains comportements selon des principes chrétiens évangéliques d’enseignement et de moralité bibliques. L’engagement interdit l’intimité sexuelle sauf après le mariage et entre un homme et une femme. TWU n’empêche pas l’admission d’étudiants homosexuels, bisexuels ou transgenres (LGBTQ), et l’engagement interdit toute forme de discrimination ou de préjugé. Cependant, la TWU refuserait d’admettre à sa faculté de droit proposée tout étudiant qui ne veut pas signer l’engagement. En 2014, le Barreau a tenu un référendum exécutoire parmi ses membres sur la question de savoir si la faculté de droit proposée de la TWU devait recevoir l’agrément et être une faculté de droit reconnue aux fins de l’admission des diplômés au barreau. Compte tenu de l’issue du référendum, le barreau a refusé de donner l’agrément. Les intimés, la TWU et son représentant étudiant (« TWU et autre »), ont demandé un contrôle judiciaire. La cour saisie de ce contrôle a conclu que le refus du Barreau d’accorder l’agrément à la TWU sur la base de sa politique d’admission se rapportait directement au mandat que la loi lui confère. Elle a également conclu que le Barreau avait estimé, à bon droit, qu’il avait discrétion pour désapprouver la formation donnée par une faculté de droit, à condition qu’il applique les procédures adéquates et le bon cadre d’analyse. Cependant, le fait que les conseillers aient délégué cette question aux membres, et que l’issue de ce référendum des membres ait été acceptée, constitue une délégation inacceptable et une entrave à leur pouvoir discrétionnaire, parce que leur obligation d’examiner et d’appliquer une mise en balance proportionnée des droits opposés protégés par la Charte, dans ce cas le mariage entre personnes du même sexe et la liberté de religion, n’est pas prise en compte. La cour de révision a donc infirmé le refus du Barreau. Celui-ci a interjeté appel, sans succès</w:t>
      </w:r>
      <w:r w:rsidRPr="00BF0D88">
        <w:rPr>
          <w:sz w:val="20"/>
          <w:szCs w:val="20"/>
        </w:rPr>
        <w:t>.</w:t>
      </w:r>
    </w:p>
    <w:p w:rsidR="00C60725" w:rsidRDefault="00C60725" w:rsidP="00782AE4">
      <w:pPr>
        <w:jc w:val="both"/>
        <w:rPr>
          <w:sz w:val="20"/>
          <w:szCs w:val="20"/>
          <w:lang w:val="fr-CA"/>
        </w:rPr>
      </w:pPr>
    </w:p>
    <w:p w:rsidR="00C60725" w:rsidRDefault="00ED1F08" w:rsidP="00782AE4">
      <w:pPr>
        <w:jc w:val="both"/>
        <w:rPr>
          <w:sz w:val="20"/>
          <w:szCs w:val="20"/>
          <w:lang w:val="fr-CA"/>
        </w:rPr>
      </w:pPr>
      <w:r>
        <w:rPr>
          <w:sz w:val="20"/>
          <w:szCs w:val="20"/>
          <w:lang w:val="fr-CA"/>
        </w:rPr>
        <w:pict>
          <v:rect id="_x0000_i1077" style="width:2in;height:1pt" o:hrpct="0" o:hralign="center" o:hrstd="t" o:hrnoshade="t" o:hr="t" fillcolor="black [3213]" stroked="f"/>
        </w:pict>
      </w:r>
    </w:p>
    <w:p w:rsidR="00C60725" w:rsidRDefault="00C60725" w:rsidP="00782AE4">
      <w:pPr>
        <w:jc w:val="both"/>
        <w:rPr>
          <w:sz w:val="20"/>
          <w:szCs w:val="20"/>
          <w:lang w:val="fr-CA"/>
        </w:rPr>
      </w:pPr>
    </w:p>
    <w:p w:rsidR="00C60725" w:rsidRDefault="00C60725" w:rsidP="00782AE4">
      <w:pPr>
        <w:jc w:val="both"/>
        <w:rPr>
          <w:sz w:val="20"/>
          <w:szCs w:val="20"/>
          <w:lang w:val="fr-CA"/>
        </w:rPr>
      </w:pPr>
    </w:p>
    <w:p w:rsidR="00C60725" w:rsidRDefault="00C60725">
      <w:pPr>
        <w:rPr>
          <w:sz w:val="20"/>
          <w:szCs w:val="20"/>
          <w:lang w:val="fr-CA"/>
        </w:rPr>
      </w:pPr>
      <w:r>
        <w:rPr>
          <w:sz w:val="20"/>
          <w:szCs w:val="20"/>
          <w:lang w:val="fr-CA"/>
        </w:rPr>
        <w:br w:type="page"/>
      </w:r>
    </w:p>
    <w:p w:rsidR="001F0B90" w:rsidRPr="001F0B90" w:rsidRDefault="001F0B90" w:rsidP="001F0B90">
      <w:pPr>
        <w:pStyle w:val="SCCLsocParty"/>
        <w:ind w:left="720" w:hanging="720"/>
        <w:jc w:val="left"/>
        <w:rPr>
          <w:sz w:val="20"/>
          <w:szCs w:val="20"/>
          <w:lang w:val="en-US"/>
        </w:rPr>
      </w:pPr>
      <w:r w:rsidRPr="001F0B90">
        <w:rPr>
          <w:b/>
          <w:sz w:val="20"/>
          <w:szCs w:val="20"/>
        </w:rPr>
        <w:lastRenderedPageBreak/>
        <w:fldChar w:fldCharType="begin"/>
      </w:r>
      <w:r w:rsidRPr="001F0B90">
        <w:rPr>
          <w:b/>
          <w:sz w:val="20"/>
          <w:szCs w:val="20"/>
          <w:lang w:val="en-US"/>
        </w:rPr>
        <w:instrText xml:space="preserve"> SEQ CHAPTER \h \r 1</w:instrText>
      </w:r>
      <w:r w:rsidRPr="001F0B90">
        <w:rPr>
          <w:b/>
          <w:sz w:val="20"/>
          <w:szCs w:val="20"/>
        </w:rPr>
        <w:fldChar w:fldCharType="end"/>
      </w:r>
      <w:r w:rsidRPr="001F0B90">
        <w:rPr>
          <w:b/>
          <w:sz w:val="20"/>
          <w:szCs w:val="20"/>
          <w:lang w:val="en-US"/>
        </w:rPr>
        <w:t>37423</w:t>
      </w:r>
      <w:r w:rsidRPr="001F0B90">
        <w:rPr>
          <w:sz w:val="20"/>
          <w:szCs w:val="20"/>
          <w:lang w:val="en-US"/>
        </w:rPr>
        <w:tab/>
      </w:r>
      <w:r w:rsidRPr="001F0B90">
        <w:rPr>
          <w:b/>
          <w:sz w:val="20"/>
          <w:szCs w:val="20"/>
          <w:lang w:val="en-US"/>
        </w:rPr>
        <w:t>West Fraser Mills Ltd. v. Workers’ Compensation Appeal Tribunal, Workers’ Compensation Board of British Columbia</w:t>
      </w:r>
      <w:r>
        <w:rPr>
          <w:sz w:val="20"/>
          <w:szCs w:val="20"/>
          <w:lang w:val="en-US"/>
        </w:rPr>
        <w:t xml:space="preserve"> </w:t>
      </w:r>
      <w:r w:rsidRPr="00F516F8">
        <w:rPr>
          <w:sz w:val="20"/>
          <w:szCs w:val="20"/>
          <w:lang w:val="en-CA"/>
        </w:rPr>
        <w:t>(B.C.) (Civil) (By Leave)</w:t>
      </w:r>
    </w:p>
    <w:p w:rsidR="001F0B90" w:rsidRPr="00F516F8" w:rsidRDefault="001F0B90" w:rsidP="001F0B90">
      <w:pPr>
        <w:widowControl w:val="0"/>
        <w:jc w:val="both"/>
        <w:rPr>
          <w:sz w:val="20"/>
          <w:szCs w:val="20"/>
        </w:rPr>
      </w:pPr>
    </w:p>
    <w:p w:rsidR="001F0B90" w:rsidRPr="00F516F8" w:rsidRDefault="001F0B90" w:rsidP="001F0B90">
      <w:pPr>
        <w:widowControl w:val="0"/>
        <w:jc w:val="both"/>
        <w:rPr>
          <w:sz w:val="20"/>
          <w:szCs w:val="20"/>
        </w:rPr>
      </w:pPr>
      <w:r w:rsidRPr="00F516F8">
        <w:rPr>
          <w:sz w:val="20"/>
          <w:szCs w:val="20"/>
        </w:rPr>
        <w:t xml:space="preserve">Administrative law </w:t>
      </w:r>
      <w:r w:rsidR="006F0B60">
        <w:rPr>
          <w:sz w:val="20"/>
          <w:szCs w:val="20"/>
        </w:rPr>
        <w:t>-</w:t>
      </w:r>
      <w:r w:rsidRPr="00F516F8">
        <w:rPr>
          <w:sz w:val="20"/>
          <w:szCs w:val="20"/>
        </w:rPr>
        <w:t xml:space="preserve"> Judicial review </w:t>
      </w:r>
      <w:r w:rsidR="006F0B60">
        <w:rPr>
          <w:sz w:val="20"/>
          <w:szCs w:val="20"/>
        </w:rPr>
        <w:t>-</w:t>
      </w:r>
      <w:r w:rsidRPr="00F516F8">
        <w:rPr>
          <w:sz w:val="20"/>
          <w:szCs w:val="20"/>
        </w:rPr>
        <w:t xml:space="preserve"> Standard of review </w:t>
      </w:r>
      <w:r w:rsidR="006F0B60">
        <w:rPr>
          <w:sz w:val="20"/>
          <w:szCs w:val="20"/>
        </w:rPr>
        <w:t>-</w:t>
      </w:r>
      <w:r w:rsidRPr="00F516F8">
        <w:rPr>
          <w:sz w:val="20"/>
          <w:szCs w:val="20"/>
        </w:rPr>
        <w:t xml:space="preserve"> Workers compensation </w:t>
      </w:r>
      <w:r w:rsidR="006F0B60">
        <w:rPr>
          <w:sz w:val="20"/>
          <w:szCs w:val="20"/>
        </w:rPr>
        <w:t>-</w:t>
      </w:r>
      <w:r w:rsidRPr="00F516F8">
        <w:rPr>
          <w:sz w:val="20"/>
          <w:szCs w:val="20"/>
        </w:rPr>
        <w:t xml:space="preserve"> Regulations </w:t>
      </w:r>
      <w:r w:rsidR="006F0B60">
        <w:rPr>
          <w:sz w:val="20"/>
          <w:szCs w:val="20"/>
        </w:rPr>
        <w:t>-</w:t>
      </w:r>
      <w:r w:rsidRPr="00F516F8">
        <w:rPr>
          <w:sz w:val="20"/>
          <w:szCs w:val="20"/>
        </w:rPr>
        <w:t xml:space="preserve"> Validity </w:t>
      </w:r>
      <w:r w:rsidR="006F0B60">
        <w:rPr>
          <w:sz w:val="20"/>
          <w:szCs w:val="20"/>
        </w:rPr>
        <w:t>-</w:t>
      </w:r>
      <w:r w:rsidRPr="00F516F8">
        <w:rPr>
          <w:sz w:val="20"/>
          <w:szCs w:val="20"/>
        </w:rPr>
        <w:t xml:space="preserve"> Statutory regime imposing administrative penalty on employer if employer committed certain violations in relation to work safety </w:t>
      </w:r>
      <w:r w:rsidR="006F0B60">
        <w:rPr>
          <w:sz w:val="20"/>
          <w:szCs w:val="20"/>
        </w:rPr>
        <w:t>-</w:t>
      </w:r>
      <w:r w:rsidRPr="00F516F8">
        <w:rPr>
          <w:sz w:val="20"/>
          <w:szCs w:val="20"/>
        </w:rPr>
        <w:t xml:space="preserve"> Owner of workplace challenging administrative penalty </w:t>
      </w:r>
      <w:r w:rsidR="006F0B60">
        <w:rPr>
          <w:sz w:val="20"/>
          <w:szCs w:val="20"/>
        </w:rPr>
        <w:t>-</w:t>
      </w:r>
      <w:r w:rsidRPr="00F516F8">
        <w:rPr>
          <w:sz w:val="20"/>
          <w:szCs w:val="20"/>
        </w:rPr>
        <w:t xml:space="preserve">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w:t>
      </w:r>
      <w:r w:rsidR="006F0B60">
        <w:rPr>
          <w:sz w:val="20"/>
          <w:szCs w:val="20"/>
        </w:rPr>
        <w:t>-</w:t>
      </w:r>
      <w:r w:rsidRPr="00F516F8">
        <w:rPr>
          <w:sz w:val="20"/>
          <w:szCs w:val="20"/>
        </w:rPr>
        <w:t xml:space="preserve"> Is the application of a deferential standard of review sufficient to permit an administrative tribunal to act inconsistently with the legislative intention expressed in defined terms in legislation? </w:t>
      </w:r>
      <w:r w:rsidR="006F0B60">
        <w:rPr>
          <w:sz w:val="20"/>
          <w:szCs w:val="20"/>
        </w:rPr>
        <w:t>-</w:t>
      </w:r>
      <w:r w:rsidRPr="00F516F8">
        <w:rPr>
          <w:sz w:val="20"/>
          <w:szCs w:val="20"/>
        </w:rPr>
        <w:t xml:space="preserve"> </w:t>
      </w:r>
      <w:r w:rsidRPr="00F516F8">
        <w:rPr>
          <w:i/>
          <w:iCs/>
          <w:sz w:val="20"/>
          <w:szCs w:val="20"/>
        </w:rPr>
        <w:t>Workers Compensation Act</w:t>
      </w:r>
      <w:r w:rsidRPr="00F516F8">
        <w:rPr>
          <w:sz w:val="20"/>
          <w:szCs w:val="20"/>
        </w:rPr>
        <w:t xml:space="preserve">, R.S.B.C. 1996, c. 492, s. 196(1) </w:t>
      </w:r>
      <w:r w:rsidR="006F0B60">
        <w:rPr>
          <w:sz w:val="20"/>
          <w:szCs w:val="20"/>
        </w:rPr>
        <w:t>-</w:t>
      </w:r>
      <w:r w:rsidRPr="00F516F8">
        <w:rPr>
          <w:sz w:val="20"/>
          <w:szCs w:val="20"/>
        </w:rPr>
        <w:t xml:space="preserve"> </w:t>
      </w:r>
      <w:r w:rsidRPr="00F516F8">
        <w:rPr>
          <w:i/>
          <w:iCs/>
          <w:sz w:val="20"/>
          <w:szCs w:val="20"/>
        </w:rPr>
        <w:t>Occupational Health and Safety Regulation</w:t>
      </w:r>
      <w:r w:rsidRPr="00F516F8">
        <w:rPr>
          <w:sz w:val="20"/>
          <w:szCs w:val="20"/>
        </w:rPr>
        <w:t>, B.C. Reg. 296/97, s. 26.2.</w:t>
      </w:r>
    </w:p>
    <w:p w:rsidR="001F0B90" w:rsidRPr="00F516F8" w:rsidRDefault="001F0B90" w:rsidP="001F0B90">
      <w:pPr>
        <w:widowControl w:val="0"/>
        <w:jc w:val="both"/>
        <w:rPr>
          <w:sz w:val="20"/>
          <w:szCs w:val="20"/>
        </w:rPr>
      </w:pPr>
    </w:p>
    <w:p w:rsidR="001F0B90" w:rsidRPr="00F516F8" w:rsidRDefault="001F0B90" w:rsidP="001F0B90">
      <w:pPr>
        <w:jc w:val="both"/>
        <w:rPr>
          <w:sz w:val="20"/>
          <w:szCs w:val="20"/>
        </w:rPr>
      </w:pPr>
      <w:r w:rsidRPr="00F516F8">
        <w:rPr>
          <w:sz w:val="20"/>
          <w:szCs w:val="20"/>
        </w:rPr>
        <w:t xml:space="preserve">E, a tree faller, was fatally struck by a rotting tree while working within the area of a forest licence held by the appellant West Fraser Mills Ltd. West Fraser was the “owner” of the workplace, as defined in Part 3 of the </w:t>
      </w:r>
      <w:r w:rsidRPr="00F516F8">
        <w:rPr>
          <w:i/>
          <w:iCs/>
          <w:sz w:val="20"/>
          <w:szCs w:val="20"/>
        </w:rPr>
        <w:t>Workers Compensation Act</w:t>
      </w:r>
      <w:r w:rsidRPr="00F516F8">
        <w:rPr>
          <w:sz w:val="20"/>
          <w:szCs w:val="20"/>
        </w:rPr>
        <w:t xml:space="preserve">, R.S.B.C. 1996, c. 492. West Fraser was not E’s employer who worked for an independent contractor. The Workers’ Compensation Board of British Columbia investigated the accident and found that West Fraser had failed to ensure that all activities of the forestry operation were both planned and conducted in a manner consistent with the Regulation and with safe work practices acceptable to the Board pursuant to s. 26.2 of the </w:t>
      </w:r>
      <w:r w:rsidRPr="00F516F8">
        <w:rPr>
          <w:i/>
          <w:iCs/>
          <w:sz w:val="20"/>
          <w:szCs w:val="20"/>
        </w:rPr>
        <w:t>Occupational Health and Safety Regulation</w:t>
      </w:r>
      <w:r w:rsidRPr="00F516F8">
        <w:rPr>
          <w:sz w:val="20"/>
          <w:szCs w:val="20"/>
        </w:rPr>
        <w:t xml:space="preserve">, B.C. Reg. 296/97. The Board imposed on West Fraser an administrative penalty for the violation, pursuant to s. 196(1) of the </w:t>
      </w:r>
      <w:r w:rsidRPr="00F516F8">
        <w:rPr>
          <w:iCs/>
          <w:sz w:val="20"/>
          <w:szCs w:val="20"/>
        </w:rPr>
        <w:t>Act</w:t>
      </w:r>
      <w:r w:rsidRPr="00F516F8">
        <w:rPr>
          <w:sz w:val="20"/>
          <w:szCs w:val="20"/>
        </w:rPr>
        <w:t xml:space="preserve">. </w:t>
      </w:r>
    </w:p>
    <w:p w:rsidR="001F0B90" w:rsidRPr="00F516F8" w:rsidRDefault="001F0B90" w:rsidP="001F0B90">
      <w:pPr>
        <w:rPr>
          <w:sz w:val="20"/>
          <w:szCs w:val="20"/>
        </w:rPr>
      </w:pPr>
    </w:p>
    <w:p w:rsidR="001F0B90" w:rsidRPr="00F516F8" w:rsidRDefault="001F0B90" w:rsidP="001F0B90">
      <w:pPr>
        <w:jc w:val="both"/>
        <w:rPr>
          <w:sz w:val="20"/>
          <w:szCs w:val="20"/>
        </w:rPr>
      </w:pPr>
      <w:r w:rsidRPr="00F516F8">
        <w:rPr>
          <w:sz w:val="20"/>
          <w:szCs w:val="20"/>
        </w:rPr>
        <w:t xml:space="preserve">West Fraser requested a review of the order.  A review officer confirmed the Board’s penalty order and the finding of violation. On appeal to the Workers’ Compensation Appeal Tribunal, West Fraser argued that s. 26.2 of the Regulation is </w:t>
      </w:r>
      <w:r w:rsidRPr="00F516F8">
        <w:rPr>
          <w:i/>
          <w:sz w:val="20"/>
          <w:szCs w:val="20"/>
        </w:rPr>
        <w:t>ultra vires</w:t>
      </w:r>
      <w:r w:rsidRPr="00F516F8">
        <w:rPr>
          <w:sz w:val="20"/>
          <w:szCs w:val="20"/>
        </w:rPr>
        <w:t>, and that an administrative penalty can only be levied against a person who has, in the course of acting as an employer, committed a violation.  The Appeal Tribunal dismissed West Fraser’s appeal.</w:t>
      </w:r>
    </w:p>
    <w:p w:rsidR="00C60725" w:rsidRDefault="00C60725" w:rsidP="00782AE4">
      <w:pPr>
        <w:jc w:val="both"/>
        <w:rPr>
          <w:sz w:val="20"/>
          <w:szCs w:val="20"/>
          <w:lang w:val="fr-CA"/>
        </w:rPr>
      </w:pPr>
    </w:p>
    <w:p w:rsidR="00C60725" w:rsidRDefault="00ED1F08" w:rsidP="00782AE4">
      <w:pPr>
        <w:jc w:val="both"/>
        <w:rPr>
          <w:sz w:val="20"/>
          <w:szCs w:val="20"/>
          <w:lang w:val="fr-CA"/>
        </w:rPr>
      </w:pPr>
      <w:r>
        <w:rPr>
          <w:sz w:val="20"/>
          <w:szCs w:val="20"/>
          <w:lang w:val="fr-CA"/>
        </w:rPr>
        <w:pict>
          <v:rect id="_x0000_i1078" style="width:2in;height:1pt" o:hrpct="0" o:hralign="center" o:hrstd="t" o:hrnoshade="t" o:hr="t" fillcolor="black [3213]" stroked="f"/>
        </w:pict>
      </w:r>
    </w:p>
    <w:p w:rsidR="001F0B90" w:rsidRDefault="001F0B90" w:rsidP="00782AE4">
      <w:pPr>
        <w:jc w:val="both"/>
        <w:rPr>
          <w:sz w:val="20"/>
          <w:szCs w:val="20"/>
          <w:lang w:val="fr-CA"/>
        </w:rPr>
      </w:pPr>
    </w:p>
    <w:p w:rsidR="001F0B90" w:rsidRDefault="001F0B90" w:rsidP="00782AE4">
      <w:pPr>
        <w:jc w:val="both"/>
        <w:rPr>
          <w:sz w:val="20"/>
          <w:szCs w:val="20"/>
          <w:lang w:val="fr-CA"/>
        </w:rPr>
      </w:pPr>
    </w:p>
    <w:p w:rsidR="001F0B90" w:rsidRDefault="001F0B90">
      <w:pPr>
        <w:rPr>
          <w:b/>
          <w:sz w:val="20"/>
          <w:szCs w:val="20"/>
        </w:rPr>
      </w:pPr>
      <w:r>
        <w:rPr>
          <w:b/>
          <w:sz w:val="20"/>
          <w:szCs w:val="20"/>
        </w:rPr>
        <w:br w:type="page"/>
      </w:r>
    </w:p>
    <w:p w:rsidR="001F0B90" w:rsidRPr="00F64B17" w:rsidRDefault="001F0B90" w:rsidP="001F0B90">
      <w:pPr>
        <w:widowControl w:val="0"/>
        <w:ind w:left="720" w:hanging="720"/>
        <w:jc w:val="both"/>
        <w:rPr>
          <w:b/>
          <w:i/>
          <w:sz w:val="20"/>
          <w:szCs w:val="20"/>
        </w:rPr>
      </w:pPr>
      <w:r w:rsidRPr="00F64B17">
        <w:rPr>
          <w:b/>
          <w:sz w:val="20"/>
          <w:szCs w:val="20"/>
        </w:rPr>
        <w:lastRenderedPageBreak/>
        <w:fldChar w:fldCharType="begin"/>
      </w:r>
      <w:r w:rsidRPr="00F64B17">
        <w:rPr>
          <w:b/>
          <w:sz w:val="20"/>
          <w:szCs w:val="20"/>
        </w:rPr>
        <w:instrText xml:space="preserve"> SEQ CHAPTER \h \r 1</w:instrText>
      </w:r>
      <w:r w:rsidRPr="00F64B17">
        <w:rPr>
          <w:b/>
          <w:sz w:val="20"/>
          <w:szCs w:val="20"/>
        </w:rPr>
        <w:fldChar w:fldCharType="end"/>
      </w:r>
      <w:r w:rsidRPr="00F64B17">
        <w:rPr>
          <w:b/>
          <w:sz w:val="20"/>
          <w:szCs w:val="20"/>
        </w:rPr>
        <w:t>37423</w:t>
      </w:r>
      <w:r w:rsidRPr="00F64B17">
        <w:rPr>
          <w:sz w:val="20"/>
          <w:szCs w:val="20"/>
        </w:rPr>
        <w:tab/>
      </w:r>
      <w:r w:rsidRPr="0046222C">
        <w:rPr>
          <w:b/>
          <w:sz w:val="20"/>
          <w:szCs w:val="20"/>
        </w:rPr>
        <w:t>West Fraser Mills Ltd. c. Workers’ Compensation Appeal Tribunal, Workers’ Compensation Board of British Columbia</w:t>
      </w:r>
    </w:p>
    <w:p w:rsidR="001F0B90" w:rsidRPr="00F64B17" w:rsidRDefault="001F0B90" w:rsidP="001F0B90">
      <w:pPr>
        <w:widowControl w:val="0"/>
        <w:ind w:left="1440" w:hanging="720"/>
        <w:jc w:val="both"/>
        <w:rPr>
          <w:sz w:val="20"/>
          <w:szCs w:val="20"/>
          <w:lang w:val="fr-CA"/>
        </w:rPr>
      </w:pPr>
      <w:r w:rsidRPr="00F64B17">
        <w:rPr>
          <w:sz w:val="20"/>
          <w:szCs w:val="20"/>
          <w:lang w:val="fr-CA"/>
        </w:rPr>
        <w:t>(C.-B.) (Civile) (Sur autorisation)</w:t>
      </w:r>
    </w:p>
    <w:p w:rsidR="001F0B90" w:rsidRPr="00F64B17" w:rsidRDefault="001F0B90" w:rsidP="001F0B90">
      <w:pPr>
        <w:widowControl w:val="0"/>
        <w:jc w:val="both"/>
        <w:rPr>
          <w:sz w:val="20"/>
          <w:szCs w:val="20"/>
          <w:lang w:val="fr-CA"/>
        </w:rPr>
      </w:pPr>
    </w:p>
    <w:p w:rsidR="001F0B90" w:rsidRPr="00F64B17" w:rsidRDefault="001F0B90" w:rsidP="001F0B90">
      <w:pPr>
        <w:widowControl w:val="0"/>
        <w:jc w:val="both"/>
        <w:rPr>
          <w:sz w:val="20"/>
          <w:szCs w:val="20"/>
          <w:lang w:val="fr-CA"/>
        </w:rPr>
      </w:pPr>
      <w:r w:rsidRPr="00F64B17">
        <w:rPr>
          <w:sz w:val="20"/>
          <w:szCs w:val="20"/>
          <w:lang w:val="fr-CA"/>
        </w:rPr>
        <w:t xml:space="preserve">Droit administratif - Contrôle judiciaire - Norme de contrôle - Accidents du travail - Règlements - Validité - Régime législatif imposant une pénalité administrative à l’employeur dans le cas où celui-ci a commis certaines violations relatives à la sécurité au travail - Contestation par le propriétaire du lieu de travail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proofErr w:type="spellStart"/>
      <w:r w:rsidRPr="00F64B17">
        <w:rPr>
          <w:i/>
          <w:iCs/>
          <w:sz w:val="20"/>
          <w:szCs w:val="20"/>
          <w:lang w:val="fr-CA"/>
        </w:rPr>
        <w:t>Workers</w:t>
      </w:r>
      <w:proofErr w:type="spellEnd"/>
      <w:r w:rsidRPr="00F64B17">
        <w:rPr>
          <w:i/>
          <w:iCs/>
          <w:sz w:val="20"/>
          <w:szCs w:val="20"/>
          <w:lang w:val="fr-CA"/>
        </w:rPr>
        <w:t xml:space="preserve"> Compensation </w:t>
      </w:r>
      <w:proofErr w:type="spellStart"/>
      <w:r w:rsidRPr="00F64B17">
        <w:rPr>
          <w:i/>
          <w:iCs/>
          <w:sz w:val="20"/>
          <w:szCs w:val="20"/>
          <w:lang w:val="fr-CA"/>
        </w:rPr>
        <w:t>Act</w:t>
      </w:r>
      <w:proofErr w:type="spellEnd"/>
      <w:r w:rsidRPr="00F64B17">
        <w:rPr>
          <w:sz w:val="20"/>
          <w:szCs w:val="20"/>
          <w:lang w:val="fr-CA"/>
        </w:rPr>
        <w:t xml:space="preserve">, R.S.B.C. 1996, c. 492, par. 196(1) - </w:t>
      </w:r>
      <w:proofErr w:type="spellStart"/>
      <w:r w:rsidRPr="00F64B17">
        <w:rPr>
          <w:i/>
          <w:sz w:val="20"/>
          <w:szCs w:val="20"/>
          <w:lang w:val="fr-CA"/>
        </w:rPr>
        <w:t>Occupational</w:t>
      </w:r>
      <w:proofErr w:type="spellEnd"/>
      <w:r w:rsidRPr="00F64B17">
        <w:rPr>
          <w:i/>
          <w:sz w:val="20"/>
          <w:szCs w:val="20"/>
          <w:lang w:val="fr-CA"/>
        </w:rPr>
        <w:t xml:space="preserve"> </w:t>
      </w:r>
      <w:proofErr w:type="spellStart"/>
      <w:r w:rsidRPr="00F64B17">
        <w:rPr>
          <w:i/>
          <w:sz w:val="20"/>
          <w:szCs w:val="20"/>
          <w:lang w:val="fr-CA"/>
        </w:rPr>
        <w:t>Health</w:t>
      </w:r>
      <w:proofErr w:type="spellEnd"/>
      <w:r w:rsidRPr="00F64B17">
        <w:rPr>
          <w:i/>
          <w:sz w:val="20"/>
          <w:szCs w:val="20"/>
          <w:lang w:val="fr-CA"/>
        </w:rPr>
        <w:t xml:space="preserve"> and </w:t>
      </w:r>
      <w:proofErr w:type="spellStart"/>
      <w:r w:rsidRPr="00F64B17">
        <w:rPr>
          <w:i/>
          <w:sz w:val="20"/>
          <w:szCs w:val="20"/>
          <w:lang w:val="fr-CA"/>
        </w:rPr>
        <w:t>Safety</w:t>
      </w:r>
      <w:proofErr w:type="spellEnd"/>
      <w:r w:rsidRPr="00F64B17">
        <w:rPr>
          <w:i/>
          <w:sz w:val="20"/>
          <w:szCs w:val="20"/>
          <w:lang w:val="fr-CA"/>
        </w:rPr>
        <w:t xml:space="preserve"> </w:t>
      </w:r>
      <w:proofErr w:type="spellStart"/>
      <w:r w:rsidRPr="00F64B17">
        <w:rPr>
          <w:i/>
          <w:sz w:val="20"/>
          <w:szCs w:val="20"/>
          <w:lang w:val="fr-CA"/>
        </w:rPr>
        <w:t>Regulation</w:t>
      </w:r>
      <w:proofErr w:type="spellEnd"/>
      <w:r w:rsidRPr="00F64B17">
        <w:rPr>
          <w:sz w:val="20"/>
          <w:szCs w:val="20"/>
          <w:lang w:val="fr-CA"/>
        </w:rPr>
        <w:t>, B.C. Reg. 296/09, art. 26.2.</w:t>
      </w:r>
    </w:p>
    <w:p w:rsidR="001F0B90" w:rsidRPr="00F64B17" w:rsidRDefault="001F0B90" w:rsidP="001F0B90">
      <w:pPr>
        <w:widowControl w:val="0"/>
        <w:jc w:val="both"/>
        <w:rPr>
          <w:sz w:val="20"/>
          <w:szCs w:val="20"/>
          <w:lang w:val="fr-CA"/>
        </w:rPr>
      </w:pPr>
    </w:p>
    <w:p w:rsidR="001F0B90" w:rsidRPr="00F64B17" w:rsidRDefault="001F0B90" w:rsidP="001F0B90">
      <w:pPr>
        <w:jc w:val="both"/>
        <w:rPr>
          <w:sz w:val="20"/>
          <w:szCs w:val="20"/>
          <w:lang w:val="fr-CA"/>
        </w:rPr>
      </w:pPr>
      <w:r w:rsidRPr="00F64B17">
        <w:rPr>
          <w:sz w:val="20"/>
          <w:szCs w:val="20"/>
          <w:lang w:val="fr-CA"/>
        </w:rPr>
        <w:t xml:space="preserve">E, qui était bûcheron, a été frappé mortellement par un arbre en décomposition pendant qu’il travaillait dans une région visée par un permis d’exploitation forestière détenu par l’appelante, West Fraser Mills Ltd. West Fraser était la « propriétaire » du lieu de travail, au sens de la partie 3 de la loi intitulée </w:t>
      </w:r>
      <w:proofErr w:type="spellStart"/>
      <w:r w:rsidRPr="00F64B17">
        <w:rPr>
          <w:i/>
          <w:iCs/>
          <w:sz w:val="20"/>
          <w:szCs w:val="20"/>
          <w:lang w:val="fr-CA"/>
        </w:rPr>
        <w:t>Workers</w:t>
      </w:r>
      <w:proofErr w:type="spellEnd"/>
      <w:r w:rsidRPr="00F64B17">
        <w:rPr>
          <w:i/>
          <w:iCs/>
          <w:sz w:val="20"/>
          <w:szCs w:val="20"/>
          <w:lang w:val="fr-CA"/>
        </w:rPr>
        <w:t xml:space="preserve"> Compensation </w:t>
      </w:r>
      <w:proofErr w:type="spellStart"/>
      <w:r w:rsidRPr="00F64B17">
        <w:rPr>
          <w:i/>
          <w:iCs/>
          <w:sz w:val="20"/>
          <w:szCs w:val="20"/>
          <w:lang w:val="fr-CA"/>
        </w:rPr>
        <w:t>Act</w:t>
      </w:r>
      <w:proofErr w:type="spellEnd"/>
      <w:r w:rsidRPr="00F64B17">
        <w:rPr>
          <w:sz w:val="20"/>
          <w:szCs w:val="20"/>
          <w:lang w:val="fr-CA"/>
        </w:rPr>
        <w:t xml:space="preserve">, R.S.B.C. 1996, c. 492. West Fraser n’était pas l’employeur d’E, qui travaillait pour un entrepreneur indépendant. La </w:t>
      </w:r>
      <w:proofErr w:type="spellStart"/>
      <w:r w:rsidRPr="00F64B17">
        <w:rPr>
          <w:sz w:val="20"/>
          <w:szCs w:val="20"/>
          <w:lang w:val="fr-CA"/>
        </w:rPr>
        <w:t>Workers</w:t>
      </w:r>
      <w:proofErr w:type="spellEnd"/>
      <w:r w:rsidRPr="00F64B17">
        <w:rPr>
          <w:sz w:val="20"/>
          <w:szCs w:val="20"/>
          <w:lang w:val="fr-CA"/>
        </w:rPr>
        <w:t xml:space="preserve">’ Compensation </w:t>
      </w:r>
      <w:proofErr w:type="spellStart"/>
      <w:r w:rsidRPr="00F64B17">
        <w:rPr>
          <w:sz w:val="20"/>
          <w:szCs w:val="20"/>
          <w:lang w:val="fr-CA"/>
        </w:rPr>
        <w:t>Board</w:t>
      </w:r>
      <w:proofErr w:type="spellEnd"/>
      <w:r w:rsidRPr="00F64B17">
        <w:rPr>
          <w:sz w:val="20"/>
          <w:szCs w:val="20"/>
          <w:lang w:val="fr-CA"/>
        </w:rPr>
        <w:t xml:space="preserve"> de la Colombie-Britannique (la « Commission ») a mené une enquête relativement à l’accident, et a conclu que West Fraser avait omis de faire en sorte que toutes les opérations forestières étaient planifiées et exécutées de façon conforme au Règlement et aux pratiques de travail sécuritaires approuvées par la Commission conformément à l’art. 26.2 </w:t>
      </w:r>
      <w:proofErr w:type="gramStart"/>
      <w:r w:rsidRPr="00F64B17">
        <w:rPr>
          <w:sz w:val="20"/>
          <w:szCs w:val="20"/>
          <w:lang w:val="fr-CA"/>
        </w:rPr>
        <w:t>du</w:t>
      </w:r>
      <w:proofErr w:type="gramEnd"/>
      <w:r w:rsidRPr="00F64B17">
        <w:rPr>
          <w:sz w:val="20"/>
          <w:szCs w:val="20"/>
          <w:lang w:val="fr-CA"/>
        </w:rPr>
        <w:t xml:space="preserve"> </w:t>
      </w:r>
      <w:proofErr w:type="spellStart"/>
      <w:r w:rsidRPr="00F64B17">
        <w:rPr>
          <w:i/>
          <w:iCs/>
          <w:sz w:val="20"/>
          <w:szCs w:val="20"/>
          <w:lang w:val="fr-CA"/>
        </w:rPr>
        <w:t>Occupational</w:t>
      </w:r>
      <w:proofErr w:type="spellEnd"/>
      <w:r w:rsidRPr="00F64B17">
        <w:rPr>
          <w:i/>
          <w:iCs/>
          <w:sz w:val="20"/>
          <w:szCs w:val="20"/>
          <w:lang w:val="fr-CA"/>
        </w:rPr>
        <w:t xml:space="preserve"> </w:t>
      </w:r>
      <w:proofErr w:type="spellStart"/>
      <w:r w:rsidRPr="00F64B17">
        <w:rPr>
          <w:i/>
          <w:iCs/>
          <w:sz w:val="20"/>
          <w:szCs w:val="20"/>
          <w:lang w:val="fr-CA"/>
        </w:rPr>
        <w:t>Health</w:t>
      </w:r>
      <w:proofErr w:type="spellEnd"/>
      <w:r w:rsidRPr="00F64B17">
        <w:rPr>
          <w:i/>
          <w:iCs/>
          <w:sz w:val="20"/>
          <w:szCs w:val="20"/>
          <w:lang w:val="fr-CA"/>
        </w:rPr>
        <w:t xml:space="preserve"> and </w:t>
      </w:r>
      <w:proofErr w:type="spellStart"/>
      <w:r w:rsidRPr="00F64B17">
        <w:rPr>
          <w:i/>
          <w:iCs/>
          <w:sz w:val="20"/>
          <w:szCs w:val="20"/>
          <w:lang w:val="fr-CA"/>
        </w:rPr>
        <w:t>Safety</w:t>
      </w:r>
      <w:proofErr w:type="spellEnd"/>
      <w:r w:rsidRPr="00F64B17">
        <w:rPr>
          <w:i/>
          <w:iCs/>
          <w:sz w:val="20"/>
          <w:szCs w:val="20"/>
          <w:lang w:val="fr-CA"/>
        </w:rPr>
        <w:t xml:space="preserve"> </w:t>
      </w:r>
      <w:proofErr w:type="spellStart"/>
      <w:r w:rsidRPr="00F64B17">
        <w:rPr>
          <w:i/>
          <w:iCs/>
          <w:sz w:val="20"/>
          <w:szCs w:val="20"/>
          <w:lang w:val="fr-CA"/>
        </w:rPr>
        <w:t>Regulation</w:t>
      </w:r>
      <w:proofErr w:type="spellEnd"/>
      <w:r w:rsidRPr="00F64B17">
        <w:rPr>
          <w:sz w:val="20"/>
          <w:szCs w:val="20"/>
          <w:lang w:val="fr-CA"/>
        </w:rPr>
        <w:t xml:space="preserve">, B.C. Reg. 296/97. La Commission a infligé une pénalité administrative à West Fraser pour la violation, conformément au </w:t>
      </w:r>
      <w:proofErr w:type="spellStart"/>
      <w:r w:rsidRPr="00F64B17">
        <w:rPr>
          <w:sz w:val="20"/>
          <w:szCs w:val="20"/>
          <w:lang w:val="fr-CA"/>
        </w:rPr>
        <w:t>par</w:t>
      </w:r>
      <w:proofErr w:type="spellEnd"/>
      <w:r w:rsidRPr="00F64B17">
        <w:rPr>
          <w:sz w:val="20"/>
          <w:szCs w:val="20"/>
          <w:lang w:val="fr-CA"/>
        </w:rPr>
        <w:t xml:space="preserve">. 196(1) de la Loi. </w:t>
      </w:r>
    </w:p>
    <w:p w:rsidR="001F0B90" w:rsidRPr="00F64B17" w:rsidRDefault="001F0B90" w:rsidP="001F0B90">
      <w:pPr>
        <w:rPr>
          <w:sz w:val="20"/>
          <w:szCs w:val="20"/>
          <w:lang w:val="fr-CA"/>
        </w:rPr>
      </w:pPr>
    </w:p>
    <w:p w:rsidR="001F0B90" w:rsidRPr="00F64B17" w:rsidRDefault="001F0B90" w:rsidP="001F0B90">
      <w:pPr>
        <w:jc w:val="both"/>
        <w:rPr>
          <w:sz w:val="20"/>
          <w:szCs w:val="20"/>
          <w:lang w:val="fr-CA"/>
        </w:rPr>
      </w:pPr>
      <w:r w:rsidRPr="00F64B17">
        <w:rPr>
          <w:sz w:val="20"/>
          <w:szCs w:val="20"/>
          <w:lang w:val="fr-CA"/>
        </w:rPr>
        <w:t xml:space="preserve">West Fraser a demandé une révision de l’ordonnance. Un agent de révision a confirmé la pénalité infligée par la Commission et sa conclusion de violation. En appel devant le </w:t>
      </w:r>
      <w:proofErr w:type="spellStart"/>
      <w:r w:rsidRPr="00F64B17">
        <w:rPr>
          <w:sz w:val="20"/>
          <w:szCs w:val="20"/>
          <w:lang w:val="fr-CA"/>
        </w:rPr>
        <w:t>Workers</w:t>
      </w:r>
      <w:proofErr w:type="spellEnd"/>
      <w:r w:rsidRPr="00F64B17">
        <w:rPr>
          <w:sz w:val="20"/>
          <w:szCs w:val="20"/>
          <w:lang w:val="fr-CA"/>
        </w:rPr>
        <w:t xml:space="preserve">’ Compensation </w:t>
      </w:r>
      <w:proofErr w:type="spellStart"/>
      <w:r w:rsidRPr="00F64B17">
        <w:rPr>
          <w:sz w:val="20"/>
          <w:szCs w:val="20"/>
          <w:lang w:val="fr-CA"/>
        </w:rPr>
        <w:t>Appeal</w:t>
      </w:r>
      <w:proofErr w:type="spellEnd"/>
      <w:r w:rsidRPr="00F64B17">
        <w:rPr>
          <w:sz w:val="20"/>
          <w:szCs w:val="20"/>
          <w:lang w:val="fr-CA"/>
        </w:rPr>
        <w:t xml:space="preserve"> Tribunal (le « tribunal d’appel »), West Fraser a soutenu que l’art. 26.2 </w:t>
      </w:r>
      <w:proofErr w:type="gramStart"/>
      <w:r w:rsidRPr="00F64B17">
        <w:rPr>
          <w:sz w:val="20"/>
          <w:szCs w:val="20"/>
          <w:lang w:val="fr-CA"/>
        </w:rPr>
        <w:t>du</w:t>
      </w:r>
      <w:proofErr w:type="gramEnd"/>
      <w:r w:rsidRPr="00F64B17">
        <w:rPr>
          <w:sz w:val="20"/>
          <w:szCs w:val="20"/>
          <w:lang w:val="fr-CA"/>
        </w:rPr>
        <w:t xml:space="preserve"> Règlement est ultra vires, et qu’une pénalité administrative ne peut être infligée qu’à une personne qui a, dans le cadre de son rôle d’employeur, commis une violation. Le tribunal d’appel a rejeté l’appel de West Fraser.</w:t>
      </w:r>
    </w:p>
    <w:p w:rsidR="001F0B90" w:rsidRDefault="001F0B90" w:rsidP="00782AE4">
      <w:pPr>
        <w:jc w:val="both"/>
        <w:rPr>
          <w:sz w:val="20"/>
          <w:szCs w:val="20"/>
          <w:lang w:val="fr-CA"/>
        </w:rPr>
      </w:pPr>
    </w:p>
    <w:p w:rsidR="001F0B90" w:rsidRDefault="00ED1F08" w:rsidP="00782AE4">
      <w:pPr>
        <w:jc w:val="both"/>
        <w:rPr>
          <w:sz w:val="20"/>
          <w:szCs w:val="20"/>
          <w:lang w:val="fr-CA"/>
        </w:rPr>
      </w:pPr>
      <w:r>
        <w:rPr>
          <w:sz w:val="20"/>
          <w:szCs w:val="20"/>
          <w:lang w:val="fr-CA"/>
        </w:rPr>
        <w:pict>
          <v:rect id="_x0000_i1079" style="width:2in;height:1pt" o:hrpct="0" o:hralign="center" o:hrstd="t" o:hrnoshade="t" o:hr="t" fillcolor="black [3213]" stroked="f"/>
        </w:pict>
      </w:r>
    </w:p>
    <w:p w:rsidR="001F0B90" w:rsidRDefault="001F0B90" w:rsidP="00782AE4">
      <w:pPr>
        <w:jc w:val="both"/>
        <w:rPr>
          <w:sz w:val="20"/>
          <w:szCs w:val="20"/>
          <w:lang w:val="fr-CA"/>
        </w:rPr>
      </w:pPr>
    </w:p>
    <w:p w:rsidR="001F0B90" w:rsidRDefault="001F0B90">
      <w:pPr>
        <w:rPr>
          <w:sz w:val="20"/>
          <w:szCs w:val="20"/>
          <w:lang w:val="fr-CA"/>
        </w:rPr>
      </w:pPr>
      <w:r>
        <w:rPr>
          <w:sz w:val="20"/>
          <w:szCs w:val="20"/>
          <w:lang w:val="fr-CA"/>
        </w:rPr>
        <w:br w:type="page"/>
      </w:r>
    </w:p>
    <w:p w:rsidR="001F0B90" w:rsidRPr="009321E8" w:rsidRDefault="001F0B90" w:rsidP="001F0B90">
      <w:pPr>
        <w:rPr>
          <w:b/>
          <w:i/>
          <w:sz w:val="20"/>
          <w:szCs w:val="20"/>
        </w:rPr>
      </w:pPr>
      <w:r w:rsidRPr="009321E8">
        <w:rPr>
          <w:b/>
          <w:sz w:val="20"/>
          <w:szCs w:val="20"/>
        </w:rPr>
        <w:lastRenderedPageBreak/>
        <w:t>37238</w:t>
      </w:r>
      <w:r w:rsidRPr="009321E8">
        <w:rPr>
          <w:sz w:val="20"/>
          <w:szCs w:val="20"/>
        </w:rPr>
        <w:tab/>
      </w:r>
      <w:r w:rsidRPr="0046222C">
        <w:rPr>
          <w:b/>
          <w:sz w:val="20"/>
          <w:szCs w:val="20"/>
        </w:rPr>
        <w:t>Churchill Falls (Labrador) Corporation Limited v. Hydro-Québec</w:t>
      </w:r>
    </w:p>
    <w:p w:rsidR="001F0B90" w:rsidRPr="009321E8" w:rsidRDefault="001F0B90" w:rsidP="001F0B90">
      <w:pPr>
        <w:ind w:firstLine="720"/>
        <w:rPr>
          <w:sz w:val="20"/>
          <w:szCs w:val="20"/>
        </w:rPr>
      </w:pPr>
      <w:r w:rsidRPr="009321E8">
        <w:rPr>
          <w:sz w:val="20"/>
          <w:szCs w:val="20"/>
        </w:rPr>
        <w:t>(Que.) (Civil) (By Leave)</w:t>
      </w:r>
    </w:p>
    <w:p w:rsidR="001F0B90" w:rsidRPr="009321E8" w:rsidRDefault="001F0B90" w:rsidP="001F0B90">
      <w:pPr>
        <w:rPr>
          <w:sz w:val="20"/>
          <w:szCs w:val="20"/>
        </w:rPr>
      </w:pPr>
    </w:p>
    <w:p w:rsidR="001F0B90" w:rsidRPr="009321E8" w:rsidRDefault="001F0B90" w:rsidP="001F0B90">
      <w:pPr>
        <w:jc w:val="both"/>
        <w:rPr>
          <w:sz w:val="20"/>
          <w:szCs w:val="20"/>
        </w:rPr>
      </w:pPr>
      <w:r w:rsidRPr="009321E8">
        <w:rPr>
          <w:sz w:val="20"/>
          <w:szCs w:val="20"/>
        </w:rPr>
        <w:t xml:space="preserve">Contracts - Performance - Good faith - Unforeseen event - Appropriate standard of foreseeability and its effect on intention of parties - Characteristics of relational contracts and whether greater duty of co-operation they involve can include obligation to renegotiate or adjust terms of contract - Appropriate remedy should party fail to discharge obligation to renegotiate - </w:t>
      </w:r>
      <w:r w:rsidRPr="009321E8">
        <w:rPr>
          <w:i/>
          <w:sz w:val="20"/>
          <w:szCs w:val="20"/>
        </w:rPr>
        <w:t>Civil Code of Québec</w:t>
      </w:r>
      <w:r w:rsidRPr="009321E8">
        <w:rPr>
          <w:sz w:val="20"/>
          <w:szCs w:val="20"/>
        </w:rPr>
        <w:t>, CQLR, c. CCQ-1991, arts. 6, 7 and 1375.</w:t>
      </w:r>
    </w:p>
    <w:p w:rsidR="001F0B90" w:rsidRPr="009321E8" w:rsidRDefault="001F0B90" w:rsidP="001F0B90">
      <w:pPr>
        <w:pStyle w:val="NormalWeb"/>
        <w:shd w:val="clear" w:color="auto" w:fill="FFFFFF"/>
        <w:jc w:val="both"/>
        <w:rPr>
          <w:sz w:val="20"/>
          <w:szCs w:val="20"/>
        </w:rPr>
      </w:pPr>
      <w:r w:rsidRPr="009321E8">
        <w:rPr>
          <w:sz w:val="20"/>
          <w:szCs w:val="20"/>
        </w:rPr>
        <w:t xml:space="preserve">On May 12, 1969, the appellant Churchill Falls (Labrador) Corporation Limited and the respondent Hydro-Québec entered into a contract pursuant to which the respondent undertook to purchase almost all the power generated by a hydroelectric plant that was to be built on the Churchill River in Labrador. That contract, which had a 65-year term, set a fixed price for the power that was to decrease in stages over time. The contract contained no price adjustment clause. </w:t>
      </w:r>
    </w:p>
    <w:p w:rsidR="001F0B90" w:rsidRPr="009321E8" w:rsidRDefault="001F0B90" w:rsidP="001F0B90">
      <w:pPr>
        <w:pStyle w:val="NormalWeb"/>
        <w:shd w:val="clear" w:color="auto" w:fill="FFFFFF"/>
        <w:jc w:val="both"/>
        <w:rPr>
          <w:sz w:val="20"/>
          <w:szCs w:val="20"/>
        </w:rPr>
      </w:pPr>
      <w:r w:rsidRPr="009321E8">
        <w:rPr>
          <w:sz w:val="20"/>
          <w:szCs w:val="20"/>
        </w:rPr>
        <w:t xml:space="preserve">On February 23, 2010, the appellant instituted an action against the respondent in the Quebec Superior Court, arguing that the magnitude of the respondent’s profits resulting from the current value of electricity had been unforeseeable in 1969 and was causing an injustice. It submitted that the obligation to act in good faith and the obligation to exercise contractual rights reasonably that are provided for in the </w:t>
      </w:r>
      <w:r w:rsidRPr="009321E8">
        <w:rPr>
          <w:i/>
          <w:sz w:val="20"/>
          <w:szCs w:val="20"/>
        </w:rPr>
        <w:t>C.C.Q.</w:t>
      </w:r>
      <w:r w:rsidRPr="009321E8">
        <w:rPr>
          <w:sz w:val="20"/>
          <w:szCs w:val="20"/>
        </w:rPr>
        <w:t xml:space="preserve"> imposed a duty on the respondent to renegotiate the terms of the contract. </w:t>
      </w:r>
    </w:p>
    <w:p w:rsidR="001F0B90" w:rsidRPr="009321E8" w:rsidRDefault="001F0B90" w:rsidP="001F0B90">
      <w:pPr>
        <w:pStyle w:val="NormalWeb"/>
        <w:shd w:val="clear" w:color="auto" w:fill="FFFFFF"/>
        <w:jc w:val="both"/>
        <w:rPr>
          <w:sz w:val="20"/>
          <w:szCs w:val="20"/>
        </w:rPr>
      </w:pPr>
      <w:r w:rsidRPr="009321E8">
        <w:rPr>
          <w:sz w:val="20"/>
          <w:szCs w:val="20"/>
        </w:rPr>
        <w:t xml:space="preserve">The Superior Court dismissed the action, and the Court of Appeal affirmed the judgment. It found that, except in cases of real </w:t>
      </w:r>
      <w:r w:rsidRPr="009321E8">
        <w:rPr>
          <w:i/>
          <w:sz w:val="20"/>
          <w:szCs w:val="20"/>
        </w:rPr>
        <w:t>hardship</w:t>
      </w:r>
      <w:r w:rsidRPr="009321E8">
        <w:rPr>
          <w:sz w:val="20"/>
          <w:szCs w:val="20"/>
        </w:rPr>
        <w:t xml:space="preserve">, the general principle of good faith set out in articles 6, 7 and 1375 C.C.Q. was of no assistance to a party in the appellant’s situation. </w:t>
      </w:r>
    </w:p>
    <w:p w:rsidR="001F0B90" w:rsidRPr="001F0B90" w:rsidRDefault="00ED1F08" w:rsidP="00782AE4">
      <w:pPr>
        <w:jc w:val="both"/>
        <w:rPr>
          <w:sz w:val="20"/>
          <w:szCs w:val="20"/>
        </w:rPr>
      </w:pPr>
      <w:r>
        <w:rPr>
          <w:sz w:val="20"/>
          <w:szCs w:val="20"/>
          <w:lang w:val="fr-CA"/>
        </w:rPr>
        <w:pict>
          <v:rect id="_x0000_i1080" style="width:2in;height:1pt" o:hrpct="0" o:hralign="center" o:hrstd="t" o:hrnoshade="t" o:hr="t" fillcolor="black [3213]" stroked="f"/>
        </w:pict>
      </w:r>
    </w:p>
    <w:p w:rsidR="001F0B90" w:rsidRPr="001F0B90" w:rsidRDefault="001F0B90" w:rsidP="00782AE4">
      <w:pPr>
        <w:jc w:val="both"/>
        <w:rPr>
          <w:sz w:val="20"/>
          <w:szCs w:val="20"/>
          <w:lang w:val="en-US"/>
        </w:rPr>
      </w:pPr>
    </w:p>
    <w:p w:rsidR="001F0B90" w:rsidRPr="001F0B90" w:rsidRDefault="001F0B90" w:rsidP="00782AE4">
      <w:pPr>
        <w:jc w:val="both"/>
        <w:rPr>
          <w:sz w:val="20"/>
          <w:szCs w:val="20"/>
          <w:lang w:val="en-US"/>
        </w:rPr>
      </w:pPr>
    </w:p>
    <w:p w:rsidR="001F0B90" w:rsidRPr="008D5D12" w:rsidRDefault="001F0B90" w:rsidP="001F0B90">
      <w:pPr>
        <w:rPr>
          <w:b/>
          <w:sz w:val="20"/>
          <w:szCs w:val="20"/>
        </w:rPr>
      </w:pPr>
      <w:r w:rsidRPr="0072277B">
        <w:rPr>
          <w:b/>
          <w:sz w:val="20"/>
          <w:szCs w:val="20"/>
          <w:lang w:val="en-US"/>
        </w:rPr>
        <w:t>37238</w:t>
      </w:r>
      <w:r w:rsidRPr="0072277B">
        <w:rPr>
          <w:sz w:val="20"/>
          <w:szCs w:val="20"/>
          <w:lang w:val="en-US"/>
        </w:rPr>
        <w:tab/>
      </w:r>
      <w:r w:rsidRPr="008D5D12">
        <w:rPr>
          <w:b/>
          <w:sz w:val="20"/>
          <w:szCs w:val="20"/>
        </w:rPr>
        <w:t>Churchill Falls (Labrador) Corporation Limited c. Hydro-Québec</w:t>
      </w:r>
    </w:p>
    <w:p w:rsidR="001F0B90" w:rsidRPr="001F0B90" w:rsidRDefault="001F0B90" w:rsidP="001F0B90">
      <w:pPr>
        <w:ind w:firstLine="720"/>
        <w:rPr>
          <w:sz w:val="20"/>
          <w:szCs w:val="20"/>
          <w:lang w:val="fr-CA"/>
        </w:rPr>
      </w:pPr>
      <w:r w:rsidRPr="001F0B90">
        <w:rPr>
          <w:sz w:val="20"/>
          <w:szCs w:val="20"/>
          <w:lang w:val="fr-CA"/>
        </w:rPr>
        <w:t>(Qc) (Civile) (Autorisation)</w:t>
      </w:r>
    </w:p>
    <w:p w:rsidR="001F0B90" w:rsidRPr="001F0B90" w:rsidRDefault="001F0B90" w:rsidP="001F0B90">
      <w:pPr>
        <w:rPr>
          <w:sz w:val="20"/>
          <w:szCs w:val="20"/>
          <w:lang w:val="fr-CA"/>
        </w:rPr>
      </w:pPr>
    </w:p>
    <w:p w:rsidR="001F0B90" w:rsidRPr="001F0B90" w:rsidRDefault="001F0B90" w:rsidP="001F0B90">
      <w:pPr>
        <w:rPr>
          <w:sz w:val="20"/>
          <w:szCs w:val="20"/>
          <w:lang w:val="fr-CA"/>
        </w:rPr>
      </w:pPr>
      <w:r w:rsidRPr="0072277B">
        <w:rPr>
          <w:sz w:val="20"/>
          <w:szCs w:val="20"/>
          <w:lang w:val="fr-FR"/>
        </w:rPr>
        <w:t xml:space="preserve">Contrats - Exécution - Bonne foi - Imprévision - Quelle est la norme de prévisibilité appropriée et quel est son effet sur l’intention des parties? - Quelles sont les caractéristiques des contrats relationnels et est-ce que les devoirs accrus de coopération qu’ils impliquent peuvent inclure l’obligation de renégocier ou d’ajuster les modalités du contrat? - Si une partie enfreint son obligation de renégocier, quelle est la réparation appropriée? - </w:t>
      </w:r>
      <w:r w:rsidRPr="0072277B">
        <w:rPr>
          <w:i/>
          <w:sz w:val="20"/>
          <w:szCs w:val="20"/>
          <w:lang w:val="fr-FR"/>
        </w:rPr>
        <w:t>Code civil du Québec</w:t>
      </w:r>
      <w:r w:rsidRPr="0072277B">
        <w:rPr>
          <w:sz w:val="20"/>
          <w:szCs w:val="20"/>
          <w:lang w:val="fr-FR"/>
        </w:rPr>
        <w:t>, RLRQ, ch. CCQ-1991, art. 6, 7 et 1375.</w:t>
      </w:r>
    </w:p>
    <w:p w:rsidR="001F0B90" w:rsidRPr="0072277B" w:rsidRDefault="001F0B90" w:rsidP="001F0B90">
      <w:pPr>
        <w:pStyle w:val="NormalWeb"/>
        <w:shd w:val="clear" w:color="auto" w:fill="FFFFFF"/>
        <w:jc w:val="both"/>
        <w:rPr>
          <w:sz w:val="20"/>
          <w:szCs w:val="20"/>
          <w:lang w:val="fr-FR"/>
        </w:rPr>
      </w:pPr>
      <w:r w:rsidRPr="0072277B">
        <w:rPr>
          <w:sz w:val="20"/>
          <w:szCs w:val="20"/>
          <w:lang w:val="fr-FR"/>
        </w:rPr>
        <w:t xml:space="preserve">Le 12 mai 1969, l’appelante, Churchill </w:t>
      </w:r>
      <w:proofErr w:type="spellStart"/>
      <w:r w:rsidRPr="0072277B">
        <w:rPr>
          <w:sz w:val="20"/>
          <w:szCs w:val="20"/>
          <w:lang w:val="fr-FR"/>
        </w:rPr>
        <w:t>Falls</w:t>
      </w:r>
      <w:proofErr w:type="spellEnd"/>
      <w:r w:rsidRPr="0072277B">
        <w:rPr>
          <w:sz w:val="20"/>
          <w:szCs w:val="20"/>
          <w:lang w:val="fr-FR"/>
        </w:rPr>
        <w:t xml:space="preserve"> (Labrador) Corporation Limited, et l’intimée, Hydro-Québec, concluent un contrat par lequel l’intimée s’engage à acheter la quasi-totalité de l’énergie en provenance d’une centrale hydroélectrique à être construite sur le fleuve Churchill au Labrador. Ce contrat, d’une durée de 65 ans, établit, pour l’énergie, un prix fixe décroissant par paliers en fonction de l’écoulement du temps. Le contrat ne prévoit aucune clause d’ajustement du prix de l’énergie. </w:t>
      </w:r>
    </w:p>
    <w:p w:rsidR="001F0B90" w:rsidRPr="0072277B" w:rsidRDefault="001F0B90" w:rsidP="001F0B90">
      <w:pPr>
        <w:pStyle w:val="NormalWeb"/>
        <w:shd w:val="clear" w:color="auto" w:fill="FFFFFF"/>
        <w:jc w:val="both"/>
        <w:rPr>
          <w:sz w:val="20"/>
          <w:szCs w:val="20"/>
          <w:lang w:val="fr-FR"/>
        </w:rPr>
      </w:pPr>
      <w:r w:rsidRPr="0072277B">
        <w:rPr>
          <w:sz w:val="20"/>
          <w:szCs w:val="20"/>
          <w:lang w:val="fr-FR"/>
        </w:rPr>
        <w:t>Le 23 février 2010, l’appelante intente devant la Cour supérieure du Québec un recours contre l’intimée. Selon elle, l’ampleur des profits de l’intimée en raison de la valeur actuelle de l’électricité était imprévisible en 1969 et entraîne une injustice. Elle avance que l’obligation d’agir de bonne foi et l’obligation d’exercice raisonnable des droits contractuels prévus au</w:t>
      </w:r>
      <w:r w:rsidRPr="0072277B">
        <w:rPr>
          <w:i/>
          <w:sz w:val="20"/>
          <w:szCs w:val="20"/>
          <w:lang w:val="fr-FR"/>
        </w:rPr>
        <w:t xml:space="preserve"> </w:t>
      </w:r>
      <w:proofErr w:type="spellStart"/>
      <w:r w:rsidRPr="0072277B">
        <w:rPr>
          <w:i/>
          <w:sz w:val="20"/>
          <w:szCs w:val="20"/>
          <w:lang w:val="fr-FR"/>
        </w:rPr>
        <w:t>C.c.Q</w:t>
      </w:r>
      <w:proofErr w:type="spellEnd"/>
      <w:r w:rsidRPr="0072277B">
        <w:rPr>
          <w:i/>
          <w:sz w:val="20"/>
          <w:szCs w:val="20"/>
          <w:lang w:val="fr-FR"/>
        </w:rPr>
        <w:t>.</w:t>
      </w:r>
      <w:r w:rsidRPr="0072277B">
        <w:rPr>
          <w:sz w:val="20"/>
          <w:szCs w:val="20"/>
          <w:lang w:val="fr-FR"/>
        </w:rPr>
        <w:t xml:space="preserve"> imposent à l’intimée le devoir de renégocier les modalités du contrat. </w:t>
      </w:r>
    </w:p>
    <w:p w:rsidR="001F0B90" w:rsidRPr="0072277B" w:rsidRDefault="001F0B90" w:rsidP="001F0B90">
      <w:pPr>
        <w:pStyle w:val="NormalWeb"/>
        <w:shd w:val="clear" w:color="auto" w:fill="FFFFFF"/>
        <w:jc w:val="both"/>
        <w:rPr>
          <w:sz w:val="20"/>
          <w:szCs w:val="20"/>
          <w:lang w:val="fr-CA"/>
        </w:rPr>
      </w:pPr>
      <w:r w:rsidRPr="0072277B">
        <w:rPr>
          <w:sz w:val="20"/>
          <w:szCs w:val="20"/>
          <w:lang w:val="fr-CA"/>
        </w:rPr>
        <w:t xml:space="preserve">La Cour supérieure rejette le recours, et la Cour d’appel confirme le jugement. Elle estime que, hors les cas de véritable </w:t>
      </w:r>
      <w:proofErr w:type="spellStart"/>
      <w:r w:rsidRPr="0072277B">
        <w:rPr>
          <w:i/>
          <w:sz w:val="20"/>
          <w:szCs w:val="20"/>
          <w:lang w:val="fr-CA"/>
        </w:rPr>
        <w:t>hardship</w:t>
      </w:r>
      <w:proofErr w:type="spellEnd"/>
      <w:r w:rsidRPr="0072277B">
        <w:rPr>
          <w:sz w:val="20"/>
          <w:szCs w:val="20"/>
          <w:lang w:val="fr-CA"/>
        </w:rPr>
        <w:t xml:space="preserve">, le principe général de bonne foi qu’énoncent les articles 6, 7 et 1375 </w:t>
      </w:r>
      <w:proofErr w:type="spellStart"/>
      <w:r w:rsidRPr="0072277B">
        <w:rPr>
          <w:sz w:val="20"/>
          <w:szCs w:val="20"/>
          <w:lang w:val="fr-CA"/>
        </w:rPr>
        <w:t>C.c.Q</w:t>
      </w:r>
      <w:proofErr w:type="spellEnd"/>
      <w:r w:rsidRPr="0072277B">
        <w:rPr>
          <w:sz w:val="20"/>
          <w:szCs w:val="20"/>
          <w:lang w:val="fr-CA"/>
        </w:rPr>
        <w:t xml:space="preserve">. n’est d’aucun secours à une partie qui fait face à la même situation que la demanderesse. </w:t>
      </w:r>
    </w:p>
    <w:p w:rsidR="001F0B90" w:rsidRPr="001F0B90" w:rsidRDefault="00ED1F08" w:rsidP="00782AE4">
      <w:pPr>
        <w:jc w:val="both"/>
        <w:rPr>
          <w:sz w:val="20"/>
          <w:szCs w:val="20"/>
          <w:lang w:val="fr-CA"/>
        </w:rPr>
      </w:pPr>
      <w:r>
        <w:rPr>
          <w:sz w:val="20"/>
          <w:szCs w:val="20"/>
          <w:lang w:val="fr-CA"/>
        </w:rPr>
        <w:pict>
          <v:rect id="_x0000_i1081" style="width:2in;height:1pt" o:hrpct="0" o:hralign="center" o:hrstd="t" o:hrnoshade="t" o:hr="t" fillcolor="black [3213]" stroked="f"/>
        </w:pict>
      </w:r>
    </w:p>
    <w:p w:rsidR="001F0B90" w:rsidRPr="001F0B90" w:rsidRDefault="001F0B90" w:rsidP="00782AE4">
      <w:pPr>
        <w:jc w:val="both"/>
        <w:rPr>
          <w:sz w:val="20"/>
          <w:szCs w:val="20"/>
          <w:lang w:val="fr-CA"/>
        </w:rPr>
      </w:pPr>
    </w:p>
    <w:p w:rsidR="001F0B90" w:rsidRDefault="001F0B90">
      <w:pPr>
        <w:rPr>
          <w:sz w:val="20"/>
          <w:szCs w:val="20"/>
          <w:lang w:val="fr-CA"/>
        </w:rPr>
      </w:pPr>
      <w:r>
        <w:rPr>
          <w:sz w:val="20"/>
          <w:szCs w:val="20"/>
          <w:lang w:val="fr-CA"/>
        </w:rPr>
        <w:br w:type="page"/>
      </w:r>
    </w:p>
    <w:p w:rsidR="00ED1F08" w:rsidRPr="00ED1F08" w:rsidRDefault="00ED1F08" w:rsidP="008251E4">
      <w:pPr>
        <w:widowControl w:val="0"/>
        <w:ind w:left="720" w:hanging="720"/>
        <w:jc w:val="both"/>
        <w:rPr>
          <w:b/>
          <w:i/>
          <w:sz w:val="20"/>
          <w:szCs w:val="20"/>
        </w:rPr>
      </w:pPr>
      <w:r w:rsidRPr="00ED1F08">
        <w:rPr>
          <w:b/>
          <w:sz w:val="20"/>
          <w:szCs w:val="20"/>
        </w:rPr>
        <w:lastRenderedPageBreak/>
        <w:fldChar w:fldCharType="begin"/>
      </w:r>
      <w:r w:rsidRPr="00ED1F08">
        <w:rPr>
          <w:b/>
          <w:sz w:val="20"/>
          <w:szCs w:val="20"/>
        </w:rPr>
        <w:instrText xml:space="preserve"> SEQ CHAPTER \h \r 1</w:instrText>
      </w:r>
      <w:r w:rsidRPr="00ED1F08">
        <w:rPr>
          <w:b/>
          <w:sz w:val="20"/>
          <w:szCs w:val="20"/>
        </w:rPr>
        <w:fldChar w:fldCharType="end"/>
      </w:r>
      <w:r w:rsidRPr="00ED1F08">
        <w:rPr>
          <w:b/>
          <w:sz w:val="20"/>
          <w:szCs w:val="20"/>
        </w:rPr>
        <w:t>37757</w:t>
      </w:r>
      <w:r w:rsidRPr="00ED1F08">
        <w:rPr>
          <w:sz w:val="20"/>
          <w:szCs w:val="20"/>
        </w:rPr>
        <w:tab/>
      </w:r>
      <w:r w:rsidRPr="00ED1F08">
        <w:rPr>
          <w:b/>
          <w:i/>
          <w:sz w:val="20"/>
          <w:szCs w:val="20"/>
        </w:rPr>
        <w:t>R.A. v. Her Majesty the Queen</w:t>
      </w:r>
    </w:p>
    <w:p w:rsidR="00ED1F08" w:rsidRPr="00ED1F08" w:rsidRDefault="00ED1F08" w:rsidP="009E5CCF">
      <w:pPr>
        <w:widowControl w:val="0"/>
        <w:ind w:left="1440" w:hanging="720"/>
        <w:jc w:val="both"/>
        <w:rPr>
          <w:sz w:val="20"/>
          <w:szCs w:val="20"/>
        </w:rPr>
      </w:pPr>
      <w:r w:rsidRPr="00ED1F08">
        <w:rPr>
          <w:sz w:val="20"/>
          <w:szCs w:val="20"/>
        </w:rPr>
        <w:t>(Ont.) (Criminal) (As of Right)</w:t>
      </w:r>
    </w:p>
    <w:p w:rsidR="00ED1F08" w:rsidRPr="00ED1F08" w:rsidRDefault="00ED1F08">
      <w:pPr>
        <w:widowControl w:val="0"/>
        <w:jc w:val="both"/>
        <w:rPr>
          <w:sz w:val="20"/>
          <w:szCs w:val="20"/>
        </w:rPr>
      </w:pPr>
    </w:p>
    <w:p w:rsidR="00ED1F08" w:rsidRPr="00ED1F08" w:rsidRDefault="00ED1F08">
      <w:pPr>
        <w:widowControl w:val="0"/>
        <w:jc w:val="both"/>
        <w:rPr>
          <w:smallCaps/>
          <w:sz w:val="20"/>
          <w:szCs w:val="20"/>
        </w:rPr>
      </w:pPr>
      <w:r w:rsidRPr="00ED1F08">
        <w:rPr>
          <w:smallCaps/>
          <w:sz w:val="20"/>
          <w:szCs w:val="20"/>
        </w:rPr>
        <w:t>(publication ban on party) (publication ban in case)</w:t>
      </w:r>
    </w:p>
    <w:p w:rsidR="00ED1F08" w:rsidRPr="00ED1F08" w:rsidRDefault="00ED1F08">
      <w:pPr>
        <w:widowControl w:val="0"/>
        <w:jc w:val="both"/>
        <w:rPr>
          <w:sz w:val="20"/>
          <w:szCs w:val="20"/>
        </w:rPr>
      </w:pPr>
    </w:p>
    <w:p w:rsidR="00ED1F08" w:rsidRPr="00ED1F08" w:rsidRDefault="00ED1F08" w:rsidP="00A31A41">
      <w:pPr>
        <w:widowControl w:val="0"/>
        <w:jc w:val="both"/>
        <w:rPr>
          <w:sz w:val="20"/>
          <w:szCs w:val="20"/>
        </w:rPr>
      </w:pPr>
      <w:r w:rsidRPr="00ED1F08">
        <w:rPr>
          <w:sz w:val="20"/>
          <w:szCs w:val="20"/>
        </w:rPr>
        <w:t>Criminal law - Trials - Judgments - Reasons for judgment - Sufficiency of reasons - Whether Court of Appeal erred in rejecting accused’s argument that trial judge’s reasons were insufficient.</w:t>
      </w:r>
    </w:p>
    <w:p w:rsidR="00ED1F08" w:rsidRPr="00ED1F08" w:rsidRDefault="00ED1F08">
      <w:pPr>
        <w:widowControl w:val="0"/>
        <w:jc w:val="both"/>
        <w:rPr>
          <w:sz w:val="20"/>
          <w:szCs w:val="20"/>
        </w:rPr>
      </w:pPr>
    </w:p>
    <w:p w:rsidR="00ED1F08" w:rsidRPr="00ED1F08" w:rsidRDefault="00ED1F08" w:rsidP="00A31A41">
      <w:pPr>
        <w:widowControl w:val="0"/>
        <w:jc w:val="both"/>
        <w:rPr>
          <w:sz w:val="20"/>
          <w:szCs w:val="20"/>
        </w:rPr>
      </w:pPr>
      <w:r w:rsidRPr="00ED1F08">
        <w:rPr>
          <w:sz w:val="20"/>
          <w:szCs w:val="20"/>
        </w:rPr>
        <w:t>The appellant was convicted of sexual interference at trial by a judge sitting without a jury. The offence was committed against the young daughter of his then-girlfriend. The appellant appealed his conviction, arguing that the trial judge had failed to resolve a critical inconsistency in the complainant’s evidence and failed to explain why he accepted the complainant’s evidence and rejected his evidence. The majority in the Court of Appeal dismissed the appeal. It was of the view that the trial judge’s analysis reflected a careful and sensitive approach to the evidence as a whole and that there was no error which would allow the court to intervene. Trotter J.A., dissenting, would have allowed the appeal and ordered a new trial. In his opinion, the inconsistency in the complainant’s evidence was significant, and the trial judge’s failure to address it constituted a reversible error.</w:t>
      </w:r>
    </w:p>
    <w:p w:rsidR="00ED1F08" w:rsidRDefault="00ED1F08" w:rsidP="008251E4">
      <w:pPr>
        <w:widowControl w:val="0"/>
        <w:ind w:left="720" w:hanging="720"/>
        <w:jc w:val="both"/>
        <w:rPr>
          <w:b/>
          <w:sz w:val="20"/>
          <w:szCs w:val="20"/>
          <w:lang w:val="fr-CA"/>
        </w:rPr>
      </w:pPr>
      <w:r>
        <w:rPr>
          <w:sz w:val="20"/>
          <w:szCs w:val="20"/>
          <w:lang w:val="fr-CA"/>
        </w:rPr>
        <w:pict>
          <v:rect id="_x0000_i1086" style="width:2in;height:1pt" o:hrpct="0" o:hralign="center" o:hrstd="t" o:hrnoshade="t" o:hr="t" fillcolor="black [3213]" stroked="f"/>
        </w:pict>
      </w:r>
    </w:p>
    <w:p w:rsidR="00ED1F08" w:rsidRDefault="00ED1F08" w:rsidP="008251E4">
      <w:pPr>
        <w:widowControl w:val="0"/>
        <w:ind w:left="720" w:hanging="720"/>
        <w:jc w:val="both"/>
        <w:rPr>
          <w:b/>
          <w:sz w:val="20"/>
          <w:szCs w:val="20"/>
          <w:lang w:val="fr-CA"/>
        </w:rPr>
      </w:pPr>
    </w:p>
    <w:bookmarkStart w:id="4" w:name="_GoBack"/>
    <w:bookmarkEnd w:id="4"/>
    <w:p w:rsidR="00ED1F08" w:rsidRPr="00ED1F08" w:rsidRDefault="00ED1F08" w:rsidP="008251E4">
      <w:pPr>
        <w:widowControl w:val="0"/>
        <w:ind w:left="720" w:hanging="720"/>
        <w:jc w:val="both"/>
        <w:rPr>
          <w:b/>
          <w:i/>
          <w:sz w:val="20"/>
          <w:szCs w:val="20"/>
          <w:lang w:val="fr-CA"/>
        </w:rPr>
      </w:pPr>
      <w:r w:rsidRPr="00ED1F08">
        <w:rPr>
          <w:b/>
          <w:sz w:val="20"/>
          <w:szCs w:val="20"/>
          <w:lang w:val="fr-CA"/>
        </w:rPr>
        <w:fldChar w:fldCharType="begin"/>
      </w:r>
      <w:r w:rsidRPr="00ED1F08">
        <w:rPr>
          <w:b/>
          <w:sz w:val="20"/>
          <w:szCs w:val="20"/>
          <w:lang w:val="fr-CA"/>
        </w:rPr>
        <w:instrText xml:space="preserve"> SEQ CHAPTER \h \r 1</w:instrText>
      </w:r>
      <w:r w:rsidRPr="00ED1F08">
        <w:rPr>
          <w:b/>
          <w:sz w:val="20"/>
          <w:szCs w:val="20"/>
          <w:lang w:val="fr-CA"/>
        </w:rPr>
        <w:fldChar w:fldCharType="end"/>
      </w:r>
      <w:r w:rsidRPr="00ED1F08">
        <w:rPr>
          <w:b/>
          <w:sz w:val="20"/>
          <w:szCs w:val="20"/>
          <w:lang w:val="fr-CA"/>
        </w:rPr>
        <w:t>37757</w:t>
      </w:r>
      <w:r w:rsidRPr="00ED1F08">
        <w:rPr>
          <w:sz w:val="20"/>
          <w:szCs w:val="20"/>
          <w:lang w:val="fr-CA"/>
        </w:rPr>
        <w:tab/>
      </w:r>
      <w:r w:rsidRPr="00ED1F08">
        <w:rPr>
          <w:b/>
          <w:i/>
          <w:sz w:val="20"/>
          <w:szCs w:val="20"/>
          <w:lang w:val="fr-CA"/>
        </w:rPr>
        <w:t>R.A. c. Sa Majesté la Reine</w:t>
      </w:r>
    </w:p>
    <w:p w:rsidR="00ED1F08" w:rsidRPr="00ED1F08" w:rsidRDefault="00ED1F08" w:rsidP="009E5CCF">
      <w:pPr>
        <w:widowControl w:val="0"/>
        <w:ind w:left="1440" w:hanging="720"/>
        <w:jc w:val="both"/>
        <w:rPr>
          <w:sz w:val="20"/>
          <w:szCs w:val="20"/>
          <w:lang w:val="fr-CA"/>
        </w:rPr>
      </w:pPr>
      <w:r w:rsidRPr="00ED1F08">
        <w:rPr>
          <w:sz w:val="20"/>
          <w:szCs w:val="20"/>
          <w:lang w:val="fr-CA"/>
        </w:rPr>
        <w:t>(Ont.) (Criminelle) (De plein droit)</w:t>
      </w:r>
    </w:p>
    <w:p w:rsidR="00ED1F08" w:rsidRPr="00ED1F08" w:rsidRDefault="00ED1F08">
      <w:pPr>
        <w:widowControl w:val="0"/>
        <w:jc w:val="both"/>
        <w:rPr>
          <w:sz w:val="20"/>
          <w:szCs w:val="20"/>
          <w:lang w:val="fr-CA"/>
        </w:rPr>
      </w:pPr>
    </w:p>
    <w:p w:rsidR="00ED1F08" w:rsidRPr="00ED1F08" w:rsidRDefault="00ED1F08">
      <w:pPr>
        <w:widowControl w:val="0"/>
        <w:jc w:val="both"/>
        <w:rPr>
          <w:smallCaps/>
          <w:sz w:val="20"/>
          <w:szCs w:val="20"/>
          <w:lang w:val="fr-CA"/>
        </w:rPr>
      </w:pPr>
      <w:r w:rsidRPr="00ED1F08">
        <w:rPr>
          <w:smallCaps/>
          <w:sz w:val="20"/>
          <w:szCs w:val="20"/>
          <w:lang w:val="fr-CA"/>
        </w:rPr>
        <w:t>(Ordonnance de non-publication visant une partie) (Ordonnance de non-publication dans le dossier)</w:t>
      </w:r>
    </w:p>
    <w:p w:rsidR="00ED1F08" w:rsidRPr="00ED1F08" w:rsidRDefault="00ED1F08">
      <w:pPr>
        <w:widowControl w:val="0"/>
        <w:jc w:val="both"/>
        <w:rPr>
          <w:sz w:val="20"/>
          <w:szCs w:val="20"/>
          <w:lang w:val="fr-CA"/>
        </w:rPr>
      </w:pPr>
    </w:p>
    <w:p w:rsidR="00ED1F08" w:rsidRPr="00ED1F08" w:rsidRDefault="00ED1F08" w:rsidP="00A31A41">
      <w:pPr>
        <w:widowControl w:val="0"/>
        <w:jc w:val="both"/>
        <w:rPr>
          <w:sz w:val="20"/>
          <w:szCs w:val="20"/>
          <w:lang w:val="fr-CA"/>
        </w:rPr>
      </w:pPr>
      <w:r w:rsidRPr="00ED1F08">
        <w:rPr>
          <w:sz w:val="20"/>
          <w:szCs w:val="20"/>
          <w:lang w:val="fr-CA"/>
        </w:rPr>
        <w:t>Droit criminel - Procès - Jugements - Motifs de jugement - Suffisance des motifs - La Cour d’appel a-t-elle commis une erreur en rejetant l’argument de l’accusé selon lequel les motifs du juge du procès étaient insuffisants?</w:t>
      </w:r>
    </w:p>
    <w:p w:rsidR="00ED1F08" w:rsidRPr="00ED1F08" w:rsidRDefault="00ED1F08">
      <w:pPr>
        <w:widowControl w:val="0"/>
        <w:jc w:val="both"/>
        <w:rPr>
          <w:sz w:val="20"/>
          <w:szCs w:val="20"/>
          <w:lang w:val="fr-CA"/>
        </w:rPr>
      </w:pPr>
    </w:p>
    <w:p w:rsidR="00ED1F08" w:rsidRPr="00ED1F08" w:rsidRDefault="00ED1F08" w:rsidP="00A31A41">
      <w:pPr>
        <w:widowControl w:val="0"/>
        <w:jc w:val="both"/>
        <w:rPr>
          <w:sz w:val="20"/>
          <w:szCs w:val="20"/>
          <w:lang w:val="fr-CA"/>
        </w:rPr>
      </w:pPr>
      <w:r w:rsidRPr="00ED1F08">
        <w:rPr>
          <w:sz w:val="20"/>
          <w:szCs w:val="20"/>
          <w:lang w:val="fr-CA"/>
        </w:rPr>
        <w:t>L’appelant a été reconnu coupable de contacts sexuels au terme d’un procès devant un juge siégeant sans jury. L’infraction a été commise à l’endroit de la fille en bas âge de sa petite amie de l’époque. L’appelant a fait appel de sa déclaration de culpabilité parce que le juge du procès n’aurait pas résolu une contradiction cruciale dans la déposition de la plaignante et n’aurait pas expliqué pourquoi il avait accepté le témoignage de la plaignante et rejeté celui de l’appelant. Les juges majoritaires de la Cour d’appel ont rejeté l’appel. Ils ont estimé que l’analyse du juge du procès témoignait d’un examen soigné et délicat de la preuve dans son ensemble et qu’aucune erreur ne permettrait à la cour d’intervenir. Le juge Trotter, dissident, aurait fait droit à l’appel et ordonné la tenue d’un nouveau procès. À son avis, la contradiction relevée dans le témoignage de la plaignante était importante et l’omission du juge du procès de l’aborder constituait une erreur donnant ouverture à révision.</w:t>
      </w:r>
    </w:p>
    <w:p w:rsidR="00ED1F08" w:rsidRPr="00ED1F08" w:rsidRDefault="00ED1F08">
      <w:pPr>
        <w:rPr>
          <w:b/>
          <w:sz w:val="20"/>
          <w:szCs w:val="20"/>
          <w:lang w:val="fr-CA"/>
        </w:rPr>
      </w:pPr>
      <w:r w:rsidRPr="00ED1F08">
        <w:rPr>
          <w:b/>
          <w:sz w:val="20"/>
          <w:szCs w:val="20"/>
          <w:lang w:val="fr-CA"/>
        </w:rPr>
        <w:br w:type="page"/>
      </w:r>
    </w:p>
    <w:p w:rsidR="001F0B90" w:rsidRPr="008D5D12" w:rsidRDefault="001F0B90" w:rsidP="001F0B90">
      <w:pPr>
        <w:rPr>
          <w:b/>
          <w:sz w:val="20"/>
          <w:szCs w:val="20"/>
        </w:rPr>
      </w:pPr>
      <w:r w:rsidRPr="00556F02">
        <w:rPr>
          <w:b/>
          <w:sz w:val="20"/>
          <w:szCs w:val="20"/>
        </w:rPr>
        <w:lastRenderedPageBreak/>
        <w:t>37398</w:t>
      </w:r>
      <w:r w:rsidRPr="00556F02">
        <w:rPr>
          <w:b/>
          <w:sz w:val="20"/>
          <w:szCs w:val="20"/>
        </w:rPr>
        <w:tab/>
      </w:r>
      <w:r w:rsidRPr="008D5D12">
        <w:rPr>
          <w:b/>
          <w:sz w:val="20"/>
          <w:szCs w:val="20"/>
        </w:rPr>
        <w:t xml:space="preserve">Her Majesty the Queen v. Gerard </w:t>
      </w:r>
      <w:proofErr w:type="spellStart"/>
      <w:r w:rsidRPr="008D5D12">
        <w:rPr>
          <w:b/>
          <w:sz w:val="20"/>
          <w:szCs w:val="20"/>
        </w:rPr>
        <w:t>Comeau</w:t>
      </w:r>
      <w:proofErr w:type="spellEnd"/>
    </w:p>
    <w:p w:rsidR="001F0B90" w:rsidRPr="00556F02" w:rsidRDefault="001F0B90" w:rsidP="001F0B90">
      <w:pPr>
        <w:ind w:firstLine="720"/>
        <w:rPr>
          <w:sz w:val="20"/>
          <w:szCs w:val="20"/>
        </w:rPr>
      </w:pPr>
      <w:r w:rsidRPr="00556F02">
        <w:rPr>
          <w:sz w:val="20"/>
          <w:szCs w:val="20"/>
        </w:rPr>
        <w:t>(N.B.) (Civil) (By Leave)</w:t>
      </w:r>
    </w:p>
    <w:p w:rsidR="001F0B90" w:rsidRPr="00556F02" w:rsidRDefault="001F0B90" w:rsidP="001F0B90">
      <w:pPr>
        <w:widowControl w:val="0"/>
        <w:rPr>
          <w:sz w:val="20"/>
          <w:szCs w:val="20"/>
        </w:rPr>
      </w:pPr>
    </w:p>
    <w:p w:rsidR="001F0B90" w:rsidRPr="00556F02" w:rsidRDefault="001F0B90" w:rsidP="001F0B90">
      <w:pPr>
        <w:jc w:val="both"/>
        <w:rPr>
          <w:sz w:val="20"/>
          <w:szCs w:val="20"/>
        </w:rPr>
      </w:pPr>
      <w:r w:rsidRPr="00556F02">
        <w:rPr>
          <w:i/>
          <w:sz w:val="20"/>
          <w:szCs w:val="20"/>
        </w:rPr>
        <w:t>Constitutional</w:t>
      </w:r>
      <w:r w:rsidRPr="00556F02">
        <w:rPr>
          <w:sz w:val="20"/>
          <w:szCs w:val="20"/>
        </w:rPr>
        <w:t xml:space="preserve"> </w:t>
      </w:r>
      <w:r w:rsidRPr="00556F02">
        <w:rPr>
          <w:i/>
          <w:sz w:val="20"/>
          <w:szCs w:val="20"/>
        </w:rPr>
        <w:t>law</w:t>
      </w:r>
      <w:r w:rsidRPr="00556F02">
        <w:rPr>
          <w:sz w:val="20"/>
          <w:szCs w:val="20"/>
        </w:rPr>
        <w:t xml:space="preserve"> - Interpretation - Conflict of laws - Interprovincial trade - Notice of Prosecution for having brought alcoholic beverages into New Brunswick from Quebec - Whether section 121 of the </w:t>
      </w:r>
      <w:r w:rsidRPr="00556F02">
        <w:rPr>
          <w:i/>
          <w:sz w:val="20"/>
          <w:szCs w:val="20"/>
        </w:rPr>
        <w:t>Constitution Act, 1867</w:t>
      </w:r>
      <w:r w:rsidRPr="00556F02">
        <w:rPr>
          <w:sz w:val="20"/>
          <w:szCs w:val="20"/>
        </w:rPr>
        <w:t xml:space="preserve"> is a free trade provision? - Whether s. 121 of the </w:t>
      </w:r>
      <w:r w:rsidRPr="00556F02">
        <w:rPr>
          <w:i/>
          <w:sz w:val="20"/>
          <w:szCs w:val="20"/>
        </w:rPr>
        <w:t>Constitution</w:t>
      </w:r>
      <w:r w:rsidRPr="00556F02">
        <w:rPr>
          <w:sz w:val="20"/>
          <w:szCs w:val="20"/>
        </w:rPr>
        <w:t xml:space="preserve"> </w:t>
      </w:r>
      <w:r w:rsidRPr="00556F02">
        <w:rPr>
          <w:i/>
          <w:sz w:val="20"/>
          <w:szCs w:val="20"/>
        </w:rPr>
        <w:t>Act</w:t>
      </w:r>
      <w:r w:rsidRPr="00556F02">
        <w:rPr>
          <w:sz w:val="20"/>
          <w:szCs w:val="20"/>
        </w:rPr>
        <w:t xml:space="preserve"> renders unconstitutional s. 134 of the </w:t>
      </w:r>
      <w:r w:rsidRPr="00556F02">
        <w:rPr>
          <w:i/>
          <w:sz w:val="20"/>
          <w:szCs w:val="20"/>
        </w:rPr>
        <w:t xml:space="preserve">Liquor Control Act, </w:t>
      </w:r>
      <w:r w:rsidRPr="00556F02">
        <w:rPr>
          <w:sz w:val="20"/>
          <w:szCs w:val="20"/>
        </w:rPr>
        <w:t xml:space="preserve">RSNB 1973, c. L-10, which along with s. 3 of the </w:t>
      </w:r>
      <w:r w:rsidRPr="00556F02">
        <w:rPr>
          <w:i/>
          <w:sz w:val="20"/>
          <w:szCs w:val="20"/>
        </w:rPr>
        <w:t>Importation of Intoxicating Liquor Act</w:t>
      </w:r>
      <w:r w:rsidRPr="00556F02">
        <w:rPr>
          <w:sz w:val="20"/>
          <w:szCs w:val="20"/>
        </w:rPr>
        <w:t xml:space="preserve">, R.S.C., 1985, c. I-3, establishes a federal-provincial regulatory scheme in respect of intoxicating liquor? - </w:t>
      </w:r>
      <w:r w:rsidRPr="00556F02">
        <w:rPr>
          <w:i/>
          <w:sz w:val="20"/>
          <w:szCs w:val="20"/>
        </w:rPr>
        <w:t>Constitution Act</w:t>
      </w:r>
      <w:r w:rsidRPr="00556F02">
        <w:rPr>
          <w:sz w:val="20"/>
          <w:szCs w:val="20"/>
        </w:rPr>
        <w:t xml:space="preserve">, 1867, s. 121 - </w:t>
      </w:r>
      <w:r w:rsidRPr="00556F02">
        <w:rPr>
          <w:i/>
          <w:sz w:val="20"/>
          <w:szCs w:val="20"/>
        </w:rPr>
        <w:t xml:space="preserve">Liquor Control Act, </w:t>
      </w:r>
      <w:r w:rsidRPr="00556F02">
        <w:rPr>
          <w:sz w:val="20"/>
          <w:szCs w:val="20"/>
        </w:rPr>
        <w:t>RSNB 1973, c. L-10, s. 134 -</w:t>
      </w:r>
      <w:r w:rsidRPr="00556F02">
        <w:rPr>
          <w:i/>
          <w:sz w:val="20"/>
          <w:szCs w:val="20"/>
        </w:rPr>
        <w:t xml:space="preserve"> Importation of Intoxicating Liquor Act</w:t>
      </w:r>
      <w:r w:rsidRPr="00556F02">
        <w:rPr>
          <w:sz w:val="20"/>
          <w:szCs w:val="20"/>
        </w:rPr>
        <w:t>, R.S.C., 1985, c. I-3, s. 3</w:t>
      </w:r>
    </w:p>
    <w:p w:rsidR="001F0B90" w:rsidRPr="00556F02" w:rsidRDefault="001F0B90" w:rsidP="001F0B90">
      <w:pPr>
        <w:widowControl w:val="0"/>
        <w:jc w:val="both"/>
        <w:rPr>
          <w:sz w:val="20"/>
          <w:szCs w:val="20"/>
        </w:rPr>
      </w:pPr>
    </w:p>
    <w:p w:rsidR="001F0B90" w:rsidRPr="00556F02" w:rsidRDefault="001F0B90" w:rsidP="001F0B90">
      <w:pPr>
        <w:jc w:val="both"/>
        <w:rPr>
          <w:sz w:val="20"/>
          <w:szCs w:val="20"/>
        </w:rPr>
      </w:pPr>
      <w:r w:rsidRPr="00556F02">
        <w:rPr>
          <w:sz w:val="20"/>
          <w:szCs w:val="20"/>
        </w:rPr>
        <w:t>In October 2012, the respondent Mr. </w:t>
      </w:r>
      <w:proofErr w:type="spellStart"/>
      <w:r w:rsidRPr="00556F02">
        <w:rPr>
          <w:sz w:val="20"/>
          <w:szCs w:val="20"/>
        </w:rPr>
        <w:t>Comeau</w:t>
      </w:r>
      <w:proofErr w:type="spellEnd"/>
      <w:r w:rsidRPr="00556F02">
        <w:rPr>
          <w:sz w:val="20"/>
          <w:szCs w:val="20"/>
        </w:rPr>
        <w:t xml:space="preserve"> drove from his hometown </w:t>
      </w:r>
      <w:proofErr w:type="spellStart"/>
      <w:r w:rsidRPr="00556F02">
        <w:rPr>
          <w:sz w:val="20"/>
          <w:szCs w:val="20"/>
        </w:rPr>
        <w:t>Tracadie</w:t>
      </w:r>
      <w:proofErr w:type="spellEnd"/>
      <w:r w:rsidRPr="00556F02">
        <w:rPr>
          <w:sz w:val="20"/>
          <w:szCs w:val="20"/>
        </w:rPr>
        <w:t xml:space="preserve">, in New Brunswick, to Pointe-à-la-Croix and the </w:t>
      </w:r>
      <w:proofErr w:type="spellStart"/>
      <w:r w:rsidRPr="00556F02">
        <w:rPr>
          <w:sz w:val="20"/>
          <w:szCs w:val="20"/>
        </w:rPr>
        <w:t>Listuguj</w:t>
      </w:r>
      <w:proofErr w:type="spellEnd"/>
      <w:r w:rsidRPr="00556F02">
        <w:rPr>
          <w:sz w:val="20"/>
          <w:szCs w:val="20"/>
        </w:rPr>
        <w:t xml:space="preserve"> First Nation Indian Reserve, in the province of Quebec. He went there to purchase alcoholic beverages. Mr. </w:t>
      </w:r>
      <w:proofErr w:type="spellStart"/>
      <w:r w:rsidRPr="00556F02">
        <w:rPr>
          <w:sz w:val="20"/>
          <w:szCs w:val="20"/>
        </w:rPr>
        <w:t>Comeau</w:t>
      </w:r>
      <w:proofErr w:type="spellEnd"/>
      <w:r w:rsidRPr="00556F02">
        <w:rPr>
          <w:sz w:val="20"/>
          <w:szCs w:val="20"/>
        </w:rPr>
        <w:t xml:space="preserve"> was, at the time, under police surveillance as part of an investigation into cross-border liquor transport. His vehicle was intercepted upon his return, in </w:t>
      </w:r>
      <w:proofErr w:type="spellStart"/>
      <w:r w:rsidRPr="00556F02">
        <w:rPr>
          <w:sz w:val="20"/>
          <w:szCs w:val="20"/>
        </w:rPr>
        <w:t>Campbellton</w:t>
      </w:r>
      <w:proofErr w:type="spellEnd"/>
      <w:r w:rsidRPr="00556F02">
        <w:rPr>
          <w:sz w:val="20"/>
          <w:szCs w:val="20"/>
        </w:rPr>
        <w:t>, New Brunswick. Mr. </w:t>
      </w:r>
      <w:proofErr w:type="spellStart"/>
      <w:r w:rsidRPr="00556F02">
        <w:rPr>
          <w:sz w:val="20"/>
          <w:szCs w:val="20"/>
        </w:rPr>
        <w:t>Comeau</w:t>
      </w:r>
      <w:proofErr w:type="spellEnd"/>
      <w:r w:rsidRPr="00556F02">
        <w:rPr>
          <w:sz w:val="20"/>
          <w:szCs w:val="20"/>
        </w:rPr>
        <w:t xml:space="preserve"> was charged by way of Notice of Prosecution for “</w:t>
      </w:r>
      <w:proofErr w:type="spellStart"/>
      <w:r w:rsidRPr="00556F02">
        <w:rPr>
          <w:sz w:val="20"/>
          <w:szCs w:val="20"/>
        </w:rPr>
        <w:t>hav</w:t>
      </w:r>
      <w:proofErr w:type="spellEnd"/>
      <w:r w:rsidRPr="00556F02">
        <w:rPr>
          <w:sz w:val="20"/>
          <w:szCs w:val="20"/>
        </w:rPr>
        <w:t>[</w:t>
      </w:r>
      <w:proofErr w:type="spellStart"/>
      <w:r w:rsidRPr="00556F02">
        <w:rPr>
          <w:sz w:val="20"/>
          <w:szCs w:val="20"/>
        </w:rPr>
        <w:t>ing</w:t>
      </w:r>
      <w:proofErr w:type="spellEnd"/>
      <w:r w:rsidRPr="00556F02">
        <w:rPr>
          <w:sz w:val="20"/>
          <w:szCs w:val="20"/>
        </w:rPr>
        <w:t>] or keep[</w:t>
      </w:r>
      <w:proofErr w:type="spellStart"/>
      <w:r w:rsidRPr="00556F02">
        <w:rPr>
          <w:sz w:val="20"/>
          <w:szCs w:val="20"/>
        </w:rPr>
        <w:t>ing</w:t>
      </w:r>
      <w:proofErr w:type="spellEnd"/>
      <w:r w:rsidRPr="00556F02">
        <w:rPr>
          <w:sz w:val="20"/>
          <w:szCs w:val="20"/>
        </w:rPr>
        <w:t xml:space="preserve">] liquor not purchased from the Corporation”, an offence under section 134(b) of the New Brunswick </w:t>
      </w:r>
      <w:r w:rsidRPr="00556F02">
        <w:rPr>
          <w:i/>
          <w:sz w:val="20"/>
          <w:szCs w:val="20"/>
        </w:rPr>
        <w:t>Liquor Control Act</w:t>
      </w:r>
      <w:r w:rsidRPr="00556F02">
        <w:rPr>
          <w:sz w:val="20"/>
          <w:szCs w:val="20"/>
        </w:rPr>
        <w:t xml:space="preserve">, RSNB 1973, </w:t>
      </w:r>
      <w:proofErr w:type="gramStart"/>
      <w:r w:rsidRPr="00556F02">
        <w:rPr>
          <w:sz w:val="20"/>
          <w:szCs w:val="20"/>
        </w:rPr>
        <w:t>c</w:t>
      </w:r>
      <w:proofErr w:type="gramEnd"/>
      <w:r w:rsidRPr="00556F02">
        <w:rPr>
          <w:sz w:val="20"/>
          <w:szCs w:val="20"/>
        </w:rPr>
        <w:t>. L-10. The police also seized the alcoholic beverages he had purchased that day, a total of 354 bottles or cans of beer and three bottles of liquor. In his defense, Mr. </w:t>
      </w:r>
      <w:proofErr w:type="spellStart"/>
      <w:r w:rsidRPr="00556F02">
        <w:rPr>
          <w:sz w:val="20"/>
          <w:szCs w:val="20"/>
        </w:rPr>
        <w:t>Comeau</w:t>
      </w:r>
      <w:proofErr w:type="spellEnd"/>
      <w:r w:rsidRPr="00556F02">
        <w:rPr>
          <w:sz w:val="20"/>
          <w:szCs w:val="20"/>
        </w:rPr>
        <w:t xml:space="preserve"> claimed that section 134(b) of the </w:t>
      </w:r>
      <w:r w:rsidRPr="00556F02">
        <w:rPr>
          <w:i/>
          <w:sz w:val="20"/>
          <w:szCs w:val="20"/>
        </w:rPr>
        <w:t>Liquor Control Act</w:t>
      </w:r>
      <w:r w:rsidRPr="00556F02">
        <w:rPr>
          <w:sz w:val="20"/>
          <w:szCs w:val="20"/>
        </w:rPr>
        <w:t xml:space="preserve"> was an unenforceable provincial law, of no force and effect, as it contravened section 121 of the </w:t>
      </w:r>
      <w:r w:rsidRPr="00556F02">
        <w:rPr>
          <w:i/>
          <w:sz w:val="20"/>
          <w:szCs w:val="20"/>
        </w:rPr>
        <w:t>Constitution Act</w:t>
      </w:r>
      <w:r w:rsidRPr="00556F02">
        <w:rPr>
          <w:sz w:val="20"/>
          <w:szCs w:val="20"/>
        </w:rPr>
        <w:t xml:space="preserve">, </w:t>
      </w:r>
      <w:r w:rsidRPr="00556F02">
        <w:rPr>
          <w:i/>
          <w:sz w:val="20"/>
          <w:szCs w:val="20"/>
        </w:rPr>
        <w:t>1867</w:t>
      </w:r>
      <w:r w:rsidRPr="00556F02">
        <w:rPr>
          <w:sz w:val="20"/>
          <w:szCs w:val="20"/>
        </w:rPr>
        <w:t>.</w:t>
      </w:r>
    </w:p>
    <w:p w:rsidR="001F0B90" w:rsidRPr="00556F02" w:rsidRDefault="001F0B90" w:rsidP="001F0B90">
      <w:pPr>
        <w:jc w:val="both"/>
        <w:rPr>
          <w:sz w:val="20"/>
          <w:szCs w:val="20"/>
        </w:rPr>
      </w:pPr>
    </w:p>
    <w:p w:rsidR="001F0B90" w:rsidRPr="00556F02" w:rsidRDefault="001F0B90" w:rsidP="001F0B90">
      <w:pPr>
        <w:jc w:val="both"/>
        <w:rPr>
          <w:sz w:val="20"/>
          <w:szCs w:val="20"/>
        </w:rPr>
      </w:pPr>
      <w:r w:rsidRPr="00556F02">
        <w:rPr>
          <w:sz w:val="20"/>
          <w:szCs w:val="20"/>
        </w:rPr>
        <w:t xml:space="preserve">The trial judge declared s. 134(b) of the </w:t>
      </w:r>
      <w:r w:rsidRPr="00556F02">
        <w:rPr>
          <w:i/>
          <w:sz w:val="20"/>
          <w:szCs w:val="20"/>
        </w:rPr>
        <w:t>Liquor Control Act</w:t>
      </w:r>
      <w:r w:rsidRPr="00556F02">
        <w:rPr>
          <w:sz w:val="20"/>
          <w:szCs w:val="20"/>
        </w:rPr>
        <w:t xml:space="preserve"> unconstitutional and of no force and effect. He found that s. 134(b) constitutes a trade barrier which violates section 121 of the </w:t>
      </w:r>
      <w:r w:rsidRPr="00556F02">
        <w:rPr>
          <w:i/>
          <w:sz w:val="20"/>
          <w:szCs w:val="20"/>
        </w:rPr>
        <w:t>Constitution Act</w:t>
      </w:r>
      <w:r w:rsidRPr="00556F02">
        <w:rPr>
          <w:sz w:val="20"/>
          <w:szCs w:val="20"/>
        </w:rPr>
        <w:t xml:space="preserve">, 1867. The Court of Appeal of New Brunswick dismissed the application for leave to appeal. </w:t>
      </w:r>
    </w:p>
    <w:p w:rsidR="001F0B90" w:rsidRDefault="001F0B90" w:rsidP="00782AE4">
      <w:pPr>
        <w:jc w:val="both"/>
        <w:rPr>
          <w:sz w:val="20"/>
          <w:szCs w:val="20"/>
        </w:rPr>
      </w:pPr>
    </w:p>
    <w:p w:rsidR="001F0B90" w:rsidRDefault="00ED1F08" w:rsidP="00782AE4">
      <w:pPr>
        <w:jc w:val="both"/>
        <w:rPr>
          <w:sz w:val="20"/>
          <w:szCs w:val="20"/>
          <w:lang w:val="fr-CA"/>
        </w:rPr>
      </w:pPr>
      <w:r>
        <w:rPr>
          <w:sz w:val="20"/>
          <w:szCs w:val="20"/>
          <w:lang w:val="fr-CA"/>
        </w:rPr>
        <w:pict>
          <v:rect id="_x0000_i1082" style="width:2in;height:1pt" o:hrpct="0" o:hralign="center" o:hrstd="t" o:hrnoshade="t" o:hr="t" fillcolor="black [3213]" stroked="f"/>
        </w:pict>
      </w:r>
    </w:p>
    <w:p w:rsidR="001F0B90" w:rsidRDefault="001F0B90" w:rsidP="00782AE4">
      <w:pPr>
        <w:jc w:val="both"/>
        <w:rPr>
          <w:sz w:val="20"/>
          <w:szCs w:val="20"/>
          <w:lang w:val="fr-CA"/>
        </w:rPr>
      </w:pPr>
    </w:p>
    <w:p w:rsidR="001F0B90" w:rsidRPr="008D5D12" w:rsidRDefault="001F0B90" w:rsidP="001F0B90">
      <w:pPr>
        <w:rPr>
          <w:b/>
          <w:sz w:val="20"/>
          <w:szCs w:val="20"/>
          <w:lang w:val="fr-CA"/>
        </w:rPr>
      </w:pPr>
      <w:r w:rsidRPr="00096940">
        <w:rPr>
          <w:b/>
          <w:sz w:val="20"/>
          <w:szCs w:val="20"/>
          <w:lang w:val="fr-CA"/>
        </w:rPr>
        <w:t>37398</w:t>
      </w:r>
      <w:r w:rsidRPr="00096940">
        <w:rPr>
          <w:b/>
          <w:sz w:val="20"/>
          <w:szCs w:val="20"/>
          <w:lang w:val="fr-CA"/>
        </w:rPr>
        <w:tab/>
      </w:r>
      <w:r w:rsidRPr="008D5D12">
        <w:rPr>
          <w:b/>
          <w:sz w:val="20"/>
          <w:szCs w:val="20"/>
          <w:lang w:val="fr-CA"/>
        </w:rPr>
        <w:t>Sa Majesté la Reine c. Gérard Comeau</w:t>
      </w:r>
    </w:p>
    <w:p w:rsidR="001F0B90" w:rsidRPr="00096940" w:rsidRDefault="001F0B90" w:rsidP="001F0B90">
      <w:pPr>
        <w:ind w:firstLine="720"/>
        <w:rPr>
          <w:sz w:val="20"/>
          <w:szCs w:val="20"/>
          <w:lang w:val="fr-CA"/>
        </w:rPr>
      </w:pPr>
      <w:r w:rsidRPr="00096940">
        <w:rPr>
          <w:sz w:val="20"/>
          <w:szCs w:val="20"/>
          <w:lang w:val="fr-CA"/>
        </w:rPr>
        <w:t>(N.-B.) (Civile) (Sur autorisation)</w:t>
      </w:r>
    </w:p>
    <w:p w:rsidR="001F0B90" w:rsidRPr="00096940" w:rsidRDefault="001F0B90" w:rsidP="001F0B90">
      <w:pPr>
        <w:widowControl w:val="0"/>
        <w:jc w:val="both"/>
        <w:rPr>
          <w:sz w:val="20"/>
          <w:szCs w:val="20"/>
          <w:lang w:val="fr-CA"/>
        </w:rPr>
      </w:pPr>
    </w:p>
    <w:p w:rsidR="001F0B90" w:rsidRPr="00096940" w:rsidRDefault="001F0B90" w:rsidP="001F0B90">
      <w:pPr>
        <w:jc w:val="both"/>
        <w:rPr>
          <w:sz w:val="20"/>
          <w:szCs w:val="20"/>
          <w:lang w:val="fr-CA"/>
        </w:rPr>
      </w:pPr>
      <w:r w:rsidRPr="00096940">
        <w:rPr>
          <w:sz w:val="20"/>
          <w:szCs w:val="20"/>
          <w:lang w:val="fr-CA"/>
        </w:rPr>
        <w:t xml:space="preserve">Droit constitutionnel - Interprétation - Conflit de lois - Commerce interprovincial - Avis de poursuite pour avoir fait entrer au Nouveau-Brunswick des boissons alcoolisées en provenance du Québec - L’article 121 de la </w:t>
      </w:r>
      <w:r w:rsidRPr="00096940">
        <w:rPr>
          <w:i/>
          <w:sz w:val="20"/>
          <w:szCs w:val="20"/>
          <w:lang w:val="fr-CA"/>
        </w:rPr>
        <w:t xml:space="preserve">Loi constitutionnelle de 1867 </w:t>
      </w:r>
      <w:r w:rsidRPr="00096940">
        <w:rPr>
          <w:sz w:val="20"/>
          <w:szCs w:val="20"/>
          <w:lang w:val="fr-CA"/>
        </w:rPr>
        <w:t xml:space="preserve">est-il une disposition de libre-échange? - L’article 121 de la </w:t>
      </w:r>
      <w:r w:rsidRPr="00096940">
        <w:rPr>
          <w:i/>
          <w:sz w:val="20"/>
          <w:szCs w:val="20"/>
          <w:lang w:val="fr-CA"/>
        </w:rPr>
        <w:t xml:space="preserve">Loi constitutionnelle de 1867 </w:t>
      </w:r>
      <w:r w:rsidRPr="00096940">
        <w:rPr>
          <w:sz w:val="20"/>
          <w:szCs w:val="20"/>
          <w:lang w:val="fr-CA"/>
        </w:rPr>
        <w:t xml:space="preserve">rend-il inconstitutionnel l’art. 134 de la </w:t>
      </w:r>
      <w:r w:rsidRPr="00096940">
        <w:rPr>
          <w:i/>
          <w:sz w:val="20"/>
          <w:szCs w:val="20"/>
          <w:lang w:val="fr-CA"/>
        </w:rPr>
        <w:t>Loi sur la réglementation des alcools</w:t>
      </w:r>
      <w:r w:rsidRPr="00096940">
        <w:rPr>
          <w:sz w:val="20"/>
          <w:szCs w:val="20"/>
          <w:lang w:val="fr-CA"/>
        </w:rPr>
        <w:t xml:space="preserve">, L.R.N-B. 1973, ch. L-10 qui, avec l’art. 3 de la </w:t>
      </w:r>
      <w:r w:rsidRPr="00096940">
        <w:rPr>
          <w:i/>
          <w:sz w:val="20"/>
          <w:szCs w:val="20"/>
          <w:lang w:val="fr-CA"/>
        </w:rPr>
        <w:t>Loi sur l’importation des boissons enivrantes</w:t>
      </w:r>
      <w:r w:rsidRPr="00096940">
        <w:rPr>
          <w:sz w:val="20"/>
          <w:szCs w:val="20"/>
          <w:lang w:val="fr-CA"/>
        </w:rPr>
        <w:t xml:space="preserve">, L.R.C. 1985, ch. I-3, établit un régime de réglementation fédéral-provincial à l’égard des boissons enivrantes? </w:t>
      </w:r>
      <w:r w:rsidRPr="00096940">
        <w:rPr>
          <w:i/>
          <w:sz w:val="20"/>
          <w:szCs w:val="20"/>
          <w:lang w:val="fr-CA"/>
        </w:rPr>
        <w:t>Loi constitutionnelle de</w:t>
      </w:r>
      <w:r w:rsidRPr="00096940">
        <w:rPr>
          <w:sz w:val="20"/>
          <w:szCs w:val="20"/>
          <w:lang w:val="fr-CA"/>
        </w:rPr>
        <w:t xml:space="preserve"> </w:t>
      </w:r>
      <w:r w:rsidRPr="00096940">
        <w:rPr>
          <w:i/>
          <w:sz w:val="20"/>
          <w:szCs w:val="20"/>
          <w:lang w:val="fr-CA"/>
        </w:rPr>
        <w:t>1867</w:t>
      </w:r>
      <w:r w:rsidRPr="00096940">
        <w:rPr>
          <w:sz w:val="20"/>
          <w:szCs w:val="20"/>
          <w:lang w:val="fr-CA"/>
        </w:rPr>
        <w:t xml:space="preserve">, art. 121 - </w:t>
      </w:r>
      <w:r w:rsidRPr="00096940">
        <w:rPr>
          <w:i/>
          <w:sz w:val="20"/>
          <w:szCs w:val="20"/>
          <w:lang w:val="fr-CA"/>
        </w:rPr>
        <w:t>Loi sur la réglementation des alcools</w:t>
      </w:r>
      <w:r w:rsidRPr="00096940">
        <w:rPr>
          <w:sz w:val="20"/>
          <w:szCs w:val="20"/>
          <w:lang w:val="fr-CA"/>
        </w:rPr>
        <w:t>,</w:t>
      </w:r>
      <w:r w:rsidRPr="00096940">
        <w:rPr>
          <w:i/>
          <w:sz w:val="20"/>
          <w:szCs w:val="20"/>
          <w:lang w:val="fr-CA"/>
        </w:rPr>
        <w:t xml:space="preserve"> </w:t>
      </w:r>
      <w:r w:rsidRPr="00096940">
        <w:rPr>
          <w:sz w:val="20"/>
          <w:szCs w:val="20"/>
          <w:lang w:val="fr-CA"/>
        </w:rPr>
        <w:t xml:space="preserve">L.R.N-B. 1973, ch. L-10, art. 134 - </w:t>
      </w:r>
      <w:r w:rsidRPr="00096940">
        <w:rPr>
          <w:i/>
          <w:sz w:val="20"/>
          <w:szCs w:val="20"/>
          <w:lang w:val="fr-CA"/>
        </w:rPr>
        <w:t>Loi sur l’importation des boissons enivrantes</w:t>
      </w:r>
      <w:r w:rsidRPr="00096940">
        <w:rPr>
          <w:sz w:val="20"/>
          <w:szCs w:val="20"/>
          <w:lang w:val="fr-CA"/>
        </w:rPr>
        <w:t>, L.R.C. 1985, ch. I-3, art. 3.</w:t>
      </w:r>
    </w:p>
    <w:p w:rsidR="001F0B90" w:rsidRPr="00096940" w:rsidRDefault="001F0B90" w:rsidP="001F0B90">
      <w:pPr>
        <w:widowControl w:val="0"/>
        <w:jc w:val="both"/>
        <w:rPr>
          <w:sz w:val="20"/>
          <w:szCs w:val="20"/>
          <w:lang w:val="fr-CA"/>
        </w:rPr>
      </w:pPr>
    </w:p>
    <w:p w:rsidR="001F0B90" w:rsidRPr="00096940" w:rsidRDefault="001F0B90" w:rsidP="001F0B90">
      <w:pPr>
        <w:jc w:val="both"/>
        <w:rPr>
          <w:sz w:val="20"/>
          <w:szCs w:val="20"/>
          <w:lang w:val="fr-CA"/>
        </w:rPr>
      </w:pPr>
      <w:r w:rsidRPr="00096940">
        <w:rPr>
          <w:sz w:val="20"/>
          <w:szCs w:val="20"/>
          <w:lang w:val="fr-CA"/>
        </w:rPr>
        <w:t xml:space="preserve">En octobre 2012, l’intimé M. Comeau a conduit à partir de chez lui, à </w:t>
      </w:r>
      <w:proofErr w:type="spellStart"/>
      <w:r w:rsidRPr="00096940">
        <w:rPr>
          <w:sz w:val="20"/>
          <w:szCs w:val="20"/>
          <w:lang w:val="fr-CA"/>
        </w:rPr>
        <w:t>Tracadie</w:t>
      </w:r>
      <w:proofErr w:type="spellEnd"/>
      <w:r w:rsidRPr="00096940">
        <w:rPr>
          <w:sz w:val="20"/>
          <w:szCs w:val="20"/>
          <w:lang w:val="fr-CA"/>
        </w:rPr>
        <w:t xml:space="preserve"> (Nouveau-Brunswick), jusqu’à Pointe-à-la-Croix et la réserve indienne de la Première Nation de </w:t>
      </w:r>
      <w:proofErr w:type="spellStart"/>
      <w:r w:rsidRPr="00096940">
        <w:rPr>
          <w:sz w:val="20"/>
          <w:szCs w:val="20"/>
          <w:lang w:val="fr-CA"/>
        </w:rPr>
        <w:t>Listuguj</w:t>
      </w:r>
      <w:proofErr w:type="spellEnd"/>
      <w:r w:rsidRPr="00096940">
        <w:rPr>
          <w:sz w:val="20"/>
          <w:szCs w:val="20"/>
          <w:lang w:val="fr-CA"/>
        </w:rPr>
        <w:t xml:space="preserve">, dans la province de Québec. Il y était allé pour acheter des boissons alcoolisées. À cette époque, M. Comeau était sous surveillance policière dans le cadre d’une enquête sur le transport transfrontalier d’alcool. Son véhicule a été intercepté à son retour, à Campbellton (Nouveau-Brunswick). M. Comeau a été inculpé par voie d’avis de poursuite d’« [a]voir ou [de] garder des boissons alcoolique[s] achetées ailleurs qu’à la Société », une infraction prévue à l’al. 134b) de la </w:t>
      </w:r>
      <w:r w:rsidRPr="00096940">
        <w:rPr>
          <w:i/>
          <w:sz w:val="20"/>
          <w:szCs w:val="20"/>
          <w:lang w:val="fr-CA"/>
        </w:rPr>
        <w:t>Loi sur la réglementation des alcools</w:t>
      </w:r>
      <w:r w:rsidRPr="00096940">
        <w:rPr>
          <w:sz w:val="20"/>
          <w:szCs w:val="20"/>
          <w:lang w:val="fr-CA"/>
        </w:rPr>
        <w:t xml:space="preserve">, L.R.N.-B. 1973, ch. L-10, du Nouveau-Brunswick. Les policiers ont également saisi les boissons alcoolisées qu’il avait achetées ce jour-là, soit, au total, 354 bouteilles ou canettes de bière et trois bouteilles de spiritueux. Dans sa défense, </w:t>
      </w:r>
      <w:proofErr w:type="gramStart"/>
      <w:r w:rsidRPr="00096940">
        <w:rPr>
          <w:sz w:val="20"/>
          <w:szCs w:val="20"/>
          <w:lang w:val="fr-CA"/>
        </w:rPr>
        <w:t>il a</w:t>
      </w:r>
      <w:proofErr w:type="gramEnd"/>
      <w:r w:rsidRPr="00096940">
        <w:rPr>
          <w:sz w:val="20"/>
          <w:szCs w:val="20"/>
          <w:lang w:val="fr-CA"/>
        </w:rPr>
        <w:t xml:space="preserve"> allégué que l’al. 134b) de la </w:t>
      </w:r>
      <w:r w:rsidRPr="00096940">
        <w:rPr>
          <w:i/>
          <w:sz w:val="20"/>
          <w:szCs w:val="20"/>
          <w:lang w:val="fr-CA"/>
        </w:rPr>
        <w:t>Loi sur la réglementation des alcools</w:t>
      </w:r>
      <w:r w:rsidRPr="00096940">
        <w:rPr>
          <w:sz w:val="20"/>
          <w:szCs w:val="20"/>
          <w:lang w:val="fr-CA"/>
        </w:rPr>
        <w:t xml:space="preserve"> constituait une disposition législative provinciale </w:t>
      </w:r>
      <w:proofErr w:type="spellStart"/>
      <w:r w:rsidRPr="00096940">
        <w:rPr>
          <w:sz w:val="20"/>
          <w:szCs w:val="20"/>
          <w:lang w:val="fr-CA"/>
        </w:rPr>
        <w:t>inexécutoire</w:t>
      </w:r>
      <w:proofErr w:type="spellEnd"/>
      <w:r w:rsidRPr="00096940">
        <w:rPr>
          <w:sz w:val="20"/>
          <w:szCs w:val="20"/>
          <w:lang w:val="fr-CA"/>
        </w:rPr>
        <w:t xml:space="preserve">, invalide et inopérante, car elle contrevenait à l’art. 121 de la </w:t>
      </w:r>
      <w:r w:rsidRPr="00096940">
        <w:rPr>
          <w:i/>
          <w:sz w:val="20"/>
          <w:szCs w:val="20"/>
          <w:lang w:val="fr-CA"/>
        </w:rPr>
        <w:t>Loi constitutionnelle de 1867</w:t>
      </w:r>
      <w:r w:rsidRPr="00096940">
        <w:rPr>
          <w:sz w:val="20"/>
          <w:szCs w:val="20"/>
          <w:lang w:val="fr-CA"/>
        </w:rPr>
        <w:t>.</w:t>
      </w:r>
    </w:p>
    <w:p w:rsidR="001F0B90" w:rsidRPr="00096940" w:rsidRDefault="001F0B90" w:rsidP="001F0B90">
      <w:pPr>
        <w:jc w:val="both"/>
        <w:rPr>
          <w:sz w:val="20"/>
          <w:szCs w:val="20"/>
          <w:lang w:val="fr-CA"/>
        </w:rPr>
      </w:pPr>
    </w:p>
    <w:p w:rsidR="001F0B90" w:rsidRDefault="001F0B90" w:rsidP="001F0B90">
      <w:pPr>
        <w:jc w:val="both"/>
        <w:rPr>
          <w:sz w:val="20"/>
          <w:szCs w:val="20"/>
          <w:lang w:val="fr-CA"/>
        </w:rPr>
      </w:pPr>
      <w:r w:rsidRPr="00096940">
        <w:rPr>
          <w:sz w:val="20"/>
          <w:szCs w:val="20"/>
          <w:lang w:val="fr-CA"/>
        </w:rPr>
        <w:t xml:space="preserve">Le juge du </w:t>
      </w:r>
      <w:proofErr w:type="gramStart"/>
      <w:r w:rsidRPr="00096940">
        <w:rPr>
          <w:sz w:val="20"/>
          <w:szCs w:val="20"/>
          <w:lang w:val="fr-CA"/>
        </w:rPr>
        <w:t>procès a</w:t>
      </w:r>
      <w:proofErr w:type="gramEnd"/>
      <w:r w:rsidRPr="00096940">
        <w:rPr>
          <w:sz w:val="20"/>
          <w:szCs w:val="20"/>
          <w:lang w:val="fr-CA"/>
        </w:rPr>
        <w:t xml:space="preserve"> déclaré que l’al. 134b) de la </w:t>
      </w:r>
      <w:r w:rsidRPr="00096940">
        <w:rPr>
          <w:i/>
          <w:sz w:val="20"/>
          <w:szCs w:val="20"/>
          <w:lang w:val="fr-CA"/>
        </w:rPr>
        <w:t>Loi sur la réglementation des alcools</w:t>
      </w:r>
      <w:r w:rsidRPr="00096940">
        <w:rPr>
          <w:sz w:val="20"/>
          <w:szCs w:val="20"/>
          <w:lang w:val="fr-CA"/>
        </w:rPr>
        <w:t xml:space="preserve"> était inconstitutionnel et inopérant. </w:t>
      </w:r>
      <w:proofErr w:type="gramStart"/>
      <w:r w:rsidRPr="00096940">
        <w:rPr>
          <w:sz w:val="20"/>
          <w:szCs w:val="20"/>
          <w:lang w:val="fr-CA"/>
        </w:rPr>
        <w:t>Il a</w:t>
      </w:r>
      <w:proofErr w:type="gramEnd"/>
      <w:r w:rsidRPr="00096940">
        <w:rPr>
          <w:sz w:val="20"/>
          <w:szCs w:val="20"/>
          <w:lang w:val="fr-CA"/>
        </w:rPr>
        <w:t xml:space="preserve"> conclu que l’al. 134b) constituait un obstacle commercial qui contrevient à l’art. 121 de la </w:t>
      </w:r>
      <w:r w:rsidRPr="00096940">
        <w:rPr>
          <w:i/>
          <w:sz w:val="20"/>
          <w:szCs w:val="20"/>
          <w:lang w:val="fr-CA"/>
        </w:rPr>
        <w:t>Loi constitutionnelle de 1867</w:t>
      </w:r>
      <w:r w:rsidRPr="00096940">
        <w:rPr>
          <w:sz w:val="20"/>
          <w:szCs w:val="20"/>
          <w:lang w:val="fr-CA"/>
        </w:rPr>
        <w:t>. La Cour d’appel du Nouveau-Brunswick a rejeté la demande en autorisation d’appel.</w:t>
      </w:r>
    </w:p>
    <w:p w:rsidR="001F0B90" w:rsidRPr="00096940" w:rsidRDefault="001F0B90" w:rsidP="001F0B90">
      <w:pPr>
        <w:jc w:val="both"/>
        <w:rPr>
          <w:sz w:val="20"/>
          <w:szCs w:val="20"/>
          <w:lang w:val="fr-CA"/>
        </w:rPr>
      </w:pPr>
      <w:r w:rsidRPr="00096940">
        <w:rPr>
          <w:sz w:val="20"/>
          <w:szCs w:val="20"/>
          <w:lang w:val="fr-CA"/>
        </w:rPr>
        <w:t xml:space="preserve"> </w:t>
      </w:r>
    </w:p>
    <w:p w:rsidR="001F0B90" w:rsidRPr="001F0B90" w:rsidRDefault="00ED1F08" w:rsidP="00782AE4">
      <w:pPr>
        <w:jc w:val="both"/>
        <w:rPr>
          <w:sz w:val="20"/>
          <w:szCs w:val="20"/>
          <w:lang w:val="fr-CA"/>
        </w:rPr>
      </w:pPr>
      <w:r>
        <w:rPr>
          <w:sz w:val="20"/>
          <w:szCs w:val="20"/>
          <w:lang w:val="fr-CA"/>
        </w:rPr>
        <w:pict>
          <v:rect id="_x0000_i1083" style="width:2in;height:1pt" o:hrpct="0" o:hralign="center" o:hrstd="t" o:hrnoshade="t" o:hr="t" fillcolor="black [3213]" stroked="f"/>
        </w:pict>
      </w:r>
    </w:p>
    <w:p w:rsidR="00C01FCB" w:rsidRPr="001F0B90" w:rsidRDefault="00C01FCB" w:rsidP="00782AE4">
      <w:pPr>
        <w:jc w:val="both"/>
        <w:rPr>
          <w:sz w:val="20"/>
          <w:szCs w:val="20"/>
          <w:lang w:val="fr-CA"/>
        </w:rPr>
      </w:pPr>
    </w:p>
    <w:p w:rsidR="005F263E" w:rsidRPr="001F0B90" w:rsidRDefault="005F263E" w:rsidP="00782AE4">
      <w:pPr>
        <w:jc w:val="both"/>
        <w:rPr>
          <w:sz w:val="20"/>
          <w:szCs w:val="20"/>
          <w:lang w:val="fr-CA"/>
        </w:rPr>
        <w:sectPr w:rsidR="005F263E" w:rsidRPr="001F0B90" w:rsidSect="005F263E">
          <w:headerReference w:type="default"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bookmarkStart w:id="5" w:name="QuickMark"/>
    <w:bookmarkEnd w:id="5"/>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3E0AE6">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3E0AE6">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3E0AE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3E0AE6">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3E0AE6">
            <w:pPr>
              <w:jc w:val="center"/>
              <w:rPr>
                <w:rFonts w:ascii="Arial" w:hAnsi="Arial" w:cs="Arial"/>
                <w:b/>
                <w:sz w:val="13"/>
                <w:szCs w:val="13"/>
              </w:rPr>
            </w:pPr>
          </w:p>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2" w:type="pct"/>
            <w:tcMar>
              <w:bottom w:w="43" w:type="dxa"/>
            </w:tcMar>
            <w:vAlign w:val="bottom"/>
          </w:tcPr>
          <w:p w:rsidR="007E6F25" w:rsidRPr="00C33804" w:rsidRDefault="007E6F25" w:rsidP="003E0AE6">
            <w:pPr>
              <w:jc w:val="center"/>
              <w:rPr>
                <w:rFonts w:ascii="Arial" w:hAnsi="Arial" w:cs="Arial"/>
                <w:sz w:val="13"/>
                <w:szCs w:val="13"/>
              </w:rPr>
            </w:pPr>
          </w:p>
        </w:tc>
        <w:tc>
          <w:tcPr>
            <w:tcW w:w="225" w:type="pct"/>
            <w:tcMar>
              <w:bottom w:w="43" w:type="dxa"/>
            </w:tcMar>
            <w:vAlign w:val="bottom"/>
          </w:tcPr>
          <w:p w:rsidR="007E6F25" w:rsidRPr="00C33804" w:rsidRDefault="007E6F25" w:rsidP="003E0AE6">
            <w:pPr>
              <w:jc w:val="center"/>
              <w:rPr>
                <w:rFonts w:ascii="Arial" w:hAnsi="Arial" w:cs="Arial"/>
                <w:sz w:val="13"/>
                <w:szCs w:val="13"/>
              </w:rPr>
            </w:pPr>
          </w:p>
        </w:tc>
        <w:tc>
          <w:tcPr>
            <w:tcW w:w="223" w:type="pct"/>
            <w:tcMar>
              <w:bottom w:w="43" w:type="dxa"/>
            </w:tcMar>
            <w:vAlign w:val="bottom"/>
          </w:tcPr>
          <w:p w:rsidR="007E6F25" w:rsidRPr="00C33804" w:rsidRDefault="007E6F25" w:rsidP="003E0AE6">
            <w:pPr>
              <w:jc w:val="center"/>
              <w:rPr>
                <w:rFonts w:ascii="Arial" w:hAnsi="Arial" w:cs="Arial"/>
                <w:sz w:val="13"/>
                <w:szCs w:val="13"/>
              </w:rPr>
            </w:pPr>
          </w:p>
        </w:tc>
        <w:tc>
          <w:tcPr>
            <w:tcW w:w="224" w:type="pct"/>
            <w:tcMar>
              <w:bottom w:w="43" w:type="dxa"/>
            </w:tcMar>
            <w:vAlign w:val="bottom"/>
          </w:tcPr>
          <w:p w:rsidR="007E6F25" w:rsidRPr="00C33804" w:rsidRDefault="007E6F25" w:rsidP="003E0AE6">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r>
      <w:tr w:rsidR="007E6F25" w:rsidRPr="00C33804" w:rsidTr="003E0AE6">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3E0AE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3E0AE6">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r>
      <w:tr w:rsidR="007E6F25" w:rsidRPr="00C33804" w:rsidTr="003E0AE6">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3E0AE6">
            <w:pPr>
              <w:jc w:val="center"/>
              <w:rPr>
                <w:rFonts w:ascii="Arial" w:hAnsi="Arial" w:cs="Arial"/>
                <w:b/>
                <w:sz w:val="13"/>
                <w:szCs w:val="13"/>
              </w:rPr>
            </w:pPr>
            <w:r>
              <w:rPr>
                <w:rFonts w:ascii="Arial" w:hAnsi="Arial" w:cs="Arial"/>
                <w:b/>
                <w:sz w:val="13"/>
                <w:szCs w:val="13"/>
              </w:rPr>
              <w:t>H</w:t>
            </w:r>
          </w:p>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3E0AE6">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3E0AE6">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r>
      <w:tr w:rsidR="007E6F25" w:rsidRPr="00C33804" w:rsidTr="003E0AE6">
        <w:trPr>
          <w:trHeight w:val="346"/>
        </w:trPr>
        <w:tc>
          <w:tcPr>
            <w:tcW w:w="225"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r>
      <w:tr w:rsidR="007E6F25" w:rsidRPr="00C33804" w:rsidTr="003E0AE6">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3E0AE6">
            <w:pPr>
              <w:rPr>
                <w:rFonts w:ascii="Arial" w:hAnsi="Arial" w:cs="Arial"/>
                <w:sz w:val="13"/>
                <w:szCs w:val="13"/>
              </w:rPr>
            </w:pPr>
            <w:r w:rsidRPr="00CB2402">
              <w:rPr>
                <w:rFonts w:ascii="Arial" w:hAnsi="Arial" w:cs="Arial"/>
                <w:sz w:val="13"/>
                <w:szCs w:val="13"/>
              </w:rPr>
              <w:t xml:space="preserve"> 24 /</w:t>
            </w:r>
          </w:p>
          <w:p w:rsidR="007E6F25" w:rsidRPr="00CB2402" w:rsidRDefault="007E6F25" w:rsidP="003E0AE6">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3E0AE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3E0AE6">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3E0AE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3E0AE6">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3E0AE6">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3E0AE6">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3E0AE6">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3E0AE6">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3E0AE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2" w:type="pct"/>
            <w:tcMar>
              <w:bottom w:w="43" w:type="dxa"/>
            </w:tcMar>
            <w:vAlign w:val="bottom"/>
          </w:tcPr>
          <w:p w:rsidR="007E6F25" w:rsidRPr="00C33804" w:rsidRDefault="007E6F25" w:rsidP="003E0AE6">
            <w:pPr>
              <w:jc w:val="center"/>
              <w:rPr>
                <w:rFonts w:ascii="Arial" w:hAnsi="Arial" w:cs="Arial"/>
                <w:sz w:val="13"/>
                <w:szCs w:val="13"/>
              </w:rPr>
            </w:pPr>
          </w:p>
        </w:tc>
        <w:tc>
          <w:tcPr>
            <w:tcW w:w="223" w:type="pct"/>
            <w:tcMar>
              <w:bottom w:w="43" w:type="dxa"/>
            </w:tcMar>
            <w:vAlign w:val="bottom"/>
          </w:tcPr>
          <w:p w:rsidR="007E6F25" w:rsidRPr="00C33804" w:rsidRDefault="007E6F25" w:rsidP="003E0AE6">
            <w:pPr>
              <w:jc w:val="center"/>
              <w:rPr>
                <w:rFonts w:ascii="Arial" w:hAnsi="Arial" w:cs="Arial"/>
                <w:sz w:val="13"/>
                <w:szCs w:val="13"/>
              </w:rPr>
            </w:pPr>
          </w:p>
        </w:tc>
        <w:tc>
          <w:tcPr>
            <w:tcW w:w="222" w:type="pct"/>
            <w:tcMar>
              <w:bottom w:w="43" w:type="dxa"/>
            </w:tcMar>
            <w:vAlign w:val="bottom"/>
          </w:tcPr>
          <w:p w:rsidR="007E6F25" w:rsidRPr="00C33804" w:rsidRDefault="007E6F25" w:rsidP="003E0AE6">
            <w:pPr>
              <w:jc w:val="center"/>
              <w:rPr>
                <w:rFonts w:ascii="Arial" w:hAnsi="Arial" w:cs="Arial"/>
                <w:sz w:val="13"/>
                <w:szCs w:val="13"/>
              </w:rPr>
            </w:pPr>
          </w:p>
        </w:tc>
        <w:tc>
          <w:tcPr>
            <w:tcW w:w="223" w:type="pct"/>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r>
      <w:tr w:rsidR="007E6F25" w:rsidRPr="00C33804" w:rsidTr="003E0AE6">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10</w:t>
            </w:r>
          </w:p>
        </w:tc>
      </w:tr>
      <w:tr w:rsidR="007E6F25" w:rsidRPr="00C33804" w:rsidTr="003E0AE6">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r>
      <w:tr w:rsidR="007E6F25" w:rsidRPr="00C33804" w:rsidTr="003E0AE6">
        <w:trPr>
          <w:trHeight w:val="346"/>
        </w:trPr>
        <w:tc>
          <w:tcPr>
            <w:tcW w:w="226" w:type="pct"/>
            <w:tcBorders>
              <w:lef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r>
      <w:tr w:rsidR="007E6F25" w:rsidRPr="00C33804" w:rsidTr="003E0AE6">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3E0AE6">
            <w:pPr>
              <w:jc w:val="center"/>
              <w:rPr>
                <w:rFonts w:ascii="Arial" w:hAnsi="Arial" w:cs="Arial"/>
                <w:b/>
                <w:sz w:val="13"/>
                <w:szCs w:val="13"/>
              </w:rPr>
            </w:pPr>
            <w:r w:rsidRPr="004A406E">
              <w:rPr>
                <w:rFonts w:ascii="Arial" w:hAnsi="Arial" w:cs="Arial"/>
                <w:b/>
                <w:sz w:val="13"/>
                <w:szCs w:val="13"/>
              </w:rPr>
              <w:t>H</w:t>
            </w:r>
          </w:p>
          <w:p w:rsidR="007E6F25" w:rsidRPr="00C33804" w:rsidRDefault="007E6F25" w:rsidP="003E0AE6">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3E0AE6">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E0AE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3E0AE6">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3E0AE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w:t>
            </w:r>
          </w:p>
        </w:tc>
      </w:tr>
      <w:tr w:rsidR="007E6F25" w:rsidRPr="00C33804" w:rsidTr="003E0AE6">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3E0AE6">
            <w:pPr>
              <w:jc w:val="center"/>
              <w:rPr>
                <w:rFonts w:ascii="Arial" w:hAnsi="Arial" w:cs="Arial"/>
                <w:sz w:val="13"/>
                <w:szCs w:val="13"/>
              </w:rPr>
            </w:pPr>
          </w:p>
          <w:p w:rsidR="007E6F25" w:rsidRPr="00C33804" w:rsidRDefault="007E6F25" w:rsidP="003E0AE6">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9</w:t>
            </w:r>
          </w:p>
        </w:tc>
      </w:tr>
      <w:tr w:rsidR="007E6F25" w:rsidRPr="00C33804" w:rsidTr="003E0AE6">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16</w:t>
            </w:r>
          </w:p>
        </w:tc>
      </w:tr>
      <w:tr w:rsidR="007E6F25" w:rsidRPr="00C33804" w:rsidTr="003E0AE6">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3E0AE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23</w:t>
            </w:r>
          </w:p>
        </w:tc>
      </w:tr>
      <w:tr w:rsidR="007E6F25" w:rsidRPr="00C33804" w:rsidTr="003E0AE6">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3E0AE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E0AE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3E0AE6">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3"/>
      <w:footerReference w:type="default" r:id="rId8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5E" w:rsidRDefault="00335D5E" w:rsidP="00A87207">
      <w:r>
        <w:separator/>
      </w:r>
    </w:p>
  </w:endnote>
  <w:endnote w:type="continuationSeparator" w:id="0">
    <w:p w:rsidR="00335D5E" w:rsidRDefault="00335D5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A87207">
    <w:pPr>
      <w:pStyle w:val="Footer"/>
    </w:pPr>
    <w:r>
      <w:pict>
        <v:rect id="_x0000_i1027" style="width:480.95pt;height:1pt" o:hralign="center" o:hrstd="t" o:hrnoshade="t" o:hr="t" fillcolor="black [3213]" stroked="f"/>
      </w:pict>
    </w:r>
  </w:p>
  <w:p w:rsidR="00335D5E" w:rsidRPr="00B7374B" w:rsidRDefault="00335D5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EB2B90">
    <w:pPr>
      <w:tabs>
        <w:tab w:val="center" w:pos="4680"/>
      </w:tabs>
    </w:pPr>
    <w:r>
      <w:pict>
        <v:rect id="_x0000_i1055" style="width:480.95pt;height:1pt" o:hralign="center" o:hrstd="t" o:hrnoshade="t" o:hr="t" fillcolor="black [3213]" stroked="f"/>
      </w:pict>
    </w:r>
  </w:p>
  <w:p w:rsidR="00335D5E" w:rsidRPr="0031432F" w:rsidRDefault="00335D5E" w:rsidP="00EB2B90">
    <w:pPr>
      <w:tabs>
        <w:tab w:val="center" w:pos="4680"/>
      </w:tabs>
    </w:pPr>
    <w:r>
      <w:tab/>
      <w:t xml:space="preserve">- </w:t>
    </w:r>
    <w:r>
      <w:fldChar w:fldCharType="begin"/>
    </w:r>
    <w:r>
      <w:instrText xml:space="preserve"> PAGE   \* MERGEFORMAT </w:instrText>
    </w:r>
    <w:r>
      <w:fldChar w:fldCharType="separate"/>
    </w:r>
    <w:r w:rsidR="00ED1F08">
      <w:rPr>
        <w:noProof/>
      </w:rPr>
      <w:t>1579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D5E" w:rsidRDefault="00335D5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335D5E" w:rsidRDefault="00335D5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pPr>
      <w:pStyle w:val="Footer"/>
      <w:rPr>
        <w:lang w:val="fr-CA"/>
      </w:rPr>
    </w:pPr>
    <w:r>
      <w:rPr>
        <w:lang w:val="fr-CA"/>
      </w:rPr>
      <w:pict>
        <v:rect id="_x0000_i1061" style="width:480.95pt;height:1pt" o:hralign="center" o:hrstd="t" o:hrnoshade="t" o:hr="t" fillcolor="black [3213]" stroked="f"/>
      </w:pict>
    </w:r>
  </w:p>
  <w:p w:rsidR="00335D5E" w:rsidRDefault="00335D5E" w:rsidP="00EB2B90">
    <w:pPr>
      <w:tabs>
        <w:tab w:val="center" w:pos="4680"/>
      </w:tabs>
    </w:pPr>
    <w:r>
      <w:tab/>
      <w:t xml:space="preserve">- </w:t>
    </w:r>
    <w:r>
      <w:fldChar w:fldCharType="begin"/>
    </w:r>
    <w:r>
      <w:instrText xml:space="preserve"> PAGE   \* MERGEFORMAT </w:instrText>
    </w:r>
    <w:r>
      <w:fldChar w:fldCharType="separate"/>
    </w:r>
    <w:r w:rsidR="00ED1F08">
      <w:rPr>
        <w:noProof/>
      </w:rPr>
      <w:t>1586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35D5E" w:rsidRDefault="00335D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35D5E" w:rsidRDefault="00335D5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22323B">
    <w:r>
      <w:pict>
        <v:rect id="_x0000_i1064" style="width:480.95pt;height:1pt" o:hralign="center" o:hrstd="t" o:hrnoshade="t" o:hr="t" fillcolor="black [3213]" stroked="f"/>
      </w:pict>
    </w:r>
  </w:p>
  <w:p w:rsidR="00335D5E" w:rsidRDefault="00335D5E">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22323B">
    <w:r>
      <w:pict>
        <v:rect id="_x0000_i1065" style="width:480.95pt;height:1pt" o:hralign="center" o:hrstd="t" o:hrnoshade="t" o:hr="t" fillcolor="black [3213]" stroked="f"/>
      </w:pict>
    </w:r>
  </w:p>
  <w:p w:rsidR="00335D5E" w:rsidRDefault="00335D5E" w:rsidP="0022323B">
    <w:pPr>
      <w:tabs>
        <w:tab w:val="center" w:pos="4740"/>
      </w:tabs>
      <w:spacing w:line="0" w:lineRule="atLeast"/>
    </w:pPr>
    <w:r>
      <w:tab/>
      <w:t xml:space="preserve">- </w:t>
    </w:r>
    <w:r>
      <w:fldChar w:fldCharType="begin"/>
    </w:r>
    <w:r>
      <w:instrText xml:space="preserve"> PAGE   \* MERGEFORMAT </w:instrText>
    </w:r>
    <w:r>
      <w:fldChar w:fldCharType="separate"/>
    </w:r>
    <w:r w:rsidR="00ED1F08">
      <w:rPr>
        <w:noProof/>
      </w:rPr>
      <w:t>1587</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22323B">
    <w:r>
      <w:pict>
        <v:rect id="_x0000_i1084" style="width:480.95pt;height:1pt" o:hralign="center" o:hrstd="t" o:hrnoshade="t" o:hr="t" fillcolor="black [3213]" stroked="f"/>
      </w:pict>
    </w:r>
  </w:p>
  <w:p w:rsidR="00335D5E" w:rsidRDefault="00335D5E">
    <w:pPr>
      <w:tabs>
        <w:tab w:val="center" w:pos="4740"/>
      </w:tabs>
      <w:spacing w:line="0" w:lineRule="atLeast"/>
    </w:pPr>
    <w:r>
      <w:tab/>
      <w:t xml:space="preserve">- </w:t>
    </w:r>
    <w:r>
      <w:fldChar w:fldCharType="begin"/>
    </w:r>
    <w:r>
      <w:instrText xml:space="preserve"> PAGE   \* MERGEFORMAT </w:instrText>
    </w:r>
    <w:r>
      <w:fldChar w:fldCharType="separate"/>
    </w:r>
    <w:r w:rsidR="00ED1F08">
      <w:rPr>
        <w:noProof/>
      </w:rPr>
      <w:t>1602</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22323B">
    <w:r>
      <w:pict>
        <v:rect id="_x0000_i1085" style="width:480.95pt;height:1pt" o:hralign="center" o:hrstd="t" o:hrnoshade="t" o:hr="t" fillcolor="black [3213]" stroked="f"/>
      </w:pict>
    </w:r>
  </w:p>
  <w:p w:rsidR="00335D5E" w:rsidRDefault="00335D5E" w:rsidP="0022323B">
    <w:pPr>
      <w:tabs>
        <w:tab w:val="center" w:pos="4740"/>
      </w:tabs>
      <w:spacing w:line="0" w:lineRule="atLeast"/>
    </w:pPr>
    <w:r>
      <w:tab/>
      <w:t xml:space="preserve">- </w:t>
    </w:r>
    <w:r>
      <w:fldChar w:fldCharType="begin"/>
    </w:r>
    <w:r>
      <w:instrText xml:space="preserve"> PAGE   \* MERGEFORMAT </w:instrText>
    </w:r>
    <w:r>
      <w:fldChar w:fldCharType="separate"/>
    </w:r>
    <w:r w:rsidR="00ED1F08">
      <w:rPr>
        <w:noProof/>
      </w:rPr>
      <w:t>1588</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Pr="00924065" w:rsidRDefault="00335D5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755F22">
    <w:pPr>
      <w:tabs>
        <w:tab w:val="left" w:pos="-1440"/>
        <w:tab w:val="left" w:pos="-720"/>
      </w:tabs>
    </w:pPr>
    <w:r>
      <w:pict>
        <v:rect id="_x0000_i1028" style="width:480.95pt;height:1pt" o:hralign="center" o:hrstd="t" o:hrnoshade="t" o:hr="t" fillcolor="black [3213]" stroked="f"/>
      </w:pict>
    </w:r>
  </w:p>
  <w:p w:rsidR="00335D5E" w:rsidRPr="00954D22" w:rsidRDefault="00335D5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D1F08">
      <w:rPr>
        <w:noProof/>
        <w:szCs w:val="24"/>
      </w:rPr>
      <w:t>1563</w:t>
    </w:r>
    <w:r>
      <w:rPr>
        <w:szCs w:val="24"/>
      </w:rPr>
      <w:fldChar w:fldCharType="end"/>
    </w:r>
    <w:r w:rsidRPr="00954D22">
      <w:rPr>
        <w:szCs w:val="24"/>
      </w:rPr>
      <w:t xml:space="preserve"> -</w:t>
    </w:r>
  </w:p>
  <w:p w:rsidR="00335D5E" w:rsidRDefault="00335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A87207">
    <w:pPr>
      <w:pStyle w:val="Footer"/>
    </w:pPr>
    <w:r>
      <w:pict>
        <v:rect id="_x0000_i1030" style="width:480.95pt;height:1pt" o:hralign="center" o:hrstd="t" o:hrnoshade="t" o:hr="t" fillcolor="black [3213]" stroked="f"/>
      </w:pict>
    </w:r>
  </w:p>
  <w:p w:rsidR="00335D5E" w:rsidRPr="00B7374B" w:rsidRDefault="00335D5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335D5E" w:rsidRPr="00954D22" w:rsidRDefault="00335D5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D1F08">
      <w:rPr>
        <w:noProof/>
        <w:szCs w:val="24"/>
      </w:rPr>
      <w:t>1564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D5E" w:rsidRDefault="00335D5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335D5E" w:rsidRPr="0009648D" w:rsidRDefault="00335D5E" w:rsidP="00ED7E83">
    <w:pPr>
      <w:tabs>
        <w:tab w:val="center" w:pos="4680"/>
      </w:tabs>
    </w:pPr>
    <w:r>
      <w:tab/>
    </w:r>
    <w:r w:rsidRPr="0009648D">
      <w:t xml:space="preserve">- </w:t>
    </w:r>
    <w:r>
      <w:fldChar w:fldCharType="begin"/>
    </w:r>
    <w:r>
      <w:instrText xml:space="preserve"> PAGE   \* MERGEFORMAT </w:instrText>
    </w:r>
    <w:r>
      <w:fldChar w:fldCharType="separate"/>
    </w:r>
    <w:r w:rsidR="00ED1F08">
      <w:rPr>
        <w:noProof/>
      </w:rPr>
      <w:t>1578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pPr>
      <w:pStyle w:val="Footer"/>
      <w:rPr>
        <w:lang w:val="fr-CA"/>
      </w:rPr>
    </w:pPr>
    <w:r>
      <w:rPr>
        <w:lang w:val="fr-CA"/>
      </w:rPr>
      <w:pict>
        <v:rect id="_x0000_i1047" style="width:480.95pt;height:1pt" o:hralign="center" o:hrstd="t" o:hrnoshade="t" o:hr="t" fillcolor="black [3213]" stroked="f"/>
      </w:pict>
    </w:r>
  </w:p>
  <w:p w:rsidR="00335D5E" w:rsidRDefault="00335D5E" w:rsidP="00245129">
    <w:pPr>
      <w:tabs>
        <w:tab w:val="center" w:pos="4680"/>
      </w:tabs>
    </w:pPr>
    <w:r>
      <w:tab/>
    </w:r>
    <w:r w:rsidRPr="0009648D">
      <w:t xml:space="preserve">- </w:t>
    </w:r>
    <w:r>
      <w:fldChar w:fldCharType="begin"/>
    </w:r>
    <w:r>
      <w:instrText xml:space="preserve"> PAGE   \* MERGEFORMAT </w:instrText>
    </w:r>
    <w:r>
      <w:fldChar w:fldCharType="separate"/>
    </w:r>
    <w:r w:rsidR="00ED1F08">
      <w:rPr>
        <w:noProof/>
      </w:rPr>
      <w:t>1565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D5E" w:rsidRDefault="00335D5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ED1F08" w:rsidP="00755F22">
    <w:pPr>
      <w:tabs>
        <w:tab w:val="left" w:pos="-1440"/>
        <w:tab w:val="left" w:pos="-720"/>
      </w:tabs>
    </w:pPr>
    <w:r>
      <w:pict>
        <v:rect id="_x0000_i1054" style="width:480.95pt;height:1pt" o:hralign="center" o:hrstd="t" o:hrnoshade="t" o:hr="t" fillcolor="black [3213]" stroked="f"/>
      </w:pict>
    </w:r>
  </w:p>
  <w:p w:rsidR="00335D5E" w:rsidRDefault="00335D5E" w:rsidP="00EB2B90">
    <w:pPr>
      <w:tabs>
        <w:tab w:val="center" w:pos="4680"/>
      </w:tabs>
    </w:pPr>
    <w:r>
      <w:tab/>
      <w:t xml:space="preserve">- </w:t>
    </w:r>
    <w:r>
      <w:fldChar w:fldCharType="begin"/>
    </w:r>
    <w:r>
      <w:instrText xml:space="preserve"> PAGE   \* MERGEFORMAT </w:instrText>
    </w:r>
    <w:r>
      <w:fldChar w:fldCharType="separate"/>
    </w:r>
    <w:r w:rsidR="00ED1F08">
      <w:rPr>
        <w:noProof/>
      </w:rPr>
      <w:t>1585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5E" w:rsidRDefault="00335D5E" w:rsidP="00A87207">
      <w:r>
        <w:separator/>
      </w:r>
    </w:p>
  </w:footnote>
  <w:footnote w:type="continuationSeparator" w:id="0">
    <w:p w:rsidR="00335D5E" w:rsidRDefault="00335D5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35D5E" w:rsidRPr="0044776A" w:rsidTr="00245129">
      <w:tc>
        <w:tcPr>
          <w:tcW w:w="4290" w:type="dxa"/>
          <w:tcMar>
            <w:left w:w="0" w:type="dxa"/>
            <w:right w:w="0" w:type="dxa"/>
          </w:tcMar>
        </w:tcPr>
        <w:p w:rsidR="00335D5E" w:rsidRPr="0044776A" w:rsidRDefault="00335D5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35D5E" w:rsidRPr="0044776A" w:rsidRDefault="00335D5E" w:rsidP="002E2327">
          <w:pPr>
            <w:keepNext/>
            <w:keepLines/>
            <w:tabs>
              <w:tab w:val="left" w:pos="-1440"/>
              <w:tab w:val="left" w:pos="-720"/>
            </w:tabs>
            <w:jc w:val="center"/>
            <w:rPr>
              <w:sz w:val="20"/>
              <w:szCs w:val="20"/>
            </w:rPr>
          </w:pPr>
        </w:p>
        <w:p w:rsidR="00335D5E" w:rsidRPr="0044776A" w:rsidRDefault="00335D5E" w:rsidP="002E2327">
          <w:pPr>
            <w:keepNext/>
            <w:keepLines/>
            <w:tabs>
              <w:tab w:val="left" w:pos="-1440"/>
              <w:tab w:val="left" w:pos="-720"/>
            </w:tabs>
            <w:jc w:val="center"/>
            <w:rPr>
              <w:sz w:val="20"/>
              <w:szCs w:val="20"/>
            </w:rPr>
          </w:pPr>
        </w:p>
        <w:p w:rsidR="00335D5E" w:rsidRPr="0044776A" w:rsidRDefault="00335D5E" w:rsidP="002E2327">
          <w:pPr>
            <w:keepNext/>
            <w:keepLines/>
            <w:tabs>
              <w:tab w:val="left" w:pos="-1440"/>
              <w:tab w:val="left" w:pos="-720"/>
            </w:tabs>
            <w:jc w:val="center"/>
            <w:rPr>
              <w:sz w:val="20"/>
              <w:szCs w:val="20"/>
            </w:rPr>
          </w:pPr>
        </w:p>
      </w:tc>
      <w:tc>
        <w:tcPr>
          <w:tcW w:w="4320" w:type="dxa"/>
          <w:tcMar>
            <w:left w:w="0" w:type="dxa"/>
            <w:right w:w="0" w:type="dxa"/>
          </w:tcMar>
        </w:tcPr>
        <w:p w:rsidR="00335D5E" w:rsidRPr="0044776A" w:rsidRDefault="00335D5E" w:rsidP="002E2327">
          <w:pPr>
            <w:keepLines/>
            <w:rPr>
              <w:sz w:val="20"/>
              <w:szCs w:val="20"/>
              <w:lang w:val="fr-CA"/>
            </w:rPr>
          </w:pPr>
          <w:r w:rsidRPr="0044776A">
            <w:rPr>
              <w:sz w:val="20"/>
              <w:szCs w:val="20"/>
              <w:lang w:val="fr-CA"/>
            </w:rPr>
            <w:t>DEMANDES D'AUTORISATION D'APPEL DÉPOSÉES</w:t>
          </w:r>
        </w:p>
      </w:tc>
    </w:tr>
  </w:tbl>
  <w:p w:rsidR="00335D5E" w:rsidRDefault="00335D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35D5E" w:rsidRPr="00ED1F08">
      <w:tc>
        <w:tcPr>
          <w:tcW w:w="4200" w:type="dxa"/>
          <w:tcMar>
            <w:left w:w="0" w:type="dxa"/>
            <w:right w:w="0" w:type="dxa"/>
          </w:tcMar>
        </w:tcPr>
        <w:p w:rsidR="00335D5E"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35D5E"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D5E" w:rsidRPr="00B01A03" w:rsidRDefault="00335D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35D5E" w:rsidRPr="00B01A03"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35D5E" w:rsidRPr="00B01A03"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35D5E" w:rsidRPr="00ED1F08" w:rsidTr="00245129">
      <w:tc>
        <w:tcPr>
          <w:tcW w:w="4200" w:type="dxa"/>
          <w:tcMar>
            <w:left w:w="0" w:type="dxa"/>
            <w:right w:w="0" w:type="dxa"/>
          </w:tcMar>
        </w:tcPr>
        <w:p w:rsidR="00335D5E" w:rsidRPr="00F40249" w:rsidRDefault="00335D5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35D5E" w:rsidRDefault="00335D5E" w:rsidP="00102926">
          <w:pPr>
            <w:keepNext/>
            <w:keepLines/>
            <w:tabs>
              <w:tab w:val="left" w:pos="-1440"/>
              <w:tab w:val="left" w:pos="-720"/>
            </w:tabs>
            <w:jc w:val="center"/>
            <w:rPr>
              <w:sz w:val="20"/>
              <w:szCs w:val="20"/>
            </w:rPr>
          </w:pPr>
        </w:p>
        <w:p w:rsidR="00335D5E" w:rsidRDefault="00335D5E" w:rsidP="00102926">
          <w:pPr>
            <w:keepNext/>
            <w:keepLines/>
            <w:tabs>
              <w:tab w:val="left" w:pos="-1440"/>
              <w:tab w:val="left" w:pos="-720"/>
            </w:tabs>
            <w:jc w:val="center"/>
            <w:rPr>
              <w:sz w:val="20"/>
              <w:szCs w:val="20"/>
            </w:rPr>
          </w:pPr>
        </w:p>
        <w:p w:rsidR="00335D5E" w:rsidRPr="00F40249" w:rsidRDefault="00335D5E" w:rsidP="00102926">
          <w:pPr>
            <w:keepNext/>
            <w:keepLines/>
            <w:tabs>
              <w:tab w:val="left" w:pos="-1440"/>
              <w:tab w:val="left" w:pos="-720"/>
            </w:tabs>
            <w:jc w:val="center"/>
            <w:rPr>
              <w:sz w:val="20"/>
              <w:szCs w:val="20"/>
            </w:rPr>
          </w:pPr>
        </w:p>
      </w:tc>
      <w:tc>
        <w:tcPr>
          <w:tcW w:w="4230" w:type="dxa"/>
          <w:tcMar>
            <w:left w:w="0" w:type="dxa"/>
            <w:right w:w="0" w:type="dxa"/>
          </w:tcMar>
        </w:tcPr>
        <w:p w:rsidR="00335D5E" w:rsidRPr="00F40249" w:rsidRDefault="00335D5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35D5E" w:rsidRPr="00B01A03" w:rsidRDefault="00335D5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35D5E">
      <w:tc>
        <w:tcPr>
          <w:tcW w:w="4200" w:type="dxa"/>
          <w:tcMar>
            <w:left w:w="0" w:type="dxa"/>
            <w:right w:w="0" w:type="dxa"/>
          </w:tcMar>
        </w:tcPr>
        <w:p w:rsidR="00335D5E" w:rsidRDefault="00335D5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35D5E" w:rsidRDefault="00335D5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35D5E" w:rsidRDefault="00335D5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35D5E" w:rsidRDefault="00335D5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35D5E" w:rsidRDefault="00335D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35D5E" w:rsidRDefault="00335D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5D5E" w:rsidRPr="00C50A5C" w:rsidTr="00245129">
      <w:tc>
        <w:tcPr>
          <w:tcW w:w="4200" w:type="dxa"/>
          <w:tcMar>
            <w:left w:w="0" w:type="dxa"/>
            <w:right w:w="0" w:type="dxa"/>
          </w:tcMar>
        </w:tcPr>
        <w:p w:rsidR="00335D5E" w:rsidRPr="00C50A5C" w:rsidRDefault="00335D5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35D5E" w:rsidRPr="00C50A5C" w:rsidRDefault="00335D5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35D5E" w:rsidRPr="00C50A5C" w:rsidRDefault="00335D5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35D5E" w:rsidRPr="00C50A5C" w:rsidRDefault="00335D5E"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35D5E" w:rsidRDefault="00335D5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5D5E" w:rsidRPr="005F263E" w:rsidTr="00245129">
      <w:tc>
        <w:tcPr>
          <w:tcW w:w="4200" w:type="dxa"/>
          <w:tcMar>
            <w:left w:w="0" w:type="dxa"/>
            <w:right w:w="0" w:type="dxa"/>
          </w:tcMar>
        </w:tcPr>
        <w:p w:rsidR="00335D5E" w:rsidRPr="005F263E" w:rsidRDefault="00335D5E"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335D5E" w:rsidRPr="005F263E" w:rsidRDefault="00335D5E" w:rsidP="00245129">
          <w:pPr>
            <w:keepNext/>
            <w:keepLines/>
            <w:tabs>
              <w:tab w:val="left" w:pos="-1440"/>
              <w:tab w:val="left" w:pos="-720"/>
            </w:tabs>
            <w:jc w:val="center"/>
            <w:rPr>
              <w:sz w:val="20"/>
              <w:szCs w:val="20"/>
            </w:rPr>
          </w:pPr>
        </w:p>
        <w:p w:rsidR="00335D5E" w:rsidRPr="005F263E" w:rsidRDefault="00335D5E" w:rsidP="00245129">
          <w:pPr>
            <w:keepNext/>
            <w:keepLines/>
            <w:tabs>
              <w:tab w:val="left" w:pos="-1440"/>
              <w:tab w:val="left" w:pos="-720"/>
            </w:tabs>
            <w:jc w:val="center"/>
            <w:rPr>
              <w:sz w:val="20"/>
              <w:szCs w:val="20"/>
            </w:rPr>
          </w:pPr>
        </w:p>
      </w:tc>
      <w:tc>
        <w:tcPr>
          <w:tcW w:w="4080" w:type="dxa"/>
          <w:tcMar>
            <w:left w:w="0" w:type="dxa"/>
            <w:right w:w="0" w:type="dxa"/>
          </w:tcMar>
        </w:tcPr>
        <w:p w:rsidR="00335D5E" w:rsidRPr="005F263E" w:rsidRDefault="00335D5E" w:rsidP="00245129">
          <w:pPr>
            <w:keepLines/>
            <w:tabs>
              <w:tab w:val="left" w:pos="-1440"/>
              <w:tab w:val="left" w:pos="-720"/>
            </w:tabs>
            <w:rPr>
              <w:sz w:val="20"/>
              <w:szCs w:val="20"/>
            </w:rPr>
          </w:pPr>
          <w:r w:rsidRPr="005F263E">
            <w:rPr>
              <w:sz w:val="20"/>
              <w:szCs w:val="20"/>
            </w:rPr>
            <w:t>RÉSUMÉS DES AFFAIRES</w:t>
          </w:r>
        </w:p>
      </w:tc>
    </w:tr>
  </w:tbl>
  <w:p w:rsidR="00335D5E" w:rsidRDefault="00335D5E"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5D5E" w:rsidRPr="00ED1F08" w:rsidTr="00245129">
      <w:tc>
        <w:tcPr>
          <w:tcW w:w="4200" w:type="dxa"/>
          <w:tcMar>
            <w:left w:w="0" w:type="dxa"/>
            <w:right w:w="0" w:type="dxa"/>
          </w:tcMar>
        </w:tcPr>
        <w:p w:rsidR="00335D5E" w:rsidRPr="0044776A" w:rsidRDefault="00335D5E" w:rsidP="0044776A">
          <w:pPr>
            <w:keepNext/>
            <w:keepLines/>
            <w:widowControl w:val="0"/>
            <w:rPr>
              <w:sz w:val="20"/>
              <w:szCs w:val="20"/>
            </w:rPr>
          </w:pPr>
          <w:r>
            <w:rPr>
              <w:sz w:val="20"/>
              <w:szCs w:val="20"/>
            </w:rPr>
            <w:t>APPLICATIONS FOR LEAVE</w:t>
          </w:r>
        </w:p>
        <w:p w:rsidR="00335D5E" w:rsidRPr="0044776A" w:rsidRDefault="00335D5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35D5E" w:rsidRPr="0044776A" w:rsidRDefault="00335D5E" w:rsidP="0044776A">
          <w:pPr>
            <w:keepNext/>
            <w:keepLines/>
            <w:widowControl w:val="0"/>
            <w:jc w:val="center"/>
            <w:rPr>
              <w:sz w:val="20"/>
              <w:szCs w:val="20"/>
            </w:rPr>
          </w:pPr>
        </w:p>
        <w:p w:rsidR="00335D5E" w:rsidRPr="0044776A" w:rsidRDefault="00335D5E" w:rsidP="0044776A">
          <w:pPr>
            <w:keepNext/>
            <w:keepLines/>
            <w:widowControl w:val="0"/>
            <w:jc w:val="center"/>
            <w:rPr>
              <w:sz w:val="20"/>
              <w:szCs w:val="20"/>
            </w:rPr>
          </w:pPr>
        </w:p>
        <w:p w:rsidR="00335D5E" w:rsidRPr="0044776A" w:rsidRDefault="00335D5E" w:rsidP="0044776A">
          <w:pPr>
            <w:keepNext/>
            <w:keepLines/>
            <w:widowControl w:val="0"/>
            <w:jc w:val="center"/>
            <w:rPr>
              <w:sz w:val="20"/>
              <w:szCs w:val="20"/>
            </w:rPr>
          </w:pPr>
        </w:p>
      </w:tc>
      <w:tc>
        <w:tcPr>
          <w:tcW w:w="4080" w:type="dxa"/>
          <w:tcMar>
            <w:left w:w="0" w:type="dxa"/>
            <w:right w:w="0" w:type="dxa"/>
          </w:tcMar>
        </w:tcPr>
        <w:p w:rsidR="00335D5E" w:rsidRPr="0044776A" w:rsidRDefault="00335D5E" w:rsidP="0044776A">
          <w:pPr>
            <w:keepLines/>
            <w:widowControl w:val="0"/>
            <w:rPr>
              <w:sz w:val="20"/>
              <w:szCs w:val="20"/>
              <w:lang w:val="fr-CA"/>
            </w:rPr>
          </w:pPr>
          <w:r w:rsidRPr="0044776A">
            <w:rPr>
              <w:sz w:val="20"/>
              <w:szCs w:val="20"/>
              <w:lang w:val="fr-CA"/>
            </w:rPr>
            <w:t>DEMANDES SOUMISES À LA COUR DEPUIS LA DERNIÈRE PARUTION</w:t>
          </w:r>
        </w:p>
        <w:p w:rsidR="00335D5E" w:rsidRPr="0044776A" w:rsidRDefault="00335D5E" w:rsidP="0044776A">
          <w:pPr>
            <w:widowControl w:val="0"/>
            <w:rPr>
              <w:sz w:val="20"/>
              <w:szCs w:val="20"/>
              <w:lang w:val="fr-CA"/>
            </w:rPr>
          </w:pPr>
        </w:p>
      </w:tc>
    </w:tr>
  </w:tbl>
  <w:p w:rsidR="00335D5E" w:rsidRPr="002E2327" w:rsidRDefault="00335D5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35D5E" w:rsidRPr="00ED1F08">
      <w:tc>
        <w:tcPr>
          <w:tcW w:w="4200" w:type="dxa"/>
          <w:tcMar>
            <w:left w:w="0" w:type="dxa"/>
            <w:right w:w="0" w:type="dxa"/>
          </w:tcMar>
        </w:tcPr>
        <w:p w:rsidR="00335D5E"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35D5E"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35D5E" w:rsidRDefault="00335D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D5E" w:rsidRPr="00FF6BA5" w:rsidRDefault="00335D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35D5E" w:rsidRPr="00FF6BA5"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35D5E" w:rsidRPr="00FF6BA5"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35D5E" w:rsidRPr="00FF6BA5"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5D5E" w:rsidRPr="00ED1F08" w:rsidTr="00245129">
      <w:tc>
        <w:tcPr>
          <w:tcW w:w="4200" w:type="dxa"/>
          <w:tcMar>
            <w:left w:w="0" w:type="dxa"/>
            <w:right w:w="0" w:type="dxa"/>
          </w:tcMar>
        </w:tcPr>
        <w:p w:rsidR="00335D5E" w:rsidRPr="00755F22"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35D5E" w:rsidRPr="00755F22"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35D5E" w:rsidRPr="00755F22" w:rsidRDefault="00335D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35D5E" w:rsidRPr="00755F22" w:rsidRDefault="00335D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35D5E" w:rsidRPr="00755F22" w:rsidRDefault="00335D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35D5E" w:rsidRPr="00755F22" w:rsidRDefault="00335D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35D5E" w:rsidRPr="00FF6BA5" w:rsidRDefault="00335D5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5E" w:rsidRDefault="00335D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35D5E">
      <w:tc>
        <w:tcPr>
          <w:tcW w:w="4230" w:type="dxa"/>
          <w:tcMar>
            <w:left w:w="0" w:type="dxa"/>
            <w:right w:w="0" w:type="dxa"/>
          </w:tcMar>
        </w:tcPr>
        <w:p w:rsidR="00335D5E" w:rsidRDefault="00335D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35D5E" w:rsidRDefault="00335D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D5E" w:rsidRDefault="00335D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35D5E">
      <w:trPr>
        <w:gridAfter w:val="2"/>
        <w:wAfter w:w="5250" w:type="dxa"/>
      </w:trPr>
      <w:tc>
        <w:tcPr>
          <w:tcW w:w="4230" w:type="dxa"/>
          <w:tcMar>
            <w:left w:w="0" w:type="dxa"/>
            <w:right w:w="0" w:type="dxa"/>
          </w:tcMar>
        </w:tcPr>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35D5E" w:rsidRDefault="00335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35D5E" w:rsidRPr="00755F22" w:rsidTr="00245129">
      <w:tc>
        <w:tcPr>
          <w:tcW w:w="4230" w:type="dxa"/>
          <w:tcMar>
            <w:left w:w="0" w:type="dxa"/>
            <w:right w:w="0" w:type="dxa"/>
          </w:tcMar>
        </w:tcPr>
        <w:p w:rsidR="00335D5E" w:rsidRPr="00755F22" w:rsidRDefault="00335D5E" w:rsidP="00831CA9">
          <w:pPr>
            <w:keepNext/>
            <w:keepLines/>
            <w:rPr>
              <w:sz w:val="20"/>
              <w:szCs w:val="20"/>
            </w:rPr>
          </w:pPr>
          <w:r w:rsidRPr="00755F22">
            <w:rPr>
              <w:sz w:val="20"/>
              <w:szCs w:val="20"/>
            </w:rPr>
            <w:t>MOTIONS</w:t>
          </w:r>
        </w:p>
      </w:tc>
      <w:tc>
        <w:tcPr>
          <w:tcW w:w="1170" w:type="dxa"/>
          <w:tcMar>
            <w:left w:w="0" w:type="dxa"/>
            <w:right w:w="0" w:type="dxa"/>
          </w:tcMar>
        </w:tcPr>
        <w:p w:rsidR="00335D5E" w:rsidRPr="00755F22" w:rsidRDefault="00335D5E" w:rsidP="00831CA9">
          <w:pPr>
            <w:keepLines/>
            <w:jc w:val="center"/>
            <w:rPr>
              <w:sz w:val="20"/>
              <w:szCs w:val="20"/>
            </w:rPr>
          </w:pPr>
        </w:p>
        <w:p w:rsidR="00335D5E" w:rsidRPr="00755F22" w:rsidRDefault="00335D5E" w:rsidP="00831CA9">
          <w:pPr>
            <w:keepLines/>
            <w:tabs>
              <w:tab w:val="left" w:pos="-1440"/>
              <w:tab w:val="left" w:pos="-720"/>
            </w:tabs>
            <w:jc w:val="center"/>
            <w:rPr>
              <w:sz w:val="20"/>
              <w:szCs w:val="20"/>
            </w:rPr>
          </w:pPr>
        </w:p>
      </w:tc>
      <w:tc>
        <w:tcPr>
          <w:tcW w:w="4080" w:type="dxa"/>
          <w:tcMar>
            <w:left w:w="0" w:type="dxa"/>
            <w:right w:w="0" w:type="dxa"/>
          </w:tcMar>
        </w:tcPr>
        <w:p w:rsidR="00335D5E" w:rsidRPr="00BA6468" w:rsidRDefault="00335D5E" w:rsidP="00BA6468">
          <w:pPr>
            <w:keepLines/>
            <w:rPr>
              <w:sz w:val="20"/>
              <w:szCs w:val="20"/>
              <w:lang w:val="fr-CA"/>
            </w:rPr>
          </w:pPr>
          <w:r w:rsidRPr="00BA6468">
            <w:rPr>
              <w:sz w:val="20"/>
              <w:szCs w:val="20"/>
              <w:lang w:val="fr-CA"/>
            </w:rPr>
            <w:t>REQUÊTES</w:t>
          </w:r>
        </w:p>
      </w:tc>
    </w:tr>
  </w:tbl>
  <w:p w:rsidR="00335D5E" w:rsidRDefault="00335D5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5"/>
    <w:rsid w:val="00002704"/>
    <w:rsid w:val="00011EB5"/>
    <w:rsid w:val="00020DC3"/>
    <w:rsid w:val="0003223B"/>
    <w:rsid w:val="000327B2"/>
    <w:rsid w:val="00044C59"/>
    <w:rsid w:val="0004528B"/>
    <w:rsid w:val="00064FBA"/>
    <w:rsid w:val="0007399E"/>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26C61"/>
    <w:rsid w:val="0013369E"/>
    <w:rsid w:val="0013595D"/>
    <w:rsid w:val="00164E6D"/>
    <w:rsid w:val="00183454"/>
    <w:rsid w:val="001945B7"/>
    <w:rsid w:val="001A6B6F"/>
    <w:rsid w:val="001B157C"/>
    <w:rsid w:val="001B4006"/>
    <w:rsid w:val="001B5C23"/>
    <w:rsid w:val="001D0D5F"/>
    <w:rsid w:val="001D6B8C"/>
    <w:rsid w:val="001F0B90"/>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35D5E"/>
    <w:rsid w:val="00355967"/>
    <w:rsid w:val="00382C47"/>
    <w:rsid w:val="00384384"/>
    <w:rsid w:val="003866AE"/>
    <w:rsid w:val="003B3977"/>
    <w:rsid w:val="003E0AE6"/>
    <w:rsid w:val="003E1D4C"/>
    <w:rsid w:val="004137A0"/>
    <w:rsid w:val="00422D9A"/>
    <w:rsid w:val="00432989"/>
    <w:rsid w:val="00432D9A"/>
    <w:rsid w:val="00440E24"/>
    <w:rsid w:val="0044776A"/>
    <w:rsid w:val="00460AFC"/>
    <w:rsid w:val="0046222C"/>
    <w:rsid w:val="0047471F"/>
    <w:rsid w:val="004B195E"/>
    <w:rsid w:val="004B66B4"/>
    <w:rsid w:val="004B7F60"/>
    <w:rsid w:val="004C1AAC"/>
    <w:rsid w:val="004E1E0A"/>
    <w:rsid w:val="004F090E"/>
    <w:rsid w:val="00501F3C"/>
    <w:rsid w:val="0052229C"/>
    <w:rsid w:val="00527CC7"/>
    <w:rsid w:val="0056248C"/>
    <w:rsid w:val="00562879"/>
    <w:rsid w:val="00571CA4"/>
    <w:rsid w:val="00582136"/>
    <w:rsid w:val="005C6840"/>
    <w:rsid w:val="005F1ED8"/>
    <w:rsid w:val="005F263E"/>
    <w:rsid w:val="00600252"/>
    <w:rsid w:val="00612A40"/>
    <w:rsid w:val="0062714A"/>
    <w:rsid w:val="00675479"/>
    <w:rsid w:val="00675D48"/>
    <w:rsid w:val="00680709"/>
    <w:rsid w:val="00681F61"/>
    <w:rsid w:val="00694836"/>
    <w:rsid w:val="00696BF9"/>
    <w:rsid w:val="00697C62"/>
    <w:rsid w:val="006A329B"/>
    <w:rsid w:val="006A5035"/>
    <w:rsid w:val="006A7EB8"/>
    <w:rsid w:val="006B6926"/>
    <w:rsid w:val="006C3F47"/>
    <w:rsid w:val="006C5F7A"/>
    <w:rsid w:val="006E06AF"/>
    <w:rsid w:val="006F0B60"/>
    <w:rsid w:val="006F350F"/>
    <w:rsid w:val="006F4229"/>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E6F25"/>
    <w:rsid w:val="007F08DB"/>
    <w:rsid w:val="007F105B"/>
    <w:rsid w:val="007F387B"/>
    <w:rsid w:val="00802863"/>
    <w:rsid w:val="008112A9"/>
    <w:rsid w:val="0081473A"/>
    <w:rsid w:val="00815B3C"/>
    <w:rsid w:val="0081610A"/>
    <w:rsid w:val="00825A6E"/>
    <w:rsid w:val="0082783A"/>
    <w:rsid w:val="00831CA9"/>
    <w:rsid w:val="00850E1F"/>
    <w:rsid w:val="0085476B"/>
    <w:rsid w:val="008619BA"/>
    <w:rsid w:val="0086340B"/>
    <w:rsid w:val="008902B1"/>
    <w:rsid w:val="00890FEB"/>
    <w:rsid w:val="00895E7E"/>
    <w:rsid w:val="008A1795"/>
    <w:rsid w:val="008A5C1A"/>
    <w:rsid w:val="008D292F"/>
    <w:rsid w:val="008D5D12"/>
    <w:rsid w:val="008E03DC"/>
    <w:rsid w:val="00902E51"/>
    <w:rsid w:val="00924065"/>
    <w:rsid w:val="00930D68"/>
    <w:rsid w:val="00932756"/>
    <w:rsid w:val="00932DB4"/>
    <w:rsid w:val="00941A4B"/>
    <w:rsid w:val="00946242"/>
    <w:rsid w:val="0095096B"/>
    <w:rsid w:val="00970CD3"/>
    <w:rsid w:val="009723FA"/>
    <w:rsid w:val="00984546"/>
    <w:rsid w:val="00996510"/>
    <w:rsid w:val="009D1F15"/>
    <w:rsid w:val="009D555E"/>
    <w:rsid w:val="009E0AA9"/>
    <w:rsid w:val="009F3024"/>
    <w:rsid w:val="009F39BA"/>
    <w:rsid w:val="00A0355E"/>
    <w:rsid w:val="00A375D1"/>
    <w:rsid w:val="00A51D10"/>
    <w:rsid w:val="00A52A83"/>
    <w:rsid w:val="00A6552C"/>
    <w:rsid w:val="00A87207"/>
    <w:rsid w:val="00A935AA"/>
    <w:rsid w:val="00A956D3"/>
    <w:rsid w:val="00AB2201"/>
    <w:rsid w:val="00AC460B"/>
    <w:rsid w:val="00AD1D34"/>
    <w:rsid w:val="00AD3259"/>
    <w:rsid w:val="00AF1715"/>
    <w:rsid w:val="00AF3904"/>
    <w:rsid w:val="00B010C0"/>
    <w:rsid w:val="00B2460C"/>
    <w:rsid w:val="00B43899"/>
    <w:rsid w:val="00B4740D"/>
    <w:rsid w:val="00B61629"/>
    <w:rsid w:val="00B7374B"/>
    <w:rsid w:val="00B90DC0"/>
    <w:rsid w:val="00B97421"/>
    <w:rsid w:val="00BA116A"/>
    <w:rsid w:val="00BA5582"/>
    <w:rsid w:val="00BA6468"/>
    <w:rsid w:val="00BB1D44"/>
    <w:rsid w:val="00BB52DF"/>
    <w:rsid w:val="00BD06DA"/>
    <w:rsid w:val="00BD4217"/>
    <w:rsid w:val="00BE5F06"/>
    <w:rsid w:val="00BF1748"/>
    <w:rsid w:val="00BF25F3"/>
    <w:rsid w:val="00C01FCB"/>
    <w:rsid w:val="00C1697B"/>
    <w:rsid w:val="00C21644"/>
    <w:rsid w:val="00C21CB5"/>
    <w:rsid w:val="00C46376"/>
    <w:rsid w:val="00C50A5C"/>
    <w:rsid w:val="00C50FDF"/>
    <w:rsid w:val="00C60725"/>
    <w:rsid w:val="00C63381"/>
    <w:rsid w:val="00C661B7"/>
    <w:rsid w:val="00C6652A"/>
    <w:rsid w:val="00C73D06"/>
    <w:rsid w:val="00C73E1B"/>
    <w:rsid w:val="00C7556C"/>
    <w:rsid w:val="00C759B4"/>
    <w:rsid w:val="00C77713"/>
    <w:rsid w:val="00C85BB7"/>
    <w:rsid w:val="00CA2DEA"/>
    <w:rsid w:val="00CB3520"/>
    <w:rsid w:val="00CB43D5"/>
    <w:rsid w:val="00CC4D84"/>
    <w:rsid w:val="00CE198A"/>
    <w:rsid w:val="00CF08C8"/>
    <w:rsid w:val="00D004FC"/>
    <w:rsid w:val="00D1641D"/>
    <w:rsid w:val="00D47256"/>
    <w:rsid w:val="00D64901"/>
    <w:rsid w:val="00D76BDF"/>
    <w:rsid w:val="00D818B6"/>
    <w:rsid w:val="00D862C1"/>
    <w:rsid w:val="00D93B50"/>
    <w:rsid w:val="00D94028"/>
    <w:rsid w:val="00D94670"/>
    <w:rsid w:val="00DA3564"/>
    <w:rsid w:val="00DA46F6"/>
    <w:rsid w:val="00DA756F"/>
    <w:rsid w:val="00DD0B49"/>
    <w:rsid w:val="00DE0502"/>
    <w:rsid w:val="00DE349D"/>
    <w:rsid w:val="00E02E61"/>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1F08"/>
    <w:rsid w:val="00ED7E83"/>
    <w:rsid w:val="00EE091F"/>
    <w:rsid w:val="00EE6E8A"/>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Ssoc">
    <w:name w:val="SCC.Ssoc"/>
    <w:basedOn w:val="Normal"/>
    <w:next w:val="Normal"/>
    <w:link w:val="SCCSsocChar"/>
    <w:rsid w:val="003E0AE6"/>
    <w:rPr>
      <w:i/>
      <w:sz w:val="20"/>
      <w:szCs w:val="20"/>
    </w:rPr>
  </w:style>
  <w:style w:type="character" w:customStyle="1" w:styleId="SCCSsocChar">
    <w:name w:val="SCC.Ssoc Char"/>
    <w:basedOn w:val="DefaultParagraphFont"/>
    <w:link w:val="SCCSsoc"/>
    <w:rsid w:val="003E0AE6"/>
    <w:rPr>
      <w:i/>
      <w:sz w:val="20"/>
      <w:szCs w:val="20"/>
      <w:lang w:val="en-CA"/>
    </w:rPr>
  </w:style>
  <w:style w:type="paragraph" w:customStyle="1" w:styleId="SCCAppellantInfoCoram">
    <w:name w:val="SCC.AppellantInfo.Coram"/>
    <w:basedOn w:val="Normal"/>
    <w:next w:val="Normal"/>
    <w:link w:val="SCCAppellantInfoCoramChar"/>
    <w:rsid w:val="001945B7"/>
    <w:rPr>
      <w:b/>
      <w:szCs w:val="24"/>
    </w:rPr>
  </w:style>
  <w:style w:type="character" w:customStyle="1" w:styleId="SCCAppellantInfoCoramChar">
    <w:name w:val="SCC.AppellantInfo.Coram Char"/>
    <w:basedOn w:val="DefaultParagraphFont"/>
    <w:link w:val="SCCAppellantInfoCoram"/>
    <w:rsid w:val="001945B7"/>
    <w:rPr>
      <w:b/>
      <w:szCs w:val="24"/>
      <w:lang w:val="en-CA"/>
    </w:rPr>
  </w:style>
  <w:style w:type="paragraph" w:customStyle="1" w:styleId="SCCAppellantInfoAppellantInfo">
    <w:name w:val="SCC.AppellantInfo.AppellantInfo"/>
    <w:basedOn w:val="Normal"/>
    <w:next w:val="Normal"/>
    <w:link w:val="SCCAppellantInfoAppellantInfoChar"/>
    <w:rsid w:val="001945B7"/>
    <w:rPr>
      <w:szCs w:val="24"/>
    </w:rPr>
  </w:style>
  <w:style w:type="character" w:customStyle="1" w:styleId="SCCAppellantInfoAppellantInfoChar">
    <w:name w:val="SCC.AppellantInfo.AppellantInfo Char"/>
    <w:basedOn w:val="DefaultParagraphFont"/>
    <w:link w:val="SCCAppellantInfoAppellantInfo"/>
    <w:rsid w:val="001945B7"/>
    <w:rPr>
      <w:szCs w:val="24"/>
      <w:lang w:val="en-CA"/>
    </w:rPr>
  </w:style>
  <w:style w:type="paragraph" w:customStyle="1" w:styleId="SCCBanSummary">
    <w:name w:val="SCC.BanSummary"/>
    <w:basedOn w:val="Normal"/>
    <w:next w:val="Normal"/>
    <w:link w:val="SCCBanSummaryChar"/>
    <w:rsid w:val="00EE6E8A"/>
    <w:pPr>
      <w:jc w:val="both"/>
    </w:pPr>
    <w:rPr>
      <w:rFonts w:eastAsia="Calibri" w:cs="Times New Roman"/>
      <w:smallCaps/>
    </w:rPr>
  </w:style>
  <w:style w:type="character" w:customStyle="1" w:styleId="SCCBanSummaryChar">
    <w:name w:val="SCC.BanSummary Char"/>
    <w:basedOn w:val="DefaultParagraphFont"/>
    <w:link w:val="SCCBanSummary"/>
    <w:rsid w:val="00EE6E8A"/>
    <w:rPr>
      <w:rFonts w:eastAsia="Calibri" w:cs="Times New Roman"/>
      <w:smallCaps/>
      <w:lang w:val="en-CA"/>
    </w:rPr>
  </w:style>
  <w:style w:type="character" w:customStyle="1" w:styleId="reflex3-alt">
    <w:name w:val="reflex3-alt"/>
    <w:basedOn w:val="DefaultParagraphFont"/>
    <w:rsid w:val="00EE6E8A"/>
  </w:style>
  <w:style w:type="character" w:customStyle="1" w:styleId="documentstaticurl">
    <w:name w:val="documentstaticurl"/>
    <w:basedOn w:val="DefaultParagraphFont"/>
    <w:rsid w:val="00EE6E8A"/>
  </w:style>
  <w:style w:type="paragraph" w:styleId="BodyText">
    <w:name w:val="Body Text"/>
    <w:basedOn w:val="Normal"/>
    <w:link w:val="BodyTextChar"/>
    <w:rsid w:val="00562879"/>
    <w:pPr>
      <w:spacing w:after="240"/>
    </w:pPr>
    <w:rPr>
      <w:rFonts w:eastAsia="Times New Roman" w:cs="Times New Roman"/>
      <w:szCs w:val="24"/>
    </w:rPr>
  </w:style>
  <w:style w:type="character" w:customStyle="1" w:styleId="BodyTextChar">
    <w:name w:val="Body Text Char"/>
    <w:basedOn w:val="DefaultParagraphFont"/>
    <w:link w:val="BodyText"/>
    <w:rsid w:val="00562879"/>
    <w:rPr>
      <w:rFonts w:eastAsia="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114519626">
      <w:bodyDiv w:val="1"/>
      <w:marLeft w:val="0"/>
      <w:marRight w:val="0"/>
      <w:marTop w:val="0"/>
      <w:marBottom w:val="0"/>
      <w:divBdr>
        <w:top w:val="none" w:sz="0" w:space="0" w:color="auto"/>
        <w:left w:val="none" w:sz="0" w:space="0" w:color="auto"/>
        <w:bottom w:val="none" w:sz="0" w:space="0" w:color="auto"/>
        <w:right w:val="none" w:sz="0" w:space="0" w:color="auto"/>
      </w:divBdr>
    </w:div>
    <w:div w:id="1455754347">
      <w:bodyDiv w:val="1"/>
      <w:marLeft w:val="0"/>
      <w:marRight w:val="0"/>
      <w:marTop w:val="0"/>
      <w:marBottom w:val="0"/>
      <w:divBdr>
        <w:top w:val="none" w:sz="0" w:space="0" w:color="auto"/>
        <w:left w:val="none" w:sz="0" w:space="0" w:color="auto"/>
        <w:bottom w:val="none" w:sz="0" w:space="0" w:color="auto"/>
        <w:right w:val="none" w:sz="0" w:space="0" w:color="auto"/>
      </w:divBdr>
    </w:div>
    <w:div w:id="1597011397">
      <w:bodyDiv w:val="1"/>
      <w:marLeft w:val="0"/>
      <w:marRight w:val="0"/>
      <w:marTop w:val="0"/>
      <w:marBottom w:val="0"/>
      <w:divBdr>
        <w:top w:val="none" w:sz="0" w:space="0" w:color="auto"/>
        <w:left w:val="none" w:sz="0" w:space="0" w:color="auto"/>
        <w:bottom w:val="none" w:sz="0" w:space="0" w:color="auto"/>
        <w:right w:val="none" w:sz="0" w:space="0" w:color="auto"/>
      </w:divBdr>
    </w:div>
    <w:div w:id="1911570880">
      <w:bodyDiv w:val="1"/>
      <w:marLeft w:val="0"/>
      <w:marRight w:val="0"/>
      <w:marTop w:val="0"/>
      <w:marBottom w:val="0"/>
      <w:divBdr>
        <w:top w:val="none" w:sz="0" w:space="0" w:color="auto"/>
        <w:left w:val="none" w:sz="0" w:space="0" w:color="auto"/>
        <w:bottom w:val="none" w:sz="0" w:space="0" w:color="auto"/>
        <w:right w:val="none" w:sz="0" w:space="0" w:color="auto"/>
      </w:divBdr>
    </w:div>
    <w:div w:id="21288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bc/bcca/doc/2017/2017bcca2/2017bcca2.html?autocompleteStr=2017%20BCCA%202&amp;autocompletePos=1" TargetMode="External"/><Relationship Id="rId26" Type="http://schemas.openxmlformats.org/officeDocument/2006/relationships/hyperlink" Target="https://www.canlii.org/fr/qc/qccs/doc/2014/2014qccs5574/2014qccs5574.html" TargetMode="External"/><Relationship Id="rId39" Type="http://schemas.openxmlformats.org/officeDocument/2006/relationships/hyperlink" Target="https://www.canlii.org/en/qc/qccs/doc/2016/2016qccs3471/2016qccs3471.html" TargetMode="External"/><Relationship Id="rId21" Type="http://schemas.openxmlformats.org/officeDocument/2006/relationships/hyperlink" Target="https://www.canlii.org/fr/qc/qcca/doc/2017/2017qcca391/2017qcca391.pdf" TargetMode="External"/><Relationship Id="rId34" Type="http://schemas.openxmlformats.org/officeDocument/2006/relationships/hyperlink" Target="http://canlii.ca/t/gr71v" TargetMode="External"/><Relationship Id="rId42" Type="http://schemas.openxmlformats.org/officeDocument/2006/relationships/header" Target="header5.xml"/><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header" Target="header12.xml"/><Relationship Id="rId63" Type="http://schemas.openxmlformats.org/officeDocument/2006/relationships/hyperlink" Target="http://www.scc-csc.ca/case-dossier/info/sum-som-eng.aspx?cas=37202" TargetMode="External"/><Relationship Id="rId68" Type="http://schemas.openxmlformats.org/officeDocument/2006/relationships/hyperlink" Target="http://www.scc-csc.ca/case-dossier/info/sum-som-eng.aspx?cas=37423" TargetMode="External"/><Relationship Id="rId76" Type="http://schemas.openxmlformats.org/officeDocument/2006/relationships/footer" Target="footer15.xml"/><Relationship Id="rId84" Type="http://schemas.openxmlformats.org/officeDocument/2006/relationships/footer" Target="footer19.xml"/><Relationship Id="rId7" Type="http://schemas.openxmlformats.org/officeDocument/2006/relationships/image" Target="media/image1.wmf"/><Relationship Id="rId71" Type="http://schemas.openxmlformats.org/officeDocument/2006/relationships/hyperlink" Target="http://www.scc-csc.ca/case-dossier/info/sum-som-eng.aspx?cas=37398"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wz9j" TargetMode="External"/><Relationship Id="rId11" Type="http://schemas.openxmlformats.org/officeDocument/2006/relationships/footer" Target="footer1.xml"/><Relationship Id="rId24" Type="http://schemas.openxmlformats.org/officeDocument/2006/relationships/hyperlink" Target="https://www.canlii.org/fr/qc/qccs/doc/2014/2014qccs5574/2014qccs5574.html" TargetMode="External"/><Relationship Id="rId32" Type="http://schemas.openxmlformats.org/officeDocument/2006/relationships/hyperlink" Target="http://canlii.ca/t/h2swf" TargetMode="External"/><Relationship Id="rId37" Type="http://schemas.openxmlformats.org/officeDocument/2006/relationships/hyperlink" Target="https://www.canlii.org/en/qc/qcca/doc/2016/2016qcca1400/2016qcca1400.html" TargetMode="External"/><Relationship Id="rId40" Type="http://schemas.openxmlformats.org/officeDocument/2006/relationships/hyperlink" Target="https://www.canlii.org/en/qc/qcca/doc/2016/2016qcca1400/2016qcca1400.html" TargetMode="Externa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header" Target="header13.xml"/><Relationship Id="rId66" Type="http://schemas.openxmlformats.org/officeDocument/2006/relationships/hyperlink" Target="http://www.scc-csc.ca/case-dossier/info/sum-som-eng.aspx?cas=37209" TargetMode="External"/><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hyperlink" Target="http://www.scc-csc.ca/case-dossier/info/sum-som-eng.aspx?cas=37479" TargetMode="External"/><Relationship Id="rId82" Type="http://schemas.openxmlformats.org/officeDocument/2006/relationships/footer" Target="footer18.xml"/><Relationship Id="rId19" Type="http://schemas.openxmlformats.org/officeDocument/2006/relationships/hyperlink" Target="https://www.canlii.org/en/bc/bcca/doc/2017/2017bcca2/2017bcca2.html?autocompleteStr=2017%20BCCA%202&amp;autocompletePos=1" TargetMode="Externa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fr/qc/qccs/doc/2015/2015qccs3482/2015qccs3482.pdf" TargetMode="External"/><Relationship Id="rId27" Type="http://schemas.openxmlformats.org/officeDocument/2006/relationships/hyperlink" Target="https://www.canlii.org/fr/qc/qcca/doc/2017/2017qcca488/2017qcca488.html" TargetMode="External"/><Relationship Id="rId30" Type="http://schemas.openxmlformats.org/officeDocument/2006/relationships/hyperlink" Target="http://canlii.ca/t/gn6kx" TargetMode="External"/><Relationship Id="rId35" Type="http://schemas.openxmlformats.org/officeDocument/2006/relationships/hyperlink" Target="http://canlii.ca/t/h2swf" TargetMode="External"/><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footer" Target="footer11.xml"/><Relationship Id="rId64" Type="http://schemas.openxmlformats.org/officeDocument/2006/relationships/hyperlink" Target="http://www.scc-csc.ca/case-dossier/info/sum-som-eng.aspx?cas=37209" TargetMode="External"/><Relationship Id="rId69" Type="http://schemas.openxmlformats.org/officeDocument/2006/relationships/hyperlink" Target="http://www.scc-csc.ca/case-dossier/info/sum-som-eng.aspx?cas=37238" TargetMode="External"/><Relationship Id="rId77" Type="http://schemas.openxmlformats.org/officeDocument/2006/relationships/header" Target="header16.xml"/><Relationship Id="rId8" Type="http://schemas.openxmlformats.org/officeDocument/2006/relationships/hyperlink" Target="http://www.scc-csc.ca" TargetMode="External"/><Relationship Id="rId51" Type="http://schemas.openxmlformats.org/officeDocument/2006/relationships/footer" Target="footer9.xml"/><Relationship Id="rId72" Type="http://schemas.openxmlformats.org/officeDocument/2006/relationships/hyperlink" Target="http://www.scc-csc.ca/case-dossier/info/sum-som-eng.aspx?cas=37398" TargetMode="External"/><Relationship Id="rId80" Type="http://schemas.openxmlformats.org/officeDocument/2006/relationships/footer" Target="footer17.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a/doc/2017/2017qcca488/2017qcca488.html" TargetMode="External"/><Relationship Id="rId33" Type="http://schemas.openxmlformats.org/officeDocument/2006/relationships/hyperlink" Target="http://canlii.ca/t/gn6kx" TargetMode="External"/><Relationship Id="rId38" Type="http://schemas.openxmlformats.org/officeDocument/2006/relationships/hyperlink" Target="https://www.canlii.org/en/qc/qcca/doc/2017/2017qcca597/2017qcca597.html" TargetMode="External"/><Relationship Id="rId46" Type="http://schemas.openxmlformats.org/officeDocument/2006/relationships/header" Target="header7.xml"/><Relationship Id="rId59" Type="http://schemas.openxmlformats.org/officeDocument/2006/relationships/footer" Target="footer13.xml"/><Relationship Id="rId67" Type="http://schemas.openxmlformats.org/officeDocument/2006/relationships/hyperlink" Target="http://www.scc-csc.ca/case-dossier/info/sum-som-eng.aspx?cas=37318" TargetMode="External"/><Relationship Id="rId20" Type="http://schemas.openxmlformats.org/officeDocument/2006/relationships/hyperlink" Target="https://www.canlii.org/fr/qc/qccs/doc/2015/2015qccs3482/2015qccs3482.pdf" TargetMode="External"/><Relationship Id="rId41" Type="http://schemas.openxmlformats.org/officeDocument/2006/relationships/hyperlink" Target="https://www.canlii.org/en/qc/qcca/doc/2017/2017qcca597/2017qcca597.html" TargetMode="External"/><Relationship Id="rId54" Type="http://schemas.openxmlformats.org/officeDocument/2006/relationships/header" Target="header11.xml"/><Relationship Id="rId62" Type="http://schemas.openxmlformats.org/officeDocument/2006/relationships/hyperlink" Target="http://www.scc-csc.ca/case-dossier/info/sum-som-eng.aspx?cas=37208" TargetMode="External"/><Relationship Id="rId70" Type="http://schemas.openxmlformats.org/officeDocument/2006/relationships/hyperlink" Target="http://www.scc-csc.ca/case-dossier/info/sum-som-eng.aspx?cas=37757" TargetMode="External"/><Relationship Id="rId75" Type="http://schemas.openxmlformats.org/officeDocument/2006/relationships/footer" Target="footer14.xml"/><Relationship Id="rId83"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ca/doc/2017/2017qcca391/2017qcca391.pdf" TargetMode="External"/><Relationship Id="rId28" Type="http://schemas.openxmlformats.org/officeDocument/2006/relationships/hyperlink" Target="http://canlii.ca/t/gwz9j" TargetMode="External"/><Relationship Id="rId36" Type="http://schemas.openxmlformats.org/officeDocument/2006/relationships/hyperlink" Target="https://www.canlii.org/en/qc/qccs/doc/2016/2016qccs3471/2016qccs3471.html" TargetMode="External"/><Relationship Id="rId49" Type="http://schemas.openxmlformats.org/officeDocument/2006/relationships/header" Target="header9.xml"/><Relationship Id="rId57" Type="http://schemas.openxmlformats.org/officeDocument/2006/relationships/footer" Target="footer12.xml"/><Relationship Id="rId10" Type="http://schemas.openxmlformats.org/officeDocument/2006/relationships/header" Target="header1.xml"/><Relationship Id="rId31" Type="http://schemas.openxmlformats.org/officeDocument/2006/relationships/hyperlink" Target="http://canlii.ca/t/gr71v"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www.scc-csc.ca/case-dossier/info/sum-som-eng.aspx?cas=37416" TargetMode="External"/><Relationship Id="rId65" Type="http://schemas.openxmlformats.org/officeDocument/2006/relationships/hyperlink" Target="http://www.scc-csc.ca/case-dossier/info/sum-som-eng.aspx?cas=37318" TargetMode="External"/><Relationship Id="rId73" Type="http://schemas.openxmlformats.org/officeDocument/2006/relationships/header" Target="header14.xml"/><Relationship Id="rId78" Type="http://schemas.openxmlformats.org/officeDocument/2006/relationships/footer" Target="footer16.xml"/><Relationship Id="rId81" Type="http://schemas.openxmlformats.org/officeDocument/2006/relationships/header" Target="header18.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43</Pages>
  <Words>16980</Words>
  <Characters>96792</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2017-11-15T15:04:00Z</dcterms:created>
  <dcterms:modified xsi:type="dcterms:W3CDTF">2018-02-06T18:29:00Z</dcterms:modified>
</cp:coreProperties>
</file>