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2E2327" w:rsidRDefault="00382C47" w:rsidP="00C7556C">
      <w:pPr>
        <w:jc w:val="center"/>
      </w:pPr>
      <w:r w:rsidRPr="002E2327">
        <w:rPr>
          <w:noProof/>
          <w:lang w:val="en-US"/>
        </w:rPr>
        <w:drawing>
          <wp:inline distT="0" distB="0" distL="0" distR="0">
            <wp:extent cx="1200150" cy="1666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970"/>
                    <a:stretch/>
                  </pic:blipFill>
                  <pic:spPr bwMode="auto">
                    <a:xfrm>
                      <a:off x="0" y="0"/>
                      <a:ext cx="1200150" cy="1666875"/>
                    </a:xfrm>
                    <a:prstGeom prst="rect">
                      <a:avLst/>
                    </a:prstGeom>
                    <a:noFill/>
                    <a:ln>
                      <a:noFill/>
                    </a:ln>
                    <a:extLst>
                      <a:ext uri="{53640926-AAD7-44D8-BBD7-CCE9431645EC}">
                        <a14:shadowObscured xmlns:a14="http://schemas.microsoft.com/office/drawing/2010/main"/>
                      </a:ext>
                    </a:extLst>
                  </pic:spPr>
                </pic:pic>
              </a:graphicData>
            </a:graphic>
          </wp:inline>
        </w:drawing>
      </w:r>
    </w:p>
    <w:p w:rsidR="00384384" w:rsidRPr="002E2327" w:rsidRDefault="00384384" w:rsidP="00BF25F3">
      <w:pPr>
        <w:tabs>
          <w:tab w:val="left" w:pos="6075"/>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96343C"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96343C"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96343C"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 xml:space="preserve">During Court sessions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96343C"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96343C" w:rsidTr="002E5576">
        <w:tc>
          <w:tcPr>
            <w:tcW w:w="4518" w:type="dxa"/>
          </w:tcPr>
          <w:p w:rsidR="00BF25F3" w:rsidRPr="002E2327" w:rsidRDefault="000E27A5"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0E27A5"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96343C" w:rsidTr="002E5576">
        <w:tc>
          <w:tcPr>
            <w:tcW w:w="4518" w:type="dxa"/>
          </w:tcPr>
          <w:p w:rsidR="009F3024" w:rsidRPr="00091FA6" w:rsidRDefault="009F3024" w:rsidP="009F3024">
            <w:pPr>
              <w:tabs>
                <w:tab w:val="left" w:pos="6075"/>
              </w:tabs>
              <w:rPr>
                <w:rFonts w:cs="Times New Roman"/>
                <w:szCs w:val="24"/>
                <w:lang w:val="fr-CA"/>
              </w:rPr>
            </w:pPr>
          </w:p>
          <w:p w:rsidR="009F3024" w:rsidRPr="00091FA6" w:rsidRDefault="009F3024" w:rsidP="009F3024">
            <w:pPr>
              <w:tabs>
                <w:tab w:val="left" w:pos="6075"/>
              </w:tabs>
              <w:rPr>
                <w:rFonts w:cs="Times New Roman"/>
                <w:szCs w:val="24"/>
                <w:lang w:val="fr-CA"/>
              </w:rPr>
            </w:pPr>
          </w:p>
        </w:tc>
        <w:tc>
          <w:tcPr>
            <w:tcW w:w="630" w:type="dxa"/>
          </w:tcPr>
          <w:p w:rsidR="009F3024" w:rsidRPr="00091FA6"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96343C" w:rsidTr="002E5576">
        <w:tc>
          <w:tcPr>
            <w:tcW w:w="4518" w:type="dxa"/>
          </w:tcPr>
          <w:p w:rsidR="009F3024" w:rsidRPr="002E2327" w:rsidRDefault="009F3024" w:rsidP="00E414CA">
            <w:pPr>
              <w:tabs>
                <w:tab w:val="left" w:pos="6075"/>
              </w:tabs>
              <w:jc w:val="both"/>
              <w:rPr>
                <w:rFonts w:ascii="Arial" w:hAnsi="Arial" w:cs="Arial"/>
                <w:i/>
                <w:sz w:val="20"/>
                <w:szCs w:val="20"/>
              </w:rPr>
            </w:pPr>
            <w:r>
              <w:rPr>
                <w:rFonts w:ascii="Arial" w:hAnsi="Arial" w:cs="Arial"/>
                <w:i/>
                <w:sz w:val="20"/>
                <w:szCs w:val="20"/>
              </w:rPr>
              <w:t xml:space="preserve">Consult the Supreme Court of Canada website at </w:t>
            </w:r>
            <w:hyperlink r:id="rId8" w:history="1">
              <w:r w:rsidR="00E414CA" w:rsidRPr="00DB53DA">
                <w:rPr>
                  <w:rStyle w:val="Hyperlink"/>
                  <w:rFonts w:ascii="Arial" w:hAnsi="Arial" w:cs="Arial"/>
                  <w:i/>
                  <w:sz w:val="20"/>
                  <w:szCs w:val="20"/>
                </w:rPr>
                <w:t>www.scc-csc.ca</w:t>
              </w:r>
            </w:hyperlink>
            <w:r>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E414CA">
            <w:pPr>
              <w:tabs>
                <w:tab w:val="left" w:pos="6075"/>
              </w:tabs>
              <w:jc w:val="both"/>
              <w:rPr>
                <w:rFonts w:ascii="Arial" w:hAnsi="Arial" w:cs="Arial"/>
                <w:i/>
                <w:sz w:val="20"/>
                <w:szCs w:val="20"/>
                <w:lang w:val="fr-CA"/>
              </w:rPr>
            </w:pPr>
            <w:r w:rsidRPr="009F3024">
              <w:rPr>
                <w:rFonts w:ascii="Arial" w:hAnsi="Arial" w:cs="Arial"/>
                <w:i/>
                <w:sz w:val="20"/>
                <w:szCs w:val="20"/>
                <w:lang w:val="fr-CA"/>
              </w:rPr>
              <w:t>Pour de plus amples informations, con</w:t>
            </w:r>
            <w:r>
              <w:rPr>
                <w:rFonts w:ascii="Arial" w:hAnsi="Arial" w:cs="Arial"/>
                <w:i/>
                <w:sz w:val="20"/>
                <w:szCs w:val="20"/>
                <w:lang w:val="fr-CA"/>
              </w:rPr>
              <w:t xml:space="preserve">sulter le site Web de la Cour suprême du Canada à l’adresse suivante : </w:t>
            </w:r>
            <w:hyperlink r:id="rId9" w:history="1">
              <w:r w:rsidR="0081473A" w:rsidRPr="00DB53DA">
                <w:rPr>
                  <w:rStyle w:val="Hyperlink"/>
                  <w:rFonts w:ascii="Arial" w:hAnsi="Arial" w:cs="Arial"/>
                  <w:i/>
                  <w:sz w:val="20"/>
                  <w:szCs w:val="20"/>
                  <w:lang w:val="fr-CA"/>
                </w:rPr>
                <w:t>www.scc-csc.ca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5705B2" w:rsidP="00F0068D">
      <w:pPr>
        <w:pBdr>
          <w:bottom w:val="single" w:sz="6" w:space="1" w:color="auto"/>
        </w:pBdr>
        <w:tabs>
          <w:tab w:val="center" w:pos="4680"/>
          <w:tab w:val="right" w:pos="9360"/>
        </w:tabs>
        <w:rPr>
          <w:lang w:val="fr-CA"/>
        </w:rPr>
      </w:pPr>
      <w:proofErr w:type="spellStart"/>
      <w:r>
        <w:rPr>
          <w:lang w:val="fr-CA"/>
        </w:rPr>
        <w:t>December</w:t>
      </w:r>
      <w:proofErr w:type="spellEnd"/>
      <w:r>
        <w:rPr>
          <w:lang w:val="fr-CA"/>
        </w:rPr>
        <w:t xml:space="preserve"> 22</w:t>
      </w:r>
      <w:r w:rsidR="00440E24" w:rsidRPr="00675479">
        <w:rPr>
          <w:lang w:val="fr-CA"/>
        </w:rPr>
        <w:t>, 201</w:t>
      </w:r>
      <w:r w:rsidR="00E8544A">
        <w:rPr>
          <w:lang w:val="fr-CA"/>
        </w:rPr>
        <w:t>7</w:t>
      </w:r>
      <w:r w:rsidR="00F0068D" w:rsidRPr="00675479">
        <w:rPr>
          <w:lang w:val="fr-CA"/>
        </w:rPr>
        <w:tab/>
        <w:t>1</w:t>
      </w:r>
      <w:r w:rsidR="0073528C">
        <w:rPr>
          <w:lang w:val="fr-CA"/>
        </w:rPr>
        <w:t>787</w:t>
      </w:r>
      <w:r w:rsidR="00F0068D" w:rsidRPr="00675479">
        <w:rPr>
          <w:lang w:val="fr-CA"/>
        </w:rPr>
        <w:t xml:space="preserve"> - </w:t>
      </w:r>
      <w:r w:rsidR="00041EAC">
        <w:rPr>
          <w:lang w:val="fr-CA"/>
        </w:rPr>
        <w:t>18</w:t>
      </w:r>
      <w:r w:rsidR="008D266B">
        <w:rPr>
          <w:lang w:val="fr-CA"/>
        </w:rPr>
        <w:t>37</w:t>
      </w:r>
      <w:r w:rsidR="00440E24" w:rsidRPr="00675479">
        <w:rPr>
          <w:lang w:val="fr-CA"/>
        </w:rPr>
        <w:tab/>
      </w:r>
      <w:r w:rsidR="00440E24" w:rsidRPr="002E2327">
        <w:rPr>
          <w:lang w:val="fr-CA"/>
        </w:rPr>
        <w:t>Le</w:t>
      </w:r>
      <w:r w:rsidR="00C73D06">
        <w:rPr>
          <w:lang w:val="fr-CA"/>
        </w:rPr>
        <w:t xml:space="preserve"> </w:t>
      </w:r>
      <w:r>
        <w:rPr>
          <w:lang w:val="fr-CA"/>
        </w:rPr>
        <w:t>22 décembre</w:t>
      </w:r>
      <w:r w:rsidR="00440E24" w:rsidRPr="002E2327">
        <w:rPr>
          <w:lang w:val="fr-CA"/>
        </w:rPr>
        <w:t xml:space="preserve"> 201</w:t>
      </w:r>
      <w:r w:rsidR="00E8544A">
        <w:rPr>
          <w:lang w:val="fr-CA"/>
        </w:rPr>
        <w:t>7</w:t>
      </w:r>
    </w:p>
    <w:p w:rsidR="00440E24" w:rsidRPr="00675479" w:rsidRDefault="00440E24" w:rsidP="00440E24">
      <w:pPr>
        <w:pBdr>
          <w:bottom w:val="single" w:sz="6" w:space="1" w:color="auto"/>
        </w:pBdr>
        <w:tabs>
          <w:tab w:val="right" w:pos="9360"/>
        </w:tabs>
        <w:rPr>
          <w:lang w:val="fr-CA"/>
        </w:rPr>
      </w:pPr>
    </w:p>
    <w:p w:rsidR="00440E24" w:rsidRPr="00E8544A" w:rsidRDefault="00440E24" w:rsidP="00440E24">
      <w:pPr>
        <w:pBdr>
          <w:bottom w:val="single" w:sz="6" w:space="1" w:color="auto"/>
        </w:pBdr>
        <w:tabs>
          <w:tab w:val="right" w:pos="9360"/>
        </w:tabs>
        <w:rPr>
          <w:sz w:val="18"/>
          <w:szCs w:val="18"/>
          <w:lang w:val="fr-CA"/>
        </w:rPr>
      </w:pPr>
      <w:r w:rsidRPr="00E8544A">
        <w:rPr>
          <w:sz w:val="18"/>
          <w:szCs w:val="18"/>
          <w:lang w:val="fr-CA"/>
        </w:rPr>
        <w:t xml:space="preserve">© </w:t>
      </w:r>
      <w:proofErr w:type="spellStart"/>
      <w:r w:rsidRPr="00E8544A">
        <w:rPr>
          <w:sz w:val="18"/>
          <w:szCs w:val="18"/>
          <w:lang w:val="fr-CA"/>
        </w:rPr>
        <w:t>Supreme</w:t>
      </w:r>
      <w:proofErr w:type="spellEnd"/>
      <w:r w:rsidRPr="00E8544A">
        <w:rPr>
          <w:sz w:val="18"/>
          <w:szCs w:val="18"/>
          <w:lang w:val="fr-CA"/>
        </w:rPr>
        <w:t xml:space="preserve"> Court of Canada (</w:t>
      </w:r>
      <w:r w:rsidR="0030050B" w:rsidRPr="00E8544A">
        <w:rPr>
          <w:sz w:val="18"/>
          <w:szCs w:val="18"/>
          <w:lang w:val="fr-CA"/>
        </w:rPr>
        <w:t>201</w:t>
      </w:r>
      <w:r w:rsidR="00E8544A">
        <w:rPr>
          <w:sz w:val="18"/>
          <w:szCs w:val="18"/>
          <w:lang w:val="fr-CA"/>
        </w:rPr>
        <w:t>7</w:t>
      </w:r>
      <w:r w:rsidRPr="00E8544A">
        <w:rPr>
          <w:sz w:val="18"/>
          <w:szCs w:val="18"/>
          <w:lang w:val="fr-CA"/>
        </w:rPr>
        <w:t>)</w:t>
      </w:r>
      <w:r w:rsidRPr="00E8544A">
        <w:rPr>
          <w:sz w:val="18"/>
          <w:szCs w:val="18"/>
          <w:lang w:val="fr-CA"/>
        </w:rPr>
        <w:tab/>
        <w:t>© Cour suprême du Canada (</w:t>
      </w:r>
      <w:r w:rsidR="0030050B" w:rsidRPr="00E8544A">
        <w:rPr>
          <w:sz w:val="18"/>
          <w:szCs w:val="18"/>
          <w:lang w:val="fr-CA"/>
        </w:rPr>
        <w:t>201</w:t>
      </w:r>
      <w:r w:rsidR="00E8544A">
        <w:rPr>
          <w:sz w:val="18"/>
          <w:szCs w:val="18"/>
          <w:lang w:val="fr-CA"/>
        </w:rPr>
        <w:t>7</w:t>
      </w:r>
      <w:r w:rsidRPr="00E8544A">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Default="00600252" w:rsidP="00BF25F3">
      <w:pPr>
        <w:pBdr>
          <w:bottom w:val="single" w:sz="6" w:space="1" w:color="auto"/>
        </w:pBdr>
        <w:tabs>
          <w:tab w:val="left" w:pos="6075"/>
        </w:tabs>
        <w:rPr>
          <w:lang w:val="fr-CA"/>
        </w:rPr>
      </w:pPr>
    </w:p>
    <w:p w:rsidR="0030050B" w:rsidRPr="00675479" w:rsidRDefault="0030050B"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lastRenderedPageBreak/>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980"/>
        <w:gridCol w:w="3888"/>
      </w:tblGrid>
      <w:tr w:rsidR="0095096B" w:rsidRPr="002E2327"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Pronouncements of appeals reserved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Headnotes of recent judgments</w:t>
            </w:r>
          </w:p>
          <w:p w:rsidR="00786B0B" w:rsidRDefault="00786B0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Agenda </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Summaries of the cases</w:t>
            </w:r>
          </w:p>
          <w:p w:rsidR="0095096B" w:rsidRPr="002E2327" w:rsidRDefault="0095096B" w:rsidP="0095096B">
            <w:pPr>
              <w:tabs>
                <w:tab w:val="right" w:pos="9360"/>
              </w:tabs>
              <w:rPr>
                <w:rFonts w:cs="Times New Roman"/>
                <w:sz w:val="20"/>
                <w:szCs w:val="20"/>
              </w:rPr>
            </w:pPr>
          </w:p>
          <w:p w:rsidR="00A87207" w:rsidRPr="002E2327" w:rsidRDefault="00A87207" w:rsidP="004769A1">
            <w:pPr>
              <w:tabs>
                <w:tab w:val="right" w:pos="9360"/>
              </w:tabs>
              <w:rPr>
                <w:rFonts w:cs="Times New Roman"/>
                <w:sz w:val="20"/>
                <w:szCs w:val="20"/>
              </w:rPr>
            </w:pPr>
          </w:p>
        </w:tc>
        <w:tc>
          <w:tcPr>
            <w:tcW w:w="1980" w:type="dxa"/>
          </w:tcPr>
          <w:p w:rsidR="0095096B" w:rsidRPr="002E2327" w:rsidRDefault="007A67CE" w:rsidP="0095096B">
            <w:pPr>
              <w:jc w:val="center"/>
              <w:rPr>
                <w:rFonts w:cs="Times New Roman"/>
                <w:sz w:val="20"/>
                <w:szCs w:val="20"/>
              </w:rPr>
            </w:pPr>
            <w:r>
              <w:rPr>
                <w:rFonts w:cs="Times New Roman"/>
                <w:sz w:val="20"/>
                <w:szCs w:val="20"/>
              </w:rPr>
              <w:t xml:space="preserve">1787 </w:t>
            </w:r>
            <w:r w:rsidR="000E27A5" w:rsidRPr="002E2327">
              <w:rPr>
                <w:rFonts w:cs="Times New Roman"/>
                <w:sz w:val="20"/>
                <w:szCs w:val="20"/>
              </w:rPr>
              <w:fldChar w:fldCharType="begin"/>
            </w:r>
            <w:r w:rsidR="0095096B" w:rsidRPr="002E2327">
              <w:rPr>
                <w:rFonts w:cs="Times New Roman"/>
                <w:sz w:val="20"/>
                <w:szCs w:val="20"/>
              </w:rPr>
              <w:instrText xml:space="preserve"> SEQ CHAPTER \h \r 1</w:instrText>
            </w:r>
            <w:r w:rsidR="000E27A5" w:rsidRPr="002E2327">
              <w:rPr>
                <w:rFonts w:cs="Times New Roman"/>
                <w:sz w:val="20"/>
                <w:szCs w:val="20"/>
              </w:rPr>
              <w:fldChar w:fldCharType="end"/>
            </w:r>
            <w:r w:rsidR="0095096B" w:rsidRPr="002E2327">
              <w:rPr>
                <w:rFonts w:cs="Times New Roman"/>
                <w:sz w:val="20"/>
                <w:szCs w:val="20"/>
              </w:rPr>
              <w:t>-</w:t>
            </w:r>
            <w:r>
              <w:rPr>
                <w:rFonts w:cs="Times New Roman"/>
                <w:sz w:val="20"/>
                <w:szCs w:val="20"/>
              </w:rPr>
              <w:t xml:space="preserve"> 1788</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7A67CE" w:rsidP="0095096B">
            <w:pPr>
              <w:jc w:val="center"/>
              <w:rPr>
                <w:rFonts w:cs="Times New Roman"/>
                <w:sz w:val="20"/>
                <w:szCs w:val="20"/>
              </w:rPr>
            </w:pPr>
            <w:r>
              <w:rPr>
                <w:rFonts w:cs="Times New Roman"/>
                <w:sz w:val="20"/>
                <w:szCs w:val="20"/>
              </w:rPr>
              <w:t>1789</w:t>
            </w:r>
          </w:p>
          <w:p w:rsidR="0095096B" w:rsidRDefault="0095096B" w:rsidP="0095096B">
            <w:pPr>
              <w:jc w:val="center"/>
              <w:rPr>
                <w:rFonts w:cs="Times New Roman"/>
                <w:sz w:val="20"/>
                <w:szCs w:val="20"/>
              </w:rPr>
            </w:pPr>
          </w:p>
          <w:p w:rsidR="007A67CE" w:rsidRPr="002E2327" w:rsidRDefault="007A67CE" w:rsidP="0095096B">
            <w:pPr>
              <w:jc w:val="center"/>
              <w:rPr>
                <w:rFonts w:cs="Times New Roman"/>
                <w:sz w:val="20"/>
                <w:szCs w:val="20"/>
              </w:rPr>
            </w:pPr>
          </w:p>
          <w:p w:rsidR="0095096B" w:rsidRPr="002E2327" w:rsidRDefault="007A67CE" w:rsidP="0095096B">
            <w:pPr>
              <w:jc w:val="center"/>
              <w:rPr>
                <w:rFonts w:cs="Times New Roman"/>
                <w:sz w:val="20"/>
                <w:szCs w:val="20"/>
              </w:rPr>
            </w:pPr>
            <w:r>
              <w:rPr>
                <w:rFonts w:cs="Times New Roman"/>
                <w:sz w:val="20"/>
                <w:szCs w:val="20"/>
              </w:rPr>
              <w:t xml:space="preserve">1790 </w:t>
            </w:r>
            <w:r w:rsidR="0095096B" w:rsidRPr="002E2327">
              <w:rPr>
                <w:rFonts w:cs="Times New Roman"/>
                <w:sz w:val="20"/>
                <w:szCs w:val="20"/>
              </w:rPr>
              <w:t>-</w:t>
            </w:r>
            <w:r>
              <w:rPr>
                <w:rFonts w:cs="Times New Roman"/>
                <w:sz w:val="20"/>
                <w:szCs w:val="20"/>
              </w:rPr>
              <w:t xml:space="preserve"> 1809</w:t>
            </w:r>
          </w:p>
          <w:p w:rsidR="0095096B" w:rsidRDefault="0095096B" w:rsidP="0095096B">
            <w:pPr>
              <w:jc w:val="center"/>
              <w:rPr>
                <w:rFonts w:cs="Times New Roman"/>
                <w:sz w:val="20"/>
                <w:szCs w:val="20"/>
              </w:rPr>
            </w:pPr>
          </w:p>
          <w:p w:rsidR="007A67CE" w:rsidRPr="002E2327" w:rsidRDefault="007A67CE" w:rsidP="0095096B">
            <w:pPr>
              <w:jc w:val="center"/>
              <w:rPr>
                <w:rFonts w:cs="Times New Roman"/>
                <w:sz w:val="20"/>
                <w:szCs w:val="20"/>
              </w:rPr>
            </w:pPr>
          </w:p>
          <w:p w:rsidR="0095096B" w:rsidRPr="002E2327" w:rsidRDefault="007A67CE" w:rsidP="0095096B">
            <w:pPr>
              <w:jc w:val="center"/>
              <w:rPr>
                <w:rFonts w:cs="Times New Roman"/>
                <w:sz w:val="20"/>
                <w:szCs w:val="20"/>
              </w:rPr>
            </w:pPr>
            <w:r>
              <w:rPr>
                <w:rFonts w:cs="Times New Roman"/>
                <w:sz w:val="20"/>
                <w:szCs w:val="20"/>
              </w:rPr>
              <w:t>1810</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7A67CE" w:rsidP="0095096B">
            <w:pPr>
              <w:jc w:val="center"/>
              <w:rPr>
                <w:rFonts w:cs="Times New Roman"/>
                <w:sz w:val="20"/>
                <w:szCs w:val="20"/>
              </w:rPr>
            </w:pPr>
            <w:r>
              <w:rPr>
                <w:rFonts w:cs="Times New Roman"/>
                <w:sz w:val="20"/>
                <w:szCs w:val="20"/>
              </w:rPr>
              <w:t xml:space="preserve">1811 </w:t>
            </w:r>
            <w:r w:rsidR="0095096B" w:rsidRPr="002E2327">
              <w:rPr>
                <w:rFonts w:cs="Times New Roman"/>
                <w:sz w:val="20"/>
                <w:szCs w:val="20"/>
              </w:rPr>
              <w:t>-</w:t>
            </w:r>
            <w:r>
              <w:rPr>
                <w:rFonts w:cs="Times New Roman"/>
                <w:sz w:val="20"/>
                <w:szCs w:val="20"/>
              </w:rPr>
              <w:t xml:space="preserve"> 1825</w:t>
            </w:r>
          </w:p>
          <w:p w:rsidR="0095096B" w:rsidRPr="002E2327" w:rsidRDefault="0095096B" w:rsidP="0095096B">
            <w:pPr>
              <w:jc w:val="center"/>
              <w:rPr>
                <w:rFonts w:cs="Times New Roman"/>
                <w:sz w:val="20"/>
                <w:szCs w:val="20"/>
              </w:rPr>
            </w:pPr>
          </w:p>
          <w:p w:rsidR="0095096B" w:rsidRPr="002E2327" w:rsidRDefault="00621A43" w:rsidP="0095096B">
            <w:pPr>
              <w:jc w:val="center"/>
              <w:rPr>
                <w:rFonts w:cs="Times New Roman"/>
                <w:sz w:val="20"/>
                <w:szCs w:val="20"/>
              </w:rPr>
            </w:pPr>
            <w:r>
              <w:rPr>
                <w:rFonts w:cs="Times New Roman"/>
                <w:sz w:val="20"/>
                <w:szCs w:val="20"/>
              </w:rPr>
              <w:t>1826</w:t>
            </w:r>
          </w:p>
          <w:p w:rsidR="0095096B" w:rsidRPr="002E2327" w:rsidRDefault="0095096B" w:rsidP="0095096B">
            <w:pPr>
              <w:jc w:val="center"/>
              <w:rPr>
                <w:rFonts w:cs="Times New Roman"/>
                <w:sz w:val="20"/>
                <w:szCs w:val="20"/>
              </w:rPr>
            </w:pPr>
          </w:p>
          <w:p w:rsidR="0095096B" w:rsidRPr="002E2327" w:rsidRDefault="00621A43" w:rsidP="0095096B">
            <w:pPr>
              <w:jc w:val="center"/>
              <w:rPr>
                <w:rFonts w:cs="Times New Roman"/>
                <w:sz w:val="20"/>
                <w:szCs w:val="20"/>
              </w:rPr>
            </w:pPr>
            <w:r>
              <w:rPr>
                <w:rFonts w:cs="Times New Roman"/>
                <w:sz w:val="20"/>
                <w:szCs w:val="20"/>
              </w:rPr>
              <w:t xml:space="preserve">1827 </w:t>
            </w:r>
            <w:r w:rsidR="0095096B" w:rsidRPr="002E2327">
              <w:rPr>
                <w:rFonts w:cs="Times New Roman"/>
                <w:sz w:val="20"/>
                <w:szCs w:val="20"/>
              </w:rPr>
              <w:t>-</w:t>
            </w:r>
            <w:r w:rsidR="008D266B">
              <w:rPr>
                <w:rFonts w:cs="Times New Roman"/>
                <w:sz w:val="20"/>
                <w:szCs w:val="20"/>
              </w:rPr>
              <w:t xml:space="preserve"> 1837</w:t>
            </w:r>
            <w:bookmarkStart w:id="0" w:name="_GoBack"/>
            <w:bookmarkEnd w:id="0"/>
          </w:p>
          <w:p w:rsidR="0095096B" w:rsidRPr="002E2327" w:rsidRDefault="0095096B" w:rsidP="0095096B">
            <w:pPr>
              <w:jc w:val="center"/>
              <w:rPr>
                <w:rFonts w:cs="Times New Roman"/>
                <w:sz w:val="20"/>
                <w:szCs w:val="20"/>
              </w:rPr>
            </w:pPr>
          </w:p>
          <w:p w:rsidR="00A87207" w:rsidRPr="002E2327" w:rsidRDefault="00A87207" w:rsidP="00F15EA8">
            <w:pPr>
              <w:tabs>
                <w:tab w:val="right" w:pos="9360"/>
              </w:tabs>
              <w:jc w:val="center"/>
              <w:rPr>
                <w:rFonts w:cs="Times New Roman"/>
                <w:sz w:val="20"/>
                <w:szCs w:val="20"/>
              </w:rPr>
            </w:pPr>
          </w:p>
        </w:tc>
        <w:tc>
          <w:tcPr>
            <w:tcW w:w="3888" w:type="dxa"/>
          </w:tcPr>
          <w:p w:rsidR="0095096B" w:rsidRPr="002E2327" w:rsidRDefault="000E27A5"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Demandes d</w:t>
            </w:r>
            <w:r w:rsidR="004137A0">
              <w:rPr>
                <w:rFonts w:cs="Times New Roman"/>
                <w:sz w:val="20"/>
                <w:szCs w:val="20"/>
                <w:lang w:val="fr-CA"/>
              </w:rPr>
              <w:t>’</w:t>
            </w:r>
            <w:r w:rsidR="0095096B" w:rsidRPr="002E2327">
              <w:rPr>
                <w:rFonts w:cs="Times New Roman"/>
                <w:sz w:val="20"/>
                <w:szCs w:val="20"/>
                <w:lang w:val="fr-CA"/>
              </w:rPr>
              <w:t>autorisation d</w:t>
            </w:r>
            <w:r w:rsidR="004137A0">
              <w:rPr>
                <w:rFonts w:cs="Times New Roman"/>
                <w:sz w:val="20"/>
                <w:szCs w:val="20"/>
                <w:lang w:val="fr-CA"/>
              </w:rPr>
              <w:t>’</w:t>
            </w:r>
            <w:r w:rsidR="0095096B" w:rsidRPr="002E2327">
              <w:rPr>
                <w:rFonts w:cs="Times New Roman"/>
                <w:sz w:val="20"/>
                <w:szCs w:val="20"/>
                <w:lang w:val="fr-CA"/>
              </w:rPr>
              <w:t xml:space="preserve">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4137A0" w:rsidP="0095096B">
            <w:pPr>
              <w:rPr>
                <w:rFonts w:cs="Times New Roman"/>
                <w:sz w:val="20"/>
                <w:szCs w:val="20"/>
                <w:lang w:val="fr-CA"/>
              </w:rPr>
            </w:pPr>
            <w:r>
              <w:rPr>
                <w:rFonts w:cs="Times New Roman"/>
                <w:sz w:val="20"/>
                <w:szCs w:val="20"/>
                <w:lang w:val="fr-CA"/>
              </w:rPr>
              <w:t>d’</w:t>
            </w:r>
            <w:r w:rsidR="0095096B" w:rsidRPr="002E2327">
              <w:rPr>
                <w:rFonts w:cs="Times New Roman"/>
                <w:sz w:val="20"/>
                <w:szCs w:val="20"/>
                <w:lang w:val="fr-CA"/>
              </w:rPr>
              <w:t>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appels en </w:t>
            </w:r>
          </w:p>
          <w:p w:rsidR="0095096B" w:rsidRPr="002E2327" w:rsidRDefault="0095096B" w:rsidP="0095096B">
            <w:pPr>
              <w:rPr>
                <w:rFonts w:cs="Times New Roman"/>
                <w:sz w:val="20"/>
                <w:szCs w:val="20"/>
                <w:lang w:val="fr-CA"/>
              </w:rPr>
            </w:pPr>
            <w:r w:rsidRPr="002E2327">
              <w:rPr>
                <w:rFonts w:cs="Times New Roman"/>
                <w:sz w:val="20"/>
                <w:szCs w:val="20"/>
                <w:lang w:val="fr-CA"/>
              </w:rPr>
              <w:t>délibéré</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Sommaires de </w:t>
            </w:r>
            <w:r w:rsidR="00C50A5C">
              <w:rPr>
                <w:rFonts w:cs="Times New Roman"/>
                <w:sz w:val="20"/>
                <w:szCs w:val="20"/>
                <w:lang w:val="fr-CA"/>
              </w:rPr>
              <w:t xml:space="preserve">jugements </w:t>
            </w:r>
            <w:r w:rsidR="00C50A5C" w:rsidRPr="002E2327">
              <w:rPr>
                <w:rFonts w:cs="Times New Roman"/>
                <w:sz w:val="20"/>
                <w:szCs w:val="20"/>
                <w:lang w:val="fr-CA"/>
              </w:rPr>
              <w:t>récents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Calendrier </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Résumés des affaires</w:t>
            </w:r>
          </w:p>
          <w:p w:rsidR="0095096B" w:rsidRPr="002E2327" w:rsidRDefault="0095096B" w:rsidP="0095096B">
            <w:pPr>
              <w:rPr>
                <w:rFonts w:cs="Times New Roman"/>
                <w:sz w:val="20"/>
                <w:szCs w:val="20"/>
                <w:lang w:val="fr-CA"/>
              </w:rPr>
            </w:pPr>
          </w:p>
          <w:p w:rsidR="00A87207" w:rsidRPr="002E2327" w:rsidRDefault="00A87207" w:rsidP="00786B0B">
            <w:pPr>
              <w:tabs>
                <w:tab w:val="right" w:pos="9360"/>
              </w:tabs>
              <w:rPr>
                <w:rFonts w:cs="Times New Roman"/>
                <w:sz w:val="20"/>
                <w:szCs w:val="20"/>
                <w:lang w:val="fr-CA"/>
              </w:rPr>
            </w:pPr>
          </w:p>
        </w:tc>
      </w:tr>
    </w:tbl>
    <w:p w:rsidR="0095096B" w:rsidRPr="002E2327" w:rsidRDefault="0095096B" w:rsidP="0095096B">
      <w:pPr>
        <w:tabs>
          <w:tab w:val="right" w:pos="9360"/>
        </w:tabs>
      </w:pPr>
    </w:p>
    <w:tbl>
      <w:tblPr>
        <w:tblStyle w:val="TableGrid"/>
        <w:tblW w:w="0" w:type="auto"/>
        <w:tblLook w:val="04A0" w:firstRow="1" w:lastRow="0" w:firstColumn="1" w:lastColumn="0" w:noHBand="0" w:noVBand="1"/>
      </w:tblPr>
      <w:tblGrid>
        <w:gridCol w:w="9576"/>
      </w:tblGrid>
      <w:tr w:rsidR="0079724F" w:rsidRPr="0096343C"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Default="0095096B" w:rsidP="0095096B">
      <w:pPr>
        <w:tabs>
          <w:tab w:val="right" w:pos="9360"/>
        </w:tabs>
        <w:rPr>
          <w:lang w:val="fr-CA"/>
        </w:rPr>
      </w:pPr>
    </w:p>
    <w:p w:rsidR="00C01FCB" w:rsidRDefault="00C01FCB" w:rsidP="0095096B">
      <w:pPr>
        <w:tabs>
          <w:tab w:val="right" w:pos="9360"/>
        </w:tabs>
        <w:rPr>
          <w:lang w:val="fr-CA"/>
        </w:rPr>
      </w:pPr>
    </w:p>
    <w:p w:rsidR="00C01FCB" w:rsidRPr="00675479" w:rsidRDefault="00C01FC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C21644" w:rsidRPr="00840C63" w:rsidTr="003B3977">
        <w:tc>
          <w:tcPr>
            <w:tcW w:w="4320" w:type="dxa"/>
            <w:shd w:val="clear" w:color="auto" w:fill="auto"/>
          </w:tcPr>
          <w:p w:rsidR="005705B2" w:rsidRPr="00EC6C28" w:rsidRDefault="00EC6C28" w:rsidP="005F1ED8">
            <w:pPr>
              <w:rPr>
                <w:b/>
                <w:sz w:val="20"/>
                <w:szCs w:val="20"/>
              </w:rPr>
            </w:pPr>
            <w:r w:rsidRPr="00EC6C28">
              <w:rPr>
                <w:b/>
                <w:sz w:val="20"/>
                <w:szCs w:val="20"/>
              </w:rPr>
              <w:t>Corey Lee James Myers</w:t>
            </w:r>
          </w:p>
          <w:p w:rsidR="005705B2" w:rsidRDefault="00EC6C28" w:rsidP="005F1ED8">
            <w:pPr>
              <w:rPr>
                <w:sz w:val="20"/>
                <w:szCs w:val="20"/>
              </w:rPr>
            </w:pPr>
            <w:r>
              <w:rPr>
                <w:sz w:val="20"/>
                <w:szCs w:val="20"/>
              </w:rPr>
              <w:tab/>
              <w:t>Justin V. Myers</w:t>
            </w:r>
          </w:p>
          <w:p w:rsidR="00EC6C28" w:rsidRDefault="00EC6C28" w:rsidP="005F1ED8">
            <w:pPr>
              <w:rPr>
                <w:sz w:val="20"/>
                <w:szCs w:val="20"/>
              </w:rPr>
            </w:pPr>
            <w:r>
              <w:rPr>
                <w:sz w:val="20"/>
                <w:szCs w:val="20"/>
              </w:rPr>
              <w:tab/>
              <w:t xml:space="preserve">Myers, Karp, </w:t>
            </w:r>
            <w:proofErr w:type="spellStart"/>
            <w:r>
              <w:rPr>
                <w:sz w:val="20"/>
                <w:szCs w:val="20"/>
              </w:rPr>
              <w:t>Patey</w:t>
            </w:r>
            <w:proofErr w:type="spellEnd"/>
            <w:r>
              <w:rPr>
                <w:sz w:val="20"/>
                <w:szCs w:val="20"/>
              </w:rPr>
              <w:t xml:space="preserve"> &amp; Allingham</w:t>
            </w:r>
          </w:p>
          <w:p w:rsidR="00EC6C28" w:rsidRDefault="00EC6C28" w:rsidP="005F1ED8">
            <w:pPr>
              <w:rPr>
                <w:sz w:val="20"/>
                <w:szCs w:val="20"/>
              </w:rPr>
            </w:pPr>
          </w:p>
          <w:p w:rsidR="00EC6C28" w:rsidRPr="00EC6C28" w:rsidRDefault="00EC6C28" w:rsidP="005F1ED8">
            <w:pPr>
              <w:rPr>
                <w:sz w:val="20"/>
                <w:szCs w:val="20"/>
              </w:rPr>
            </w:pPr>
            <w:r>
              <w:rPr>
                <w:sz w:val="20"/>
                <w:szCs w:val="20"/>
              </w:rPr>
              <w:tab/>
              <w:t>v. (37869)</w:t>
            </w:r>
          </w:p>
          <w:p w:rsidR="00EC6C28" w:rsidRDefault="00EC6C28" w:rsidP="005F1ED8">
            <w:pPr>
              <w:rPr>
                <w:b/>
                <w:sz w:val="20"/>
                <w:szCs w:val="20"/>
              </w:rPr>
            </w:pPr>
          </w:p>
          <w:p w:rsidR="005705B2" w:rsidRDefault="00EC6C28" w:rsidP="005F1ED8">
            <w:pPr>
              <w:rPr>
                <w:b/>
                <w:sz w:val="20"/>
                <w:szCs w:val="20"/>
              </w:rPr>
            </w:pPr>
            <w:r>
              <w:rPr>
                <w:b/>
                <w:sz w:val="20"/>
                <w:szCs w:val="20"/>
              </w:rPr>
              <w:t>Her Majesty the Queen (B.C.)</w:t>
            </w:r>
          </w:p>
          <w:p w:rsidR="00EC6C28" w:rsidRDefault="00EC6C28" w:rsidP="005F1ED8">
            <w:pPr>
              <w:rPr>
                <w:sz w:val="20"/>
                <w:szCs w:val="20"/>
              </w:rPr>
            </w:pPr>
            <w:r>
              <w:rPr>
                <w:sz w:val="20"/>
                <w:szCs w:val="20"/>
              </w:rPr>
              <w:tab/>
              <w:t xml:space="preserve">Nicholas </w:t>
            </w:r>
            <w:proofErr w:type="spellStart"/>
            <w:r>
              <w:rPr>
                <w:sz w:val="20"/>
                <w:szCs w:val="20"/>
              </w:rPr>
              <w:t>Reithmeier</w:t>
            </w:r>
            <w:proofErr w:type="spellEnd"/>
          </w:p>
          <w:p w:rsidR="00EC6C28" w:rsidRPr="00EC6C28" w:rsidRDefault="00EC6C28" w:rsidP="005F1ED8">
            <w:pPr>
              <w:rPr>
                <w:sz w:val="20"/>
                <w:szCs w:val="20"/>
              </w:rPr>
            </w:pPr>
            <w:r>
              <w:rPr>
                <w:sz w:val="20"/>
                <w:szCs w:val="20"/>
              </w:rPr>
              <w:tab/>
              <w:t>A.G. of British</w:t>
            </w:r>
            <w:r w:rsidR="00917078">
              <w:rPr>
                <w:sz w:val="20"/>
                <w:szCs w:val="20"/>
              </w:rPr>
              <w:t xml:space="preserve"> </w:t>
            </w:r>
            <w:r>
              <w:rPr>
                <w:sz w:val="20"/>
                <w:szCs w:val="20"/>
              </w:rPr>
              <w:t>Columbia</w:t>
            </w:r>
          </w:p>
          <w:p w:rsidR="005705B2" w:rsidRDefault="005705B2" w:rsidP="005F1ED8">
            <w:pPr>
              <w:rPr>
                <w:b/>
                <w:sz w:val="20"/>
                <w:szCs w:val="20"/>
              </w:rPr>
            </w:pPr>
          </w:p>
          <w:p w:rsidR="005705B2" w:rsidRPr="00EC6C28" w:rsidRDefault="00EC6C28" w:rsidP="005F1ED8">
            <w:pPr>
              <w:rPr>
                <w:sz w:val="20"/>
                <w:szCs w:val="20"/>
              </w:rPr>
            </w:pPr>
            <w:r>
              <w:rPr>
                <w:sz w:val="20"/>
                <w:szCs w:val="20"/>
              </w:rPr>
              <w:t>FILING DATE</w:t>
            </w:r>
            <w:r w:rsidR="00917078">
              <w:rPr>
                <w:sz w:val="20"/>
                <w:szCs w:val="20"/>
              </w:rPr>
              <w:t>: 04.12.2017</w:t>
            </w:r>
          </w:p>
          <w:p w:rsidR="00C21644" w:rsidRPr="00A935AA" w:rsidRDefault="008D266B" w:rsidP="005F1ED8">
            <w:pPr>
              <w:rPr>
                <w:sz w:val="20"/>
                <w:szCs w:val="20"/>
              </w:rPr>
            </w:pPr>
            <w:r>
              <w:rPr>
                <w:sz w:val="20"/>
                <w:szCs w:val="20"/>
                <w:lang w:val="fr-CA"/>
              </w:rPr>
              <w:pict>
                <v:rect id="_x0000_i1025" style="width:108pt;height:1pt" o:hrpct="0" o:hralign="center" o:hrstd="t" o:hrnoshade="t" o:hr="t" fillcolor="black [3213]" stroked="f"/>
              </w:pict>
            </w:r>
          </w:p>
        </w:tc>
        <w:tc>
          <w:tcPr>
            <w:tcW w:w="1181" w:type="dxa"/>
            <w:shd w:val="clear" w:color="auto" w:fill="auto"/>
          </w:tcPr>
          <w:p w:rsidR="00C21644" w:rsidRPr="00A935AA" w:rsidRDefault="00C21644" w:rsidP="00242AEE">
            <w:pPr>
              <w:jc w:val="center"/>
              <w:rPr>
                <w:sz w:val="20"/>
                <w:szCs w:val="20"/>
              </w:rPr>
            </w:pPr>
          </w:p>
        </w:tc>
        <w:tc>
          <w:tcPr>
            <w:tcW w:w="4320" w:type="dxa"/>
            <w:shd w:val="clear" w:color="auto" w:fill="auto"/>
          </w:tcPr>
          <w:p w:rsidR="00C21644" w:rsidRPr="00140A86" w:rsidRDefault="00840C63" w:rsidP="005705B2">
            <w:pPr>
              <w:rPr>
                <w:b/>
                <w:sz w:val="20"/>
                <w:szCs w:val="20"/>
                <w:lang w:val="en-US"/>
              </w:rPr>
            </w:pPr>
            <w:r w:rsidRPr="00140A86">
              <w:rPr>
                <w:b/>
                <w:sz w:val="20"/>
                <w:szCs w:val="20"/>
                <w:lang w:val="en-US"/>
              </w:rPr>
              <w:t>Kossay El-Hkodr</w:t>
            </w:r>
          </w:p>
          <w:p w:rsidR="00840C63" w:rsidRPr="00140A86" w:rsidRDefault="00840C63" w:rsidP="005705B2">
            <w:pPr>
              <w:rPr>
                <w:sz w:val="20"/>
                <w:szCs w:val="20"/>
                <w:lang w:val="en-US"/>
              </w:rPr>
            </w:pPr>
            <w:r w:rsidRPr="00140A86">
              <w:rPr>
                <w:b/>
                <w:sz w:val="20"/>
                <w:szCs w:val="20"/>
                <w:lang w:val="en-US"/>
              </w:rPr>
              <w:tab/>
            </w:r>
            <w:r w:rsidRPr="00140A86">
              <w:rPr>
                <w:sz w:val="20"/>
                <w:szCs w:val="20"/>
                <w:lang w:val="en-US"/>
              </w:rPr>
              <w:t>Joseph Y. Obagi</w:t>
            </w:r>
          </w:p>
          <w:p w:rsidR="00840C63" w:rsidRPr="00140A86" w:rsidRDefault="00840C63" w:rsidP="005705B2">
            <w:pPr>
              <w:rPr>
                <w:sz w:val="20"/>
                <w:szCs w:val="20"/>
                <w:lang w:val="en-US"/>
              </w:rPr>
            </w:pPr>
            <w:r w:rsidRPr="00140A86">
              <w:rPr>
                <w:sz w:val="20"/>
                <w:szCs w:val="20"/>
                <w:lang w:val="en-US"/>
              </w:rPr>
              <w:tab/>
              <w:t>Connolly Obagi LLP</w:t>
            </w:r>
          </w:p>
          <w:p w:rsidR="00840C63" w:rsidRPr="00140A86" w:rsidRDefault="00840C63" w:rsidP="005705B2">
            <w:pPr>
              <w:rPr>
                <w:sz w:val="20"/>
                <w:szCs w:val="20"/>
                <w:lang w:val="en-US"/>
              </w:rPr>
            </w:pPr>
          </w:p>
          <w:p w:rsidR="00840C63" w:rsidRPr="00140A86" w:rsidRDefault="00840C63" w:rsidP="005705B2">
            <w:pPr>
              <w:rPr>
                <w:sz w:val="20"/>
                <w:szCs w:val="20"/>
                <w:lang w:val="en-US"/>
              </w:rPr>
            </w:pPr>
            <w:r w:rsidRPr="00140A86">
              <w:rPr>
                <w:sz w:val="20"/>
                <w:szCs w:val="20"/>
                <w:lang w:val="en-US"/>
              </w:rPr>
              <w:tab/>
              <w:t>v. (37860)</w:t>
            </w:r>
          </w:p>
          <w:p w:rsidR="00840C63" w:rsidRPr="00140A86" w:rsidRDefault="00840C63" w:rsidP="005705B2">
            <w:pPr>
              <w:rPr>
                <w:sz w:val="20"/>
                <w:szCs w:val="20"/>
                <w:lang w:val="en-US"/>
              </w:rPr>
            </w:pPr>
          </w:p>
          <w:p w:rsidR="00840C63" w:rsidRDefault="00840C63" w:rsidP="005705B2">
            <w:pPr>
              <w:rPr>
                <w:b/>
                <w:sz w:val="20"/>
                <w:szCs w:val="20"/>
                <w:lang w:val="en-US"/>
              </w:rPr>
            </w:pPr>
            <w:r w:rsidRPr="00840C63">
              <w:rPr>
                <w:b/>
                <w:sz w:val="20"/>
                <w:szCs w:val="20"/>
                <w:lang w:val="en-US"/>
              </w:rPr>
              <w:t>Raymond C. Lackie, John MacPhail, ATS Andl</w:t>
            </w:r>
            <w:r w:rsidR="00917078">
              <w:rPr>
                <w:b/>
                <w:sz w:val="20"/>
                <w:szCs w:val="20"/>
                <w:lang w:val="en-US"/>
              </w:rPr>
              <w:t>a</w:t>
            </w:r>
            <w:r w:rsidRPr="00840C63">
              <w:rPr>
                <w:b/>
                <w:sz w:val="20"/>
                <w:szCs w:val="20"/>
                <w:lang w:val="en-US"/>
              </w:rPr>
              <w:t>u</w:t>
            </w:r>
            <w:r w:rsidR="00917078">
              <w:rPr>
                <w:b/>
                <w:sz w:val="20"/>
                <w:szCs w:val="20"/>
                <w:lang w:val="en-US"/>
              </w:rPr>
              <w:t>e</w:t>
            </w:r>
            <w:r w:rsidRPr="00840C63">
              <w:rPr>
                <w:b/>
                <w:sz w:val="20"/>
                <w:szCs w:val="20"/>
                <w:lang w:val="en-US"/>
              </w:rPr>
              <w:t xml:space="preserve">r Transportation Services GP Inc. </w:t>
            </w:r>
            <w:r>
              <w:rPr>
                <w:b/>
                <w:sz w:val="20"/>
                <w:szCs w:val="20"/>
                <w:lang w:val="en-US"/>
              </w:rPr>
              <w:t>and Trailco</w:t>
            </w:r>
            <w:r w:rsidR="00917078">
              <w:rPr>
                <w:b/>
                <w:sz w:val="20"/>
                <w:szCs w:val="20"/>
                <w:lang w:val="en-US"/>
              </w:rPr>
              <w:t>n</w:t>
            </w:r>
            <w:r>
              <w:rPr>
                <w:b/>
                <w:sz w:val="20"/>
                <w:szCs w:val="20"/>
                <w:lang w:val="en-US"/>
              </w:rPr>
              <w:t xml:space="preserve"> Leasing Inc. (Ont.)</w:t>
            </w:r>
          </w:p>
          <w:p w:rsidR="00840C63" w:rsidRPr="00917078" w:rsidRDefault="00840C63" w:rsidP="005705B2">
            <w:pPr>
              <w:rPr>
                <w:sz w:val="20"/>
                <w:szCs w:val="20"/>
                <w:lang w:val="en-US"/>
              </w:rPr>
            </w:pPr>
            <w:r>
              <w:rPr>
                <w:sz w:val="20"/>
                <w:szCs w:val="20"/>
                <w:lang w:val="en-US"/>
              </w:rPr>
              <w:tab/>
            </w:r>
            <w:r w:rsidRPr="00917078">
              <w:rPr>
                <w:sz w:val="20"/>
                <w:szCs w:val="20"/>
                <w:lang w:val="en-US"/>
              </w:rPr>
              <w:t>B.A. Percival, Q.C.</w:t>
            </w:r>
          </w:p>
          <w:p w:rsidR="00840C63" w:rsidRPr="00917078" w:rsidRDefault="00840C63" w:rsidP="005705B2">
            <w:pPr>
              <w:rPr>
                <w:sz w:val="20"/>
                <w:szCs w:val="20"/>
                <w:lang w:val="en-US"/>
              </w:rPr>
            </w:pPr>
            <w:r w:rsidRPr="00917078">
              <w:rPr>
                <w:sz w:val="20"/>
                <w:szCs w:val="20"/>
                <w:lang w:val="en-US"/>
              </w:rPr>
              <w:tab/>
              <w:t>Benson Percival Brown LLP</w:t>
            </w:r>
          </w:p>
          <w:p w:rsidR="00840C63" w:rsidRPr="00917078" w:rsidRDefault="00840C63" w:rsidP="005705B2">
            <w:pPr>
              <w:rPr>
                <w:sz w:val="20"/>
                <w:szCs w:val="20"/>
                <w:lang w:val="en-US"/>
              </w:rPr>
            </w:pPr>
          </w:p>
          <w:p w:rsidR="00840C63" w:rsidRPr="00917078" w:rsidRDefault="00840C63" w:rsidP="005705B2">
            <w:pPr>
              <w:rPr>
                <w:sz w:val="20"/>
                <w:szCs w:val="20"/>
                <w:lang w:val="en-US"/>
              </w:rPr>
            </w:pPr>
            <w:r w:rsidRPr="00917078">
              <w:rPr>
                <w:sz w:val="20"/>
                <w:szCs w:val="20"/>
                <w:lang w:val="en-US"/>
              </w:rPr>
              <w:t>FILING DATE : 20.11.2017</w:t>
            </w:r>
          </w:p>
          <w:p w:rsidR="00840C63" w:rsidRDefault="008D266B" w:rsidP="005705B2">
            <w:pPr>
              <w:rPr>
                <w:sz w:val="20"/>
                <w:szCs w:val="20"/>
                <w:lang w:val="fr-CA"/>
              </w:rPr>
            </w:pPr>
            <w:r>
              <w:rPr>
                <w:sz w:val="20"/>
                <w:szCs w:val="20"/>
                <w:lang w:val="fr-CA"/>
              </w:rPr>
              <w:pict>
                <v:rect id="_x0000_i1026" style="width:108pt;height:1pt" o:hrpct="0" o:hralign="center" o:hrstd="t" o:hrnoshade="t" o:hr="t" fillcolor="black [3213]" stroked="f"/>
              </w:pict>
            </w:r>
          </w:p>
          <w:p w:rsidR="00840C63" w:rsidRPr="00840C63" w:rsidRDefault="00840C63" w:rsidP="005705B2">
            <w:pPr>
              <w:rPr>
                <w:sz w:val="20"/>
                <w:szCs w:val="20"/>
                <w:lang w:val="fr-CA"/>
              </w:rPr>
            </w:pPr>
          </w:p>
        </w:tc>
      </w:tr>
      <w:tr w:rsidR="00C21644" w:rsidRPr="003C3097" w:rsidTr="003B3977">
        <w:tc>
          <w:tcPr>
            <w:tcW w:w="4320" w:type="dxa"/>
            <w:shd w:val="clear" w:color="auto" w:fill="auto"/>
          </w:tcPr>
          <w:p w:rsidR="00C21644" w:rsidRPr="00140A86" w:rsidRDefault="004F0EC4" w:rsidP="003B3977">
            <w:pPr>
              <w:rPr>
                <w:b/>
                <w:sz w:val="20"/>
                <w:szCs w:val="20"/>
                <w:lang w:val="en-US"/>
              </w:rPr>
            </w:pPr>
            <w:r w:rsidRPr="00140A86">
              <w:rPr>
                <w:b/>
                <w:sz w:val="20"/>
                <w:szCs w:val="20"/>
                <w:lang w:val="en-US"/>
              </w:rPr>
              <w:t>Northern Regional Health Authority</w:t>
            </w:r>
          </w:p>
          <w:p w:rsidR="004F0EC4" w:rsidRPr="00140A86" w:rsidRDefault="004F0EC4" w:rsidP="003B3977">
            <w:pPr>
              <w:rPr>
                <w:sz w:val="20"/>
                <w:szCs w:val="20"/>
                <w:lang w:val="en-US"/>
              </w:rPr>
            </w:pPr>
            <w:r w:rsidRPr="00140A86">
              <w:rPr>
                <w:b/>
                <w:sz w:val="20"/>
                <w:szCs w:val="20"/>
                <w:lang w:val="en-US"/>
              </w:rPr>
              <w:tab/>
            </w:r>
            <w:r w:rsidRPr="00140A86">
              <w:rPr>
                <w:sz w:val="20"/>
                <w:szCs w:val="20"/>
                <w:lang w:val="en-US"/>
              </w:rPr>
              <w:t>Robert Watchman</w:t>
            </w:r>
          </w:p>
          <w:p w:rsidR="004F0EC4" w:rsidRPr="00140A86" w:rsidRDefault="004F0EC4" w:rsidP="003B3977">
            <w:pPr>
              <w:rPr>
                <w:sz w:val="20"/>
                <w:szCs w:val="20"/>
                <w:lang w:val="en-US"/>
              </w:rPr>
            </w:pPr>
            <w:r w:rsidRPr="00140A86">
              <w:rPr>
                <w:sz w:val="20"/>
                <w:szCs w:val="20"/>
                <w:lang w:val="en-US"/>
              </w:rPr>
              <w:tab/>
              <w:t>Pitblado</w:t>
            </w:r>
          </w:p>
          <w:p w:rsidR="004F0EC4" w:rsidRPr="00140A86" w:rsidRDefault="004F0EC4" w:rsidP="003B3977">
            <w:pPr>
              <w:rPr>
                <w:sz w:val="20"/>
                <w:szCs w:val="20"/>
                <w:lang w:val="en-US"/>
              </w:rPr>
            </w:pPr>
          </w:p>
          <w:p w:rsidR="004F0EC4" w:rsidRPr="00140A86" w:rsidRDefault="004F0EC4" w:rsidP="003B3977">
            <w:pPr>
              <w:rPr>
                <w:sz w:val="20"/>
                <w:szCs w:val="20"/>
                <w:lang w:val="en-US"/>
              </w:rPr>
            </w:pPr>
            <w:r w:rsidRPr="00140A86">
              <w:rPr>
                <w:sz w:val="20"/>
                <w:szCs w:val="20"/>
                <w:lang w:val="en-US"/>
              </w:rPr>
              <w:tab/>
              <w:t>v. (37878)</w:t>
            </w:r>
          </w:p>
          <w:p w:rsidR="004F0EC4" w:rsidRPr="00140A86" w:rsidRDefault="004F0EC4" w:rsidP="003B3977">
            <w:pPr>
              <w:rPr>
                <w:sz w:val="20"/>
                <w:szCs w:val="20"/>
                <w:lang w:val="en-US"/>
              </w:rPr>
            </w:pPr>
          </w:p>
          <w:p w:rsidR="004F0EC4" w:rsidRDefault="004F0EC4" w:rsidP="003B3977">
            <w:pPr>
              <w:rPr>
                <w:b/>
                <w:sz w:val="20"/>
                <w:szCs w:val="20"/>
                <w:lang w:val="en-US"/>
              </w:rPr>
            </w:pPr>
            <w:r w:rsidRPr="004F0EC4">
              <w:rPr>
                <w:b/>
                <w:sz w:val="20"/>
                <w:szCs w:val="20"/>
                <w:lang w:val="en-US"/>
              </w:rPr>
              <w:t xml:space="preserve">Manitoba Human Rights Commission et al. </w:t>
            </w:r>
            <w:r>
              <w:rPr>
                <w:b/>
                <w:sz w:val="20"/>
                <w:szCs w:val="20"/>
                <w:lang w:val="en-US"/>
              </w:rPr>
              <w:t>(Man.)</w:t>
            </w:r>
          </w:p>
          <w:p w:rsidR="004F0EC4" w:rsidRDefault="004F0EC4" w:rsidP="003B3977">
            <w:pPr>
              <w:rPr>
                <w:sz w:val="20"/>
                <w:szCs w:val="20"/>
                <w:lang w:val="en-US"/>
              </w:rPr>
            </w:pPr>
            <w:r>
              <w:rPr>
                <w:sz w:val="20"/>
                <w:szCs w:val="20"/>
                <w:lang w:val="en-US"/>
              </w:rPr>
              <w:tab/>
              <w:t>Thor Hansell</w:t>
            </w:r>
          </w:p>
          <w:p w:rsidR="004F0EC4" w:rsidRDefault="004F0EC4" w:rsidP="003B3977">
            <w:pPr>
              <w:rPr>
                <w:sz w:val="20"/>
                <w:szCs w:val="20"/>
                <w:lang w:val="en-US"/>
              </w:rPr>
            </w:pPr>
            <w:r>
              <w:rPr>
                <w:sz w:val="20"/>
                <w:szCs w:val="20"/>
                <w:lang w:val="en-US"/>
              </w:rPr>
              <w:tab/>
              <w:t>MLT Aikins LLP</w:t>
            </w:r>
          </w:p>
          <w:p w:rsidR="004F0EC4" w:rsidRDefault="004F0EC4" w:rsidP="003B3977">
            <w:pPr>
              <w:rPr>
                <w:sz w:val="20"/>
                <w:szCs w:val="20"/>
                <w:lang w:val="en-US"/>
              </w:rPr>
            </w:pPr>
          </w:p>
          <w:p w:rsidR="004F0EC4" w:rsidRDefault="004F0EC4" w:rsidP="003B3977">
            <w:pPr>
              <w:rPr>
                <w:sz w:val="20"/>
                <w:szCs w:val="20"/>
                <w:lang w:val="en-US"/>
              </w:rPr>
            </w:pPr>
            <w:r>
              <w:rPr>
                <w:sz w:val="20"/>
                <w:szCs w:val="20"/>
                <w:lang w:val="en-US"/>
              </w:rPr>
              <w:t>FILING DATE: 04.12.2017</w:t>
            </w:r>
          </w:p>
          <w:p w:rsidR="004F0EC4" w:rsidRDefault="008D266B" w:rsidP="003B3977">
            <w:pPr>
              <w:rPr>
                <w:sz w:val="20"/>
                <w:szCs w:val="20"/>
                <w:lang w:val="fr-CA"/>
              </w:rPr>
            </w:pPr>
            <w:r>
              <w:rPr>
                <w:sz w:val="20"/>
                <w:szCs w:val="20"/>
                <w:lang w:val="fr-CA"/>
              </w:rPr>
              <w:pict>
                <v:rect id="_x0000_i1027" style="width:108pt;height:1pt" o:hrpct="0" o:hralign="center" o:hrstd="t" o:hrnoshade="t" o:hr="t" fillcolor="black [3213]" stroked="f"/>
              </w:pict>
            </w:r>
          </w:p>
          <w:p w:rsidR="004F0EC4" w:rsidRPr="004F0EC4" w:rsidRDefault="004F0EC4" w:rsidP="003B3977">
            <w:pPr>
              <w:rPr>
                <w:sz w:val="20"/>
                <w:szCs w:val="20"/>
                <w:lang w:val="en-US"/>
              </w:rPr>
            </w:pPr>
          </w:p>
        </w:tc>
        <w:tc>
          <w:tcPr>
            <w:tcW w:w="1181" w:type="dxa"/>
            <w:shd w:val="clear" w:color="auto" w:fill="auto"/>
          </w:tcPr>
          <w:p w:rsidR="00C21644" w:rsidRPr="004F0EC4" w:rsidRDefault="00C21644" w:rsidP="00242AEE">
            <w:pPr>
              <w:jc w:val="center"/>
              <w:rPr>
                <w:sz w:val="20"/>
                <w:szCs w:val="20"/>
                <w:lang w:val="en-US"/>
              </w:rPr>
            </w:pPr>
          </w:p>
        </w:tc>
        <w:tc>
          <w:tcPr>
            <w:tcW w:w="4320" w:type="dxa"/>
            <w:shd w:val="clear" w:color="auto" w:fill="auto"/>
          </w:tcPr>
          <w:p w:rsidR="003C3097" w:rsidRDefault="004F0EC4" w:rsidP="005705B2">
            <w:pPr>
              <w:rPr>
                <w:b/>
                <w:sz w:val="20"/>
                <w:szCs w:val="20"/>
                <w:lang w:val="fr-CA"/>
              </w:rPr>
            </w:pPr>
            <w:r w:rsidRPr="003C3097">
              <w:rPr>
                <w:b/>
                <w:sz w:val="20"/>
                <w:szCs w:val="20"/>
                <w:lang w:val="fr-CA"/>
              </w:rPr>
              <w:t>Transport</w:t>
            </w:r>
            <w:r w:rsidR="003C3097" w:rsidRPr="003C3097">
              <w:rPr>
                <w:b/>
                <w:sz w:val="20"/>
                <w:szCs w:val="20"/>
                <w:lang w:val="fr-CA"/>
              </w:rPr>
              <w:t xml:space="preserve"> Desgagnés Inc. </w:t>
            </w:r>
            <w:r w:rsidR="003C3097">
              <w:rPr>
                <w:b/>
                <w:sz w:val="20"/>
                <w:szCs w:val="20"/>
                <w:lang w:val="fr-CA"/>
              </w:rPr>
              <w:t xml:space="preserve">et al. </w:t>
            </w:r>
          </w:p>
          <w:p w:rsidR="003C3097" w:rsidRDefault="003C3097" w:rsidP="005705B2">
            <w:pPr>
              <w:rPr>
                <w:sz w:val="20"/>
                <w:szCs w:val="20"/>
                <w:lang w:val="fr-CA"/>
              </w:rPr>
            </w:pPr>
            <w:r>
              <w:rPr>
                <w:b/>
                <w:sz w:val="20"/>
                <w:szCs w:val="20"/>
                <w:lang w:val="fr-CA"/>
              </w:rPr>
              <w:tab/>
            </w:r>
            <w:r>
              <w:rPr>
                <w:sz w:val="20"/>
                <w:szCs w:val="20"/>
                <w:lang w:val="fr-CA"/>
              </w:rPr>
              <w:t>Danièle Dion</w:t>
            </w:r>
          </w:p>
          <w:p w:rsidR="003C3097" w:rsidRDefault="003C3097" w:rsidP="005705B2">
            <w:pPr>
              <w:rPr>
                <w:sz w:val="20"/>
                <w:szCs w:val="20"/>
                <w:lang w:val="fr-CA"/>
              </w:rPr>
            </w:pPr>
            <w:r>
              <w:rPr>
                <w:sz w:val="20"/>
                <w:szCs w:val="20"/>
                <w:lang w:val="fr-CA"/>
              </w:rPr>
              <w:tab/>
              <w:t>Brisset Bishop</w:t>
            </w:r>
          </w:p>
          <w:p w:rsidR="003C3097" w:rsidRDefault="003C3097" w:rsidP="005705B2">
            <w:pPr>
              <w:rPr>
                <w:sz w:val="20"/>
                <w:szCs w:val="20"/>
                <w:lang w:val="fr-CA"/>
              </w:rPr>
            </w:pPr>
          </w:p>
          <w:p w:rsidR="003C3097" w:rsidRDefault="003C3097" w:rsidP="005705B2">
            <w:pPr>
              <w:rPr>
                <w:sz w:val="20"/>
                <w:szCs w:val="20"/>
                <w:lang w:val="fr-CA"/>
              </w:rPr>
            </w:pPr>
            <w:r>
              <w:rPr>
                <w:sz w:val="20"/>
                <w:szCs w:val="20"/>
                <w:lang w:val="fr-CA"/>
              </w:rPr>
              <w:tab/>
              <w:t>v. (37873)</w:t>
            </w:r>
          </w:p>
          <w:p w:rsidR="003C3097" w:rsidRDefault="003C3097" w:rsidP="005705B2">
            <w:pPr>
              <w:rPr>
                <w:sz w:val="20"/>
                <w:szCs w:val="20"/>
                <w:lang w:val="fr-CA"/>
              </w:rPr>
            </w:pPr>
          </w:p>
          <w:p w:rsidR="003C3097" w:rsidRDefault="003C3097" w:rsidP="005705B2">
            <w:pPr>
              <w:rPr>
                <w:b/>
                <w:sz w:val="20"/>
                <w:szCs w:val="20"/>
                <w:lang w:val="en-US"/>
              </w:rPr>
            </w:pPr>
            <w:r w:rsidRPr="003C3097">
              <w:rPr>
                <w:b/>
                <w:sz w:val="20"/>
                <w:szCs w:val="20"/>
                <w:lang w:val="en-US"/>
              </w:rPr>
              <w:t>Wärtsilä Canada Inc. and Wärtsilä</w:t>
            </w:r>
            <w:r>
              <w:rPr>
                <w:b/>
                <w:sz w:val="20"/>
                <w:szCs w:val="20"/>
                <w:lang w:val="en-US"/>
              </w:rPr>
              <w:t xml:space="preserve"> Nederland B.V. (Que.)</w:t>
            </w:r>
          </w:p>
          <w:p w:rsidR="003C3097" w:rsidRDefault="003C3097" w:rsidP="005705B2">
            <w:pPr>
              <w:rPr>
                <w:sz w:val="20"/>
                <w:szCs w:val="20"/>
                <w:lang w:val="en-US"/>
              </w:rPr>
            </w:pPr>
            <w:r>
              <w:rPr>
                <w:sz w:val="20"/>
                <w:szCs w:val="20"/>
                <w:lang w:val="en-US"/>
              </w:rPr>
              <w:tab/>
              <w:t>George Pollack</w:t>
            </w:r>
          </w:p>
          <w:p w:rsidR="003C3097" w:rsidRDefault="003C3097" w:rsidP="005705B2">
            <w:pPr>
              <w:rPr>
                <w:sz w:val="20"/>
                <w:szCs w:val="20"/>
                <w:lang w:val="en-US"/>
              </w:rPr>
            </w:pPr>
            <w:r>
              <w:rPr>
                <w:sz w:val="20"/>
                <w:szCs w:val="20"/>
                <w:lang w:val="en-US"/>
              </w:rPr>
              <w:tab/>
              <w:t>Davies Ward Phillips &amp; Vineberg LLP</w:t>
            </w:r>
          </w:p>
          <w:p w:rsidR="003C3097" w:rsidRDefault="003C3097" w:rsidP="005705B2">
            <w:pPr>
              <w:rPr>
                <w:sz w:val="20"/>
                <w:szCs w:val="20"/>
                <w:lang w:val="en-US"/>
              </w:rPr>
            </w:pPr>
          </w:p>
          <w:p w:rsidR="003C3097" w:rsidRDefault="003C3097" w:rsidP="005705B2">
            <w:pPr>
              <w:rPr>
                <w:sz w:val="20"/>
                <w:szCs w:val="20"/>
                <w:lang w:val="en-US"/>
              </w:rPr>
            </w:pPr>
            <w:r>
              <w:rPr>
                <w:sz w:val="20"/>
                <w:szCs w:val="20"/>
                <w:lang w:val="en-US"/>
              </w:rPr>
              <w:t>FILING DATE: 28.11.2017</w:t>
            </w:r>
          </w:p>
          <w:p w:rsidR="003C3097" w:rsidRPr="003C3097" w:rsidRDefault="008D266B" w:rsidP="005705B2">
            <w:pPr>
              <w:rPr>
                <w:sz w:val="20"/>
                <w:szCs w:val="20"/>
                <w:lang w:val="en-US"/>
              </w:rPr>
            </w:pPr>
            <w:r>
              <w:rPr>
                <w:sz w:val="20"/>
                <w:szCs w:val="20"/>
                <w:lang w:val="fr-CA"/>
              </w:rPr>
              <w:pict>
                <v:rect id="_x0000_i1028" style="width:108pt;height:1pt" o:hrpct="0" o:hralign="center" o:hrstd="t" o:hrnoshade="t" o:hr="t" fillcolor="black [3213]" stroked="f"/>
              </w:pict>
            </w:r>
          </w:p>
        </w:tc>
      </w:tr>
      <w:tr w:rsidR="00C21644" w:rsidRPr="003C3097" w:rsidTr="003B3977">
        <w:tc>
          <w:tcPr>
            <w:tcW w:w="4320" w:type="dxa"/>
            <w:shd w:val="clear" w:color="auto" w:fill="auto"/>
          </w:tcPr>
          <w:p w:rsidR="00C21644" w:rsidRDefault="007042E0" w:rsidP="005F1ED8">
            <w:pPr>
              <w:rPr>
                <w:b/>
                <w:sz w:val="20"/>
                <w:szCs w:val="20"/>
                <w:lang w:val="en-US"/>
              </w:rPr>
            </w:pPr>
            <w:r>
              <w:rPr>
                <w:b/>
                <w:sz w:val="20"/>
                <w:szCs w:val="20"/>
                <w:lang w:val="en-US"/>
              </w:rPr>
              <w:t xml:space="preserve">Keatley Surveying Ltd. </w:t>
            </w:r>
          </w:p>
          <w:p w:rsidR="007042E0" w:rsidRDefault="007042E0" w:rsidP="005F1ED8">
            <w:pPr>
              <w:rPr>
                <w:sz w:val="20"/>
                <w:szCs w:val="20"/>
                <w:lang w:val="en-US"/>
              </w:rPr>
            </w:pPr>
            <w:r>
              <w:rPr>
                <w:b/>
                <w:sz w:val="20"/>
                <w:szCs w:val="20"/>
                <w:lang w:val="en-US"/>
              </w:rPr>
              <w:tab/>
            </w:r>
            <w:r>
              <w:rPr>
                <w:sz w:val="20"/>
                <w:szCs w:val="20"/>
                <w:lang w:val="en-US"/>
              </w:rPr>
              <w:t>Luciana P. Brasil</w:t>
            </w:r>
          </w:p>
          <w:p w:rsidR="007042E0" w:rsidRDefault="007042E0" w:rsidP="005F1ED8">
            <w:pPr>
              <w:rPr>
                <w:sz w:val="20"/>
                <w:szCs w:val="20"/>
                <w:lang w:val="en-US"/>
              </w:rPr>
            </w:pPr>
            <w:r>
              <w:rPr>
                <w:sz w:val="20"/>
                <w:szCs w:val="20"/>
                <w:lang w:val="en-US"/>
              </w:rPr>
              <w:tab/>
              <w:t>Branch, MacMaster</w:t>
            </w:r>
          </w:p>
          <w:p w:rsidR="007042E0" w:rsidRDefault="007042E0" w:rsidP="005F1ED8">
            <w:pPr>
              <w:rPr>
                <w:sz w:val="20"/>
                <w:szCs w:val="20"/>
                <w:lang w:val="en-US"/>
              </w:rPr>
            </w:pPr>
          </w:p>
          <w:p w:rsidR="007042E0" w:rsidRDefault="007042E0" w:rsidP="005F1ED8">
            <w:pPr>
              <w:rPr>
                <w:sz w:val="20"/>
                <w:szCs w:val="20"/>
                <w:lang w:val="en-US"/>
              </w:rPr>
            </w:pPr>
            <w:r>
              <w:rPr>
                <w:sz w:val="20"/>
                <w:szCs w:val="20"/>
                <w:lang w:val="en-US"/>
              </w:rPr>
              <w:tab/>
              <w:t>v. (37863)</w:t>
            </w:r>
          </w:p>
          <w:p w:rsidR="007042E0" w:rsidRDefault="007042E0" w:rsidP="005F1ED8">
            <w:pPr>
              <w:rPr>
                <w:sz w:val="20"/>
                <w:szCs w:val="20"/>
                <w:lang w:val="en-US"/>
              </w:rPr>
            </w:pPr>
          </w:p>
          <w:p w:rsidR="007042E0" w:rsidRPr="00140A86" w:rsidRDefault="007042E0" w:rsidP="005F1ED8">
            <w:pPr>
              <w:rPr>
                <w:b/>
                <w:sz w:val="20"/>
                <w:szCs w:val="20"/>
                <w:lang w:val="fr-CA"/>
              </w:rPr>
            </w:pPr>
            <w:r>
              <w:rPr>
                <w:b/>
                <w:sz w:val="20"/>
                <w:szCs w:val="20"/>
                <w:lang w:val="en-US"/>
              </w:rPr>
              <w:t xml:space="preserve">Teranet Inc. </w:t>
            </w:r>
            <w:r w:rsidRPr="00140A86">
              <w:rPr>
                <w:b/>
                <w:sz w:val="20"/>
                <w:szCs w:val="20"/>
                <w:lang w:val="fr-CA"/>
              </w:rPr>
              <w:t>(Ont.)</w:t>
            </w:r>
          </w:p>
          <w:p w:rsidR="007042E0" w:rsidRPr="00140A86" w:rsidRDefault="007042E0" w:rsidP="005F1ED8">
            <w:pPr>
              <w:rPr>
                <w:sz w:val="20"/>
                <w:szCs w:val="20"/>
                <w:lang w:val="fr-CA"/>
              </w:rPr>
            </w:pPr>
            <w:r w:rsidRPr="00140A86">
              <w:rPr>
                <w:sz w:val="20"/>
                <w:szCs w:val="20"/>
                <w:lang w:val="fr-CA"/>
              </w:rPr>
              <w:tab/>
            </w:r>
            <w:r w:rsidR="00682602" w:rsidRPr="00140A86">
              <w:rPr>
                <w:sz w:val="20"/>
                <w:szCs w:val="20"/>
                <w:lang w:val="fr-CA"/>
              </w:rPr>
              <w:t>F. Paul Morrisson</w:t>
            </w:r>
          </w:p>
          <w:p w:rsidR="00682602" w:rsidRPr="00140A86" w:rsidRDefault="00682602" w:rsidP="005F1ED8">
            <w:pPr>
              <w:rPr>
                <w:sz w:val="20"/>
                <w:szCs w:val="20"/>
                <w:lang w:val="fr-CA"/>
              </w:rPr>
            </w:pPr>
            <w:r w:rsidRPr="00140A86">
              <w:rPr>
                <w:sz w:val="20"/>
                <w:szCs w:val="20"/>
                <w:lang w:val="fr-CA"/>
              </w:rPr>
              <w:tab/>
              <w:t>McCarthy Tétrault LLP</w:t>
            </w:r>
          </w:p>
          <w:p w:rsidR="00682602" w:rsidRPr="00140A86" w:rsidRDefault="00682602" w:rsidP="005F1ED8">
            <w:pPr>
              <w:rPr>
                <w:sz w:val="20"/>
                <w:szCs w:val="20"/>
                <w:lang w:val="fr-CA"/>
              </w:rPr>
            </w:pPr>
          </w:p>
          <w:p w:rsidR="00682602" w:rsidRDefault="00682602" w:rsidP="005F1ED8">
            <w:pPr>
              <w:rPr>
                <w:sz w:val="20"/>
                <w:szCs w:val="20"/>
                <w:lang w:val="en-US"/>
              </w:rPr>
            </w:pPr>
            <w:r>
              <w:rPr>
                <w:sz w:val="20"/>
                <w:szCs w:val="20"/>
                <w:lang w:val="en-US"/>
              </w:rPr>
              <w:t>FILING DATE: 27.11.2017</w:t>
            </w:r>
          </w:p>
          <w:p w:rsidR="00682602" w:rsidRDefault="008D266B" w:rsidP="005F1ED8">
            <w:pPr>
              <w:rPr>
                <w:sz w:val="20"/>
                <w:szCs w:val="20"/>
                <w:lang w:val="fr-CA"/>
              </w:rPr>
            </w:pPr>
            <w:r>
              <w:rPr>
                <w:sz w:val="20"/>
                <w:szCs w:val="20"/>
                <w:lang w:val="fr-CA"/>
              </w:rPr>
              <w:pict>
                <v:rect id="_x0000_i1029" style="width:108pt;height:1pt" o:hrpct="0" o:hralign="center" o:hrstd="t" o:hrnoshade="t" o:hr="t" fillcolor="black [3213]" stroked="f"/>
              </w:pict>
            </w:r>
          </w:p>
          <w:p w:rsidR="00682602" w:rsidRPr="00682602" w:rsidRDefault="00682602" w:rsidP="005F1ED8">
            <w:pPr>
              <w:rPr>
                <w:sz w:val="20"/>
                <w:szCs w:val="20"/>
                <w:lang w:val="en-US"/>
              </w:rPr>
            </w:pPr>
          </w:p>
        </w:tc>
        <w:tc>
          <w:tcPr>
            <w:tcW w:w="1181" w:type="dxa"/>
            <w:shd w:val="clear" w:color="auto" w:fill="auto"/>
          </w:tcPr>
          <w:p w:rsidR="00C21644" w:rsidRPr="003C3097" w:rsidRDefault="00C21644" w:rsidP="00242AEE">
            <w:pPr>
              <w:jc w:val="center"/>
              <w:rPr>
                <w:sz w:val="20"/>
                <w:szCs w:val="20"/>
                <w:lang w:val="en-US"/>
              </w:rPr>
            </w:pPr>
          </w:p>
        </w:tc>
        <w:tc>
          <w:tcPr>
            <w:tcW w:w="4320" w:type="dxa"/>
            <w:shd w:val="clear" w:color="auto" w:fill="auto"/>
          </w:tcPr>
          <w:p w:rsidR="00C21644" w:rsidRDefault="00AE5484" w:rsidP="005F1ED8">
            <w:pPr>
              <w:rPr>
                <w:b/>
                <w:sz w:val="20"/>
                <w:szCs w:val="20"/>
                <w:lang w:val="en-US"/>
              </w:rPr>
            </w:pPr>
            <w:r>
              <w:rPr>
                <w:b/>
                <w:sz w:val="20"/>
                <w:szCs w:val="20"/>
                <w:lang w:val="en-US"/>
              </w:rPr>
              <w:t>Damion Dicketta Pearson</w:t>
            </w:r>
          </w:p>
          <w:p w:rsidR="00AE5484" w:rsidRDefault="00AE5484" w:rsidP="005F1ED8">
            <w:pPr>
              <w:rPr>
                <w:sz w:val="20"/>
                <w:szCs w:val="20"/>
                <w:lang w:val="en-US"/>
              </w:rPr>
            </w:pPr>
            <w:r>
              <w:rPr>
                <w:b/>
                <w:sz w:val="20"/>
                <w:szCs w:val="20"/>
                <w:lang w:val="en-US"/>
              </w:rPr>
              <w:tab/>
            </w:r>
            <w:r>
              <w:rPr>
                <w:sz w:val="20"/>
                <w:szCs w:val="20"/>
                <w:lang w:val="en-US"/>
              </w:rPr>
              <w:t>Mark C. Halfyard</w:t>
            </w:r>
          </w:p>
          <w:p w:rsidR="00AE5484" w:rsidRDefault="00AE5484" w:rsidP="005F1ED8">
            <w:pPr>
              <w:rPr>
                <w:sz w:val="20"/>
                <w:szCs w:val="20"/>
                <w:lang w:val="en-US"/>
              </w:rPr>
            </w:pPr>
            <w:r>
              <w:rPr>
                <w:sz w:val="20"/>
                <w:szCs w:val="20"/>
                <w:lang w:val="en-US"/>
              </w:rPr>
              <w:tab/>
              <w:t xml:space="preserve">Rusonik, O’Connor, Robbins, Ross, </w:t>
            </w:r>
            <w:r>
              <w:rPr>
                <w:sz w:val="20"/>
                <w:szCs w:val="20"/>
                <w:lang w:val="en-US"/>
              </w:rPr>
              <w:tab/>
              <w:t>Gorham &amp; Angelini LLP</w:t>
            </w:r>
          </w:p>
          <w:p w:rsidR="00AE5484" w:rsidRDefault="00AE5484" w:rsidP="005F1ED8">
            <w:pPr>
              <w:rPr>
                <w:sz w:val="20"/>
                <w:szCs w:val="20"/>
                <w:lang w:val="en-US"/>
              </w:rPr>
            </w:pPr>
          </w:p>
          <w:p w:rsidR="00AE5484" w:rsidRDefault="00AE5484" w:rsidP="005F1ED8">
            <w:pPr>
              <w:rPr>
                <w:sz w:val="20"/>
                <w:szCs w:val="20"/>
                <w:lang w:val="en-US"/>
              </w:rPr>
            </w:pPr>
            <w:r>
              <w:rPr>
                <w:sz w:val="20"/>
                <w:szCs w:val="20"/>
                <w:lang w:val="en-US"/>
              </w:rPr>
              <w:tab/>
              <w:t>v. (37875)</w:t>
            </w:r>
          </w:p>
          <w:p w:rsidR="00AE5484" w:rsidRDefault="00AE5484" w:rsidP="005F1ED8">
            <w:pPr>
              <w:rPr>
                <w:sz w:val="20"/>
                <w:szCs w:val="20"/>
                <w:lang w:val="en-US"/>
              </w:rPr>
            </w:pPr>
          </w:p>
          <w:p w:rsidR="00AE5484" w:rsidRDefault="00AE5484" w:rsidP="005F1ED8">
            <w:pPr>
              <w:rPr>
                <w:b/>
                <w:sz w:val="20"/>
                <w:szCs w:val="20"/>
                <w:lang w:val="en-US"/>
              </w:rPr>
            </w:pPr>
            <w:r>
              <w:rPr>
                <w:b/>
                <w:sz w:val="20"/>
                <w:szCs w:val="20"/>
                <w:lang w:val="en-US"/>
              </w:rPr>
              <w:t>Her Majesty the Queen (Ont.)</w:t>
            </w:r>
          </w:p>
          <w:p w:rsidR="00AE5484" w:rsidRDefault="00AE5484" w:rsidP="005F1ED8">
            <w:pPr>
              <w:rPr>
                <w:sz w:val="20"/>
                <w:szCs w:val="20"/>
                <w:lang w:val="en-US"/>
              </w:rPr>
            </w:pPr>
            <w:r>
              <w:rPr>
                <w:sz w:val="20"/>
                <w:szCs w:val="20"/>
                <w:lang w:val="en-US"/>
              </w:rPr>
              <w:tab/>
              <w:t>Benita Wassenaar</w:t>
            </w:r>
          </w:p>
          <w:p w:rsidR="00AE5484" w:rsidRDefault="00AE5484" w:rsidP="005F1ED8">
            <w:pPr>
              <w:rPr>
                <w:sz w:val="20"/>
                <w:szCs w:val="20"/>
                <w:lang w:val="en-US"/>
              </w:rPr>
            </w:pPr>
            <w:r>
              <w:rPr>
                <w:sz w:val="20"/>
                <w:szCs w:val="20"/>
                <w:lang w:val="en-US"/>
              </w:rPr>
              <w:tab/>
              <w:t>A.G. of Ontario</w:t>
            </w:r>
          </w:p>
          <w:p w:rsidR="00AE5484" w:rsidRDefault="00AE5484" w:rsidP="005F1ED8">
            <w:pPr>
              <w:rPr>
                <w:sz w:val="20"/>
                <w:szCs w:val="20"/>
                <w:lang w:val="en-US"/>
              </w:rPr>
            </w:pPr>
          </w:p>
          <w:p w:rsidR="00AE5484" w:rsidRDefault="00AE5484" w:rsidP="005F1ED8">
            <w:pPr>
              <w:rPr>
                <w:sz w:val="20"/>
                <w:szCs w:val="20"/>
                <w:lang w:val="en-US"/>
              </w:rPr>
            </w:pPr>
            <w:r>
              <w:rPr>
                <w:sz w:val="20"/>
                <w:szCs w:val="20"/>
                <w:lang w:val="en-US"/>
              </w:rPr>
              <w:t>FILING DATE: 06.12.2017</w:t>
            </w:r>
          </w:p>
          <w:p w:rsidR="00AE5484" w:rsidRDefault="008D266B" w:rsidP="005F1ED8">
            <w:pPr>
              <w:rPr>
                <w:sz w:val="20"/>
                <w:szCs w:val="20"/>
                <w:lang w:val="fr-CA"/>
              </w:rPr>
            </w:pPr>
            <w:r>
              <w:rPr>
                <w:sz w:val="20"/>
                <w:szCs w:val="20"/>
                <w:lang w:val="fr-CA"/>
              </w:rPr>
              <w:pict>
                <v:rect id="_x0000_i1030" style="width:108pt;height:1pt" o:hrpct="0" o:hralign="center" o:hrstd="t" o:hrnoshade="t" o:hr="t" fillcolor="black [3213]" stroked="f"/>
              </w:pict>
            </w:r>
          </w:p>
          <w:p w:rsidR="00AE5484" w:rsidRPr="00AE5484" w:rsidRDefault="00AE5484" w:rsidP="005F1ED8">
            <w:pPr>
              <w:rPr>
                <w:sz w:val="20"/>
                <w:szCs w:val="20"/>
                <w:lang w:val="en-US"/>
              </w:rPr>
            </w:pPr>
          </w:p>
        </w:tc>
      </w:tr>
    </w:tbl>
    <w:p w:rsidR="00AE5484" w:rsidRDefault="00AE5484">
      <w:r>
        <w:br w:type="page"/>
      </w: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3C3097" w:rsidRPr="003C3097" w:rsidTr="003B3977">
        <w:tc>
          <w:tcPr>
            <w:tcW w:w="4320" w:type="dxa"/>
            <w:shd w:val="clear" w:color="auto" w:fill="auto"/>
          </w:tcPr>
          <w:p w:rsidR="003C3097" w:rsidRDefault="00AE5484" w:rsidP="005F1ED8">
            <w:pPr>
              <w:rPr>
                <w:b/>
                <w:sz w:val="20"/>
                <w:szCs w:val="20"/>
                <w:lang w:val="en-US"/>
              </w:rPr>
            </w:pPr>
            <w:r>
              <w:rPr>
                <w:b/>
                <w:sz w:val="20"/>
                <w:szCs w:val="20"/>
                <w:lang w:val="en-US"/>
              </w:rPr>
              <w:lastRenderedPageBreak/>
              <w:t>Anna Maria Fiorito</w:t>
            </w:r>
          </w:p>
          <w:p w:rsidR="00AE5484" w:rsidRDefault="00AE5484" w:rsidP="005F1ED8">
            <w:pPr>
              <w:rPr>
                <w:sz w:val="20"/>
                <w:szCs w:val="20"/>
                <w:lang w:val="en-US"/>
              </w:rPr>
            </w:pPr>
            <w:r>
              <w:rPr>
                <w:b/>
                <w:sz w:val="20"/>
                <w:szCs w:val="20"/>
                <w:lang w:val="en-US"/>
              </w:rPr>
              <w:tab/>
            </w:r>
            <w:r>
              <w:rPr>
                <w:sz w:val="20"/>
                <w:szCs w:val="20"/>
                <w:lang w:val="en-US"/>
              </w:rPr>
              <w:t>Brandon Kain</w:t>
            </w:r>
          </w:p>
          <w:p w:rsidR="00AE5484" w:rsidRDefault="00AE5484" w:rsidP="005F1ED8">
            <w:pPr>
              <w:rPr>
                <w:sz w:val="20"/>
                <w:szCs w:val="20"/>
                <w:lang w:val="en-US"/>
              </w:rPr>
            </w:pPr>
            <w:r>
              <w:rPr>
                <w:sz w:val="20"/>
                <w:szCs w:val="20"/>
                <w:lang w:val="en-US"/>
              </w:rPr>
              <w:tab/>
              <w:t>McCarthy Tétrault LLP</w:t>
            </w:r>
          </w:p>
          <w:p w:rsidR="00AE5484" w:rsidRDefault="00AE5484" w:rsidP="005F1ED8">
            <w:pPr>
              <w:rPr>
                <w:sz w:val="20"/>
                <w:szCs w:val="20"/>
                <w:lang w:val="en-US"/>
              </w:rPr>
            </w:pPr>
          </w:p>
          <w:p w:rsidR="00AE5484" w:rsidRDefault="00AE5484" w:rsidP="005F1ED8">
            <w:pPr>
              <w:rPr>
                <w:sz w:val="20"/>
                <w:szCs w:val="20"/>
                <w:lang w:val="en-US"/>
              </w:rPr>
            </w:pPr>
            <w:r>
              <w:rPr>
                <w:sz w:val="20"/>
                <w:szCs w:val="20"/>
                <w:lang w:val="en-US"/>
              </w:rPr>
              <w:tab/>
              <w:t>v. (37876)</w:t>
            </w:r>
          </w:p>
          <w:p w:rsidR="00AE5484" w:rsidRDefault="00AE5484" w:rsidP="005F1ED8">
            <w:pPr>
              <w:rPr>
                <w:sz w:val="20"/>
                <w:szCs w:val="20"/>
                <w:lang w:val="en-US"/>
              </w:rPr>
            </w:pPr>
          </w:p>
          <w:p w:rsidR="00AE5484" w:rsidRDefault="00AE5484" w:rsidP="005F1ED8">
            <w:pPr>
              <w:rPr>
                <w:b/>
                <w:sz w:val="20"/>
                <w:szCs w:val="20"/>
                <w:lang w:val="en-US"/>
              </w:rPr>
            </w:pPr>
            <w:r>
              <w:rPr>
                <w:b/>
                <w:sz w:val="20"/>
                <w:szCs w:val="20"/>
                <w:lang w:val="en-US"/>
              </w:rPr>
              <w:t>Jefferson Ross Wiggins (Ont.)</w:t>
            </w:r>
          </w:p>
          <w:p w:rsidR="00AE5484" w:rsidRDefault="00AE5484" w:rsidP="005F1ED8">
            <w:pPr>
              <w:rPr>
                <w:sz w:val="20"/>
                <w:szCs w:val="20"/>
                <w:lang w:val="en-US"/>
              </w:rPr>
            </w:pPr>
            <w:r>
              <w:rPr>
                <w:sz w:val="20"/>
                <w:szCs w:val="20"/>
                <w:lang w:val="en-US"/>
              </w:rPr>
              <w:tab/>
              <w:t>Brian Ludmer</w:t>
            </w:r>
          </w:p>
          <w:p w:rsidR="00AE5484" w:rsidRDefault="00AE5484" w:rsidP="005F1ED8">
            <w:pPr>
              <w:rPr>
                <w:sz w:val="20"/>
                <w:szCs w:val="20"/>
                <w:lang w:val="en-US"/>
              </w:rPr>
            </w:pPr>
            <w:r>
              <w:rPr>
                <w:sz w:val="20"/>
                <w:szCs w:val="20"/>
                <w:lang w:val="en-US"/>
              </w:rPr>
              <w:tab/>
              <w:t>Ludmer Law</w:t>
            </w:r>
          </w:p>
          <w:p w:rsidR="00AE5484" w:rsidRDefault="00AE5484" w:rsidP="005F1ED8">
            <w:pPr>
              <w:rPr>
                <w:sz w:val="20"/>
                <w:szCs w:val="20"/>
                <w:lang w:val="en-US"/>
              </w:rPr>
            </w:pPr>
          </w:p>
          <w:p w:rsidR="00AE5484" w:rsidRDefault="00AE5484" w:rsidP="005F1ED8">
            <w:pPr>
              <w:rPr>
                <w:sz w:val="20"/>
                <w:szCs w:val="20"/>
                <w:lang w:val="en-US"/>
              </w:rPr>
            </w:pPr>
            <w:r>
              <w:rPr>
                <w:sz w:val="20"/>
                <w:szCs w:val="20"/>
                <w:lang w:val="en-US"/>
              </w:rPr>
              <w:t>FILING DATE: 04.12.2017</w:t>
            </w:r>
          </w:p>
          <w:p w:rsidR="00AE5484" w:rsidRDefault="008D266B" w:rsidP="005F1ED8">
            <w:pPr>
              <w:rPr>
                <w:sz w:val="20"/>
                <w:szCs w:val="20"/>
                <w:lang w:val="fr-CA"/>
              </w:rPr>
            </w:pPr>
            <w:r>
              <w:rPr>
                <w:sz w:val="20"/>
                <w:szCs w:val="20"/>
                <w:lang w:val="fr-CA"/>
              </w:rPr>
              <w:pict>
                <v:rect id="_x0000_i1031" style="width:108pt;height:1pt" o:hrpct="0" o:hralign="center" o:hrstd="t" o:hrnoshade="t" o:hr="t" fillcolor="black [3213]" stroked="f"/>
              </w:pict>
            </w:r>
          </w:p>
          <w:p w:rsidR="00AE5484" w:rsidRPr="00663158" w:rsidRDefault="00AE5484" w:rsidP="005F1ED8">
            <w:pPr>
              <w:rPr>
                <w:sz w:val="20"/>
                <w:szCs w:val="20"/>
                <w:lang w:val="en-US"/>
              </w:rPr>
            </w:pPr>
          </w:p>
        </w:tc>
        <w:tc>
          <w:tcPr>
            <w:tcW w:w="1181" w:type="dxa"/>
            <w:shd w:val="clear" w:color="auto" w:fill="auto"/>
          </w:tcPr>
          <w:p w:rsidR="003C3097" w:rsidRPr="003C3097" w:rsidRDefault="003C3097" w:rsidP="00242AEE">
            <w:pPr>
              <w:jc w:val="center"/>
              <w:rPr>
                <w:sz w:val="20"/>
                <w:szCs w:val="20"/>
                <w:lang w:val="en-US"/>
              </w:rPr>
            </w:pPr>
          </w:p>
        </w:tc>
        <w:tc>
          <w:tcPr>
            <w:tcW w:w="4320" w:type="dxa"/>
            <w:shd w:val="clear" w:color="auto" w:fill="auto"/>
          </w:tcPr>
          <w:p w:rsidR="003C3097" w:rsidRDefault="00663158" w:rsidP="005F1ED8">
            <w:pPr>
              <w:rPr>
                <w:b/>
                <w:sz w:val="20"/>
                <w:szCs w:val="20"/>
                <w:lang w:val="en-US"/>
              </w:rPr>
            </w:pPr>
            <w:r>
              <w:rPr>
                <w:b/>
                <w:sz w:val="20"/>
                <w:szCs w:val="20"/>
                <w:lang w:val="en-US"/>
              </w:rPr>
              <w:t>Dustin James Kitsul</w:t>
            </w:r>
          </w:p>
          <w:p w:rsidR="00663158" w:rsidRDefault="00663158" w:rsidP="005F1ED8">
            <w:pPr>
              <w:rPr>
                <w:sz w:val="20"/>
                <w:szCs w:val="20"/>
                <w:lang w:val="en-US"/>
              </w:rPr>
            </w:pPr>
            <w:r>
              <w:rPr>
                <w:b/>
                <w:sz w:val="20"/>
                <w:szCs w:val="20"/>
                <w:lang w:val="en-US"/>
              </w:rPr>
              <w:tab/>
            </w:r>
            <w:r>
              <w:rPr>
                <w:sz w:val="20"/>
                <w:szCs w:val="20"/>
                <w:lang w:val="en-US"/>
              </w:rPr>
              <w:t>Sllan A. MacDonald</w:t>
            </w:r>
          </w:p>
          <w:p w:rsidR="00663158" w:rsidRDefault="00663158" w:rsidP="005F1ED8">
            <w:pPr>
              <w:rPr>
                <w:sz w:val="20"/>
                <w:szCs w:val="20"/>
                <w:lang w:val="en-US"/>
              </w:rPr>
            </w:pPr>
            <w:r>
              <w:rPr>
                <w:sz w:val="20"/>
                <w:szCs w:val="20"/>
                <w:lang w:val="en-US"/>
              </w:rPr>
              <w:tab/>
              <w:t>Macdonald Law Group</w:t>
            </w:r>
          </w:p>
          <w:p w:rsidR="00663158" w:rsidRDefault="00663158" w:rsidP="005F1ED8">
            <w:pPr>
              <w:rPr>
                <w:sz w:val="20"/>
                <w:szCs w:val="20"/>
                <w:lang w:val="en-US"/>
              </w:rPr>
            </w:pPr>
          </w:p>
          <w:p w:rsidR="00663158" w:rsidRDefault="00663158" w:rsidP="005F1ED8">
            <w:pPr>
              <w:rPr>
                <w:sz w:val="20"/>
                <w:szCs w:val="20"/>
                <w:lang w:val="en-US"/>
              </w:rPr>
            </w:pPr>
            <w:r>
              <w:rPr>
                <w:sz w:val="20"/>
                <w:szCs w:val="20"/>
                <w:lang w:val="en-US"/>
              </w:rPr>
              <w:tab/>
              <w:t>v. (37871)</w:t>
            </w:r>
          </w:p>
          <w:p w:rsidR="00663158" w:rsidRDefault="00663158" w:rsidP="005F1ED8">
            <w:pPr>
              <w:rPr>
                <w:sz w:val="20"/>
                <w:szCs w:val="20"/>
                <w:lang w:val="en-US"/>
              </w:rPr>
            </w:pPr>
          </w:p>
          <w:p w:rsidR="00663158" w:rsidRDefault="00663158" w:rsidP="005F1ED8">
            <w:pPr>
              <w:rPr>
                <w:b/>
                <w:sz w:val="20"/>
                <w:szCs w:val="20"/>
                <w:lang w:val="en-US"/>
              </w:rPr>
            </w:pPr>
            <w:r>
              <w:rPr>
                <w:b/>
                <w:sz w:val="20"/>
                <w:szCs w:val="20"/>
                <w:lang w:val="en-US"/>
              </w:rPr>
              <w:t>Slater Vecchio LLP (B.C.)</w:t>
            </w:r>
          </w:p>
          <w:p w:rsidR="00663158" w:rsidRDefault="00663158" w:rsidP="005F1ED8">
            <w:pPr>
              <w:rPr>
                <w:sz w:val="20"/>
                <w:szCs w:val="20"/>
                <w:lang w:val="en-US"/>
              </w:rPr>
            </w:pPr>
            <w:r>
              <w:rPr>
                <w:b/>
                <w:sz w:val="20"/>
                <w:szCs w:val="20"/>
                <w:lang w:val="en-US"/>
              </w:rPr>
              <w:tab/>
            </w:r>
            <w:r>
              <w:rPr>
                <w:sz w:val="20"/>
                <w:szCs w:val="20"/>
                <w:lang w:val="en-US"/>
              </w:rPr>
              <w:t>Grant L. Ritchey</w:t>
            </w:r>
          </w:p>
          <w:p w:rsidR="00663158" w:rsidRDefault="00663158" w:rsidP="005F1ED8">
            <w:pPr>
              <w:rPr>
                <w:sz w:val="20"/>
                <w:szCs w:val="20"/>
                <w:lang w:val="en-US"/>
              </w:rPr>
            </w:pPr>
            <w:r>
              <w:rPr>
                <w:sz w:val="20"/>
                <w:szCs w:val="20"/>
                <w:lang w:val="en-US"/>
              </w:rPr>
              <w:tab/>
              <w:t>QA Law</w:t>
            </w:r>
          </w:p>
          <w:p w:rsidR="00663158" w:rsidRDefault="00663158" w:rsidP="005F1ED8">
            <w:pPr>
              <w:rPr>
                <w:sz w:val="20"/>
                <w:szCs w:val="20"/>
                <w:lang w:val="en-US"/>
              </w:rPr>
            </w:pPr>
          </w:p>
          <w:p w:rsidR="00663158" w:rsidRDefault="00663158" w:rsidP="005F1ED8">
            <w:pPr>
              <w:rPr>
                <w:sz w:val="20"/>
                <w:szCs w:val="20"/>
                <w:lang w:val="en-US"/>
              </w:rPr>
            </w:pPr>
            <w:r>
              <w:rPr>
                <w:sz w:val="20"/>
                <w:szCs w:val="20"/>
                <w:lang w:val="en-US"/>
              </w:rPr>
              <w:t>FILING DATE: 27.11.2017</w:t>
            </w:r>
          </w:p>
          <w:p w:rsidR="00663158" w:rsidRPr="00663158" w:rsidRDefault="008D266B" w:rsidP="005F1ED8">
            <w:pPr>
              <w:rPr>
                <w:sz w:val="20"/>
                <w:szCs w:val="20"/>
                <w:lang w:val="en-US"/>
              </w:rPr>
            </w:pPr>
            <w:r>
              <w:rPr>
                <w:sz w:val="20"/>
                <w:szCs w:val="20"/>
                <w:lang w:val="fr-CA"/>
              </w:rPr>
              <w:pict>
                <v:rect id="_x0000_i1032" style="width:108pt;height:1pt" o:hrpct="0" o:hralign="center" o:hrstd="t" o:hrnoshade="t" o:hr="t" fillcolor="black [3213]" stroked="f"/>
              </w:pict>
            </w:r>
          </w:p>
        </w:tc>
      </w:tr>
      <w:tr w:rsidR="003C3097" w:rsidRPr="00663158" w:rsidTr="003B3977">
        <w:tc>
          <w:tcPr>
            <w:tcW w:w="4320" w:type="dxa"/>
            <w:shd w:val="clear" w:color="auto" w:fill="auto"/>
          </w:tcPr>
          <w:p w:rsidR="003C3097" w:rsidRPr="00140A86" w:rsidRDefault="00663158" w:rsidP="005F1ED8">
            <w:pPr>
              <w:rPr>
                <w:b/>
                <w:sz w:val="20"/>
                <w:szCs w:val="20"/>
                <w:lang w:val="fr-CA"/>
              </w:rPr>
            </w:pPr>
            <w:r w:rsidRPr="00140A86">
              <w:rPr>
                <w:b/>
                <w:sz w:val="20"/>
                <w:szCs w:val="20"/>
                <w:lang w:val="fr-CA"/>
              </w:rPr>
              <w:t>Paul Gagné</w:t>
            </w:r>
          </w:p>
          <w:p w:rsidR="00663158" w:rsidRPr="00140A86" w:rsidRDefault="00663158" w:rsidP="005F1ED8">
            <w:pPr>
              <w:rPr>
                <w:sz w:val="20"/>
                <w:szCs w:val="20"/>
                <w:lang w:val="fr-CA"/>
              </w:rPr>
            </w:pPr>
            <w:r w:rsidRPr="00140A86">
              <w:rPr>
                <w:b/>
                <w:sz w:val="20"/>
                <w:szCs w:val="20"/>
                <w:lang w:val="fr-CA"/>
              </w:rPr>
              <w:tab/>
            </w:r>
            <w:r w:rsidRPr="00140A86">
              <w:rPr>
                <w:sz w:val="20"/>
                <w:szCs w:val="20"/>
                <w:lang w:val="fr-CA"/>
              </w:rPr>
              <w:t>Julius H. Grey</w:t>
            </w:r>
          </w:p>
          <w:p w:rsidR="00663158" w:rsidRPr="00140A86" w:rsidRDefault="00663158" w:rsidP="005F1ED8">
            <w:pPr>
              <w:rPr>
                <w:sz w:val="20"/>
                <w:szCs w:val="20"/>
                <w:lang w:val="fr-CA"/>
              </w:rPr>
            </w:pPr>
            <w:r w:rsidRPr="00140A86">
              <w:rPr>
                <w:sz w:val="20"/>
                <w:szCs w:val="20"/>
                <w:lang w:val="fr-CA"/>
              </w:rPr>
              <w:tab/>
              <w:t>Grey, Casgrain</w:t>
            </w:r>
          </w:p>
          <w:p w:rsidR="00663158" w:rsidRPr="00140A86" w:rsidRDefault="00663158" w:rsidP="005F1ED8">
            <w:pPr>
              <w:rPr>
                <w:sz w:val="20"/>
                <w:szCs w:val="20"/>
                <w:lang w:val="fr-CA"/>
              </w:rPr>
            </w:pPr>
          </w:p>
          <w:p w:rsidR="00663158" w:rsidRPr="00140A86" w:rsidRDefault="00663158" w:rsidP="005F1ED8">
            <w:pPr>
              <w:rPr>
                <w:sz w:val="20"/>
                <w:szCs w:val="20"/>
                <w:lang w:val="fr-CA"/>
              </w:rPr>
            </w:pPr>
            <w:r w:rsidRPr="00140A86">
              <w:rPr>
                <w:sz w:val="20"/>
                <w:szCs w:val="20"/>
                <w:lang w:val="fr-CA"/>
              </w:rPr>
              <w:tab/>
              <w:t>v. (37877)</w:t>
            </w:r>
          </w:p>
          <w:p w:rsidR="00663158" w:rsidRPr="00140A86" w:rsidRDefault="00663158" w:rsidP="005F1ED8">
            <w:pPr>
              <w:rPr>
                <w:sz w:val="20"/>
                <w:szCs w:val="20"/>
                <w:lang w:val="fr-CA"/>
              </w:rPr>
            </w:pPr>
          </w:p>
          <w:p w:rsidR="00663158" w:rsidRDefault="00663158" w:rsidP="005F1ED8">
            <w:pPr>
              <w:rPr>
                <w:b/>
                <w:sz w:val="20"/>
                <w:szCs w:val="20"/>
                <w:lang w:val="fr-CA"/>
              </w:rPr>
            </w:pPr>
            <w:r w:rsidRPr="00663158">
              <w:rPr>
                <w:b/>
                <w:sz w:val="20"/>
                <w:szCs w:val="20"/>
                <w:lang w:val="fr-CA"/>
              </w:rPr>
              <w:t xml:space="preserve">Autorité des </w:t>
            </w:r>
            <w:r w:rsidR="00F25B55" w:rsidRPr="00663158">
              <w:rPr>
                <w:b/>
                <w:sz w:val="20"/>
                <w:szCs w:val="20"/>
                <w:lang w:val="fr-CA"/>
              </w:rPr>
              <w:t>marchés</w:t>
            </w:r>
            <w:r w:rsidRPr="00663158">
              <w:rPr>
                <w:b/>
                <w:sz w:val="20"/>
                <w:szCs w:val="20"/>
                <w:lang w:val="fr-CA"/>
              </w:rPr>
              <w:t xml:space="preserve"> financiers (Que.)</w:t>
            </w:r>
          </w:p>
          <w:p w:rsidR="00F25B55" w:rsidRPr="00140A86" w:rsidRDefault="00F25B55" w:rsidP="005F1ED8">
            <w:pPr>
              <w:rPr>
                <w:sz w:val="20"/>
                <w:szCs w:val="20"/>
                <w:lang w:val="en-US"/>
              </w:rPr>
            </w:pPr>
            <w:r>
              <w:rPr>
                <w:b/>
                <w:sz w:val="20"/>
                <w:szCs w:val="20"/>
                <w:lang w:val="fr-CA"/>
              </w:rPr>
              <w:tab/>
            </w:r>
            <w:r w:rsidRPr="00140A86">
              <w:rPr>
                <w:sz w:val="20"/>
                <w:szCs w:val="20"/>
                <w:lang w:val="en-US"/>
              </w:rPr>
              <w:t>Dominic Naud</w:t>
            </w:r>
          </w:p>
          <w:p w:rsidR="00F25B55" w:rsidRPr="00140A86" w:rsidRDefault="00F25B55" w:rsidP="005F1ED8">
            <w:pPr>
              <w:rPr>
                <w:sz w:val="20"/>
                <w:szCs w:val="20"/>
                <w:lang w:val="en-US"/>
              </w:rPr>
            </w:pPr>
            <w:r w:rsidRPr="00140A86">
              <w:rPr>
                <w:sz w:val="20"/>
                <w:szCs w:val="20"/>
                <w:lang w:val="en-US"/>
              </w:rPr>
              <w:tab/>
              <w:t>Clyde &amp; Company Canada LLP</w:t>
            </w:r>
          </w:p>
          <w:p w:rsidR="00F25B55" w:rsidRPr="00140A86" w:rsidRDefault="00F25B55" w:rsidP="005F1ED8">
            <w:pPr>
              <w:rPr>
                <w:sz w:val="20"/>
                <w:szCs w:val="20"/>
                <w:lang w:val="en-US"/>
              </w:rPr>
            </w:pPr>
          </w:p>
          <w:p w:rsidR="00F25B55" w:rsidRDefault="00F25B55" w:rsidP="005F1ED8">
            <w:pPr>
              <w:rPr>
                <w:sz w:val="20"/>
                <w:szCs w:val="20"/>
                <w:lang w:val="fr-CA"/>
              </w:rPr>
            </w:pPr>
            <w:r>
              <w:rPr>
                <w:sz w:val="20"/>
                <w:szCs w:val="20"/>
                <w:lang w:val="fr-CA"/>
              </w:rPr>
              <w:t>FILING DATE : 08.12.2017</w:t>
            </w:r>
          </w:p>
          <w:p w:rsidR="00F25B55" w:rsidRDefault="008D266B" w:rsidP="005F1ED8">
            <w:pPr>
              <w:rPr>
                <w:sz w:val="20"/>
                <w:szCs w:val="20"/>
                <w:lang w:val="fr-CA"/>
              </w:rPr>
            </w:pPr>
            <w:r>
              <w:rPr>
                <w:sz w:val="20"/>
                <w:szCs w:val="20"/>
                <w:lang w:val="fr-CA"/>
              </w:rPr>
              <w:pict>
                <v:rect id="_x0000_i1033" style="width:108pt;height:1pt" o:hrpct="0" o:hralign="center" o:hrstd="t" o:hrnoshade="t" o:hr="t" fillcolor="black [3213]" stroked="f"/>
              </w:pict>
            </w:r>
          </w:p>
          <w:p w:rsidR="00F25B55" w:rsidRPr="00F25B55" w:rsidRDefault="00F25B55" w:rsidP="005F1ED8">
            <w:pPr>
              <w:rPr>
                <w:sz w:val="20"/>
                <w:szCs w:val="20"/>
                <w:lang w:val="fr-CA"/>
              </w:rPr>
            </w:pPr>
          </w:p>
        </w:tc>
        <w:tc>
          <w:tcPr>
            <w:tcW w:w="1181" w:type="dxa"/>
            <w:shd w:val="clear" w:color="auto" w:fill="auto"/>
          </w:tcPr>
          <w:p w:rsidR="003C3097" w:rsidRPr="00663158" w:rsidRDefault="003C3097" w:rsidP="00242AEE">
            <w:pPr>
              <w:jc w:val="center"/>
              <w:rPr>
                <w:sz w:val="20"/>
                <w:szCs w:val="20"/>
                <w:lang w:val="fr-CA"/>
              </w:rPr>
            </w:pPr>
          </w:p>
        </w:tc>
        <w:tc>
          <w:tcPr>
            <w:tcW w:w="4320" w:type="dxa"/>
            <w:shd w:val="clear" w:color="auto" w:fill="auto"/>
          </w:tcPr>
          <w:p w:rsidR="003C3097" w:rsidRDefault="00091F63" w:rsidP="005F1ED8">
            <w:pPr>
              <w:rPr>
                <w:b/>
                <w:sz w:val="20"/>
                <w:szCs w:val="20"/>
                <w:lang w:val="fr-CA"/>
              </w:rPr>
            </w:pPr>
            <w:r>
              <w:rPr>
                <w:b/>
                <w:sz w:val="20"/>
                <w:szCs w:val="20"/>
                <w:lang w:val="fr-CA"/>
              </w:rPr>
              <w:t xml:space="preserve">Ministre de la </w:t>
            </w:r>
            <w:r w:rsidR="00917078">
              <w:rPr>
                <w:b/>
                <w:sz w:val="20"/>
                <w:szCs w:val="20"/>
                <w:lang w:val="fr-CA"/>
              </w:rPr>
              <w:t>J</w:t>
            </w:r>
            <w:r>
              <w:rPr>
                <w:b/>
                <w:sz w:val="20"/>
                <w:szCs w:val="20"/>
                <w:lang w:val="fr-CA"/>
              </w:rPr>
              <w:t>ustice du Canada</w:t>
            </w:r>
          </w:p>
          <w:p w:rsidR="00091F63" w:rsidRDefault="00091F63" w:rsidP="005F1ED8">
            <w:pPr>
              <w:rPr>
                <w:sz w:val="20"/>
                <w:szCs w:val="20"/>
                <w:lang w:val="fr-CA"/>
              </w:rPr>
            </w:pPr>
            <w:r>
              <w:rPr>
                <w:b/>
                <w:sz w:val="20"/>
                <w:szCs w:val="20"/>
                <w:lang w:val="fr-CA"/>
              </w:rPr>
              <w:tab/>
            </w:r>
            <w:r>
              <w:rPr>
                <w:sz w:val="20"/>
                <w:szCs w:val="20"/>
                <w:lang w:val="fr-CA"/>
              </w:rPr>
              <w:t>Constantina Antonopoulos</w:t>
            </w:r>
          </w:p>
          <w:p w:rsidR="00091F63" w:rsidRDefault="00091F63" w:rsidP="005F1ED8">
            <w:pPr>
              <w:rPr>
                <w:sz w:val="20"/>
                <w:szCs w:val="20"/>
                <w:lang w:val="fr-CA"/>
              </w:rPr>
            </w:pPr>
            <w:r>
              <w:rPr>
                <w:sz w:val="20"/>
                <w:szCs w:val="20"/>
                <w:lang w:val="fr-CA"/>
              </w:rPr>
              <w:tab/>
              <w:t xml:space="preserve">Ministère de la </w:t>
            </w:r>
            <w:r w:rsidR="00917078">
              <w:rPr>
                <w:sz w:val="20"/>
                <w:szCs w:val="20"/>
                <w:lang w:val="fr-CA"/>
              </w:rPr>
              <w:t>J</w:t>
            </w:r>
            <w:r>
              <w:rPr>
                <w:sz w:val="20"/>
                <w:szCs w:val="20"/>
                <w:lang w:val="fr-CA"/>
              </w:rPr>
              <w:t>ustice du Canada</w:t>
            </w:r>
          </w:p>
          <w:p w:rsidR="00091F63" w:rsidRDefault="00091F63" w:rsidP="005F1ED8">
            <w:pPr>
              <w:rPr>
                <w:sz w:val="20"/>
                <w:szCs w:val="20"/>
                <w:lang w:val="fr-CA"/>
              </w:rPr>
            </w:pPr>
          </w:p>
          <w:p w:rsidR="00091F63" w:rsidRDefault="00091F63" w:rsidP="005F1ED8">
            <w:pPr>
              <w:rPr>
                <w:sz w:val="20"/>
                <w:szCs w:val="20"/>
                <w:lang w:val="fr-CA"/>
              </w:rPr>
            </w:pPr>
            <w:r>
              <w:rPr>
                <w:sz w:val="20"/>
                <w:szCs w:val="20"/>
                <w:lang w:val="fr-CA"/>
              </w:rPr>
              <w:tab/>
              <w:t>c. (37879)</w:t>
            </w:r>
          </w:p>
          <w:p w:rsidR="00091F63" w:rsidRDefault="00091F63" w:rsidP="005F1ED8">
            <w:pPr>
              <w:rPr>
                <w:sz w:val="20"/>
                <w:szCs w:val="20"/>
                <w:lang w:val="fr-CA"/>
              </w:rPr>
            </w:pPr>
          </w:p>
          <w:p w:rsidR="00091F63" w:rsidRDefault="00091F63" w:rsidP="005F1ED8">
            <w:pPr>
              <w:rPr>
                <w:b/>
                <w:sz w:val="20"/>
                <w:szCs w:val="20"/>
                <w:lang w:val="fr-CA"/>
              </w:rPr>
            </w:pPr>
            <w:r>
              <w:rPr>
                <w:b/>
                <w:sz w:val="20"/>
                <w:szCs w:val="20"/>
                <w:lang w:val="fr-CA"/>
              </w:rPr>
              <w:t>Fernelly Ruiz-Gomez (Qc)</w:t>
            </w:r>
          </w:p>
          <w:p w:rsidR="00091F63" w:rsidRDefault="00091F63" w:rsidP="005F1ED8">
            <w:pPr>
              <w:rPr>
                <w:sz w:val="20"/>
                <w:szCs w:val="20"/>
                <w:lang w:val="fr-CA"/>
              </w:rPr>
            </w:pPr>
            <w:r>
              <w:rPr>
                <w:sz w:val="20"/>
                <w:szCs w:val="20"/>
                <w:lang w:val="fr-CA"/>
              </w:rPr>
              <w:tab/>
              <w:t>Chantal Ianniciello</w:t>
            </w:r>
          </w:p>
          <w:p w:rsidR="00091F63" w:rsidRDefault="00091F63" w:rsidP="005F1ED8">
            <w:pPr>
              <w:rPr>
                <w:sz w:val="20"/>
                <w:szCs w:val="20"/>
                <w:lang w:val="fr-CA"/>
              </w:rPr>
            </w:pPr>
            <w:r>
              <w:rPr>
                <w:sz w:val="20"/>
                <w:szCs w:val="20"/>
                <w:lang w:val="fr-CA"/>
              </w:rPr>
              <w:tab/>
              <w:t>Chantal Ianniciello</w:t>
            </w:r>
          </w:p>
          <w:p w:rsidR="00091F63" w:rsidRDefault="00091F63" w:rsidP="005F1ED8">
            <w:pPr>
              <w:rPr>
                <w:sz w:val="20"/>
                <w:szCs w:val="20"/>
                <w:lang w:val="fr-CA"/>
              </w:rPr>
            </w:pPr>
          </w:p>
          <w:p w:rsidR="00091F63" w:rsidRDefault="00091F63" w:rsidP="005F1ED8">
            <w:pPr>
              <w:rPr>
                <w:sz w:val="20"/>
                <w:szCs w:val="20"/>
                <w:lang w:val="fr-CA"/>
              </w:rPr>
            </w:pPr>
            <w:r>
              <w:rPr>
                <w:sz w:val="20"/>
                <w:szCs w:val="20"/>
                <w:lang w:val="fr-CA"/>
              </w:rPr>
              <w:t>DATE DE PRODUCTION : 11.12.2017</w:t>
            </w:r>
          </w:p>
          <w:p w:rsidR="00091F63" w:rsidRPr="00091F63" w:rsidRDefault="008D266B" w:rsidP="005F1ED8">
            <w:pPr>
              <w:rPr>
                <w:sz w:val="20"/>
                <w:szCs w:val="20"/>
                <w:lang w:val="fr-CA"/>
              </w:rPr>
            </w:pPr>
            <w:r>
              <w:rPr>
                <w:sz w:val="20"/>
                <w:szCs w:val="20"/>
                <w:lang w:val="fr-CA"/>
              </w:rPr>
              <w:pict>
                <v:rect id="_x0000_i1034" style="width:108pt;height:1pt" o:hrpct="0" o:hralign="center" o:hrstd="t" o:hrnoshade="t" o:hr="t" fillcolor="black [3213]" stroked="f"/>
              </w:pict>
            </w:r>
          </w:p>
        </w:tc>
      </w:tr>
      <w:tr w:rsidR="00091F63" w:rsidRPr="00C72588" w:rsidTr="003B3977">
        <w:tc>
          <w:tcPr>
            <w:tcW w:w="4320" w:type="dxa"/>
            <w:shd w:val="clear" w:color="auto" w:fill="auto"/>
          </w:tcPr>
          <w:p w:rsidR="00091F63" w:rsidRDefault="00C72588" w:rsidP="005F1ED8">
            <w:pPr>
              <w:rPr>
                <w:b/>
                <w:sz w:val="20"/>
                <w:szCs w:val="20"/>
                <w:lang w:val="en-US"/>
              </w:rPr>
            </w:pPr>
            <w:r>
              <w:rPr>
                <w:b/>
                <w:sz w:val="20"/>
                <w:szCs w:val="20"/>
                <w:lang w:val="en-US"/>
              </w:rPr>
              <w:t>Matthew Riddell</w:t>
            </w:r>
          </w:p>
          <w:p w:rsidR="00C72588" w:rsidRDefault="00C72588" w:rsidP="005F1ED8">
            <w:pPr>
              <w:rPr>
                <w:sz w:val="20"/>
                <w:szCs w:val="20"/>
                <w:lang w:val="en-US"/>
              </w:rPr>
            </w:pPr>
            <w:r>
              <w:rPr>
                <w:b/>
                <w:sz w:val="20"/>
                <w:szCs w:val="20"/>
                <w:lang w:val="en-US"/>
              </w:rPr>
              <w:tab/>
            </w:r>
            <w:r>
              <w:rPr>
                <w:sz w:val="20"/>
                <w:szCs w:val="20"/>
                <w:lang w:val="en-US"/>
              </w:rPr>
              <w:t>Matthew Riddell</w:t>
            </w:r>
          </w:p>
          <w:p w:rsidR="00C72588" w:rsidRDefault="00C72588" w:rsidP="005F1ED8">
            <w:pPr>
              <w:rPr>
                <w:sz w:val="20"/>
                <w:szCs w:val="20"/>
                <w:lang w:val="en-US"/>
              </w:rPr>
            </w:pPr>
          </w:p>
          <w:p w:rsidR="00C72588" w:rsidRDefault="00C72588" w:rsidP="005F1ED8">
            <w:pPr>
              <w:rPr>
                <w:sz w:val="20"/>
                <w:szCs w:val="20"/>
                <w:lang w:val="en-US"/>
              </w:rPr>
            </w:pPr>
            <w:r>
              <w:rPr>
                <w:sz w:val="20"/>
                <w:szCs w:val="20"/>
                <w:lang w:val="en-US"/>
              </w:rPr>
              <w:tab/>
              <w:t>v. (37858)</w:t>
            </w:r>
          </w:p>
          <w:p w:rsidR="00C72588" w:rsidRDefault="00C72588" w:rsidP="005F1ED8">
            <w:pPr>
              <w:rPr>
                <w:sz w:val="20"/>
                <w:szCs w:val="20"/>
                <w:lang w:val="en-US"/>
              </w:rPr>
            </w:pPr>
          </w:p>
          <w:p w:rsidR="00C72588" w:rsidRPr="00140A86" w:rsidRDefault="00C72588" w:rsidP="005F1ED8">
            <w:pPr>
              <w:rPr>
                <w:b/>
                <w:sz w:val="20"/>
                <w:szCs w:val="20"/>
                <w:lang w:val="fr-CA"/>
              </w:rPr>
            </w:pPr>
            <w:r w:rsidRPr="00140A86">
              <w:rPr>
                <w:b/>
                <w:sz w:val="20"/>
                <w:szCs w:val="20"/>
                <w:lang w:val="fr-CA"/>
              </w:rPr>
              <w:t>Apple Canada Inc. (Ont.)</w:t>
            </w:r>
          </w:p>
          <w:p w:rsidR="00C72588" w:rsidRPr="00140A86" w:rsidRDefault="00C72588" w:rsidP="005F1ED8">
            <w:pPr>
              <w:rPr>
                <w:sz w:val="20"/>
                <w:szCs w:val="20"/>
                <w:lang w:val="fr-CA"/>
              </w:rPr>
            </w:pPr>
            <w:r w:rsidRPr="00140A86">
              <w:rPr>
                <w:sz w:val="20"/>
                <w:szCs w:val="20"/>
                <w:lang w:val="fr-CA"/>
              </w:rPr>
              <w:tab/>
              <w:t xml:space="preserve">Monique Jilesen </w:t>
            </w:r>
          </w:p>
          <w:p w:rsidR="00C72588" w:rsidRDefault="00C72588" w:rsidP="005F1ED8">
            <w:pPr>
              <w:rPr>
                <w:sz w:val="20"/>
                <w:szCs w:val="20"/>
                <w:lang w:val="en-US"/>
              </w:rPr>
            </w:pPr>
            <w:r w:rsidRPr="00140A86">
              <w:rPr>
                <w:sz w:val="20"/>
                <w:szCs w:val="20"/>
                <w:lang w:val="fr-CA"/>
              </w:rPr>
              <w:tab/>
            </w:r>
            <w:r>
              <w:rPr>
                <w:sz w:val="20"/>
                <w:szCs w:val="20"/>
                <w:lang w:val="en-US"/>
              </w:rPr>
              <w:t xml:space="preserve">Lenczner Slaght Royce Smith Griffin </w:t>
            </w:r>
            <w:r>
              <w:rPr>
                <w:sz w:val="20"/>
                <w:szCs w:val="20"/>
                <w:lang w:val="en-US"/>
              </w:rPr>
              <w:tab/>
              <w:t>LLP</w:t>
            </w:r>
          </w:p>
          <w:p w:rsidR="00C72588" w:rsidRDefault="00C72588" w:rsidP="005F1ED8">
            <w:pPr>
              <w:rPr>
                <w:sz w:val="20"/>
                <w:szCs w:val="20"/>
                <w:lang w:val="en-US"/>
              </w:rPr>
            </w:pPr>
          </w:p>
          <w:p w:rsidR="00C72588" w:rsidRDefault="00C72588" w:rsidP="005F1ED8">
            <w:pPr>
              <w:rPr>
                <w:sz w:val="20"/>
                <w:szCs w:val="20"/>
                <w:lang w:val="en-US"/>
              </w:rPr>
            </w:pPr>
            <w:r>
              <w:rPr>
                <w:sz w:val="20"/>
                <w:szCs w:val="20"/>
                <w:lang w:val="en-US"/>
              </w:rPr>
              <w:t>FILING DATE: 12.10.2017</w:t>
            </w:r>
          </w:p>
          <w:p w:rsidR="00C72588" w:rsidRDefault="008D266B" w:rsidP="005F1ED8">
            <w:pPr>
              <w:rPr>
                <w:sz w:val="20"/>
                <w:szCs w:val="20"/>
                <w:lang w:val="fr-CA"/>
              </w:rPr>
            </w:pPr>
            <w:r>
              <w:rPr>
                <w:sz w:val="20"/>
                <w:szCs w:val="20"/>
                <w:lang w:val="fr-CA"/>
              </w:rPr>
              <w:pict>
                <v:rect id="_x0000_i1035" style="width:108pt;height:1pt" o:hrpct="0" o:hralign="center" o:hrstd="t" o:hrnoshade="t" o:hr="t" fillcolor="black [3213]" stroked="f"/>
              </w:pict>
            </w:r>
          </w:p>
          <w:p w:rsidR="00C72588" w:rsidRPr="00C72588" w:rsidRDefault="00C72588" w:rsidP="005F1ED8">
            <w:pPr>
              <w:rPr>
                <w:sz w:val="20"/>
                <w:szCs w:val="20"/>
                <w:lang w:val="en-US"/>
              </w:rPr>
            </w:pPr>
          </w:p>
        </w:tc>
        <w:tc>
          <w:tcPr>
            <w:tcW w:w="1181" w:type="dxa"/>
            <w:shd w:val="clear" w:color="auto" w:fill="auto"/>
          </w:tcPr>
          <w:p w:rsidR="00091F63" w:rsidRPr="00C72588" w:rsidRDefault="00091F63" w:rsidP="00242AEE">
            <w:pPr>
              <w:jc w:val="center"/>
              <w:rPr>
                <w:sz w:val="20"/>
                <w:szCs w:val="20"/>
                <w:lang w:val="en-US"/>
              </w:rPr>
            </w:pPr>
          </w:p>
        </w:tc>
        <w:tc>
          <w:tcPr>
            <w:tcW w:w="4320" w:type="dxa"/>
            <w:shd w:val="clear" w:color="auto" w:fill="auto"/>
          </w:tcPr>
          <w:p w:rsidR="00091F63" w:rsidRDefault="00D823AE" w:rsidP="005F1ED8">
            <w:pPr>
              <w:rPr>
                <w:b/>
                <w:sz w:val="20"/>
                <w:szCs w:val="20"/>
                <w:lang w:val="en-US"/>
              </w:rPr>
            </w:pPr>
            <w:r>
              <w:rPr>
                <w:b/>
                <w:sz w:val="20"/>
                <w:szCs w:val="20"/>
                <w:lang w:val="en-US"/>
              </w:rPr>
              <w:t>Brenda Berge</w:t>
            </w:r>
          </w:p>
          <w:p w:rsidR="00D823AE" w:rsidRDefault="00D823AE" w:rsidP="005F1ED8">
            <w:pPr>
              <w:rPr>
                <w:sz w:val="20"/>
                <w:szCs w:val="20"/>
                <w:lang w:val="en-US"/>
              </w:rPr>
            </w:pPr>
            <w:r>
              <w:rPr>
                <w:b/>
                <w:sz w:val="20"/>
                <w:szCs w:val="20"/>
                <w:lang w:val="en-US"/>
              </w:rPr>
              <w:tab/>
            </w:r>
            <w:r>
              <w:rPr>
                <w:sz w:val="20"/>
                <w:szCs w:val="20"/>
                <w:lang w:val="en-US"/>
              </w:rPr>
              <w:t>Morris Manning, Q.C.</w:t>
            </w:r>
          </w:p>
          <w:p w:rsidR="00D823AE" w:rsidRDefault="00D823AE" w:rsidP="005F1ED8">
            <w:pPr>
              <w:rPr>
                <w:sz w:val="20"/>
                <w:szCs w:val="20"/>
                <w:lang w:val="en-US"/>
              </w:rPr>
            </w:pPr>
            <w:r>
              <w:rPr>
                <w:sz w:val="20"/>
                <w:szCs w:val="20"/>
                <w:lang w:val="en-US"/>
              </w:rPr>
              <w:tab/>
              <w:t xml:space="preserve">Manning, Morris, Professional </w:t>
            </w:r>
            <w:r>
              <w:rPr>
                <w:sz w:val="20"/>
                <w:szCs w:val="20"/>
                <w:lang w:val="en-US"/>
              </w:rPr>
              <w:tab/>
              <w:t>Corporation</w:t>
            </w:r>
          </w:p>
          <w:p w:rsidR="00D823AE" w:rsidRDefault="00D823AE" w:rsidP="005F1ED8">
            <w:pPr>
              <w:rPr>
                <w:sz w:val="20"/>
                <w:szCs w:val="20"/>
                <w:lang w:val="en-US"/>
              </w:rPr>
            </w:pPr>
          </w:p>
          <w:p w:rsidR="00D823AE" w:rsidRDefault="00D823AE" w:rsidP="005F1ED8">
            <w:pPr>
              <w:rPr>
                <w:sz w:val="20"/>
                <w:szCs w:val="20"/>
                <w:lang w:val="en-US"/>
              </w:rPr>
            </w:pPr>
            <w:r>
              <w:rPr>
                <w:sz w:val="20"/>
                <w:szCs w:val="20"/>
                <w:lang w:val="en-US"/>
              </w:rPr>
              <w:tab/>
              <w:t>v. (37851)</w:t>
            </w:r>
          </w:p>
          <w:p w:rsidR="00D823AE" w:rsidRDefault="00D823AE" w:rsidP="005F1ED8">
            <w:pPr>
              <w:rPr>
                <w:sz w:val="20"/>
                <w:szCs w:val="20"/>
                <w:lang w:val="en-US"/>
              </w:rPr>
            </w:pPr>
          </w:p>
          <w:p w:rsidR="00D823AE" w:rsidRDefault="008F38BE" w:rsidP="005F1ED8">
            <w:pPr>
              <w:rPr>
                <w:b/>
                <w:sz w:val="20"/>
                <w:szCs w:val="20"/>
                <w:lang w:val="en-US"/>
              </w:rPr>
            </w:pPr>
            <w:r>
              <w:rPr>
                <w:b/>
                <w:sz w:val="20"/>
                <w:szCs w:val="20"/>
                <w:lang w:val="en-US"/>
              </w:rPr>
              <w:t>College of Audiologists and Speech-Language Pathologists of Ontario et al. (Ont.)</w:t>
            </w:r>
          </w:p>
          <w:p w:rsidR="008F38BE" w:rsidRPr="008F38BE" w:rsidRDefault="008F38BE" w:rsidP="005F1ED8">
            <w:pPr>
              <w:rPr>
                <w:sz w:val="20"/>
                <w:szCs w:val="20"/>
                <w:lang w:val="fr-CA"/>
              </w:rPr>
            </w:pPr>
            <w:r>
              <w:rPr>
                <w:sz w:val="20"/>
                <w:szCs w:val="20"/>
                <w:lang w:val="en-US"/>
              </w:rPr>
              <w:tab/>
            </w:r>
            <w:r w:rsidRPr="008F38BE">
              <w:rPr>
                <w:sz w:val="20"/>
                <w:szCs w:val="20"/>
                <w:lang w:val="fr-CA"/>
              </w:rPr>
              <w:t>Bernard C. LeBlanc</w:t>
            </w:r>
          </w:p>
          <w:p w:rsidR="008F38BE" w:rsidRPr="008F38BE" w:rsidRDefault="008F38BE" w:rsidP="005F1ED8">
            <w:pPr>
              <w:rPr>
                <w:sz w:val="20"/>
                <w:szCs w:val="20"/>
                <w:lang w:val="fr-CA"/>
              </w:rPr>
            </w:pPr>
            <w:r w:rsidRPr="008F38BE">
              <w:rPr>
                <w:sz w:val="20"/>
                <w:szCs w:val="20"/>
                <w:lang w:val="fr-CA"/>
              </w:rPr>
              <w:tab/>
              <w:t>Steinecke Maciura LeBlanc</w:t>
            </w:r>
          </w:p>
          <w:p w:rsidR="008F38BE" w:rsidRPr="008F38BE" w:rsidRDefault="008F38BE" w:rsidP="005F1ED8">
            <w:pPr>
              <w:rPr>
                <w:sz w:val="20"/>
                <w:szCs w:val="20"/>
                <w:lang w:val="fr-CA"/>
              </w:rPr>
            </w:pPr>
          </w:p>
          <w:p w:rsidR="008F38BE" w:rsidRDefault="008F38BE" w:rsidP="005F1ED8">
            <w:pPr>
              <w:rPr>
                <w:sz w:val="20"/>
                <w:szCs w:val="20"/>
                <w:lang w:val="en-US"/>
              </w:rPr>
            </w:pPr>
            <w:r>
              <w:rPr>
                <w:sz w:val="20"/>
                <w:szCs w:val="20"/>
                <w:lang w:val="en-US"/>
              </w:rPr>
              <w:t>FILING DATE: 17.11.2017</w:t>
            </w:r>
          </w:p>
          <w:p w:rsidR="008F38BE" w:rsidRPr="008F38BE" w:rsidRDefault="008D266B" w:rsidP="005F1ED8">
            <w:pPr>
              <w:rPr>
                <w:sz w:val="20"/>
                <w:szCs w:val="20"/>
                <w:lang w:val="en-US"/>
              </w:rPr>
            </w:pPr>
            <w:r>
              <w:rPr>
                <w:sz w:val="20"/>
                <w:szCs w:val="20"/>
                <w:lang w:val="fr-CA"/>
              </w:rPr>
              <w:pict>
                <v:rect id="_x0000_i1036" style="width:108pt;height:1pt" o:hrpct="0" o:hralign="center" o:hrstd="t" o:hrnoshade="t" o:hr="t" fillcolor="black [3213]" stroked="f"/>
              </w:pict>
            </w:r>
          </w:p>
        </w:tc>
      </w:tr>
    </w:tbl>
    <w:p w:rsidR="00242AEE" w:rsidRPr="00C72588" w:rsidRDefault="00242AEE" w:rsidP="0095096B">
      <w:pPr>
        <w:tabs>
          <w:tab w:val="right" w:pos="9360"/>
        </w:tabs>
        <w:rPr>
          <w:sz w:val="20"/>
          <w:szCs w:val="20"/>
          <w:lang w:val="en-US"/>
        </w:rPr>
      </w:pPr>
    </w:p>
    <w:p w:rsidR="00C01FCB" w:rsidRPr="00C72588" w:rsidRDefault="00C01FCB" w:rsidP="0095096B">
      <w:pPr>
        <w:tabs>
          <w:tab w:val="right" w:pos="9360"/>
        </w:tabs>
        <w:rPr>
          <w:sz w:val="20"/>
          <w:szCs w:val="20"/>
          <w:lang w:val="en-US"/>
        </w:rPr>
      </w:pPr>
    </w:p>
    <w:p w:rsidR="00C01FCB" w:rsidRPr="00C72588" w:rsidRDefault="00C01FCB" w:rsidP="0095096B">
      <w:pPr>
        <w:tabs>
          <w:tab w:val="right" w:pos="9360"/>
        </w:tabs>
        <w:rPr>
          <w:sz w:val="20"/>
          <w:szCs w:val="20"/>
          <w:lang w:val="en-US"/>
        </w:rPr>
      </w:pPr>
    </w:p>
    <w:p w:rsidR="00242AEE" w:rsidRPr="00C72588" w:rsidRDefault="00242AEE" w:rsidP="0095096B">
      <w:pPr>
        <w:tabs>
          <w:tab w:val="right" w:pos="9360"/>
        </w:tabs>
        <w:rPr>
          <w:sz w:val="20"/>
          <w:szCs w:val="20"/>
          <w:lang w:val="en-US"/>
        </w:rPr>
        <w:sectPr w:rsidR="00242AEE" w:rsidRPr="00C72588" w:rsidSect="00635179">
          <w:headerReference w:type="default" r:id="rId10"/>
          <w:footerReference w:type="default" r:id="rId11"/>
          <w:headerReference w:type="first" r:id="rId12"/>
          <w:footerReference w:type="first" r:id="rId13"/>
          <w:pgSz w:w="12240" w:h="15840"/>
          <w:pgMar w:top="720" w:right="965" w:bottom="1080" w:left="1656" w:header="706" w:footer="706" w:gutter="0"/>
          <w:pgNumType w:start="1787"/>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E2327" w:rsidRPr="0096343C" w:rsidTr="00BA6468">
        <w:trPr>
          <w:trHeight w:val="900"/>
        </w:trPr>
        <w:tc>
          <w:tcPr>
            <w:tcW w:w="4200" w:type="dxa"/>
            <w:tcMar>
              <w:left w:w="0" w:type="dxa"/>
              <w:right w:w="0" w:type="dxa"/>
            </w:tcMar>
          </w:tcPr>
          <w:p w:rsidR="002E2327" w:rsidRPr="00C72588" w:rsidRDefault="002E2327" w:rsidP="002E2327">
            <w:pPr>
              <w:keepNext/>
              <w:keepLines/>
              <w:widowControl w:val="0"/>
              <w:rPr>
                <w:b/>
                <w:szCs w:val="24"/>
                <w:lang w:val="en-US"/>
              </w:rPr>
            </w:pPr>
            <w:r w:rsidRPr="00C72588">
              <w:rPr>
                <w:b/>
                <w:szCs w:val="24"/>
                <w:lang w:val="en-US"/>
              </w:rPr>
              <w:lastRenderedPageBreak/>
              <w:t>APPLICATIONS FOR LEAVE SUBMITTED TO COURT SINCE LAST ISSUE</w:t>
            </w:r>
          </w:p>
        </w:tc>
        <w:tc>
          <w:tcPr>
            <w:tcW w:w="1200" w:type="dxa"/>
            <w:tcMar>
              <w:left w:w="0" w:type="dxa"/>
              <w:right w:w="0" w:type="dxa"/>
            </w:tcMar>
          </w:tcPr>
          <w:p w:rsidR="002E2327" w:rsidRPr="00C72588" w:rsidRDefault="002E2327" w:rsidP="002E2327">
            <w:pPr>
              <w:keepNext/>
              <w:keepLines/>
              <w:widowControl w:val="0"/>
              <w:jc w:val="center"/>
              <w:rPr>
                <w:b/>
                <w:szCs w:val="24"/>
                <w:lang w:val="en-US"/>
              </w:rPr>
            </w:pPr>
          </w:p>
          <w:p w:rsidR="001D0D5F" w:rsidRPr="00C72588" w:rsidRDefault="001D0D5F" w:rsidP="002E2327">
            <w:pPr>
              <w:keepNext/>
              <w:keepLines/>
              <w:widowControl w:val="0"/>
              <w:jc w:val="center"/>
              <w:rPr>
                <w:b/>
                <w:szCs w:val="24"/>
                <w:lang w:val="en-US"/>
              </w:rPr>
            </w:pPr>
          </w:p>
          <w:p w:rsidR="001D0D5F" w:rsidRPr="00C72588" w:rsidRDefault="001D0D5F" w:rsidP="002E2327">
            <w:pPr>
              <w:keepNext/>
              <w:keepLines/>
              <w:widowControl w:val="0"/>
              <w:jc w:val="center"/>
              <w:rPr>
                <w:b/>
                <w:szCs w:val="24"/>
                <w:lang w:val="en-US"/>
              </w:rPr>
            </w:pPr>
          </w:p>
          <w:p w:rsidR="001D0D5F" w:rsidRPr="00C72588" w:rsidRDefault="001D0D5F" w:rsidP="002E2327">
            <w:pPr>
              <w:keepNext/>
              <w:keepLines/>
              <w:widowControl w:val="0"/>
              <w:jc w:val="center"/>
              <w:rPr>
                <w:b/>
                <w:szCs w:val="24"/>
                <w:lang w:val="en-US"/>
              </w:rPr>
            </w:pPr>
          </w:p>
        </w:tc>
        <w:tc>
          <w:tcPr>
            <w:tcW w:w="4080" w:type="dxa"/>
            <w:tcMar>
              <w:left w:w="0" w:type="dxa"/>
              <w:right w:w="0" w:type="dxa"/>
            </w:tcMar>
          </w:tcPr>
          <w:p w:rsidR="002E2327" w:rsidRPr="00917078" w:rsidRDefault="002E2327" w:rsidP="002E2327">
            <w:pPr>
              <w:keepLines/>
              <w:widowControl w:val="0"/>
              <w:rPr>
                <w:szCs w:val="24"/>
                <w:lang w:val="fr-CA"/>
              </w:rPr>
            </w:pPr>
            <w:r w:rsidRPr="00917078">
              <w:rPr>
                <w:b/>
                <w:szCs w:val="24"/>
                <w:lang w:val="fr-CA"/>
              </w:rPr>
              <w:t>DEMANDES SOUMISES À LA COUR DEPUIS LA DERNIÈRE PARUTION</w:t>
            </w:r>
          </w:p>
          <w:p w:rsidR="002E2327" w:rsidRPr="00917078"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917078" w:rsidRDefault="002E2327" w:rsidP="002E2327">
      <w:pPr>
        <w:widowControl w:val="0"/>
        <w:rPr>
          <w:b/>
          <w:sz w:val="20"/>
          <w:szCs w:val="20"/>
          <w:lang w:val="fr-CA"/>
        </w:rPr>
      </w:pPr>
    </w:p>
    <w:p w:rsidR="00CB3520" w:rsidRPr="00C50A5C" w:rsidRDefault="00140A86" w:rsidP="00CB3520">
      <w:pPr>
        <w:widowControl w:val="0"/>
        <w:rPr>
          <w:b/>
          <w:sz w:val="20"/>
          <w:szCs w:val="20"/>
        </w:rPr>
      </w:pPr>
      <w:r>
        <w:rPr>
          <w:b/>
          <w:sz w:val="20"/>
          <w:szCs w:val="20"/>
        </w:rPr>
        <w:t>DECEMBER 18</w:t>
      </w:r>
      <w:r w:rsidR="00CB3520" w:rsidRPr="00C50A5C">
        <w:rPr>
          <w:b/>
          <w:sz w:val="20"/>
          <w:szCs w:val="20"/>
        </w:rPr>
        <w:t>, 201</w:t>
      </w:r>
      <w:r w:rsidR="00E8544A">
        <w:rPr>
          <w:b/>
          <w:sz w:val="20"/>
          <w:szCs w:val="20"/>
        </w:rPr>
        <w:t>7</w:t>
      </w:r>
      <w:r w:rsidR="00CB3520" w:rsidRPr="00C50A5C">
        <w:rPr>
          <w:b/>
          <w:sz w:val="20"/>
          <w:szCs w:val="20"/>
        </w:rPr>
        <w:t xml:space="preserve"> / LE </w:t>
      </w:r>
      <w:r>
        <w:rPr>
          <w:b/>
          <w:sz w:val="20"/>
          <w:szCs w:val="20"/>
        </w:rPr>
        <w:t>18 DÉCEMBRE</w:t>
      </w:r>
      <w:r w:rsidR="00CB3520" w:rsidRPr="00C50A5C">
        <w:rPr>
          <w:b/>
          <w:sz w:val="20"/>
          <w:szCs w:val="20"/>
        </w:rPr>
        <w:t xml:space="preserve"> 201</w:t>
      </w:r>
      <w:r w:rsidR="00E8544A">
        <w:rPr>
          <w:b/>
          <w:sz w:val="20"/>
          <w:szCs w:val="20"/>
        </w:rPr>
        <w:t>7</w:t>
      </w:r>
    </w:p>
    <w:p w:rsidR="00CB3520" w:rsidRPr="00C50A5C" w:rsidRDefault="00CB3520" w:rsidP="00CB3520">
      <w:pPr>
        <w:widowControl w:val="0"/>
        <w:rPr>
          <w:b/>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08"/>
        <w:gridCol w:w="810"/>
        <w:gridCol w:w="4050"/>
        <w:gridCol w:w="360"/>
        <w:gridCol w:w="3848"/>
      </w:tblGrid>
      <w:tr w:rsidR="0090195E" w:rsidRPr="0096343C" w:rsidTr="0074616E">
        <w:trPr>
          <w:cantSplit/>
        </w:trPr>
        <w:tc>
          <w:tcPr>
            <w:tcW w:w="508" w:type="dxa"/>
          </w:tcPr>
          <w:p w:rsidR="0090195E" w:rsidRPr="007D32EA" w:rsidRDefault="0090195E" w:rsidP="0074616E">
            <w:pPr>
              <w:rPr>
                <w:sz w:val="20"/>
                <w:szCs w:val="20"/>
                <w:lang w:val="fr-CA"/>
              </w:rPr>
            </w:pPr>
          </w:p>
        </w:tc>
        <w:tc>
          <w:tcPr>
            <w:tcW w:w="810" w:type="dxa"/>
          </w:tcPr>
          <w:p w:rsidR="0090195E" w:rsidRPr="007D32EA" w:rsidRDefault="0090195E" w:rsidP="0074616E">
            <w:pPr>
              <w:rPr>
                <w:sz w:val="20"/>
                <w:szCs w:val="20"/>
                <w:lang w:val="fr-CA"/>
              </w:rPr>
            </w:pPr>
          </w:p>
        </w:tc>
        <w:tc>
          <w:tcPr>
            <w:tcW w:w="8258" w:type="dxa"/>
            <w:gridSpan w:val="3"/>
          </w:tcPr>
          <w:p w:rsidR="0090195E" w:rsidRDefault="0090195E" w:rsidP="0090195E">
            <w:pPr>
              <w:jc w:val="center"/>
              <w:rPr>
                <w:b/>
                <w:bCs/>
                <w:sz w:val="20"/>
                <w:szCs w:val="20"/>
              </w:rPr>
            </w:pPr>
            <w:r>
              <w:rPr>
                <w:b/>
                <w:bCs/>
                <w:sz w:val="20"/>
                <w:szCs w:val="20"/>
              </w:rPr>
              <w:t>CORAM:  Chief Justice Wagner and Rowe and Martin JJ.</w:t>
            </w:r>
          </w:p>
          <w:p w:rsidR="0090195E" w:rsidRDefault="0090195E" w:rsidP="0090195E">
            <w:pPr>
              <w:jc w:val="center"/>
              <w:rPr>
                <w:sz w:val="20"/>
                <w:szCs w:val="20"/>
                <w:lang w:val="fr-CA"/>
              </w:rPr>
            </w:pPr>
            <w:r>
              <w:rPr>
                <w:b/>
                <w:bCs/>
                <w:sz w:val="20"/>
                <w:szCs w:val="20"/>
                <w:lang w:val="fr-CA"/>
              </w:rPr>
              <w:t>Le juge en chef Wagner et les juges Rowe et Martin</w:t>
            </w:r>
          </w:p>
          <w:p w:rsidR="0090195E" w:rsidRPr="0090195E" w:rsidRDefault="0090195E" w:rsidP="0074616E">
            <w:pPr>
              <w:rPr>
                <w:sz w:val="20"/>
                <w:szCs w:val="20"/>
                <w:lang w:val="fr-CA"/>
              </w:rPr>
            </w:pPr>
          </w:p>
        </w:tc>
      </w:tr>
      <w:tr w:rsidR="0090195E" w:rsidRPr="0096343C" w:rsidTr="0074616E">
        <w:trPr>
          <w:cantSplit/>
        </w:trPr>
        <w:tc>
          <w:tcPr>
            <w:tcW w:w="508" w:type="dxa"/>
          </w:tcPr>
          <w:p w:rsidR="0090195E" w:rsidRPr="007D32EA" w:rsidRDefault="0090195E" w:rsidP="0074616E">
            <w:pPr>
              <w:rPr>
                <w:sz w:val="20"/>
                <w:szCs w:val="20"/>
              </w:rPr>
            </w:pPr>
            <w:r w:rsidRPr="007D32EA">
              <w:rPr>
                <w:sz w:val="20"/>
                <w:szCs w:val="20"/>
              </w:rPr>
              <w:t>1.</w:t>
            </w:r>
          </w:p>
        </w:tc>
        <w:tc>
          <w:tcPr>
            <w:tcW w:w="810" w:type="dxa"/>
          </w:tcPr>
          <w:p w:rsidR="0090195E" w:rsidRPr="007D32EA" w:rsidRDefault="0090195E" w:rsidP="0074616E">
            <w:pPr>
              <w:rPr>
                <w:sz w:val="20"/>
                <w:szCs w:val="20"/>
              </w:rPr>
            </w:pPr>
            <w:r w:rsidRPr="007D32EA">
              <w:rPr>
                <w:sz w:val="20"/>
                <w:szCs w:val="20"/>
              </w:rPr>
              <w:t>37723</w:t>
            </w:r>
          </w:p>
        </w:tc>
        <w:tc>
          <w:tcPr>
            <w:tcW w:w="4050" w:type="dxa"/>
          </w:tcPr>
          <w:p w:rsidR="0090195E" w:rsidRPr="007D32EA" w:rsidRDefault="0090195E" w:rsidP="0074616E">
            <w:pPr>
              <w:pStyle w:val="SCCAppellantInfoAppellantInfo"/>
              <w:rPr>
                <w:sz w:val="20"/>
                <w:szCs w:val="20"/>
                <w:lang w:val="fr-CA"/>
              </w:rPr>
            </w:pPr>
            <w:r w:rsidRPr="007D32EA">
              <w:rPr>
                <w:sz w:val="20"/>
                <w:szCs w:val="20"/>
                <w:lang w:val="fr-CA"/>
              </w:rPr>
              <w:t>Claude Trépanier, et al.</w:t>
            </w:r>
          </w:p>
          <w:p w:rsidR="0090195E" w:rsidRPr="007D32EA" w:rsidRDefault="0090195E" w:rsidP="0074616E">
            <w:pPr>
              <w:pStyle w:val="SCCAppellantInfoAppellantInfo"/>
              <w:rPr>
                <w:sz w:val="20"/>
                <w:szCs w:val="20"/>
                <w:lang w:val="fr-CA"/>
              </w:rPr>
            </w:pPr>
            <w:r w:rsidRPr="007D32EA">
              <w:rPr>
                <w:sz w:val="20"/>
                <w:szCs w:val="20"/>
                <w:lang w:val="fr-CA"/>
              </w:rPr>
              <w:t>(Qc) (Civile) (Autorisation)</w:t>
            </w:r>
          </w:p>
        </w:tc>
        <w:tc>
          <w:tcPr>
            <w:tcW w:w="360" w:type="dxa"/>
          </w:tcPr>
          <w:p w:rsidR="0090195E" w:rsidRPr="007D32EA" w:rsidRDefault="0090195E" w:rsidP="0074616E">
            <w:pPr>
              <w:rPr>
                <w:sz w:val="20"/>
                <w:szCs w:val="20"/>
              </w:rPr>
            </w:pPr>
            <w:r w:rsidRPr="007D32EA">
              <w:rPr>
                <w:sz w:val="20"/>
                <w:szCs w:val="20"/>
              </w:rPr>
              <w:t>c.</w:t>
            </w:r>
          </w:p>
        </w:tc>
        <w:tc>
          <w:tcPr>
            <w:tcW w:w="3848" w:type="dxa"/>
          </w:tcPr>
          <w:p w:rsidR="0090195E" w:rsidRPr="007D32EA" w:rsidRDefault="0090195E" w:rsidP="0074616E">
            <w:pPr>
              <w:pStyle w:val="SCCAppellantInfoAppellantInfo"/>
              <w:rPr>
                <w:sz w:val="20"/>
                <w:szCs w:val="20"/>
                <w:lang w:val="fr-CA"/>
              </w:rPr>
            </w:pPr>
            <w:r w:rsidRPr="007D32EA">
              <w:rPr>
                <w:sz w:val="20"/>
                <w:szCs w:val="20"/>
                <w:lang w:val="fr-CA"/>
              </w:rPr>
              <w:t>Yves Bolduc, en sa qualité de ministre de la santé et des services sociaux, et al.</w:t>
            </w:r>
          </w:p>
        </w:tc>
      </w:tr>
      <w:tr w:rsidR="0090195E" w:rsidRPr="0096343C" w:rsidTr="0074616E">
        <w:trPr>
          <w:cantSplit/>
        </w:trPr>
        <w:tc>
          <w:tcPr>
            <w:tcW w:w="508" w:type="dxa"/>
          </w:tcPr>
          <w:p w:rsidR="0090195E" w:rsidRPr="007D32EA" w:rsidRDefault="0090195E" w:rsidP="0074616E">
            <w:pPr>
              <w:rPr>
                <w:sz w:val="20"/>
                <w:szCs w:val="20"/>
                <w:lang w:val="fr-CA"/>
              </w:rPr>
            </w:pPr>
          </w:p>
        </w:tc>
        <w:tc>
          <w:tcPr>
            <w:tcW w:w="810" w:type="dxa"/>
          </w:tcPr>
          <w:p w:rsidR="0090195E" w:rsidRPr="007D32EA" w:rsidRDefault="0090195E" w:rsidP="0074616E">
            <w:pPr>
              <w:rPr>
                <w:sz w:val="20"/>
                <w:szCs w:val="20"/>
                <w:lang w:val="fr-CA"/>
              </w:rPr>
            </w:pPr>
          </w:p>
        </w:tc>
        <w:tc>
          <w:tcPr>
            <w:tcW w:w="8258" w:type="dxa"/>
            <w:gridSpan w:val="3"/>
          </w:tcPr>
          <w:p w:rsidR="0090195E" w:rsidRDefault="0090195E" w:rsidP="0090195E">
            <w:pPr>
              <w:jc w:val="center"/>
              <w:rPr>
                <w:b/>
                <w:bCs/>
                <w:sz w:val="20"/>
                <w:szCs w:val="20"/>
                <w:lang w:val="en-US"/>
              </w:rPr>
            </w:pPr>
            <w:r>
              <w:rPr>
                <w:b/>
                <w:bCs/>
                <w:sz w:val="20"/>
                <w:szCs w:val="20"/>
              </w:rPr>
              <w:t>CORAM: Abella, Gascon and Brown JJ.</w:t>
            </w:r>
          </w:p>
          <w:p w:rsidR="0090195E" w:rsidRDefault="0090195E" w:rsidP="0090195E">
            <w:pPr>
              <w:jc w:val="center"/>
              <w:rPr>
                <w:b/>
                <w:bCs/>
                <w:sz w:val="20"/>
                <w:szCs w:val="20"/>
                <w:lang w:val="fr-CA"/>
              </w:rPr>
            </w:pPr>
            <w:r>
              <w:rPr>
                <w:b/>
                <w:bCs/>
                <w:sz w:val="20"/>
                <w:szCs w:val="20"/>
                <w:lang w:val="fr-CA"/>
              </w:rPr>
              <w:t>Les juges Abella, Gascon et Brown</w:t>
            </w:r>
          </w:p>
          <w:p w:rsidR="0090195E" w:rsidRPr="0090195E" w:rsidRDefault="0090195E" w:rsidP="0074616E">
            <w:pPr>
              <w:rPr>
                <w:sz w:val="20"/>
                <w:szCs w:val="20"/>
                <w:lang w:val="fr-CA"/>
              </w:rPr>
            </w:pPr>
          </w:p>
        </w:tc>
      </w:tr>
      <w:tr w:rsidR="0090195E" w:rsidRPr="007D32EA" w:rsidTr="0074616E">
        <w:trPr>
          <w:cantSplit/>
        </w:trPr>
        <w:tc>
          <w:tcPr>
            <w:tcW w:w="508" w:type="dxa"/>
          </w:tcPr>
          <w:p w:rsidR="0090195E" w:rsidRPr="007D32EA" w:rsidRDefault="0090195E" w:rsidP="0074616E">
            <w:pPr>
              <w:rPr>
                <w:sz w:val="20"/>
                <w:szCs w:val="20"/>
              </w:rPr>
            </w:pPr>
            <w:r w:rsidRPr="007D32EA">
              <w:rPr>
                <w:sz w:val="20"/>
                <w:szCs w:val="20"/>
              </w:rPr>
              <w:t>2.</w:t>
            </w:r>
          </w:p>
        </w:tc>
        <w:tc>
          <w:tcPr>
            <w:tcW w:w="810" w:type="dxa"/>
          </w:tcPr>
          <w:p w:rsidR="0090195E" w:rsidRPr="007D32EA" w:rsidRDefault="0090195E" w:rsidP="0074616E">
            <w:pPr>
              <w:rPr>
                <w:sz w:val="20"/>
                <w:szCs w:val="20"/>
              </w:rPr>
            </w:pPr>
            <w:r w:rsidRPr="007D32EA">
              <w:rPr>
                <w:sz w:val="20"/>
                <w:szCs w:val="20"/>
              </w:rPr>
              <w:t>37727</w:t>
            </w:r>
          </w:p>
        </w:tc>
        <w:tc>
          <w:tcPr>
            <w:tcW w:w="4050" w:type="dxa"/>
          </w:tcPr>
          <w:p w:rsidR="0090195E" w:rsidRPr="007D32EA" w:rsidRDefault="0090195E" w:rsidP="0074616E">
            <w:pPr>
              <w:pStyle w:val="SCCAppellantInfoAppellantInfo"/>
              <w:rPr>
                <w:sz w:val="20"/>
                <w:szCs w:val="20"/>
              </w:rPr>
            </w:pPr>
            <w:r w:rsidRPr="007D32EA">
              <w:rPr>
                <w:sz w:val="20"/>
                <w:szCs w:val="20"/>
              </w:rPr>
              <w:t>Lianne Tregobov</w:t>
            </w:r>
          </w:p>
          <w:p w:rsidR="0090195E" w:rsidRPr="007D32EA" w:rsidRDefault="0090195E" w:rsidP="0074616E">
            <w:pPr>
              <w:pStyle w:val="SCCAppellantInfoAppellantInfo"/>
              <w:rPr>
                <w:sz w:val="20"/>
                <w:szCs w:val="20"/>
              </w:rPr>
            </w:pPr>
            <w:r w:rsidRPr="007D32EA">
              <w:rPr>
                <w:sz w:val="20"/>
                <w:szCs w:val="20"/>
              </w:rPr>
              <w:t>(Man.) (Civil) (By Leave)</w:t>
            </w:r>
          </w:p>
        </w:tc>
        <w:tc>
          <w:tcPr>
            <w:tcW w:w="360" w:type="dxa"/>
          </w:tcPr>
          <w:p w:rsidR="0090195E" w:rsidRPr="007D32EA" w:rsidRDefault="0090195E" w:rsidP="0074616E">
            <w:pPr>
              <w:rPr>
                <w:sz w:val="20"/>
                <w:szCs w:val="20"/>
              </w:rPr>
            </w:pPr>
            <w:r w:rsidRPr="007D32EA">
              <w:rPr>
                <w:sz w:val="20"/>
                <w:szCs w:val="20"/>
              </w:rPr>
              <w:t>v.</w:t>
            </w:r>
          </w:p>
        </w:tc>
        <w:tc>
          <w:tcPr>
            <w:tcW w:w="3848" w:type="dxa"/>
          </w:tcPr>
          <w:p w:rsidR="0090195E" w:rsidRPr="007D32EA" w:rsidRDefault="0090195E" w:rsidP="0074616E">
            <w:pPr>
              <w:pStyle w:val="SCCAppellantInfoAppellantInfo"/>
              <w:rPr>
                <w:sz w:val="20"/>
                <w:szCs w:val="20"/>
              </w:rPr>
            </w:pPr>
            <w:r w:rsidRPr="007D32EA">
              <w:rPr>
                <w:sz w:val="20"/>
                <w:szCs w:val="20"/>
              </w:rPr>
              <w:t>Normand Paradis, Irene Paradis, Glen Williams, et al.</w:t>
            </w:r>
          </w:p>
        </w:tc>
      </w:tr>
      <w:tr w:rsidR="0090195E" w:rsidRPr="007D32EA" w:rsidTr="0074616E">
        <w:trPr>
          <w:cantSplit/>
        </w:trPr>
        <w:tc>
          <w:tcPr>
            <w:tcW w:w="508" w:type="dxa"/>
          </w:tcPr>
          <w:p w:rsidR="0090195E" w:rsidRPr="007D32EA" w:rsidRDefault="0090195E" w:rsidP="0074616E">
            <w:pPr>
              <w:rPr>
                <w:sz w:val="20"/>
                <w:szCs w:val="20"/>
              </w:rPr>
            </w:pPr>
            <w:r w:rsidRPr="007D32EA">
              <w:rPr>
                <w:sz w:val="20"/>
                <w:szCs w:val="20"/>
              </w:rPr>
              <w:t>3.</w:t>
            </w:r>
          </w:p>
        </w:tc>
        <w:tc>
          <w:tcPr>
            <w:tcW w:w="810" w:type="dxa"/>
          </w:tcPr>
          <w:p w:rsidR="0090195E" w:rsidRPr="007D32EA" w:rsidRDefault="0090195E" w:rsidP="0074616E">
            <w:pPr>
              <w:rPr>
                <w:sz w:val="20"/>
                <w:szCs w:val="20"/>
              </w:rPr>
            </w:pPr>
            <w:r w:rsidRPr="007D32EA">
              <w:rPr>
                <w:sz w:val="20"/>
                <w:szCs w:val="20"/>
              </w:rPr>
              <w:t>37751</w:t>
            </w:r>
          </w:p>
        </w:tc>
        <w:tc>
          <w:tcPr>
            <w:tcW w:w="4050" w:type="dxa"/>
          </w:tcPr>
          <w:p w:rsidR="0090195E" w:rsidRPr="007D32EA" w:rsidRDefault="0090195E" w:rsidP="0074616E">
            <w:pPr>
              <w:pStyle w:val="SCCAppellantInfoAppellantInfo"/>
              <w:rPr>
                <w:sz w:val="20"/>
                <w:szCs w:val="20"/>
                <w:lang w:val="fr-CA"/>
              </w:rPr>
            </w:pPr>
            <w:r w:rsidRPr="007D32EA">
              <w:rPr>
                <w:sz w:val="20"/>
                <w:szCs w:val="20"/>
                <w:lang w:val="fr-CA"/>
              </w:rPr>
              <w:t>9254-8494 Québec inc., et al.</w:t>
            </w:r>
          </w:p>
          <w:p w:rsidR="0090195E" w:rsidRPr="007D32EA" w:rsidRDefault="0090195E" w:rsidP="0074616E">
            <w:pPr>
              <w:pStyle w:val="SCCAppellantInfoAppellantInfo"/>
              <w:rPr>
                <w:sz w:val="20"/>
                <w:szCs w:val="20"/>
                <w:lang w:val="fr-CA"/>
              </w:rPr>
            </w:pPr>
            <w:r w:rsidRPr="007D32EA">
              <w:rPr>
                <w:sz w:val="20"/>
                <w:szCs w:val="20"/>
                <w:lang w:val="fr-CA"/>
              </w:rPr>
              <w:t>(Qc) (Civile) (Autorisation)</w:t>
            </w:r>
          </w:p>
        </w:tc>
        <w:tc>
          <w:tcPr>
            <w:tcW w:w="360" w:type="dxa"/>
          </w:tcPr>
          <w:p w:rsidR="0090195E" w:rsidRPr="007D32EA" w:rsidRDefault="0090195E" w:rsidP="0074616E">
            <w:pPr>
              <w:rPr>
                <w:sz w:val="20"/>
                <w:szCs w:val="20"/>
              </w:rPr>
            </w:pPr>
            <w:r w:rsidRPr="007D32EA">
              <w:rPr>
                <w:sz w:val="20"/>
                <w:szCs w:val="20"/>
              </w:rPr>
              <w:t>c.</w:t>
            </w:r>
          </w:p>
        </w:tc>
        <w:tc>
          <w:tcPr>
            <w:tcW w:w="3848" w:type="dxa"/>
          </w:tcPr>
          <w:p w:rsidR="0090195E" w:rsidRPr="007D32EA" w:rsidRDefault="0090195E" w:rsidP="0074616E">
            <w:pPr>
              <w:pStyle w:val="SCCAppellantInfoAppellantInfo"/>
              <w:rPr>
                <w:sz w:val="20"/>
                <w:szCs w:val="20"/>
              </w:rPr>
            </w:pPr>
            <w:r w:rsidRPr="007D32EA">
              <w:rPr>
                <w:sz w:val="20"/>
                <w:szCs w:val="20"/>
              </w:rPr>
              <w:t>Ville de Québec</w:t>
            </w:r>
          </w:p>
        </w:tc>
      </w:tr>
      <w:tr w:rsidR="0090195E" w:rsidRPr="0096343C" w:rsidTr="0074616E">
        <w:trPr>
          <w:cantSplit/>
        </w:trPr>
        <w:tc>
          <w:tcPr>
            <w:tcW w:w="508" w:type="dxa"/>
          </w:tcPr>
          <w:p w:rsidR="0090195E" w:rsidRPr="007D32EA" w:rsidRDefault="0090195E" w:rsidP="0074616E">
            <w:pPr>
              <w:rPr>
                <w:sz w:val="20"/>
                <w:szCs w:val="20"/>
              </w:rPr>
            </w:pPr>
          </w:p>
        </w:tc>
        <w:tc>
          <w:tcPr>
            <w:tcW w:w="810" w:type="dxa"/>
          </w:tcPr>
          <w:p w:rsidR="0090195E" w:rsidRPr="007D32EA" w:rsidRDefault="0090195E" w:rsidP="0074616E">
            <w:pPr>
              <w:rPr>
                <w:sz w:val="20"/>
                <w:szCs w:val="20"/>
              </w:rPr>
            </w:pPr>
          </w:p>
        </w:tc>
        <w:tc>
          <w:tcPr>
            <w:tcW w:w="8258" w:type="dxa"/>
            <w:gridSpan w:val="3"/>
          </w:tcPr>
          <w:p w:rsidR="0090195E" w:rsidRDefault="0090195E" w:rsidP="0090195E">
            <w:pPr>
              <w:jc w:val="center"/>
              <w:rPr>
                <w:b/>
                <w:bCs/>
                <w:sz w:val="20"/>
                <w:szCs w:val="20"/>
                <w:lang w:val="en-US"/>
              </w:rPr>
            </w:pPr>
            <w:r>
              <w:rPr>
                <w:b/>
                <w:bCs/>
                <w:sz w:val="20"/>
                <w:szCs w:val="20"/>
              </w:rPr>
              <w:t>CORAM: Moldaver, Karakatsanis and Côté JJ.</w:t>
            </w:r>
          </w:p>
          <w:p w:rsidR="0090195E" w:rsidRDefault="0090195E" w:rsidP="0090195E">
            <w:pPr>
              <w:jc w:val="center"/>
              <w:rPr>
                <w:b/>
                <w:bCs/>
                <w:sz w:val="20"/>
                <w:szCs w:val="20"/>
                <w:lang w:val="fr-CA"/>
              </w:rPr>
            </w:pPr>
            <w:r>
              <w:rPr>
                <w:b/>
                <w:bCs/>
                <w:sz w:val="20"/>
                <w:szCs w:val="20"/>
                <w:lang w:val="fr-CA"/>
              </w:rPr>
              <w:t xml:space="preserve">Les juges Moldaver, </w:t>
            </w:r>
            <w:r w:rsidRPr="006A5035">
              <w:rPr>
                <w:b/>
                <w:bCs/>
                <w:sz w:val="20"/>
                <w:szCs w:val="20"/>
                <w:lang w:val="fr-CA"/>
              </w:rPr>
              <w:t xml:space="preserve">Karakatsanis </w:t>
            </w:r>
            <w:r>
              <w:rPr>
                <w:b/>
                <w:bCs/>
                <w:sz w:val="20"/>
                <w:szCs w:val="20"/>
                <w:lang w:val="fr-CA"/>
              </w:rPr>
              <w:t>et Côté</w:t>
            </w:r>
          </w:p>
          <w:p w:rsidR="0090195E" w:rsidRPr="0090195E" w:rsidRDefault="0090195E" w:rsidP="0074616E">
            <w:pPr>
              <w:rPr>
                <w:sz w:val="20"/>
                <w:szCs w:val="20"/>
                <w:lang w:val="fr-CA"/>
              </w:rPr>
            </w:pPr>
          </w:p>
        </w:tc>
      </w:tr>
      <w:tr w:rsidR="0090195E" w:rsidRPr="007D32EA" w:rsidTr="0074616E">
        <w:trPr>
          <w:cantSplit/>
        </w:trPr>
        <w:tc>
          <w:tcPr>
            <w:tcW w:w="508" w:type="dxa"/>
          </w:tcPr>
          <w:p w:rsidR="0090195E" w:rsidRPr="007D32EA" w:rsidRDefault="0090195E" w:rsidP="0074616E">
            <w:pPr>
              <w:rPr>
                <w:sz w:val="20"/>
                <w:szCs w:val="20"/>
              </w:rPr>
            </w:pPr>
            <w:r w:rsidRPr="007D32EA">
              <w:rPr>
                <w:sz w:val="20"/>
                <w:szCs w:val="20"/>
              </w:rPr>
              <w:t>4.</w:t>
            </w:r>
          </w:p>
        </w:tc>
        <w:tc>
          <w:tcPr>
            <w:tcW w:w="810" w:type="dxa"/>
          </w:tcPr>
          <w:p w:rsidR="0090195E" w:rsidRPr="007D32EA" w:rsidRDefault="0090195E" w:rsidP="0074616E">
            <w:pPr>
              <w:rPr>
                <w:sz w:val="20"/>
                <w:szCs w:val="20"/>
              </w:rPr>
            </w:pPr>
            <w:r w:rsidRPr="007D32EA">
              <w:rPr>
                <w:sz w:val="20"/>
                <w:szCs w:val="20"/>
              </w:rPr>
              <w:t>37725</w:t>
            </w:r>
          </w:p>
        </w:tc>
        <w:tc>
          <w:tcPr>
            <w:tcW w:w="4050" w:type="dxa"/>
          </w:tcPr>
          <w:p w:rsidR="0090195E" w:rsidRPr="007D32EA" w:rsidRDefault="0090195E" w:rsidP="0074616E">
            <w:pPr>
              <w:pStyle w:val="SCCAppellantInfoAppellantInfo"/>
              <w:rPr>
                <w:sz w:val="20"/>
                <w:szCs w:val="20"/>
              </w:rPr>
            </w:pPr>
            <w:r w:rsidRPr="007D32EA">
              <w:rPr>
                <w:sz w:val="20"/>
                <w:szCs w:val="20"/>
              </w:rPr>
              <w:t>J.W. and REO Law Corporation</w:t>
            </w:r>
          </w:p>
          <w:p w:rsidR="0090195E" w:rsidRPr="007D32EA" w:rsidRDefault="0090195E" w:rsidP="0074616E">
            <w:pPr>
              <w:pStyle w:val="SCCAppellantInfoAppellantInfo"/>
              <w:rPr>
                <w:sz w:val="20"/>
                <w:szCs w:val="20"/>
              </w:rPr>
            </w:pPr>
            <w:r w:rsidRPr="007D32EA">
              <w:rPr>
                <w:sz w:val="20"/>
                <w:szCs w:val="20"/>
              </w:rPr>
              <w:t>(Man.) (Civil) (By Leave)</w:t>
            </w:r>
          </w:p>
        </w:tc>
        <w:tc>
          <w:tcPr>
            <w:tcW w:w="360" w:type="dxa"/>
          </w:tcPr>
          <w:p w:rsidR="0090195E" w:rsidRPr="007D32EA" w:rsidRDefault="0090195E" w:rsidP="0074616E">
            <w:pPr>
              <w:rPr>
                <w:sz w:val="20"/>
                <w:szCs w:val="20"/>
              </w:rPr>
            </w:pPr>
            <w:r w:rsidRPr="007D32EA">
              <w:rPr>
                <w:sz w:val="20"/>
                <w:szCs w:val="20"/>
              </w:rPr>
              <w:t>v.</w:t>
            </w:r>
          </w:p>
        </w:tc>
        <w:tc>
          <w:tcPr>
            <w:tcW w:w="3848" w:type="dxa"/>
          </w:tcPr>
          <w:p w:rsidR="0090195E" w:rsidRPr="007D32EA" w:rsidRDefault="0090195E" w:rsidP="0074616E">
            <w:pPr>
              <w:pStyle w:val="SCCAppellantInfoAppellantInfo"/>
              <w:rPr>
                <w:sz w:val="20"/>
                <w:szCs w:val="20"/>
              </w:rPr>
            </w:pPr>
            <w:r w:rsidRPr="007D32EA">
              <w:rPr>
                <w:sz w:val="20"/>
                <w:szCs w:val="20"/>
              </w:rPr>
              <w:t>Attorney General of Canada, et al.</w:t>
            </w:r>
          </w:p>
        </w:tc>
      </w:tr>
      <w:tr w:rsidR="0090195E" w:rsidRPr="007D32EA" w:rsidTr="0074616E">
        <w:trPr>
          <w:cantSplit/>
        </w:trPr>
        <w:tc>
          <w:tcPr>
            <w:tcW w:w="508" w:type="dxa"/>
          </w:tcPr>
          <w:p w:rsidR="0090195E" w:rsidRPr="007D32EA" w:rsidRDefault="0090195E" w:rsidP="0074616E">
            <w:pPr>
              <w:rPr>
                <w:sz w:val="20"/>
                <w:szCs w:val="20"/>
              </w:rPr>
            </w:pPr>
            <w:r w:rsidRPr="007D32EA">
              <w:rPr>
                <w:sz w:val="20"/>
                <w:szCs w:val="20"/>
              </w:rPr>
              <w:t>5.</w:t>
            </w:r>
          </w:p>
        </w:tc>
        <w:tc>
          <w:tcPr>
            <w:tcW w:w="810" w:type="dxa"/>
          </w:tcPr>
          <w:p w:rsidR="0090195E" w:rsidRPr="007D32EA" w:rsidRDefault="0090195E" w:rsidP="0074616E">
            <w:pPr>
              <w:rPr>
                <w:sz w:val="20"/>
                <w:szCs w:val="20"/>
              </w:rPr>
            </w:pPr>
            <w:r w:rsidRPr="007D32EA">
              <w:rPr>
                <w:sz w:val="20"/>
                <w:szCs w:val="20"/>
              </w:rPr>
              <w:t>37738</w:t>
            </w:r>
          </w:p>
        </w:tc>
        <w:tc>
          <w:tcPr>
            <w:tcW w:w="4050" w:type="dxa"/>
          </w:tcPr>
          <w:p w:rsidR="0090195E" w:rsidRPr="007D32EA" w:rsidRDefault="0090195E" w:rsidP="0074616E">
            <w:pPr>
              <w:pStyle w:val="SCCAppellantInfoAppellantInfo"/>
              <w:rPr>
                <w:sz w:val="20"/>
                <w:szCs w:val="20"/>
              </w:rPr>
            </w:pPr>
            <w:r w:rsidRPr="007D32EA">
              <w:rPr>
                <w:sz w:val="20"/>
                <w:szCs w:val="20"/>
              </w:rPr>
              <w:t>Robert Lavigne</w:t>
            </w:r>
          </w:p>
          <w:p w:rsidR="0090195E" w:rsidRPr="007D32EA" w:rsidRDefault="0090195E" w:rsidP="0074616E">
            <w:pPr>
              <w:pStyle w:val="SCCAppellantInfoAppellantInfo"/>
              <w:rPr>
                <w:sz w:val="20"/>
                <w:szCs w:val="20"/>
              </w:rPr>
            </w:pPr>
            <w:r w:rsidRPr="007D32EA">
              <w:rPr>
                <w:sz w:val="20"/>
                <w:szCs w:val="20"/>
              </w:rPr>
              <w:t>(FC) (Civil) (By Leave)</w:t>
            </w:r>
          </w:p>
        </w:tc>
        <w:tc>
          <w:tcPr>
            <w:tcW w:w="360" w:type="dxa"/>
          </w:tcPr>
          <w:p w:rsidR="0090195E" w:rsidRPr="007D32EA" w:rsidRDefault="0090195E" w:rsidP="0074616E">
            <w:pPr>
              <w:rPr>
                <w:sz w:val="20"/>
                <w:szCs w:val="20"/>
              </w:rPr>
            </w:pPr>
            <w:r w:rsidRPr="007D32EA">
              <w:rPr>
                <w:sz w:val="20"/>
                <w:szCs w:val="20"/>
              </w:rPr>
              <w:t>v.</w:t>
            </w:r>
          </w:p>
        </w:tc>
        <w:tc>
          <w:tcPr>
            <w:tcW w:w="3848" w:type="dxa"/>
          </w:tcPr>
          <w:p w:rsidR="0090195E" w:rsidRPr="007D32EA" w:rsidRDefault="0090195E" w:rsidP="0074616E">
            <w:pPr>
              <w:pStyle w:val="SCCAppellantInfoAppellantInfo"/>
              <w:rPr>
                <w:sz w:val="20"/>
                <w:szCs w:val="20"/>
              </w:rPr>
            </w:pPr>
            <w:r w:rsidRPr="007D32EA">
              <w:rPr>
                <w:sz w:val="20"/>
                <w:szCs w:val="20"/>
              </w:rPr>
              <w:t>Canadian Human Rights Commission, et al.</w:t>
            </w:r>
          </w:p>
        </w:tc>
      </w:tr>
    </w:tbl>
    <w:p w:rsidR="00762008" w:rsidRPr="0090195E" w:rsidRDefault="00762008" w:rsidP="002E2327">
      <w:pPr>
        <w:widowControl w:val="0"/>
        <w:rPr>
          <w:sz w:val="20"/>
          <w:szCs w:val="20"/>
        </w:rPr>
      </w:pPr>
    </w:p>
    <w:p w:rsidR="002E2327" w:rsidRDefault="008D266B" w:rsidP="002E2327">
      <w:pPr>
        <w:widowControl w:val="0"/>
        <w:rPr>
          <w:sz w:val="20"/>
          <w:szCs w:val="20"/>
        </w:rPr>
      </w:pPr>
      <w:r>
        <w:rPr>
          <w:sz w:val="20"/>
          <w:szCs w:val="20"/>
        </w:rPr>
        <w:pict>
          <v:rect id="_x0000_i1039" style="width:2in;height:1pt" o:hrpct="0" o:hralign="center" o:hrstd="t" o:hrnoshade="t" o:hr="t" fillcolor="black [3213]" stroked="f"/>
        </w:pict>
      </w:r>
    </w:p>
    <w:p w:rsidR="00D94028" w:rsidRDefault="00D94028" w:rsidP="002E2327">
      <w:pPr>
        <w:widowControl w:val="0"/>
        <w:rPr>
          <w:sz w:val="20"/>
          <w:szCs w:val="20"/>
        </w:rPr>
      </w:pPr>
    </w:p>
    <w:p w:rsidR="00D94028" w:rsidRDefault="00D94028" w:rsidP="002E2327">
      <w:pPr>
        <w:widowControl w:val="0"/>
        <w:rPr>
          <w:sz w:val="20"/>
          <w:szCs w:val="20"/>
        </w:rPr>
      </w:pPr>
    </w:p>
    <w:p w:rsidR="00D94028" w:rsidRPr="00C50A5C" w:rsidRDefault="00D94028" w:rsidP="002E2327">
      <w:pPr>
        <w:widowControl w:val="0"/>
        <w:rPr>
          <w:sz w:val="20"/>
          <w:szCs w:val="20"/>
        </w:rPr>
      </w:pPr>
    </w:p>
    <w:p w:rsidR="0044776A" w:rsidRPr="00C50A5C" w:rsidRDefault="0044776A" w:rsidP="002E2327">
      <w:pPr>
        <w:widowControl w:val="0"/>
        <w:spacing w:line="0" w:lineRule="atLeast"/>
        <w:rPr>
          <w:sz w:val="20"/>
          <w:szCs w:val="20"/>
        </w:rPr>
        <w:sectPr w:rsidR="0044776A" w:rsidRPr="00C50A5C" w:rsidSect="0044776A">
          <w:headerReference w:type="default" r:id="rId14"/>
          <w:footerReference w:type="default" r:id="rId15"/>
          <w:headerReference w:type="first" r:id="rId16"/>
          <w:footerReference w:type="first" r:id="rId17"/>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D292F" w:rsidRPr="0096343C" w:rsidTr="00ED7E83">
        <w:tc>
          <w:tcPr>
            <w:tcW w:w="4200" w:type="dxa"/>
            <w:tcMar>
              <w:left w:w="0" w:type="dxa"/>
              <w:right w:w="0" w:type="dxa"/>
            </w:tcMar>
          </w:tcPr>
          <w:p w:rsidR="008D292F" w:rsidRPr="001D0D5F" w:rsidRDefault="008D292F" w:rsidP="00ED7E83">
            <w:pPr>
              <w:keepNext/>
              <w:keepLines/>
              <w:jc w:val="both"/>
              <w:rPr>
                <w:b/>
                <w:szCs w:val="24"/>
              </w:rPr>
            </w:pPr>
            <w:bookmarkStart w:id="1" w:name="QuickMark_1"/>
            <w:bookmarkEnd w:id="1"/>
            <w:r w:rsidRPr="001D0D5F">
              <w:rPr>
                <w:b/>
                <w:szCs w:val="24"/>
              </w:rPr>
              <w:lastRenderedPageBreak/>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Pr="00C50A5C" w:rsidRDefault="008D292F" w:rsidP="008D292F">
      <w:pPr>
        <w:rPr>
          <w:sz w:val="20"/>
          <w:szCs w:val="20"/>
          <w:lang w:val="fr-CA"/>
        </w:rPr>
      </w:pPr>
    </w:p>
    <w:p w:rsidR="000E2959" w:rsidRPr="00C50A5C" w:rsidRDefault="0090195E" w:rsidP="000E2959">
      <w:pPr>
        <w:rPr>
          <w:b/>
          <w:sz w:val="20"/>
          <w:szCs w:val="20"/>
        </w:rPr>
      </w:pPr>
      <w:r>
        <w:rPr>
          <w:b/>
          <w:sz w:val="20"/>
          <w:szCs w:val="20"/>
        </w:rPr>
        <w:t>DECEMBER 21</w:t>
      </w:r>
      <w:r w:rsidR="000E2959" w:rsidRPr="00C50A5C">
        <w:rPr>
          <w:b/>
          <w:sz w:val="20"/>
          <w:szCs w:val="20"/>
        </w:rPr>
        <w:t xml:space="preserve">, </w:t>
      </w:r>
      <w:r w:rsidR="0030050B">
        <w:rPr>
          <w:b/>
          <w:sz w:val="20"/>
          <w:szCs w:val="20"/>
        </w:rPr>
        <w:t>201</w:t>
      </w:r>
      <w:r w:rsidR="00E8544A">
        <w:rPr>
          <w:b/>
          <w:sz w:val="20"/>
          <w:szCs w:val="20"/>
        </w:rPr>
        <w:t>7</w:t>
      </w:r>
      <w:r w:rsidR="000E2959" w:rsidRPr="00C50A5C">
        <w:rPr>
          <w:b/>
          <w:sz w:val="20"/>
          <w:szCs w:val="20"/>
        </w:rPr>
        <w:t xml:space="preserve"> / LE </w:t>
      </w:r>
      <w:r>
        <w:rPr>
          <w:b/>
          <w:sz w:val="20"/>
          <w:szCs w:val="20"/>
        </w:rPr>
        <w:t>21</w:t>
      </w:r>
      <w:r w:rsidR="000E2959" w:rsidRPr="00C50A5C">
        <w:rPr>
          <w:b/>
          <w:sz w:val="20"/>
          <w:szCs w:val="20"/>
        </w:rPr>
        <w:t xml:space="preserve"> </w:t>
      </w:r>
      <w:r>
        <w:rPr>
          <w:b/>
          <w:sz w:val="20"/>
          <w:szCs w:val="20"/>
        </w:rPr>
        <w:t>DÉCEMBRE</w:t>
      </w:r>
      <w:r w:rsidR="000E2959" w:rsidRPr="00C50A5C">
        <w:rPr>
          <w:b/>
          <w:sz w:val="20"/>
          <w:szCs w:val="20"/>
        </w:rPr>
        <w:t xml:space="preserve"> </w:t>
      </w:r>
      <w:r w:rsidR="0030050B">
        <w:rPr>
          <w:b/>
          <w:sz w:val="20"/>
          <w:szCs w:val="20"/>
        </w:rPr>
        <w:t>201</w:t>
      </w:r>
      <w:r w:rsidR="00E8544A">
        <w:rPr>
          <w:b/>
          <w:sz w:val="20"/>
          <w:szCs w:val="20"/>
        </w:rPr>
        <w:t>7</w:t>
      </w:r>
    </w:p>
    <w:p w:rsidR="00E8544A" w:rsidRPr="009D287C" w:rsidRDefault="00E8544A" w:rsidP="00E8544A">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3"/>
        <w:gridCol w:w="3521"/>
        <w:gridCol w:w="514"/>
        <w:gridCol w:w="4459"/>
      </w:tblGrid>
      <w:tr w:rsidR="00E033CB" w:rsidRPr="00005520" w:rsidTr="0074616E">
        <w:tc>
          <w:tcPr>
            <w:tcW w:w="542" w:type="pct"/>
          </w:tcPr>
          <w:p w:rsidR="00E033CB" w:rsidRPr="00005520" w:rsidRDefault="00E033CB" w:rsidP="0074616E">
            <w:pPr>
              <w:rPr>
                <w:sz w:val="20"/>
                <w:szCs w:val="20"/>
              </w:rPr>
            </w:pPr>
            <w:r w:rsidRPr="00005520">
              <w:rPr>
                <w:rStyle w:val="SCCFileNumberChar"/>
                <w:sz w:val="20"/>
                <w:szCs w:val="20"/>
              </w:rPr>
              <w:t>37726</w:t>
            </w:r>
          </w:p>
        </w:tc>
        <w:tc>
          <w:tcPr>
            <w:tcW w:w="4458" w:type="pct"/>
            <w:gridSpan w:val="3"/>
          </w:tcPr>
          <w:p w:rsidR="00E033CB" w:rsidRPr="00005520" w:rsidRDefault="00E033CB" w:rsidP="0074616E">
            <w:pPr>
              <w:pStyle w:val="SCCLsocParty"/>
              <w:jc w:val="both"/>
              <w:rPr>
                <w:b/>
                <w:sz w:val="20"/>
                <w:szCs w:val="20"/>
                <w:lang w:val="en-US"/>
              </w:rPr>
            </w:pPr>
            <w:r w:rsidRPr="00005520">
              <w:rPr>
                <w:b/>
                <w:sz w:val="20"/>
                <w:szCs w:val="20"/>
                <w:lang w:val="en-US"/>
              </w:rPr>
              <w:t>Elvis Krivicic v. Her Majesty the Queen, North Bay Regional Health Centre, Providence Care Centre</w:t>
            </w:r>
          </w:p>
          <w:p w:rsidR="00E033CB" w:rsidRPr="00005520" w:rsidRDefault="00E033CB" w:rsidP="0074616E">
            <w:pPr>
              <w:rPr>
                <w:sz w:val="20"/>
                <w:szCs w:val="20"/>
              </w:rPr>
            </w:pPr>
            <w:r w:rsidRPr="00005520">
              <w:rPr>
                <w:sz w:val="20"/>
                <w:szCs w:val="20"/>
              </w:rPr>
              <w:t>(Ont.) (Criminal) (By Leave)</w:t>
            </w:r>
          </w:p>
        </w:tc>
      </w:tr>
      <w:tr w:rsidR="00E033CB" w:rsidRPr="00005520" w:rsidTr="0074616E">
        <w:tc>
          <w:tcPr>
            <w:tcW w:w="542" w:type="pct"/>
          </w:tcPr>
          <w:p w:rsidR="00E033CB" w:rsidRPr="00005520" w:rsidRDefault="00E033CB" w:rsidP="0074616E">
            <w:pPr>
              <w:rPr>
                <w:rStyle w:val="SCCFileNumberChar"/>
                <w:sz w:val="20"/>
                <w:szCs w:val="20"/>
              </w:rPr>
            </w:pPr>
            <w:r>
              <w:rPr>
                <w:rStyle w:val="SCCFileNumberChar"/>
                <w:sz w:val="20"/>
                <w:szCs w:val="20"/>
              </w:rPr>
              <w:t>Coram:</w:t>
            </w:r>
          </w:p>
        </w:tc>
        <w:tc>
          <w:tcPr>
            <w:tcW w:w="4458" w:type="pct"/>
            <w:gridSpan w:val="3"/>
          </w:tcPr>
          <w:p w:rsidR="00E033CB" w:rsidRDefault="00FD479C" w:rsidP="0074616E">
            <w:pPr>
              <w:pStyle w:val="SCCLsocParty"/>
              <w:jc w:val="both"/>
              <w:rPr>
                <w:sz w:val="20"/>
                <w:szCs w:val="20"/>
                <w:lang w:val="en-US"/>
              </w:rPr>
            </w:pPr>
            <w:r w:rsidRPr="00FD479C">
              <w:rPr>
                <w:sz w:val="20"/>
                <w:szCs w:val="20"/>
                <w:lang w:val="en-US"/>
              </w:rPr>
              <w:t>McLachlin C.J. and Abella, Moldaver, Karakatsanis, Wagner, Gascon, Côté, Brown and Rowe JJ.</w:t>
            </w:r>
          </w:p>
          <w:p w:rsidR="00FD479C" w:rsidRPr="00FD479C" w:rsidRDefault="00FD479C" w:rsidP="00FD479C">
            <w:pPr>
              <w:rPr>
                <w:lang w:val="en-US"/>
              </w:rPr>
            </w:pPr>
          </w:p>
        </w:tc>
      </w:tr>
      <w:tr w:rsidR="00E033CB" w:rsidRPr="00005520" w:rsidTr="00E033CB">
        <w:tc>
          <w:tcPr>
            <w:tcW w:w="5000" w:type="pct"/>
            <w:gridSpan w:val="4"/>
          </w:tcPr>
          <w:p w:rsidR="00E033CB" w:rsidRDefault="00FD479C" w:rsidP="0074616E">
            <w:pPr>
              <w:pStyle w:val="SCCLsocParty"/>
              <w:jc w:val="both"/>
              <w:rPr>
                <w:sz w:val="20"/>
                <w:szCs w:val="20"/>
                <w:lang w:val="en-US"/>
              </w:rPr>
            </w:pPr>
            <w:r w:rsidRPr="00FD479C">
              <w:rPr>
                <w:sz w:val="20"/>
                <w:szCs w:val="20"/>
                <w:lang w:val="en-US"/>
              </w:rPr>
              <w:t>The motion for an extension of time to serve and file the application for leave to appeal is granted.  The application for leave to appeal from the judgment of the</w:t>
            </w:r>
            <w:bookmarkStart w:id="2" w:name="BM_1_"/>
            <w:bookmarkEnd w:id="2"/>
            <w:r w:rsidRPr="00FD479C">
              <w:rPr>
                <w:sz w:val="20"/>
                <w:szCs w:val="20"/>
                <w:lang w:val="en-US"/>
              </w:rPr>
              <w:t xml:space="preserve"> Court of Appeal for Ontario, Number C62629, 2017 ONCA 379, dated May 10, 2017, is dismissed without costs.</w:t>
            </w:r>
          </w:p>
          <w:p w:rsidR="00FD479C" w:rsidRPr="00FD479C" w:rsidRDefault="00FD479C" w:rsidP="00FD479C">
            <w:pPr>
              <w:rPr>
                <w:lang w:val="en-US"/>
              </w:rPr>
            </w:pPr>
          </w:p>
        </w:tc>
      </w:tr>
      <w:tr w:rsidR="00E033CB" w:rsidRPr="00005520" w:rsidTr="0074616E">
        <w:tc>
          <w:tcPr>
            <w:tcW w:w="5000" w:type="pct"/>
            <w:gridSpan w:val="4"/>
          </w:tcPr>
          <w:p w:rsidR="00E033CB" w:rsidRPr="00005520" w:rsidRDefault="00E033CB" w:rsidP="00E033CB">
            <w:pPr>
              <w:jc w:val="both"/>
              <w:rPr>
                <w:sz w:val="20"/>
                <w:szCs w:val="20"/>
              </w:rPr>
            </w:pPr>
            <w:r w:rsidRPr="00005520">
              <w:rPr>
                <w:sz w:val="20"/>
                <w:szCs w:val="20"/>
              </w:rPr>
              <w:t>Criminal law — Review boards — Protection of public from dangerous persons — Detention in custody in hospital — Appeals and judicial review — Review board concluding that applicant remained significant threat to public safety and ordering continued detention — Appeal allowed on basis of fresh evidence and matter remitted to Review Board for new hearing — Whether Court of Appeal obligated to order absolute discharge rather than remit matter back to Review Board for new hearing where appeal was allowed on basis of fresh evidence.</w:t>
            </w:r>
          </w:p>
        </w:tc>
      </w:tr>
      <w:tr w:rsidR="00E033CB" w:rsidRPr="00005520" w:rsidTr="0074616E">
        <w:tc>
          <w:tcPr>
            <w:tcW w:w="5000" w:type="pct"/>
            <w:gridSpan w:val="4"/>
          </w:tcPr>
          <w:p w:rsidR="00E033CB" w:rsidRPr="00005520" w:rsidRDefault="00E033CB" w:rsidP="00E033CB">
            <w:pPr>
              <w:jc w:val="both"/>
              <w:rPr>
                <w:sz w:val="20"/>
                <w:szCs w:val="20"/>
              </w:rPr>
            </w:pPr>
          </w:p>
        </w:tc>
      </w:tr>
      <w:tr w:rsidR="00E033CB" w:rsidRPr="00005520" w:rsidTr="0074616E">
        <w:tc>
          <w:tcPr>
            <w:tcW w:w="5000" w:type="pct"/>
            <w:gridSpan w:val="4"/>
          </w:tcPr>
          <w:p w:rsidR="00E033CB" w:rsidRPr="00005520" w:rsidRDefault="00E033CB" w:rsidP="00E033CB">
            <w:pPr>
              <w:jc w:val="both"/>
              <w:rPr>
                <w:sz w:val="20"/>
                <w:szCs w:val="20"/>
              </w:rPr>
            </w:pPr>
            <w:r w:rsidRPr="00005520">
              <w:rPr>
                <w:sz w:val="20"/>
                <w:szCs w:val="20"/>
              </w:rPr>
              <w:t>The applicant, Mr. Krivicic, was found not criminally responsible on account of mental disorder in connection with one count of criminal harassment and two counts of failure to comply with recognizance, and he was detained. The Ontario Review Board later concluded that Mr. Krivicic remained a significant threat to public safety and ordered his continued detention. On appeal against that continued detention order, Mr. Krivicic adduced a recent psychiatric assessment to demonstrate that he did not meet the significant threat threshold for continued detention. A majority of the Court of Appeal allowed the appeal on the basis of this fresh evidence and remitted the matter to the Review Board for a new hearing.</w:t>
            </w:r>
          </w:p>
          <w:p w:rsidR="00E033CB" w:rsidRPr="00005520" w:rsidRDefault="00E033CB" w:rsidP="00E033CB">
            <w:pPr>
              <w:jc w:val="both"/>
              <w:rPr>
                <w:sz w:val="20"/>
                <w:szCs w:val="20"/>
              </w:rPr>
            </w:pPr>
          </w:p>
        </w:tc>
      </w:tr>
      <w:tr w:rsidR="00E033CB" w:rsidRPr="00005520" w:rsidTr="0074616E">
        <w:tblPrEx>
          <w:tblCellMar>
            <w:bottom w:w="0" w:type="dxa"/>
          </w:tblCellMar>
        </w:tblPrEx>
        <w:tc>
          <w:tcPr>
            <w:tcW w:w="2390" w:type="pct"/>
            <w:gridSpan w:val="2"/>
          </w:tcPr>
          <w:p w:rsidR="00E033CB" w:rsidRPr="00005520" w:rsidRDefault="00E033CB" w:rsidP="00E033CB">
            <w:pPr>
              <w:jc w:val="both"/>
              <w:rPr>
                <w:sz w:val="20"/>
                <w:szCs w:val="20"/>
              </w:rPr>
            </w:pPr>
            <w:r w:rsidRPr="00005520">
              <w:rPr>
                <w:sz w:val="20"/>
                <w:szCs w:val="20"/>
              </w:rPr>
              <w:t>August 11, 2016</w:t>
            </w:r>
          </w:p>
          <w:p w:rsidR="00E033CB" w:rsidRPr="00005520" w:rsidRDefault="00E033CB" w:rsidP="00E033CB">
            <w:pPr>
              <w:jc w:val="both"/>
              <w:rPr>
                <w:sz w:val="20"/>
                <w:szCs w:val="20"/>
              </w:rPr>
            </w:pPr>
            <w:r w:rsidRPr="00005520">
              <w:rPr>
                <w:sz w:val="20"/>
                <w:szCs w:val="20"/>
              </w:rPr>
              <w:t>Ontario Review Board</w:t>
            </w:r>
          </w:p>
          <w:p w:rsidR="00E033CB" w:rsidRPr="00005520" w:rsidRDefault="00E033CB" w:rsidP="00E033CB">
            <w:pPr>
              <w:jc w:val="both"/>
              <w:rPr>
                <w:sz w:val="20"/>
                <w:szCs w:val="20"/>
              </w:rPr>
            </w:pPr>
          </w:p>
        </w:tc>
        <w:tc>
          <w:tcPr>
            <w:tcW w:w="270" w:type="pct"/>
          </w:tcPr>
          <w:p w:rsidR="00E033CB" w:rsidRPr="00005520" w:rsidRDefault="00E033CB" w:rsidP="00E033CB">
            <w:pPr>
              <w:jc w:val="both"/>
              <w:rPr>
                <w:sz w:val="20"/>
                <w:szCs w:val="20"/>
              </w:rPr>
            </w:pPr>
          </w:p>
        </w:tc>
        <w:tc>
          <w:tcPr>
            <w:tcW w:w="2340" w:type="pct"/>
          </w:tcPr>
          <w:p w:rsidR="00E033CB" w:rsidRPr="00005520" w:rsidRDefault="00E033CB" w:rsidP="00E033CB">
            <w:pPr>
              <w:jc w:val="both"/>
              <w:rPr>
                <w:sz w:val="20"/>
                <w:szCs w:val="20"/>
              </w:rPr>
            </w:pPr>
            <w:r w:rsidRPr="00005520">
              <w:rPr>
                <w:sz w:val="20"/>
                <w:szCs w:val="20"/>
              </w:rPr>
              <w:t>Review Board concluding that applicant remained significant threat to public safety and ordering continued detention.</w:t>
            </w:r>
          </w:p>
          <w:p w:rsidR="00E033CB" w:rsidRPr="00005520" w:rsidRDefault="00E033CB" w:rsidP="00E033CB">
            <w:pPr>
              <w:jc w:val="both"/>
              <w:rPr>
                <w:sz w:val="20"/>
                <w:szCs w:val="20"/>
              </w:rPr>
            </w:pPr>
            <w:r w:rsidRPr="00005520">
              <w:rPr>
                <w:sz w:val="20"/>
                <w:szCs w:val="20"/>
              </w:rPr>
              <w:t xml:space="preserve"> </w:t>
            </w:r>
          </w:p>
        </w:tc>
      </w:tr>
      <w:tr w:rsidR="00E033CB" w:rsidRPr="00005520" w:rsidTr="0074616E">
        <w:tblPrEx>
          <w:tblCellMar>
            <w:bottom w:w="0" w:type="dxa"/>
          </w:tblCellMar>
        </w:tblPrEx>
        <w:tc>
          <w:tcPr>
            <w:tcW w:w="2390" w:type="pct"/>
            <w:gridSpan w:val="2"/>
          </w:tcPr>
          <w:p w:rsidR="00E033CB" w:rsidRPr="00005520" w:rsidRDefault="00E033CB" w:rsidP="00E033CB">
            <w:pPr>
              <w:jc w:val="both"/>
              <w:rPr>
                <w:sz w:val="20"/>
                <w:szCs w:val="20"/>
              </w:rPr>
            </w:pPr>
            <w:r w:rsidRPr="00005520">
              <w:rPr>
                <w:sz w:val="20"/>
                <w:szCs w:val="20"/>
              </w:rPr>
              <w:t>May 10, 2017</w:t>
            </w:r>
          </w:p>
          <w:p w:rsidR="00E033CB" w:rsidRPr="00005520" w:rsidRDefault="00E033CB" w:rsidP="00E033CB">
            <w:pPr>
              <w:jc w:val="both"/>
              <w:rPr>
                <w:sz w:val="20"/>
                <w:szCs w:val="20"/>
              </w:rPr>
            </w:pPr>
            <w:r w:rsidRPr="00005520">
              <w:rPr>
                <w:sz w:val="20"/>
                <w:szCs w:val="20"/>
              </w:rPr>
              <w:t>Court of Appeal for Ontario</w:t>
            </w:r>
          </w:p>
          <w:p w:rsidR="00E033CB" w:rsidRPr="00005520" w:rsidRDefault="00E033CB" w:rsidP="00E033CB">
            <w:pPr>
              <w:jc w:val="both"/>
              <w:rPr>
                <w:sz w:val="20"/>
                <w:szCs w:val="20"/>
              </w:rPr>
            </w:pPr>
            <w:r w:rsidRPr="00005520">
              <w:rPr>
                <w:sz w:val="20"/>
                <w:szCs w:val="20"/>
              </w:rPr>
              <w:t xml:space="preserve">(Weiler, Feldman [dissenting] and Huscroft </w:t>
            </w:r>
          </w:p>
          <w:p w:rsidR="00E033CB" w:rsidRPr="00005520" w:rsidRDefault="00E033CB" w:rsidP="00E033CB">
            <w:pPr>
              <w:jc w:val="both"/>
              <w:rPr>
                <w:sz w:val="20"/>
                <w:szCs w:val="20"/>
              </w:rPr>
            </w:pPr>
            <w:r w:rsidRPr="00005520">
              <w:rPr>
                <w:sz w:val="20"/>
                <w:szCs w:val="20"/>
              </w:rPr>
              <w:t>JJ.A.)</w:t>
            </w:r>
          </w:p>
          <w:p w:rsidR="00E033CB" w:rsidRPr="00005520" w:rsidRDefault="008D266B" w:rsidP="00E033CB">
            <w:pPr>
              <w:jc w:val="both"/>
              <w:rPr>
                <w:sz w:val="20"/>
                <w:szCs w:val="20"/>
              </w:rPr>
            </w:pPr>
            <w:hyperlink r:id="rId18" w:history="1">
              <w:r w:rsidR="00E033CB" w:rsidRPr="00005520">
                <w:rPr>
                  <w:rStyle w:val="Hyperlink"/>
                  <w:sz w:val="20"/>
                  <w:szCs w:val="20"/>
                </w:rPr>
                <w:t>2017 ONCA 379</w:t>
              </w:r>
            </w:hyperlink>
          </w:p>
          <w:p w:rsidR="00E033CB" w:rsidRPr="00005520" w:rsidRDefault="00E033CB" w:rsidP="00E033CB">
            <w:pPr>
              <w:jc w:val="both"/>
              <w:rPr>
                <w:sz w:val="20"/>
                <w:szCs w:val="20"/>
              </w:rPr>
            </w:pPr>
          </w:p>
        </w:tc>
        <w:tc>
          <w:tcPr>
            <w:tcW w:w="270" w:type="pct"/>
          </w:tcPr>
          <w:p w:rsidR="00E033CB" w:rsidRPr="00005520" w:rsidRDefault="00E033CB" w:rsidP="00E033CB">
            <w:pPr>
              <w:jc w:val="both"/>
              <w:rPr>
                <w:sz w:val="20"/>
                <w:szCs w:val="20"/>
              </w:rPr>
            </w:pPr>
          </w:p>
        </w:tc>
        <w:tc>
          <w:tcPr>
            <w:tcW w:w="2340" w:type="pct"/>
          </w:tcPr>
          <w:p w:rsidR="00E033CB" w:rsidRPr="00005520" w:rsidRDefault="00E033CB" w:rsidP="00E033CB">
            <w:pPr>
              <w:jc w:val="both"/>
              <w:rPr>
                <w:sz w:val="20"/>
                <w:szCs w:val="20"/>
              </w:rPr>
            </w:pPr>
            <w:r w:rsidRPr="00005520">
              <w:rPr>
                <w:sz w:val="20"/>
                <w:szCs w:val="20"/>
              </w:rPr>
              <w:t>Appeal allowed on basis of fresh evidence and matter remitted to Review Board for new hearing.</w:t>
            </w:r>
          </w:p>
          <w:p w:rsidR="00E033CB" w:rsidRPr="00005520" w:rsidRDefault="00E033CB" w:rsidP="00E033CB">
            <w:pPr>
              <w:jc w:val="both"/>
              <w:rPr>
                <w:sz w:val="20"/>
                <w:szCs w:val="20"/>
              </w:rPr>
            </w:pPr>
          </w:p>
        </w:tc>
      </w:tr>
      <w:tr w:rsidR="00E033CB" w:rsidRPr="00005520" w:rsidTr="0074616E">
        <w:tblPrEx>
          <w:tblCellMar>
            <w:bottom w:w="0" w:type="dxa"/>
          </w:tblCellMar>
        </w:tblPrEx>
        <w:tc>
          <w:tcPr>
            <w:tcW w:w="2390" w:type="pct"/>
            <w:gridSpan w:val="2"/>
          </w:tcPr>
          <w:p w:rsidR="00E033CB" w:rsidRPr="00005520" w:rsidRDefault="00E033CB" w:rsidP="00E033CB">
            <w:pPr>
              <w:jc w:val="both"/>
              <w:rPr>
                <w:sz w:val="20"/>
                <w:szCs w:val="20"/>
              </w:rPr>
            </w:pPr>
            <w:r w:rsidRPr="00005520">
              <w:rPr>
                <w:sz w:val="20"/>
                <w:szCs w:val="20"/>
              </w:rPr>
              <w:t>August 11, 2017</w:t>
            </w:r>
          </w:p>
          <w:p w:rsidR="00E033CB" w:rsidRPr="00005520" w:rsidRDefault="00E033CB" w:rsidP="00E033CB">
            <w:pPr>
              <w:jc w:val="both"/>
              <w:rPr>
                <w:sz w:val="20"/>
                <w:szCs w:val="20"/>
              </w:rPr>
            </w:pPr>
            <w:r w:rsidRPr="00005520">
              <w:rPr>
                <w:sz w:val="20"/>
                <w:szCs w:val="20"/>
              </w:rPr>
              <w:t>Supreme Court of Canada</w:t>
            </w:r>
          </w:p>
          <w:p w:rsidR="00E033CB" w:rsidRPr="00005520" w:rsidRDefault="00E033CB" w:rsidP="00E033CB">
            <w:pPr>
              <w:jc w:val="both"/>
              <w:rPr>
                <w:sz w:val="20"/>
                <w:szCs w:val="20"/>
              </w:rPr>
            </w:pPr>
          </w:p>
        </w:tc>
        <w:tc>
          <w:tcPr>
            <w:tcW w:w="270" w:type="pct"/>
          </w:tcPr>
          <w:p w:rsidR="00E033CB" w:rsidRPr="00005520" w:rsidRDefault="00E033CB" w:rsidP="00E033CB">
            <w:pPr>
              <w:jc w:val="both"/>
              <w:rPr>
                <w:sz w:val="20"/>
                <w:szCs w:val="20"/>
              </w:rPr>
            </w:pPr>
          </w:p>
        </w:tc>
        <w:tc>
          <w:tcPr>
            <w:tcW w:w="2340" w:type="pct"/>
          </w:tcPr>
          <w:p w:rsidR="00E033CB" w:rsidRPr="00005520" w:rsidRDefault="00E033CB" w:rsidP="00E033CB">
            <w:pPr>
              <w:jc w:val="both"/>
              <w:rPr>
                <w:sz w:val="20"/>
                <w:szCs w:val="20"/>
              </w:rPr>
            </w:pPr>
            <w:r w:rsidRPr="00005520">
              <w:rPr>
                <w:sz w:val="20"/>
                <w:szCs w:val="20"/>
              </w:rPr>
              <w:t>Application for leave to appeal filed.</w:t>
            </w:r>
          </w:p>
          <w:p w:rsidR="00E033CB" w:rsidRPr="00005520" w:rsidRDefault="00E033CB" w:rsidP="00E033CB">
            <w:pPr>
              <w:jc w:val="both"/>
              <w:rPr>
                <w:sz w:val="20"/>
                <w:szCs w:val="20"/>
              </w:rPr>
            </w:pPr>
          </w:p>
        </w:tc>
      </w:tr>
      <w:tr w:rsidR="00E033CB" w:rsidRPr="00005520" w:rsidTr="0074616E">
        <w:tblPrEx>
          <w:tblCellMar>
            <w:bottom w:w="0" w:type="dxa"/>
          </w:tblCellMar>
        </w:tblPrEx>
        <w:tc>
          <w:tcPr>
            <w:tcW w:w="2390" w:type="pct"/>
            <w:gridSpan w:val="2"/>
          </w:tcPr>
          <w:p w:rsidR="00E033CB" w:rsidRPr="00005520" w:rsidRDefault="00E033CB" w:rsidP="00E033CB">
            <w:pPr>
              <w:jc w:val="both"/>
              <w:rPr>
                <w:sz w:val="20"/>
                <w:szCs w:val="20"/>
              </w:rPr>
            </w:pPr>
            <w:r w:rsidRPr="00005520">
              <w:rPr>
                <w:sz w:val="20"/>
                <w:szCs w:val="20"/>
              </w:rPr>
              <w:t>August 18, 2017</w:t>
            </w:r>
          </w:p>
          <w:p w:rsidR="00E033CB" w:rsidRPr="00005520" w:rsidRDefault="00E033CB" w:rsidP="00E033CB">
            <w:pPr>
              <w:jc w:val="both"/>
              <w:rPr>
                <w:sz w:val="20"/>
                <w:szCs w:val="20"/>
              </w:rPr>
            </w:pPr>
            <w:r w:rsidRPr="00005520">
              <w:rPr>
                <w:sz w:val="20"/>
                <w:szCs w:val="20"/>
              </w:rPr>
              <w:t>Supreme Court of Canada</w:t>
            </w:r>
          </w:p>
        </w:tc>
        <w:tc>
          <w:tcPr>
            <w:tcW w:w="270" w:type="pct"/>
          </w:tcPr>
          <w:p w:rsidR="00E033CB" w:rsidRPr="00005520" w:rsidRDefault="00E033CB" w:rsidP="00E033CB">
            <w:pPr>
              <w:jc w:val="both"/>
              <w:rPr>
                <w:sz w:val="20"/>
                <w:szCs w:val="20"/>
              </w:rPr>
            </w:pPr>
          </w:p>
        </w:tc>
        <w:tc>
          <w:tcPr>
            <w:tcW w:w="2340" w:type="pct"/>
          </w:tcPr>
          <w:p w:rsidR="00E033CB" w:rsidRPr="00005520" w:rsidRDefault="00E033CB" w:rsidP="00E033CB">
            <w:pPr>
              <w:jc w:val="both"/>
              <w:rPr>
                <w:sz w:val="20"/>
                <w:szCs w:val="20"/>
              </w:rPr>
            </w:pPr>
            <w:r w:rsidRPr="00005520">
              <w:rPr>
                <w:sz w:val="20"/>
                <w:szCs w:val="20"/>
              </w:rPr>
              <w:t>Motion for extension of time to serve and file application for leave to appeal filed.</w:t>
            </w:r>
          </w:p>
        </w:tc>
      </w:tr>
    </w:tbl>
    <w:p w:rsidR="00E033CB" w:rsidRPr="00005520" w:rsidRDefault="008D266B" w:rsidP="00E033CB">
      <w:pPr>
        <w:rPr>
          <w:sz w:val="20"/>
          <w:szCs w:val="20"/>
        </w:rPr>
      </w:pPr>
      <w:r>
        <w:rPr>
          <w:sz w:val="20"/>
          <w:szCs w:val="20"/>
        </w:rPr>
        <w:pict>
          <v:rect id="_x0000_i1042" style="width:2in;height:1pt" o:hrpct="0" o:hralign="center" o:hrstd="t" o:hrnoshade="t" o:hr="t" fillcolor="black [3213]" stroked="f"/>
        </w:pict>
      </w:r>
    </w:p>
    <w:p w:rsidR="00E033CB" w:rsidRPr="00005520" w:rsidRDefault="00E033CB" w:rsidP="00E033CB">
      <w:pPr>
        <w:rPr>
          <w:sz w:val="20"/>
          <w:szCs w:val="20"/>
        </w:rPr>
      </w:pPr>
    </w:p>
    <w:p w:rsidR="007A4F08" w:rsidRDefault="007A4F08">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3"/>
        <w:gridCol w:w="3521"/>
        <w:gridCol w:w="514"/>
        <w:gridCol w:w="4459"/>
      </w:tblGrid>
      <w:tr w:rsidR="00E033CB" w:rsidRPr="00005520" w:rsidTr="0074616E">
        <w:tc>
          <w:tcPr>
            <w:tcW w:w="542" w:type="pct"/>
          </w:tcPr>
          <w:p w:rsidR="00E033CB" w:rsidRPr="00005520" w:rsidRDefault="00E033CB" w:rsidP="0074616E">
            <w:pPr>
              <w:rPr>
                <w:sz w:val="20"/>
                <w:szCs w:val="20"/>
                <w:lang w:val="fr-CA"/>
              </w:rPr>
            </w:pPr>
            <w:r w:rsidRPr="00005520">
              <w:rPr>
                <w:rStyle w:val="SCCFileNumberChar"/>
                <w:sz w:val="20"/>
                <w:szCs w:val="20"/>
                <w:lang w:val="fr-CA"/>
              </w:rPr>
              <w:lastRenderedPageBreak/>
              <w:t>37726</w:t>
            </w:r>
          </w:p>
        </w:tc>
        <w:tc>
          <w:tcPr>
            <w:tcW w:w="4458" w:type="pct"/>
            <w:gridSpan w:val="3"/>
          </w:tcPr>
          <w:p w:rsidR="00E033CB" w:rsidRPr="00005520" w:rsidRDefault="00E033CB" w:rsidP="0074616E">
            <w:pPr>
              <w:pStyle w:val="SCCLsocParty"/>
              <w:jc w:val="both"/>
              <w:rPr>
                <w:b/>
                <w:sz w:val="20"/>
                <w:szCs w:val="20"/>
                <w:lang w:val="en-US"/>
              </w:rPr>
            </w:pPr>
            <w:r w:rsidRPr="00005520">
              <w:rPr>
                <w:b/>
                <w:sz w:val="20"/>
                <w:szCs w:val="20"/>
                <w:lang w:val="en-US"/>
              </w:rPr>
              <w:t>Elvis Krivicic c. Sa Majesté la Reine, North Bay Regional Health Centre, Providence Care Centre</w:t>
            </w:r>
          </w:p>
          <w:p w:rsidR="00E033CB" w:rsidRPr="00005520" w:rsidRDefault="00E033CB" w:rsidP="0074616E">
            <w:pPr>
              <w:rPr>
                <w:sz w:val="20"/>
                <w:szCs w:val="20"/>
                <w:lang w:val="fr-CA"/>
              </w:rPr>
            </w:pPr>
            <w:r w:rsidRPr="00005520">
              <w:rPr>
                <w:sz w:val="20"/>
                <w:szCs w:val="20"/>
                <w:lang w:val="fr-CA"/>
              </w:rPr>
              <w:t>(Ont.) (Criminelle) (Sur autorisation)</w:t>
            </w:r>
          </w:p>
        </w:tc>
      </w:tr>
      <w:tr w:rsidR="00047CBB" w:rsidRPr="0096343C" w:rsidTr="0074616E">
        <w:tc>
          <w:tcPr>
            <w:tcW w:w="542" w:type="pct"/>
          </w:tcPr>
          <w:p w:rsidR="00047CBB" w:rsidRPr="00005520" w:rsidRDefault="00047CBB" w:rsidP="0074616E">
            <w:pPr>
              <w:rPr>
                <w:rStyle w:val="SCCFileNumberChar"/>
                <w:sz w:val="20"/>
                <w:szCs w:val="20"/>
                <w:lang w:val="fr-CA"/>
              </w:rPr>
            </w:pPr>
            <w:r>
              <w:rPr>
                <w:rStyle w:val="SCCFileNumberChar"/>
                <w:sz w:val="20"/>
                <w:szCs w:val="20"/>
                <w:lang w:val="fr-CA"/>
              </w:rPr>
              <w:t>Coram :</w:t>
            </w:r>
          </w:p>
        </w:tc>
        <w:tc>
          <w:tcPr>
            <w:tcW w:w="4458" w:type="pct"/>
            <w:gridSpan w:val="3"/>
          </w:tcPr>
          <w:p w:rsidR="00047CBB" w:rsidRDefault="007A4F08" w:rsidP="0074616E">
            <w:pPr>
              <w:pStyle w:val="SCCLsocParty"/>
              <w:jc w:val="both"/>
              <w:rPr>
                <w:sz w:val="20"/>
                <w:szCs w:val="20"/>
                <w:lang w:val="fr-FR"/>
              </w:rPr>
            </w:pPr>
            <w:r w:rsidRPr="002F440A">
              <w:rPr>
                <w:sz w:val="20"/>
                <w:szCs w:val="20"/>
                <w:lang w:val="fr-FR"/>
              </w:rPr>
              <w:t>La juge en chef McLachlin et les juges Abella, Moldaver, Karakatsanis, Wagner, Gascon, Côté, Brown et Rowe</w:t>
            </w:r>
          </w:p>
          <w:p w:rsidR="007A4F08" w:rsidRPr="007A4F08" w:rsidRDefault="007A4F08" w:rsidP="007A4F08">
            <w:pPr>
              <w:rPr>
                <w:lang w:val="fr-FR"/>
              </w:rPr>
            </w:pPr>
          </w:p>
        </w:tc>
      </w:tr>
      <w:tr w:rsidR="00047CBB" w:rsidRPr="0096343C" w:rsidTr="00047CBB">
        <w:tc>
          <w:tcPr>
            <w:tcW w:w="5000" w:type="pct"/>
            <w:gridSpan w:val="4"/>
          </w:tcPr>
          <w:p w:rsidR="00047CBB" w:rsidRDefault="007A4F08" w:rsidP="0074616E">
            <w:pPr>
              <w:pStyle w:val="SCCLsocParty"/>
              <w:jc w:val="both"/>
              <w:rPr>
                <w:sz w:val="20"/>
                <w:szCs w:val="20"/>
              </w:rPr>
            </w:pPr>
            <w:r w:rsidRPr="002F440A">
              <w:rPr>
                <w:sz w:val="20"/>
                <w:szCs w:val="20"/>
              </w:rPr>
              <w:t xml:space="preserve">La requête en prorogation du délai de signification et de dépôt de la demande d’autorisation d’appel est accueillie. La demande d’autorisation d’appel de l’arrêt de la </w:t>
            </w:r>
            <w:r w:rsidRPr="002F440A">
              <w:rPr>
                <w:sz w:val="20"/>
                <w:szCs w:val="20"/>
                <w:lang w:val="fr-FR"/>
              </w:rPr>
              <w:t>Cour d’appel de l’Ontario</w:t>
            </w:r>
            <w:r w:rsidRPr="002F440A">
              <w:rPr>
                <w:sz w:val="20"/>
                <w:szCs w:val="20"/>
              </w:rPr>
              <w:t xml:space="preserve">, numéro </w:t>
            </w:r>
            <w:r w:rsidRPr="002F440A">
              <w:rPr>
                <w:sz w:val="20"/>
                <w:szCs w:val="20"/>
                <w:lang w:val="fr-FR"/>
              </w:rPr>
              <w:t>C62629, 2017 ONCA 379</w:t>
            </w:r>
            <w:r w:rsidRPr="002F440A">
              <w:rPr>
                <w:sz w:val="20"/>
                <w:szCs w:val="20"/>
              </w:rPr>
              <w:t xml:space="preserve">, daté du </w:t>
            </w:r>
            <w:r w:rsidRPr="002F440A">
              <w:rPr>
                <w:sz w:val="20"/>
                <w:szCs w:val="20"/>
                <w:lang w:val="fr-FR"/>
              </w:rPr>
              <w:t>10 mai 2017</w:t>
            </w:r>
            <w:r w:rsidRPr="002F440A">
              <w:rPr>
                <w:sz w:val="20"/>
                <w:szCs w:val="20"/>
              </w:rPr>
              <w:t>, est rejetée sans dépens.</w:t>
            </w:r>
          </w:p>
          <w:p w:rsidR="007A4F08" w:rsidRPr="007A4F08" w:rsidRDefault="007A4F08" w:rsidP="007A4F08">
            <w:pPr>
              <w:rPr>
                <w:lang w:val="fr-CA"/>
              </w:rPr>
            </w:pPr>
          </w:p>
        </w:tc>
      </w:tr>
      <w:tr w:rsidR="00E033CB" w:rsidRPr="0096343C" w:rsidTr="0074616E">
        <w:tc>
          <w:tcPr>
            <w:tcW w:w="5000" w:type="pct"/>
            <w:gridSpan w:val="4"/>
          </w:tcPr>
          <w:p w:rsidR="00E033CB" w:rsidRPr="00005520" w:rsidRDefault="00E033CB" w:rsidP="00E033CB">
            <w:pPr>
              <w:jc w:val="both"/>
              <w:rPr>
                <w:sz w:val="20"/>
                <w:szCs w:val="20"/>
                <w:lang w:val="fr-CA"/>
              </w:rPr>
            </w:pPr>
            <w:r w:rsidRPr="00005520">
              <w:rPr>
                <w:sz w:val="20"/>
                <w:szCs w:val="20"/>
                <w:lang w:val="fr-CA"/>
              </w:rPr>
              <w:t>Droit criminel — Commissions d’examen — Protection du public face aux personnes dangereuses — Détention dans un hôpital — Appels et contrôle judiciaire — La commission d’examen a conclu que le demandeur continuait de représenter un risque important pour la sécurité publique et a ordonné le maintien en détention — Appel accueilli sur la base d’une preuve nouvelle et affaire renvoyée à la commission d’examen pour nouvelle audition — La Cour d’appel est-elle obligée d’ordonner la libération inconditionnelle plutôt que de renvoyer l’affaire à la commission d’examen pour nouvelle audition dans un cas où l’appel a été accueilli sur la base d’une preuve nouvelle?</w:t>
            </w:r>
          </w:p>
        </w:tc>
      </w:tr>
      <w:tr w:rsidR="00E033CB" w:rsidRPr="0096343C" w:rsidTr="0074616E">
        <w:tc>
          <w:tcPr>
            <w:tcW w:w="5000" w:type="pct"/>
            <w:gridSpan w:val="4"/>
          </w:tcPr>
          <w:p w:rsidR="00E033CB" w:rsidRPr="00005520" w:rsidRDefault="00E033CB" w:rsidP="0074616E">
            <w:pPr>
              <w:rPr>
                <w:sz w:val="20"/>
                <w:szCs w:val="20"/>
                <w:lang w:val="fr-CA"/>
              </w:rPr>
            </w:pPr>
          </w:p>
        </w:tc>
      </w:tr>
      <w:tr w:rsidR="00E033CB" w:rsidRPr="0096343C" w:rsidTr="0074616E">
        <w:tc>
          <w:tcPr>
            <w:tcW w:w="5000" w:type="pct"/>
            <w:gridSpan w:val="4"/>
          </w:tcPr>
          <w:p w:rsidR="00E033CB" w:rsidRPr="00005520" w:rsidRDefault="00E033CB" w:rsidP="00E033CB">
            <w:pPr>
              <w:jc w:val="both"/>
              <w:rPr>
                <w:sz w:val="20"/>
                <w:szCs w:val="20"/>
                <w:lang w:val="fr-CA"/>
              </w:rPr>
            </w:pPr>
            <w:r w:rsidRPr="00005520">
              <w:rPr>
                <w:sz w:val="20"/>
                <w:szCs w:val="20"/>
                <w:lang w:val="fr-CA"/>
              </w:rPr>
              <w:t>Le demandeur, M. Krivicic, a été déclaré non responsable criminellement pour cause de troubles mentaux en lien avec un chef de harcèlement criminel et deux chefs d’avoir omis de se conformer à des engagements et il a été détenu. La Commission ontarienne d’examen a conclu par la suite que M. Krivicic continuait de représenter un risque important pour la sécurité publique et a ordonné son maintien en détention. En appel de cette ordonnance de maintien en détention, M. Krivicic a mis en preuve une évaluation psychiatrique récente pour démontrer qu’il ne remplissait pas le critère du risque important justifiant le maintien en détention. Les juges majoritaires de la Cour d’appel ont accueilli l’appel sur la base de cette preuve nouvelle et ont renvoyé l’affaire à la Commission d’examen pour nouvelle audition.</w:t>
            </w:r>
          </w:p>
          <w:p w:rsidR="00E033CB" w:rsidRPr="00005520" w:rsidRDefault="00E033CB" w:rsidP="00E033CB">
            <w:pPr>
              <w:jc w:val="both"/>
              <w:rPr>
                <w:sz w:val="20"/>
                <w:szCs w:val="20"/>
                <w:lang w:val="fr-CA"/>
              </w:rPr>
            </w:pPr>
          </w:p>
        </w:tc>
      </w:tr>
      <w:tr w:rsidR="00E033CB" w:rsidRPr="0096343C" w:rsidTr="0074616E">
        <w:tblPrEx>
          <w:tblCellMar>
            <w:bottom w:w="0" w:type="dxa"/>
          </w:tblCellMar>
        </w:tblPrEx>
        <w:tc>
          <w:tcPr>
            <w:tcW w:w="2390" w:type="pct"/>
            <w:gridSpan w:val="2"/>
          </w:tcPr>
          <w:p w:rsidR="00E033CB" w:rsidRPr="00005520" w:rsidRDefault="00E033CB" w:rsidP="00E033CB">
            <w:pPr>
              <w:jc w:val="both"/>
              <w:rPr>
                <w:sz w:val="20"/>
                <w:szCs w:val="20"/>
                <w:lang w:val="fr-CA"/>
              </w:rPr>
            </w:pPr>
            <w:r w:rsidRPr="00005520">
              <w:rPr>
                <w:sz w:val="20"/>
                <w:szCs w:val="20"/>
                <w:lang w:val="fr-CA"/>
              </w:rPr>
              <w:t>11 août 2016</w:t>
            </w:r>
          </w:p>
          <w:p w:rsidR="00E033CB" w:rsidRPr="00005520" w:rsidRDefault="00E033CB" w:rsidP="00E033CB">
            <w:pPr>
              <w:jc w:val="both"/>
              <w:rPr>
                <w:sz w:val="20"/>
                <w:szCs w:val="20"/>
                <w:lang w:val="fr-CA"/>
              </w:rPr>
            </w:pPr>
            <w:r w:rsidRPr="00005520">
              <w:rPr>
                <w:sz w:val="20"/>
                <w:szCs w:val="20"/>
                <w:lang w:val="fr-CA"/>
              </w:rPr>
              <w:t>Commission ontarienne d’examen</w:t>
            </w:r>
          </w:p>
          <w:p w:rsidR="00E033CB" w:rsidRPr="00005520" w:rsidRDefault="00E033CB" w:rsidP="00E033CB">
            <w:pPr>
              <w:jc w:val="both"/>
              <w:rPr>
                <w:sz w:val="20"/>
                <w:szCs w:val="20"/>
                <w:lang w:val="fr-CA"/>
              </w:rPr>
            </w:pPr>
          </w:p>
        </w:tc>
        <w:tc>
          <w:tcPr>
            <w:tcW w:w="270" w:type="pct"/>
          </w:tcPr>
          <w:p w:rsidR="00E033CB" w:rsidRPr="00005520" w:rsidRDefault="00E033CB" w:rsidP="00E033CB">
            <w:pPr>
              <w:jc w:val="both"/>
              <w:rPr>
                <w:sz w:val="20"/>
                <w:szCs w:val="20"/>
                <w:lang w:val="fr-CA"/>
              </w:rPr>
            </w:pPr>
          </w:p>
        </w:tc>
        <w:tc>
          <w:tcPr>
            <w:tcW w:w="2340" w:type="pct"/>
          </w:tcPr>
          <w:p w:rsidR="00E033CB" w:rsidRPr="00005520" w:rsidRDefault="00E033CB" w:rsidP="00E033CB">
            <w:pPr>
              <w:jc w:val="both"/>
              <w:rPr>
                <w:sz w:val="20"/>
                <w:szCs w:val="20"/>
                <w:lang w:val="fr-CA"/>
              </w:rPr>
            </w:pPr>
            <w:r w:rsidRPr="00005520">
              <w:rPr>
                <w:sz w:val="20"/>
                <w:szCs w:val="20"/>
                <w:lang w:val="fr-CA"/>
              </w:rPr>
              <w:t>Conclusion selon laquelle le demandeur continuait de représenter un risque important pour la sécurité publique et ordonnance de maintien en détention.</w:t>
            </w:r>
          </w:p>
          <w:p w:rsidR="00E033CB" w:rsidRPr="00005520" w:rsidRDefault="00E033CB" w:rsidP="00E033CB">
            <w:pPr>
              <w:jc w:val="both"/>
              <w:rPr>
                <w:sz w:val="20"/>
                <w:szCs w:val="20"/>
                <w:lang w:val="fr-CA"/>
              </w:rPr>
            </w:pPr>
            <w:r w:rsidRPr="00005520">
              <w:rPr>
                <w:sz w:val="20"/>
                <w:szCs w:val="20"/>
                <w:lang w:val="fr-CA"/>
              </w:rPr>
              <w:t xml:space="preserve"> </w:t>
            </w:r>
          </w:p>
        </w:tc>
      </w:tr>
      <w:tr w:rsidR="00E033CB" w:rsidRPr="0096343C" w:rsidTr="0074616E">
        <w:tblPrEx>
          <w:tblCellMar>
            <w:bottom w:w="0" w:type="dxa"/>
          </w:tblCellMar>
        </w:tblPrEx>
        <w:tc>
          <w:tcPr>
            <w:tcW w:w="2390" w:type="pct"/>
            <w:gridSpan w:val="2"/>
          </w:tcPr>
          <w:p w:rsidR="00E033CB" w:rsidRPr="00005520" w:rsidRDefault="00E033CB" w:rsidP="00E033CB">
            <w:pPr>
              <w:jc w:val="both"/>
              <w:rPr>
                <w:sz w:val="20"/>
                <w:szCs w:val="20"/>
                <w:lang w:val="fr-CA"/>
              </w:rPr>
            </w:pPr>
            <w:r w:rsidRPr="00005520">
              <w:rPr>
                <w:sz w:val="20"/>
                <w:szCs w:val="20"/>
                <w:lang w:val="fr-CA"/>
              </w:rPr>
              <w:t>10 mai 2017</w:t>
            </w:r>
          </w:p>
          <w:p w:rsidR="00E033CB" w:rsidRPr="00005520" w:rsidRDefault="00E033CB" w:rsidP="00E033CB">
            <w:pPr>
              <w:jc w:val="both"/>
              <w:rPr>
                <w:sz w:val="20"/>
                <w:szCs w:val="20"/>
                <w:lang w:val="fr-CA"/>
              </w:rPr>
            </w:pPr>
            <w:r w:rsidRPr="00005520">
              <w:rPr>
                <w:sz w:val="20"/>
                <w:szCs w:val="20"/>
                <w:lang w:val="fr-CA"/>
              </w:rPr>
              <w:t>Cour d’appel de l’Ontario</w:t>
            </w:r>
          </w:p>
          <w:p w:rsidR="00E033CB" w:rsidRPr="00005520" w:rsidRDefault="00E033CB" w:rsidP="00E033CB">
            <w:pPr>
              <w:jc w:val="both"/>
              <w:rPr>
                <w:sz w:val="20"/>
                <w:szCs w:val="20"/>
                <w:lang w:val="fr-CA"/>
              </w:rPr>
            </w:pPr>
            <w:r w:rsidRPr="00005520">
              <w:rPr>
                <w:sz w:val="20"/>
                <w:szCs w:val="20"/>
                <w:lang w:val="fr-CA"/>
              </w:rPr>
              <w:t>(Juges Weiler, Feldman [dissidente] et Huscroft)</w:t>
            </w:r>
          </w:p>
          <w:p w:rsidR="00E033CB" w:rsidRPr="00005520" w:rsidRDefault="008D266B" w:rsidP="00E033CB">
            <w:pPr>
              <w:jc w:val="both"/>
              <w:rPr>
                <w:sz w:val="20"/>
                <w:szCs w:val="20"/>
                <w:lang w:val="fr-CA"/>
              </w:rPr>
            </w:pPr>
            <w:hyperlink r:id="rId19" w:history="1">
              <w:r w:rsidR="00E033CB" w:rsidRPr="00005520">
                <w:rPr>
                  <w:rStyle w:val="Hyperlink"/>
                  <w:sz w:val="20"/>
                  <w:szCs w:val="20"/>
                  <w:lang w:val="fr-CA"/>
                </w:rPr>
                <w:t>2017 ONCA 379</w:t>
              </w:r>
            </w:hyperlink>
          </w:p>
          <w:p w:rsidR="00E033CB" w:rsidRPr="00005520" w:rsidRDefault="00E033CB" w:rsidP="00E033CB">
            <w:pPr>
              <w:jc w:val="both"/>
              <w:rPr>
                <w:sz w:val="20"/>
                <w:szCs w:val="20"/>
                <w:lang w:val="fr-CA"/>
              </w:rPr>
            </w:pPr>
          </w:p>
        </w:tc>
        <w:tc>
          <w:tcPr>
            <w:tcW w:w="270" w:type="pct"/>
          </w:tcPr>
          <w:p w:rsidR="00E033CB" w:rsidRPr="00005520" w:rsidRDefault="00E033CB" w:rsidP="00E033CB">
            <w:pPr>
              <w:jc w:val="both"/>
              <w:rPr>
                <w:sz w:val="20"/>
                <w:szCs w:val="20"/>
                <w:lang w:val="fr-CA"/>
              </w:rPr>
            </w:pPr>
          </w:p>
        </w:tc>
        <w:tc>
          <w:tcPr>
            <w:tcW w:w="2340" w:type="pct"/>
          </w:tcPr>
          <w:p w:rsidR="00E033CB" w:rsidRPr="00005520" w:rsidRDefault="00E033CB" w:rsidP="00E033CB">
            <w:pPr>
              <w:jc w:val="both"/>
              <w:rPr>
                <w:sz w:val="20"/>
                <w:szCs w:val="20"/>
                <w:lang w:val="fr-CA"/>
              </w:rPr>
            </w:pPr>
            <w:r w:rsidRPr="00005520">
              <w:rPr>
                <w:sz w:val="20"/>
                <w:szCs w:val="20"/>
                <w:lang w:val="fr-CA"/>
              </w:rPr>
              <w:t>Arrêt accueillant l’appel sur la base d’une preuve nouvelle et renvoyant l’affaire à la Commission d’examen pour nouvelle audition.</w:t>
            </w:r>
          </w:p>
          <w:p w:rsidR="00E033CB" w:rsidRPr="00005520" w:rsidRDefault="00E033CB" w:rsidP="00E033CB">
            <w:pPr>
              <w:jc w:val="both"/>
              <w:rPr>
                <w:sz w:val="20"/>
                <w:szCs w:val="20"/>
                <w:lang w:val="fr-CA"/>
              </w:rPr>
            </w:pPr>
          </w:p>
        </w:tc>
      </w:tr>
      <w:tr w:rsidR="00E033CB" w:rsidRPr="0096343C" w:rsidTr="0074616E">
        <w:tblPrEx>
          <w:tblCellMar>
            <w:bottom w:w="0" w:type="dxa"/>
          </w:tblCellMar>
        </w:tblPrEx>
        <w:tc>
          <w:tcPr>
            <w:tcW w:w="2390" w:type="pct"/>
            <w:gridSpan w:val="2"/>
          </w:tcPr>
          <w:p w:rsidR="00E033CB" w:rsidRPr="00005520" w:rsidRDefault="00E033CB" w:rsidP="00E033CB">
            <w:pPr>
              <w:jc w:val="both"/>
              <w:rPr>
                <w:sz w:val="20"/>
                <w:szCs w:val="20"/>
                <w:lang w:val="fr-CA"/>
              </w:rPr>
            </w:pPr>
            <w:r w:rsidRPr="00005520">
              <w:rPr>
                <w:sz w:val="20"/>
                <w:szCs w:val="20"/>
                <w:lang w:val="fr-CA"/>
              </w:rPr>
              <w:t>11 août 2017</w:t>
            </w:r>
          </w:p>
          <w:p w:rsidR="00E033CB" w:rsidRPr="00005520" w:rsidRDefault="00E033CB" w:rsidP="00E033CB">
            <w:pPr>
              <w:jc w:val="both"/>
              <w:rPr>
                <w:sz w:val="20"/>
                <w:szCs w:val="20"/>
                <w:lang w:val="fr-CA"/>
              </w:rPr>
            </w:pPr>
            <w:r w:rsidRPr="00005520">
              <w:rPr>
                <w:sz w:val="20"/>
                <w:szCs w:val="20"/>
                <w:lang w:val="fr-CA"/>
              </w:rPr>
              <w:t>Cour suprême du Canada</w:t>
            </w:r>
          </w:p>
          <w:p w:rsidR="00E033CB" w:rsidRPr="00005520" w:rsidRDefault="00E033CB" w:rsidP="00E033CB">
            <w:pPr>
              <w:jc w:val="both"/>
              <w:rPr>
                <w:sz w:val="20"/>
                <w:szCs w:val="20"/>
                <w:lang w:val="fr-CA"/>
              </w:rPr>
            </w:pPr>
          </w:p>
        </w:tc>
        <w:tc>
          <w:tcPr>
            <w:tcW w:w="270" w:type="pct"/>
          </w:tcPr>
          <w:p w:rsidR="00E033CB" w:rsidRPr="00005520" w:rsidRDefault="00E033CB" w:rsidP="00E033CB">
            <w:pPr>
              <w:jc w:val="both"/>
              <w:rPr>
                <w:sz w:val="20"/>
                <w:szCs w:val="20"/>
                <w:lang w:val="fr-CA"/>
              </w:rPr>
            </w:pPr>
          </w:p>
        </w:tc>
        <w:tc>
          <w:tcPr>
            <w:tcW w:w="2340" w:type="pct"/>
          </w:tcPr>
          <w:p w:rsidR="00E033CB" w:rsidRPr="00005520" w:rsidRDefault="00E033CB" w:rsidP="00E033CB">
            <w:pPr>
              <w:jc w:val="both"/>
              <w:rPr>
                <w:sz w:val="20"/>
                <w:szCs w:val="20"/>
                <w:lang w:val="fr-CA"/>
              </w:rPr>
            </w:pPr>
            <w:r w:rsidRPr="00005520">
              <w:rPr>
                <w:sz w:val="20"/>
                <w:szCs w:val="20"/>
                <w:lang w:val="fr-CA"/>
              </w:rPr>
              <w:t>Dépôt de la demande d’autorisation d’appel.</w:t>
            </w:r>
          </w:p>
          <w:p w:rsidR="00E033CB" w:rsidRPr="00005520" w:rsidRDefault="00E033CB" w:rsidP="00E033CB">
            <w:pPr>
              <w:jc w:val="both"/>
              <w:rPr>
                <w:sz w:val="20"/>
                <w:szCs w:val="20"/>
                <w:lang w:val="fr-CA"/>
              </w:rPr>
            </w:pPr>
          </w:p>
        </w:tc>
      </w:tr>
      <w:tr w:rsidR="00E033CB" w:rsidRPr="0096343C" w:rsidTr="0074616E">
        <w:tblPrEx>
          <w:tblCellMar>
            <w:bottom w:w="0" w:type="dxa"/>
          </w:tblCellMar>
        </w:tblPrEx>
        <w:tc>
          <w:tcPr>
            <w:tcW w:w="2390" w:type="pct"/>
            <w:gridSpan w:val="2"/>
          </w:tcPr>
          <w:p w:rsidR="00E033CB" w:rsidRPr="00005520" w:rsidRDefault="00E033CB" w:rsidP="00E033CB">
            <w:pPr>
              <w:jc w:val="both"/>
              <w:rPr>
                <w:sz w:val="20"/>
                <w:szCs w:val="20"/>
                <w:lang w:val="fr-CA"/>
              </w:rPr>
            </w:pPr>
            <w:r w:rsidRPr="00005520">
              <w:rPr>
                <w:sz w:val="20"/>
                <w:szCs w:val="20"/>
                <w:lang w:val="fr-CA"/>
              </w:rPr>
              <w:t>18 août 2017</w:t>
            </w:r>
          </w:p>
          <w:p w:rsidR="00E033CB" w:rsidRPr="00005520" w:rsidRDefault="00E033CB" w:rsidP="00E033CB">
            <w:pPr>
              <w:jc w:val="both"/>
              <w:rPr>
                <w:sz w:val="20"/>
                <w:szCs w:val="20"/>
                <w:lang w:val="fr-CA"/>
              </w:rPr>
            </w:pPr>
            <w:r w:rsidRPr="00005520">
              <w:rPr>
                <w:sz w:val="20"/>
                <w:szCs w:val="20"/>
                <w:lang w:val="fr-CA"/>
              </w:rPr>
              <w:t>Cour suprême du Canada</w:t>
            </w:r>
          </w:p>
        </w:tc>
        <w:tc>
          <w:tcPr>
            <w:tcW w:w="270" w:type="pct"/>
          </w:tcPr>
          <w:p w:rsidR="00E033CB" w:rsidRPr="00005520" w:rsidRDefault="00E033CB" w:rsidP="00E033CB">
            <w:pPr>
              <w:jc w:val="both"/>
              <w:rPr>
                <w:sz w:val="20"/>
                <w:szCs w:val="20"/>
                <w:lang w:val="fr-CA"/>
              </w:rPr>
            </w:pPr>
          </w:p>
        </w:tc>
        <w:tc>
          <w:tcPr>
            <w:tcW w:w="2340" w:type="pct"/>
          </w:tcPr>
          <w:p w:rsidR="00E033CB" w:rsidRPr="00005520" w:rsidRDefault="00E033CB" w:rsidP="00E033CB">
            <w:pPr>
              <w:jc w:val="both"/>
              <w:rPr>
                <w:sz w:val="20"/>
                <w:szCs w:val="20"/>
                <w:lang w:val="fr-CA"/>
              </w:rPr>
            </w:pPr>
            <w:r w:rsidRPr="00005520">
              <w:rPr>
                <w:sz w:val="20"/>
                <w:szCs w:val="20"/>
                <w:lang w:val="fr-CA"/>
              </w:rPr>
              <w:t>Dépôt de la requête en prorogation du délai de signification et de dépôt de la demande d’autorisation d’appel.</w:t>
            </w:r>
          </w:p>
        </w:tc>
      </w:tr>
    </w:tbl>
    <w:p w:rsidR="00E033CB" w:rsidRPr="00005520" w:rsidRDefault="008D266B" w:rsidP="00E033CB">
      <w:pPr>
        <w:rPr>
          <w:sz w:val="20"/>
          <w:szCs w:val="20"/>
          <w:lang w:val="fr-CA"/>
        </w:rPr>
      </w:pPr>
      <w:r>
        <w:rPr>
          <w:sz w:val="20"/>
          <w:szCs w:val="20"/>
        </w:rPr>
        <w:pict>
          <v:rect id="_x0000_i1043" style="width:2in;height:1pt" o:hrpct="0" o:hralign="center" o:hrstd="t" o:hrnoshade="t" o:hr="t" fillcolor="black [3213]" stroked="f"/>
        </w:pict>
      </w:r>
    </w:p>
    <w:p w:rsidR="00E033CB" w:rsidRPr="00005520" w:rsidRDefault="00E033CB" w:rsidP="00E033CB">
      <w:pPr>
        <w:jc w:val="both"/>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3"/>
        <w:gridCol w:w="3521"/>
        <w:gridCol w:w="514"/>
        <w:gridCol w:w="4459"/>
      </w:tblGrid>
      <w:tr w:rsidR="00E033CB" w:rsidRPr="00005520" w:rsidTr="0074616E">
        <w:tc>
          <w:tcPr>
            <w:tcW w:w="542" w:type="pct"/>
          </w:tcPr>
          <w:p w:rsidR="00E033CB" w:rsidRPr="00005520" w:rsidRDefault="00E033CB" w:rsidP="0074616E">
            <w:pPr>
              <w:rPr>
                <w:sz w:val="20"/>
                <w:szCs w:val="20"/>
              </w:rPr>
            </w:pPr>
            <w:r w:rsidRPr="00005520">
              <w:rPr>
                <w:rStyle w:val="SCCFileNumberChar"/>
                <w:sz w:val="20"/>
                <w:szCs w:val="20"/>
              </w:rPr>
              <w:t>37666</w:t>
            </w:r>
          </w:p>
        </w:tc>
        <w:tc>
          <w:tcPr>
            <w:tcW w:w="4458" w:type="pct"/>
            <w:gridSpan w:val="3"/>
          </w:tcPr>
          <w:p w:rsidR="00E033CB" w:rsidRPr="00005520" w:rsidRDefault="00E033CB" w:rsidP="0074616E">
            <w:pPr>
              <w:pStyle w:val="SCCLsocParty"/>
              <w:jc w:val="both"/>
              <w:rPr>
                <w:b/>
                <w:sz w:val="20"/>
                <w:szCs w:val="20"/>
              </w:rPr>
            </w:pPr>
            <w:r w:rsidRPr="00005520">
              <w:rPr>
                <w:b/>
                <w:sz w:val="20"/>
                <w:szCs w:val="20"/>
              </w:rPr>
              <w:t>Madelaine Drolet-Savoie v. Tribunal des professions, Secrétaire du Conseil de discipline du Barreau du Québec, Me Jean Lanctot, ès qualités de syndic ad hoc du Barreau du Québec, Barreau du Québec</w:t>
            </w:r>
          </w:p>
          <w:p w:rsidR="00E033CB" w:rsidRPr="00005520" w:rsidRDefault="00E033CB" w:rsidP="0074616E">
            <w:pPr>
              <w:rPr>
                <w:sz w:val="20"/>
                <w:szCs w:val="20"/>
              </w:rPr>
            </w:pPr>
            <w:r w:rsidRPr="00005520">
              <w:rPr>
                <w:sz w:val="20"/>
                <w:szCs w:val="20"/>
              </w:rPr>
              <w:t>(Que.) (Civil) (By Leave)</w:t>
            </w:r>
          </w:p>
        </w:tc>
      </w:tr>
      <w:tr w:rsidR="00047CBB" w:rsidRPr="00005520" w:rsidTr="0074616E">
        <w:tc>
          <w:tcPr>
            <w:tcW w:w="542" w:type="pct"/>
          </w:tcPr>
          <w:p w:rsidR="00047CBB" w:rsidRPr="00005520" w:rsidRDefault="00047CBB" w:rsidP="0074616E">
            <w:pPr>
              <w:rPr>
                <w:rStyle w:val="SCCFileNumberChar"/>
                <w:sz w:val="20"/>
                <w:szCs w:val="20"/>
              </w:rPr>
            </w:pPr>
            <w:r>
              <w:rPr>
                <w:rStyle w:val="SCCFileNumberChar"/>
                <w:sz w:val="20"/>
                <w:szCs w:val="20"/>
              </w:rPr>
              <w:t>Coram:</w:t>
            </w:r>
          </w:p>
        </w:tc>
        <w:tc>
          <w:tcPr>
            <w:tcW w:w="4458" w:type="pct"/>
            <w:gridSpan w:val="3"/>
          </w:tcPr>
          <w:p w:rsidR="00047CBB" w:rsidRDefault="0088323A" w:rsidP="0074616E">
            <w:pPr>
              <w:pStyle w:val="SCCLsocParty"/>
              <w:jc w:val="both"/>
              <w:rPr>
                <w:sz w:val="20"/>
                <w:szCs w:val="20"/>
                <w:lang w:val="en-US"/>
              </w:rPr>
            </w:pPr>
            <w:r w:rsidRPr="00AF24D4">
              <w:rPr>
                <w:sz w:val="20"/>
                <w:szCs w:val="20"/>
                <w:lang w:val="en-US"/>
              </w:rPr>
              <w:t>McLachlin C.J. and Abella, Moldaver, Karakatsanis, Wagner, Gascon, Côté, Brown and Rowe JJ.</w:t>
            </w:r>
          </w:p>
          <w:p w:rsidR="0088323A" w:rsidRPr="0088323A" w:rsidRDefault="0088323A" w:rsidP="0088323A">
            <w:pPr>
              <w:rPr>
                <w:lang w:val="en-US"/>
              </w:rPr>
            </w:pPr>
          </w:p>
        </w:tc>
      </w:tr>
      <w:tr w:rsidR="00047CBB" w:rsidRPr="00005520" w:rsidTr="00047CBB">
        <w:tc>
          <w:tcPr>
            <w:tcW w:w="5000" w:type="pct"/>
            <w:gridSpan w:val="4"/>
          </w:tcPr>
          <w:p w:rsidR="00047CBB" w:rsidRDefault="0088323A" w:rsidP="0074616E">
            <w:pPr>
              <w:pStyle w:val="SCCLsocParty"/>
              <w:jc w:val="both"/>
              <w:rPr>
                <w:sz w:val="20"/>
                <w:szCs w:val="20"/>
                <w:lang w:val="en-US"/>
              </w:rPr>
            </w:pPr>
            <w:r w:rsidRPr="00AF24D4">
              <w:rPr>
                <w:sz w:val="20"/>
                <w:szCs w:val="20"/>
                <w:lang w:val="en-US"/>
              </w:rPr>
              <w:t>The application for leave to appeal from the judgment of the Court of Appeal of Quebec (Montréal), Number 500-09-025673-153, 2017 QCCA 842, dated May 25, 2017, is dismissed with costs.</w:t>
            </w:r>
          </w:p>
          <w:p w:rsidR="0088323A" w:rsidRPr="0088323A" w:rsidRDefault="0088323A" w:rsidP="0088323A">
            <w:pPr>
              <w:rPr>
                <w:lang w:val="en-US"/>
              </w:rPr>
            </w:pPr>
          </w:p>
        </w:tc>
      </w:tr>
      <w:tr w:rsidR="00E033CB" w:rsidRPr="00005520" w:rsidTr="0074616E">
        <w:tc>
          <w:tcPr>
            <w:tcW w:w="5000" w:type="pct"/>
            <w:gridSpan w:val="4"/>
          </w:tcPr>
          <w:p w:rsidR="00E033CB" w:rsidRPr="00005520" w:rsidRDefault="00E033CB" w:rsidP="00E033CB">
            <w:pPr>
              <w:jc w:val="both"/>
              <w:rPr>
                <w:sz w:val="20"/>
                <w:szCs w:val="20"/>
              </w:rPr>
            </w:pPr>
            <w:r w:rsidRPr="00005520">
              <w:rPr>
                <w:i/>
                <w:iCs/>
                <w:sz w:val="20"/>
                <w:szCs w:val="20"/>
              </w:rPr>
              <w:lastRenderedPageBreak/>
              <w:t>Canadian Charter of Rights and Freedoms</w:t>
            </w:r>
            <w:r w:rsidRPr="00005520">
              <w:rPr>
                <w:iCs/>
                <w:sz w:val="20"/>
                <w:szCs w:val="20"/>
              </w:rPr>
              <w:t xml:space="preserve"> – Freedom of expression –Administrative law </w:t>
            </w:r>
            <w:r w:rsidRPr="00005520">
              <w:rPr>
                <w:spacing w:val="-1"/>
                <w:sz w:val="20"/>
                <w:szCs w:val="20"/>
              </w:rPr>
              <w:t>–</w:t>
            </w:r>
            <w:r w:rsidRPr="00005520">
              <w:rPr>
                <w:iCs/>
                <w:sz w:val="20"/>
                <w:szCs w:val="20"/>
              </w:rPr>
              <w:t xml:space="preserve"> Judicial review </w:t>
            </w:r>
            <w:r w:rsidRPr="00005520">
              <w:rPr>
                <w:spacing w:val="-1"/>
                <w:sz w:val="20"/>
                <w:szCs w:val="20"/>
              </w:rPr>
              <w:t>–</w:t>
            </w:r>
            <w:r w:rsidRPr="00005520">
              <w:rPr>
                <w:iCs/>
                <w:sz w:val="20"/>
                <w:szCs w:val="20"/>
              </w:rPr>
              <w:t xml:space="preserve"> Standard of review </w:t>
            </w:r>
            <w:r w:rsidRPr="00005520">
              <w:rPr>
                <w:spacing w:val="-1"/>
                <w:sz w:val="20"/>
                <w:szCs w:val="20"/>
              </w:rPr>
              <w:t>–</w:t>
            </w:r>
            <w:r w:rsidRPr="00005520">
              <w:rPr>
                <w:iCs/>
                <w:sz w:val="20"/>
                <w:szCs w:val="20"/>
              </w:rPr>
              <w:t xml:space="preserve"> Law of professions </w:t>
            </w:r>
            <w:r w:rsidRPr="00005520">
              <w:rPr>
                <w:spacing w:val="-1"/>
                <w:sz w:val="20"/>
                <w:szCs w:val="20"/>
              </w:rPr>
              <w:t>–</w:t>
            </w:r>
            <w:r w:rsidRPr="00005520">
              <w:rPr>
                <w:iCs/>
                <w:sz w:val="20"/>
                <w:szCs w:val="20"/>
              </w:rPr>
              <w:t xml:space="preserve"> Discipline </w:t>
            </w:r>
            <w:r w:rsidRPr="00005520">
              <w:rPr>
                <w:spacing w:val="-1"/>
                <w:sz w:val="20"/>
                <w:szCs w:val="20"/>
              </w:rPr>
              <w:t>–</w:t>
            </w:r>
            <w:r w:rsidRPr="00005520">
              <w:rPr>
                <w:iCs/>
                <w:sz w:val="20"/>
                <w:szCs w:val="20"/>
              </w:rPr>
              <w:t xml:space="preserve"> Barristers and solicitors </w:t>
            </w:r>
            <w:r w:rsidRPr="00005520">
              <w:rPr>
                <w:spacing w:val="-1"/>
                <w:sz w:val="20"/>
                <w:szCs w:val="20"/>
              </w:rPr>
              <w:t>–</w:t>
            </w:r>
            <w:r w:rsidRPr="00005520">
              <w:rPr>
                <w:iCs/>
                <w:sz w:val="20"/>
                <w:szCs w:val="20"/>
              </w:rPr>
              <w:t xml:space="preserve"> </w:t>
            </w:r>
            <w:r w:rsidRPr="00005520">
              <w:rPr>
                <w:spacing w:val="-1"/>
                <w:sz w:val="20"/>
                <w:szCs w:val="20"/>
              </w:rPr>
              <w:t>What</w:t>
            </w:r>
            <w:r w:rsidRPr="00005520">
              <w:rPr>
                <w:spacing w:val="-7"/>
                <w:sz w:val="20"/>
                <w:szCs w:val="20"/>
              </w:rPr>
              <w:t xml:space="preserve"> </w:t>
            </w:r>
            <w:r w:rsidRPr="00005520">
              <w:rPr>
                <w:spacing w:val="-1"/>
                <w:sz w:val="20"/>
                <w:szCs w:val="20"/>
              </w:rPr>
              <w:t>is</w:t>
            </w:r>
            <w:r w:rsidRPr="00005520">
              <w:rPr>
                <w:spacing w:val="-8"/>
                <w:sz w:val="20"/>
                <w:szCs w:val="20"/>
              </w:rPr>
              <w:t xml:space="preserve"> </w:t>
            </w:r>
            <w:r w:rsidRPr="00005520">
              <w:rPr>
                <w:spacing w:val="-1"/>
                <w:sz w:val="20"/>
                <w:szCs w:val="20"/>
              </w:rPr>
              <w:t>the</w:t>
            </w:r>
            <w:r w:rsidRPr="00005520">
              <w:rPr>
                <w:spacing w:val="-7"/>
                <w:sz w:val="20"/>
                <w:szCs w:val="20"/>
              </w:rPr>
              <w:t xml:space="preserve"> </w:t>
            </w:r>
            <w:r w:rsidRPr="00005520">
              <w:rPr>
                <w:spacing w:val="-1"/>
                <w:sz w:val="20"/>
                <w:szCs w:val="20"/>
              </w:rPr>
              <w:t>standard</w:t>
            </w:r>
            <w:r w:rsidRPr="00005520">
              <w:rPr>
                <w:spacing w:val="-7"/>
                <w:sz w:val="20"/>
                <w:szCs w:val="20"/>
              </w:rPr>
              <w:t xml:space="preserve"> </w:t>
            </w:r>
            <w:r w:rsidRPr="00005520">
              <w:rPr>
                <w:spacing w:val="-1"/>
                <w:sz w:val="20"/>
                <w:szCs w:val="20"/>
              </w:rPr>
              <w:t>of</w:t>
            </w:r>
            <w:r w:rsidRPr="00005520">
              <w:rPr>
                <w:spacing w:val="-7"/>
                <w:sz w:val="20"/>
                <w:szCs w:val="20"/>
              </w:rPr>
              <w:t xml:space="preserve"> </w:t>
            </w:r>
            <w:r w:rsidRPr="00005520">
              <w:rPr>
                <w:spacing w:val="-1"/>
                <w:sz w:val="20"/>
                <w:szCs w:val="20"/>
              </w:rPr>
              <w:t>review</w:t>
            </w:r>
            <w:r w:rsidRPr="00005520">
              <w:rPr>
                <w:spacing w:val="-8"/>
                <w:sz w:val="20"/>
                <w:szCs w:val="20"/>
              </w:rPr>
              <w:t xml:space="preserve"> </w:t>
            </w:r>
            <w:r w:rsidRPr="00005520">
              <w:rPr>
                <w:spacing w:val="-1"/>
                <w:sz w:val="20"/>
                <w:szCs w:val="20"/>
              </w:rPr>
              <w:t>for</w:t>
            </w:r>
            <w:r w:rsidRPr="00005520">
              <w:rPr>
                <w:spacing w:val="32"/>
                <w:sz w:val="20"/>
                <w:szCs w:val="20"/>
              </w:rPr>
              <w:t xml:space="preserve"> </w:t>
            </w:r>
            <w:r w:rsidRPr="00005520">
              <w:rPr>
                <w:sz w:val="20"/>
                <w:szCs w:val="20"/>
              </w:rPr>
              <w:t>a</w:t>
            </w:r>
            <w:r w:rsidRPr="00005520">
              <w:rPr>
                <w:spacing w:val="10"/>
                <w:sz w:val="20"/>
                <w:szCs w:val="20"/>
              </w:rPr>
              <w:t xml:space="preserve"> </w:t>
            </w:r>
            <w:r w:rsidRPr="00005520">
              <w:rPr>
                <w:spacing w:val="-1"/>
                <w:sz w:val="20"/>
                <w:szCs w:val="20"/>
              </w:rPr>
              <w:t>disciplinary</w:t>
            </w:r>
            <w:r w:rsidRPr="00005520">
              <w:rPr>
                <w:spacing w:val="10"/>
                <w:sz w:val="20"/>
                <w:szCs w:val="20"/>
              </w:rPr>
              <w:t xml:space="preserve"> </w:t>
            </w:r>
            <w:r w:rsidRPr="00005520">
              <w:rPr>
                <w:spacing w:val="-1"/>
                <w:sz w:val="20"/>
                <w:szCs w:val="20"/>
              </w:rPr>
              <w:t>condemnation</w:t>
            </w:r>
            <w:r w:rsidRPr="00005520">
              <w:rPr>
                <w:spacing w:val="10"/>
                <w:sz w:val="20"/>
                <w:szCs w:val="20"/>
              </w:rPr>
              <w:t xml:space="preserve"> </w:t>
            </w:r>
            <w:r w:rsidRPr="00005520">
              <w:rPr>
                <w:spacing w:val="-1"/>
                <w:sz w:val="20"/>
                <w:szCs w:val="20"/>
              </w:rPr>
              <w:t>for</w:t>
            </w:r>
            <w:r w:rsidRPr="00005520">
              <w:rPr>
                <w:spacing w:val="8"/>
                <w:sz w:val="20"/>
                <w:szCs w:val="20"/>
              </w:rPr>
              <w:t xml:space="preserve"> </w:t>
            </w:r>
            <w:r w:rsidRPr="00005520">
              <w:rPr>
                <w:spacing w:val="-1"/>
                <w:sz w:val="20"/>
                <w:szCs w:val="20"/>
              </w:rPr>
              <w:t>remarks</w:t>
            </w:r>
            <w:r w:rsidRPr="00005520">
              <w:rPr>
                <w:spacing w:val="10"/>
                <w:sz w:val="20"/>
                <w:szCs w:val="20"/>
              </w:rPr>
              <w:t xml:space="preserve"> </w:t>
            </w:r>
            <w:r w:rsidRPr="00005520">
              <w:rPr>
                <w:spacing w:val="-1"/>
                <w:sz w:val="20"/>
                <w:szCs w:val="20"/>
              </w:rPr>
              <w:t>by</w:t>
            </w:r>
            <w:r w:rsidRPr="00005520">
              <w:rPr>
                <w:spacing w:val="8"/>
                <w:sz w:val="20"/>
                <w:szCs w:val="20"/>
              </w:rPr>
              <w:t xml:space="preserve"> </w:t>
            </w:r>
            <w:r w:rsidRPr="00005520">
              <w:rPr>
                <w:sz w:val="20"/>
                <w:szCs w:val="20"/>
              </w:rPr>
              <w:t>a</w:t>
            </w:r>
            <w:r w:rsidRPr="00005520">
              <w:rPr>
                <w:spacing w:val="9"/>
                <w:sz w:val="20"/>
                <w:szCs w:val="20"/>
              </w:rPr>
              <w:t xml:space="preserve"> </w:t>
            </w:r>
            <w:r w:rsidRPr="00005520">
              <w:rPr>
                <w:spacing w:val="-1"/>
                <w:sz w:val="20"/>
                <w:szCs w:val="20"/>
              </w:rPr>
              <w:t>lawyer</w:t>
            </w:r>
            <w:r w:rsidRPr="00005520">
              <w:rPr>
                <w:spacing w:val="10"/>
                <w:sz w:val="20"/>
                <w:szCs w:val="20"/>
              </w:rPr>
              <w:t xml:space="preserve"> </w:t>
            </w:r>
            <w:r w:rsidRPr="00005520">
              <w:rPr>
                <w:spacing w:val="-1"/>
                <w:sz w:val="20"/>
                <w:szCs w:val="20"/>
              </w:rPr>
              <w:t>critical</w:t>
            </w:r>
            <w:r w:rsidRPr="00005520">
              <w:rPr>
                <w:spacing w:val="10"/>
                <w:sz w:val="20"/>
                <w:szCs w:val="20"/>
              </w:rPr>
              <w:t xml:space="preserve"> </w:t>
            </w:r>
            <w:r w:rsidRPr="00005520">
              <w:rPr>
                <w:spacing w:val="-1"/>
                <w:sz w:val="20"/>
                <w:szCs w:val="20"/>
              </w:rPr>
              <w:t>of</w:t>
            </w:r>
            <w:r w:rsidRPr="00005520">
              <w:rPr>
                <w:spacing w:val="10"/>
                <w:sz w:val="20"/>
                <w:szCs w:val="20"/>
              </w:rPr>
              <w:t xml:space="preserve"> </w:t>
            </w:r>
            <w:r w:rsidRPr="00005520">
              <w:rPr>
                <w:sz w:val="20"/>
                <w:szCs w:val="20"/>
              </w:rPr>
              <w:t>a</w:t>
            </w:r>
            <w:r w:rsidRPr="00005520">
              <w:rPr>
                <w:spacing w:val="9"/>
                <w:sz w:val="20"/>
                <w:szCs w:val="20"/>
              </w:rPr>
              <w:t xml:space="preserve"> </w:t>
            </w:r>
            <w:r w:rsidRPr="00005520">
              <w:rPr>
                <w:spacing w:val="-1"/>
                <w:sz w:val="20"/>
                <w:szCs w:val="20"/>
              </w:rPr>
              <w:t>court</w:t>
            </w:r>
            <w:r w:rsidRPr="00005520">
              <w:rPr>
                <w:spacing w:val="10"/>
                <w:sz w:val="20"/>
                <w:szCs w:val="20"/>
              </w:rPr>
              <w:t xml:space="preserve"> </w:t>
            </w:r>
            <w:r w:rsidRPr="00005520">
              <w:rPr>
                <w:sz w:val="20"/>
                <w:szCs w:val="20"/>
              </w:rPr>
              <w:t>which</w:t>
            </w:r>
            <w:r w:rsidRPr="00005520">
              <w:rPr>
                <w:spacing w:val="8"/>
                <w:sz w:val="20"/>
                <w:szCs w:val="20"/>
              </w:rPr>
              <w:t xml:space="preserve"> </w:t>
            </w:r>
            <w:r w:rsidRPr="00005520">
              <w:rPr>
                <w:sz w:val="20"/>
                <w:szCs w:val="20"/>
              </w:rPr>
              <w:t>are</w:t>
            </w:r>
            <w:r w:rsidRPr="00005520">
              <w:rPr>
                <w:spacing w:val="27"/>
                <w:sz w:val="20"/>
                <w:szCs w:val="20"/>
              </w:rPr>
              <w:t xml:space="preserve"> </w:t>
            </w:r>
            <w:r w:rsidRPr="00005520">
              <w:rPr>
                <w:spacing w:val="-1"/>
                <w:sz w:val="20"/>
                <w:szCs w:val="20"/>
              </w:rPr>
              <w:t>neither</w:t>
            </w:r>
            <w:r w:rsidRPr="00005520">
              <w:rPr>
                <w:spacing w:val="8"/>
                <w:sz w:val="20"/>
                <w:szCs w:val="20"/>
              </w:rPr>
              <w:t xml:space="preserve"> </w:t>
            </w:r>
            <w:r w:rsidRPr="00005520">
              <w:rPr>
                <w:spacing w:val="-1"/>
                <w:sz w:val="20"/>
                <w:szCs w:val="20"/>
              </w:rPr>
              <w:t>vehement</w:t>
            </w:r>
            <w:r w:rsidRPr="00005520">
              <w:rPr>
                <w:spacing w:val="8"/>
                <w:sz w:val="20"/>
                <w:szCs w:val="20"/>
              </w:rPr>
              <w:t xml:space="preserve"> </w:t>
            </w:r>
            <w:r w:rsidRPr="00005520">
              <w:rPr>
                <w:spacing w:val="-1"/>
                <w:sz w:val="20"/>
                <w:szCs w:val="20"/>
              </w:rPr>
              <w:t>nor</w:t>
            </w:r>
            <w:r w:rsidRPr="00005520">
              <w:rPr>
                <w:spacing w:val="8"/>
                <w:sz w:val="20"/>
                <w:szCs w:val="20"/>
              </w:rPr>
              <w:t xml:space="preserve"> </w:t>
            </w:r>
            <w:r w:rsidRPr="00005520">
              <w:rPr>
                <w:spacing w:val="-1"/>
                <w:sz w:val="20"/>
                <w:szCs w:val="20"/>
              </w:rPr>
              <w:t>impolite? – What</w:t>
            </w:r>
            <w:r w:rsidRPr="00005520">
              <w:rPr>
                <w:spacing w:val="29"/>
                <w:sz w:val="20"/>
                <w:szCs w:val="20"/>
              </w:rPr>
              <w:t xml:space="preserve"> </w:t>
            </w:r>
            <w:r w:rsidRPr="00005520">
              <w:rPr>
                <w:spacing w:val="-1"/>
                <w:sz w:val="20"/>
                <w:szCs w:val="20"/>
              </w:rPr>
              <w:t>is</w:t>
            </w:r>
            <w:r w:rsidRPr="00005520">
              <w:rPr>
                <w:spacing w:val="27"/>
                <w:sz w:val="20"/>
                <w:szCs w:val="20"/>
              </w:rPr>
              <w:t xml:space="preserve"> </w:t>
            </w:r>
            <w:r w:rsidRPr="00005520">
              <w:rPr>
                <w:spacing w:val="-1"/>
                <w:sz w:val="20"/>
                <w:szCs w:val="20"/>
              </w:rPr>
              <w:t>the</w:t>
            </w:r>
            <w:r w:rsidRPr="00005520">
              <w:rPr>
                <w:spacing w:val="29"/>
                <w:sz w:val="20"/>
                <w:szCs w:val="20"/>
              </w:rPr>
              <w:t xml:space="preserve"> </w:t>
            </w:r>
            <w:r w:rsidRPr="00005520">
              <w:rPr>
                <w:spacing w:val="-1"/>
                <w:sz w:val="20"/>
                <w:szCs w:val="20"/>
              </w:rPr>
              <w:t>role</w:t>
            </w:r>
            <w:r w:rsidRPr="00005520">
              <w:rPr>
                <w:spacing w:val="29"/>
                <w:sz w:val="20"/>
                <w:szCs w:val="20"/>
              </w:rPr>
              <w:t xml:space="preserve"> </w:t>
            </w:r>
            <w:r w:rsidRPr="00005520">
              <w:rPr>
                <w:spacing w:val="-1"/>
                <w:sz w:val="20"/>
                <w:szCs w:val="20"/>
              </w:rPr>
              <w:t>of</w:t>
            </w:r>
            <w:r w:rsidRPr="00005520">
              <w:rPr>
                <w:spacing w:val="29"/>
                <w:sz w:val="20"/>
                <w:szCs w:val="20"/>
              </w:rPr>
              <w:t xml:space="preserve"> </w:t>
            </w:r>
            <w:r w:rsidRPr="00005520">
              <w:rPr>
                <w:spacing w:val="-1"/>
                <w:sz w:val="20"/>
                <w:szCs w:val="20"/>
              </w:rPr>
              <w:t>the</w:t>
            </w:r>
            <w:r w:rsidRPr="00005520">
              <w:rPr>
                <w:spacing w:val="29"/>
                <w:sz w:val="20"/>
                <w:szCs w:val="20"/>
              </w:rPr>
              <w:t xml:space="preserve"> </w:t>
            </w:r>
            <w:r w:rsidRPr="00005520">
              <w:rPr>
                <w:spacing w:val="-1"/>
                <w:sz w:val="20"/>
                <w:szCs w:val="20"/>
              </w:rPr>
              <w:t>lawyer</w:t>
            </w:r>
            <w:r w:rsidRPr="00005520">
              <w:rPr>
                <w:spacing w:val="29"/>
                <w:sz w:val="20"/>
                <w:szCs w:val="20"/>
              </w:rPr>
              <w:t xml:space="preserve"> </w:t>
            </w:r>
            <w:r w:rsidRPr="00005520">
              <w:rPr>
                <w:spacing w:val="-1"/>
                <w:sz w:val="20"/>
                <w:szCs w:val="20"/>
              </w:rPr>
              <w:t>with</w:t>
            </w:r>
            <w:r w:rsidRPr="00005520">
              <w:rPr>
                <w:spacing w:val="29"/>
                <w:sz w:val="20"/>
                <w:szCs w:val="20"/>
              </w:rPr>
              <w:t xml:space="preserve"> </w:t>
            </w:r>
            <w:r w:rsidRPr="00005520">
              <w:rPr>
                <w:spacing w:val="-1"/>
                <w:sz w:val="20"/>
                <w:szCs w:val="20"/>
              </w:rPr>
              <w:t>respect</w:t>
            </w:r>
            <w:r w:rsidRPr="00005520">
              <w:rPr>
                <w:spacing w:val="29"/>
                <w:sz w:val="20"/>
                <w:szCs w:val="20"/>
              </w:rPr>
              <w:t xml:space="preserve"> </w:t>
            </w:r>
            <w:r w:rsidRPr="00005520">
              <w:rPr>
                <w:spacing w:val="-1"/>
                <w:sz w:val="20"/>
                <w:szCs w:val="20"/>
              </w:rPr>
              <w:t>to</w:t>
            </w:r>
            <w:r w:rsidRPr="00005520">
              <w:rPr>
                <w:spacing w:val="29"/>
                <w:sz w:val="20"/>
                <w:szCs w:val="20"/>
              </w:rPr>
              <w:t xml:space="preserve"> </w:t>
            </w:r>
            <w:r w:rsidRPr="00005520">
              <w:rPr>
                <w:spacing w:val="-1"/>
                <w:sz w:val="20"/>
                <w:szCs w:val="20"/>
              </w:rPr>
              <w:t>bringing</w:t>
            </w:r>
            <w:r w:rsidRPr="00005520">
              <w:rPr>
                <w:spacing w:val="29"/>
                <w:sz w:val="20"/>
                <w:szCs w:val="20"/>
              </w:rPr>
              <w:t xml:space="preserve"> </w:t>
            </w:r>
            <w:r w:rsidRPr="00005520">
              <w:rPr>
                <w:sz w:val="20"/>
                <w:szCs w:val="20"/>
              </w:rPr>
              <w:t>to</w:t>
            </w:r>
            <w:r w:rsidRPr="00005520">
              <w:rPr>
                <w:spacing w:val="27"/>
                <w:sz w:val="20"/>
                <w:szCs w:val="20"/>
              </w:rPr>
              <w:t xml:space="preserve"> </w:t>
            </w:r>
            <w:r w:rsidRPr="00005520">
              <w:rPr>
                <w:sz w:val="20"/>
                <w:szCs w:val="20"/>
              </w:rPr>
              <w:t>the</w:t>
            </w:r>
            <w:r w:rsidRPr="00005520">
              <w:rPr>
                <w:spacing w:val="29"/>
                <w:sz w:val="20"/>
                <w:szCs w:val="20"/>
              </w:rPr>
              <w:t xml:space="preserve"> </w:t>
            </w:r>
            <w:r w:rsidRPr="00005520">
              <w:rPr>
                <w:spacing w:val="-1"/>
                <w:sz w:val="20"/>
                <w:szCs w:val="20"/>
              </w:rPr>
              <w:t>public’s</w:t>
            </w:r>
            <w:r w:rsidRPr="00005520">
              <w:rPr>
                <w:spacing w:val="29"/>
                <w:sz w:val="20"/>
                <w:szCs w:val="20"/>
              </w:rPr>
              <w:t xml:space="preserve"> </w:t>
            </w:r>
            <w:r w:rsidRPr="00005520">
              <w:rPr>
                <w:spacing w:val="-1"/>
                <w:sz w:val="20"/>
                <w:szCs w:val="20"/>
              </w:rPr>
              <w:t>attention</w:t>
            </w:r>
            <w:r w:rsidRPr="00005520">
              <w:rPr>
                <w:spacing w:val="32"/>
                <w:sz w:val="20"/>
                <w:szCs w:val="20"/>
              </w:rPr>
              <w:t xml:space="preserve"> </w:t>
            </w:r>
            <w:r w:rsidRPr="00005520">
              <w:rPr>
                <w:spacing w:val="-1"/>
                <w:sz w:val="20"/>
                <w:szCs w:val="20"/>
              </w:rPr>
              <w:t>perceived</w:t>
            </w:r>
            <w:r w:rsidRPr="00005520">
              <w:rPr>
                <w:spacing w:val="7"/>
                <w:sz w:val="20"/>
                <w:szCs w:val="20"/>
              </w:rPr>
              <w:t xml:space="preserve"> </w:t>
            </w:r>
            <w:r w:rsidRPr="00005520">
              <w:rPr>
                <w:spacing w:val="-1"/>
                <w:sz w:val="20"/>
                <w:szCs w:val="20"/>
              </w:rPr>
              <w:t>flaws in the system of justice or the court? – Is it reasonable to require that critical remarks by lawyers be “constructive” or “effective”?</w:t>
            </w:r>
          </w:p>
        </w:tc>
      </w:tr>
      <w:tr w:rsidR="00E033CB" w:rsidRPr="00005520" w:rsidTr="0074616E">
        <w:tc>
          <w:tcPr>
            <w:tcW w:w="5000" w:type="pct"/>
            <w:gridSpan w:val="4"/>
          </w:tcPr>
          <w:p w:rsidR="00E033CB" w:rsidRPr="00005520" w:rsidRDefault="00E033CB" w:rsidP="00E033CB">
            <w:pPr>
              <w:jc w:val="both"/>
              <w:rPr>
                <w:sz w:val="20"/>
                <w:szCs w:val="20"/>
              </w:rPr>
            </w:pPr>
          </w:p>
        </w:tc>
      </w:tr>
      <w:tr w:rsidR="00E033CB" w:rsidRPr="00005520" w:rsidTr="0074616E">
        <w:tc>
          <w:tcPr>
            <w:tcW w:w="5000" w:type="pct"/>
            <w:gridSpan w:val="4"/>
          </w:tcPr>
          <w:p w:rsidR="00E033CB" w:rsidRPr="00005520" w:rsidRDefault="00E033CB" w:rsidP="00E033CB">
            <w:pPr>
              <w:jc w:val="both"/>
              <w:rPr>
                <w:sz w:val="20"/>
                <w:szCs w:val="20"/>
              </w:rPr>
            </w:pPr>
            <w:r w:rsidRPr="00005520">
              <w:rPr>
                <w:sz w:val="20"/>
                <w:szCs w:val="20"/>
              </w:rPr>
              <w:t>The applicant, a lawyer and member of the Barreau du Québec, practised particularly in the field of youth protection. In a case relating to a client’s son, the applicant obtained a judgment in the Superior Court setting aside various orders for foster care made by the Court of Québec, Youth Division. The Superior Court’s reasons for judgment were critical of the Court of Québec judge. When questioned about this by a member of the press, the applicant made the following remarks, which were reproduced in an article published in February 2008: [</w:t>
            </w:r>
            <w:r w:rsidRPr="00005520">
              <w:rPr>
                <w:smallCaps/>
                <w:sz w:val="20"/>
                <w:szCs w:val="20"/>
              </w:rPr>
              <w:t>translation</w:t>
            </w:r>
            <w:r w:rsidRPr="00005520">
              <w:rPr>
                <w:rFonts w:asciiTheme="minorBidi" w:hAnsiTheme="minorBidi"/>
                <w:sz w:val="20"/>
                <w:szCs w:val="20"/>
              </w:rPr>
              <w:t>] “It operates in a vacuum. There are always the same judges, the same counsel for the DYP, the same legal aid lawyers representing the children. The result is that the DYP gets what he wants in the vast majority of cases. It’s not just David against Goliath. It’s David against two or three Goliaths.”</w:t>
            </w:r>
          </w:p>
          <w:p w:rsidR="00E033CB" w:rsidRPr="00005520" w:rsidRDefault="00E033CB" w:rsidP="00E033CB">
            <w:pPr>
              <w:jc w:val="both"/>
              <w:rPr>
                <w:color w:val="222222"/>
                <w:sz w:val="20"/>
                <w:szCs w:val="20"/>
                <w:lang w:eastAsia="fr-CA"/>
              </w:rPr>
            </w:pPr>
          </w:p>
          <w:p w:rsidR="00E033CB" w:rsidRPr="00005520" w:rsidRDefault="00E033CB" w:rsidP="00E033CB">
            <w:pPr>
              <w:jc w:val="both"/>
              <w:rPr>
                <w:sz w:val="20"/>
                <w:szCs w:val="20"/>
              </w:rPr>
            </w:pPr>
            <w:r w:rsidRPr="00005520">
              <w:rPr>
                <w:spacing w:val="3"/>
                <w:sz w:val="20"/>
                <w:szCs w:val="20"/>
              </w:rPr>
              <w:t>Hearing a disciplinary complaint against the applicant, the disciplinary council of the Barreau du Québec found her guilty of a breach of professional ethics for expressing a [</w:t>
            </w:r>
            <w:r w:rsidRPr="00005520">
              <w:rPr>
                <w:smallCaps/>
                <w:spacing w:val="3"/>
                <w:sz w:val="20"/>
                <w:szCs w:val="20"/>
              </w:rPr>
              <w:t>translation</w:t>
            </w:r>
            <w:r w:rsidRPr="00005520">
              <w:rPr>
                <w:rFonts w:asciiTheme="minorBidi" w:hAnsiTheme="minorBidi"/>
                <w:spacing w:val="3"/>
                <w:sz w:val="20"/>
                <w:szCs w:val="20"/>
              </w:rPr>
              <w:t>] “value judgment on the judicial process, whose credibility and integrity she impugned” through her “negative criticism”. It fined her $2,000. The applicant appealed to the Professions Tribunal, which upheld the conviction but, in a separate decision, replaced the penalty with a temporary striking off the roll for 30 days. The applicant then applied to the Superior Court for judicial review of the Professions Tribunal’s decisions</w:t>
            </w:r>
            <w:r w:rsidRPr="00005520">
              <w:rPr>
                <w:spacing w:val="3"/>
                <w:sz w:val="20"/>
                <w:szCs w:val="20"/>
              </w:rPr>
              <w:t>.</w:t>
            </w:r>
          </w:p>
          <w:p w:rsidR="00E033CB" w:rsidRPr="00005520" w:rsidRDefault="00E033CB" w:rsidP="00E033CB">
            <w:pPr>
              <w:jc w:val="both"/>
              <w:rPr>
                <w:sz w:val="20"/>
                <w:szCs w:val="20"/>
              </w:rPr>
            </w:pPr>
          </w:p>
        </w:tc>
      </w:tr>
      <w:tr w:rsidR="00E033CB" w:rsidRPr="00005520" w:rsidTr="0074616E">
        <w:tblPrEx>
          <w:tblCellMar>
            <w:bottom w:w="0" w:type="dxa"/>
          </w:tblCellMar>
        </w:tblPrEx>
        <w:tc>
          <w:tcPr>
            <w:tcW w:w="2390" w:type="pct"/>
            <w:gridSpan w:val="2"/>
          </w:tcPr>
          <w:p w:rsidR="00E033CB" w:rsidRPr="00005520" w:rsidRDefault="00E033CB" w:rsidP="00E033CB">
            <w:pPr>
              <w:jc w:val="both"/>
              <w:rPr>
                <w:sz w:val="20"/>
                <w:szCs w:val="20"/>
              </w:rPr>
            </w:pPr>
            <w:r w:rsidRPr="00005520">
              <w:rPr>
                <w:sz w:val="20"/>
                <w:szCs w:val="20"/>
              </w:rPr>
              <w:t>September 25, 2014</w:t>
            </w:r>
          </w:p>
          <w:p w:rsidR="00E033CB" w:rsidRPr="00005520" w:rsidRDefault="00E033CB" w:rsidP="00E033CB">
            <w:pPr>
              <w:jc w:val="both"/>
              <w:rPr>
                <w:sz w:val="20"/>
                <w:szCs w:val="20"/>
              </w:rPr>
            </w:pPr>
            <w:r w:rsidRPr="00005520">
              <w:rPr>
                <w:sz w:val="20"/>
                <w:szCs w:val="20"/>
              </w:rPr>
              <w:t>Professions Tribunal</w:t>
            </w:r>
          </w:p>
          <w:p w:rsidR="00E033CB" w:rsidRPr="00005520" w:rsidRDefault="00E033CB" w:rsidP="00E033CB">
            <w:pPr>
              <w:jc w:val="both"/>
              <w:rPr>
                <w:sz w:val="20"/>
                <w:szCs w:val="20"/>
              </w:rPr>
            </w:pPr>
            <w:r w:rsidRPr="00005520">
              <w:rPr>
                <w:sz w:val="20"/>
                <w:szCs w:val="20"/>
              </w:rPr>
              <w:t>(Judges Hébert, Marchi and Despots)</w:t>
            </w:r>
          </w:p>
          <w:p w:rsidR="00E033CB" w:rsidRPr="00005520" w:rsidRDefault="00E033CB" w:rsidP="00E033CB">
            <w:pPr>
              <w:jc w:val="both"/>
              <w:rPr>
                <w:sz w:val="20"/>
                <w:szCs w:val="20"/>
              </w:rPr>
            </w:pPr>
            <w:r w:rsidRPr="00005520">
              <w:rPr>
                <w:sz w:val="20"/>
                <w:szCs w:val="20"/>
              </w:rPr>
              <w:t>No. 505-07-000052-111</w:t>
            </w:r>
          </w:p>
          <w:p w:rsidR="00E033CB" w:rsidRPr="00005520" w:rsidRDefault="008D266B" w:rsidP="00E033CB">
            <w:pPr>
              <w:jc w:val="both"/>
              <w:rPr>
                <w:sz w:val="20"/>
                <w:szCs w:val="20"/>
              </w:rPr>
            </w:pPr>
            <w:hyperlink r:id="rId20" w:history="1">
              <w:r w:rsidR="00E033CB" w:rsidRPr="00005520">
                <w:rPr>
                  <w:rStyle w:val="Hyperlink"/>
                  <w:sz w:val="20"/>
                  <w:szCs w:val="20"/>
                </w:rPr>
                <w:t>2014 QCTP 116</w:t>
              </w:r>
            </w:hyperlink>
          </w:p>
          <w:p w:rsidR="00E033CB" w:rsidRPr="00005520" w:rsidRDefault="00E033CB" w:rsidP="00E033CB">
            <w:pPr>
              <w:jc w:val="both"/>
              <w:rPr>
                <w:sz w:val="20"/>
                <w:szCs w:val="20"/>
              </w:rPr>
            </w:pPr>
          </w:p>
        </w:tc>
        <w:tc>
          <w:tcPr>
            <w:tcW w:w="270" w:type="pct"/>
          </w:tcPr>
          <w:p w:rsidR="00E033CB" w:rsidRPr="00005520" w:rsidRDefault="00E033CB" w:rsidP="00E033CB">
            <w:pPr>
              <w:jc w:val="both"/>
              <w:rPr>
                <w:sz w:val="20"/>
                <w:szCs w:val="20"/>
              </w:rPr>
            </w:pPr>
          </w:p>
        </w:tc>
        <w:tc>
          <w:tcPr>
            <w:tcW w:w="2340" w:type="pct"/>
          </w:tcPr>
          <w:p w:rsidR="00E033CB" w:rsidRPr="00005520" w:rsidRDefault="00E033CB" w:rsidP="00E033CB">
            <w:pPr>
              <w:jc w:val="both"/>
              <w:rPr>
                <w:sz w:val="20"/>
                <w:szCs w:val="20"/>
              </w:rPr>
            </w:pPr>
            <w:r w:rsidRPr="00005520">
              <w:rPr>
                <w:sz w:val="20"/>
                <w:szCs w:val="20"/>
              </w:rPr>
              <w:t>Appeal dismissed (decision of disciplinary council of Barreau du Québec finding applicant guilty of breach of professional ethics confirmed)</w:t>
            </w:r>
          </w:p>
          <w:p w:rsidR="00E033CB" w:rsidRPr="00005520" w:rsidRDefault="00E033CB" w:rsidP="00E033CB">
            <w:pPr>
              <w:jc w:val="both"/>
              <w:rPr>
                <w:sz w:val="20"/>
                <w:szCs w:val="20"/>
              </w:rPr>
            </w:pPr>
          </w:p>
        </w:tc>
      </w:tr>
      <w:tr w:rsidR="00E033CB" w:rsidRPr="00005520" w:rsidTr="0074616E">
        <w:tblPrEx>
          <w:tblCellMar>
            <w:bottom w:w="0" w:type="dxa"/>
          </w:tblCellMar>
        </w:tblPrEx>
        <w:tc>
          <w:tcPr>
            <w:tcW w:w="2390" w:type="pct"/>
            <w:gridSpan w:val="2"/>
          </w:tcPr>
          <w:p w:rsidR="00E033CB" w:rsidRPr="00005520" w:rsidRDefault="00E033CB" w:rsidP="00E033CB">
            <w:pPr>
              <w:jc w:val="both"/>
              <w:rPr>
                <w:sz w:val="20"/>
                <w:szCs w:val="20"/>
              </w:rPr>
            </w:pPr>
            <w:r w:rsidRPr="00005520">
              <w:rPr>
                <w:sz w:val="20"/>
                <w:szCs w:val="20"/>
              </w:rPr>
              <w:t>September 25, 2014</w:t>
            </w:r>
          </w:p>
          <w:p w:rsidR="00E033CB" w:rsidRPr="00005520" w:rsidRDefault="00E033CB" w:rsidP="00E033CB">
            <w:pPr>
              <w:jc w:val="both"/>
              <w:rPr>
                <w:sz w:val="20"/>
                <w:szCs w:val="20"/>
              </w:rPr>
            </w:pPr>
            <w:r w:rsidRPr="00005520">
              <w:rPr>
                <w:sz w:val="20"/>
                <w:szCs w:val="20"/>
              </w:rPr>
              <w:t>Professions Tribunal</w:t>
            </w:r>
          </w:p>
          <w:p w:rsidR="00E033CB" w:rsidRPr="00005520" w:rsidRDefault="00E033CB" w:rsidP="00E033CB">
            <w:pPr>
              <w:jc w:val="both"/>
              <w:rPr>
                <w:sz w:val="20"/>
                <w:szCs w:val="20"/>
              </w:rPr>
            </w:pPr>
            <w:r w:rsidRPr="00005520">
              <w:rPr>
                <w:sz w:val="20"/>
                <w:szCs w:val="20"/>
              </w:rPr>
              <w:t>(Judges Hébert, Marchi and Despots)</w:t>
            </w:r>
          </w:p>
          <w:p w:rsidR="00E033CB" w:rsidRPr="00005520" w:rsidRDefault="00E033CB" w:rsidP="00E033CB">
            <w:pPr>
              <w:jc w:val="both"/>
              <w:rPr>
                <w:sz w:val="20"/>
                <w:szCs w:val="20"/>
              </w:rPr>
            </w:pPr>
            <w:r w:rsidRPr="00005520">
              <w:rPr>
                <w:sz w:val="20"/>
                <w:szCs w:val="20"/>
              </w:rPr>
              <w:t>No. 505-07-000051-113</w:t>
            </w:r>
          </w:p>
          <w:p w:rsidR="00E033CB" w:rsidRPr="00005520" w:rsidRDefault="008D266B" w:rsidP="00E033CB">
            <w:pPr>
              <w:jc w:val="both"/>
              <w:rPr>
                <w:sz w:val="20"/>
                <w:szCs w:val="20"/>
              </w:rPr>
            </w:pPr>
            <w:hyperlink r:id="rId21" w:history="1">
              <w:r w:rsidR="00E033CB" w:rsidRPr="00005520">
                <w:rPr>
                  <w:rStyle w:val="Hyperlink"/>
                  <w:sz w:val="20"/>
                  <w:szCs w:val="20"/>
                </w:rPr>
                <w:t>2014 QCTP 115</w:t>
              </w:r>
            </w:hyperlink>
          </w:p>
          <w:p w:rsidR="00E033CB" w:rsidRPr="00005520" w:rsidRDefault="00E033CB" w:rsidP="00E033CB">
            <w:pPr>
              <w:jc w:val="both"/>
              <w:rPr>
                <w:sz w:val="20"/>
                <w:szCs w:val="20"/>
              </w:rPr>
            </w:pPr>
          </w:p>
        </w:tc>
        <w:tc>
          <w:tcPr>
            <w:tcW w:w="270" w:type="pct"/>
          </w:tcPr>
          <w:p w:rsidR="00E033CB" w:rsidRPr="00005520" w:rsidRDefault="00E033CB" w:rsidP="00E033CB">
            <w:pPr>
              <w:jc w:val="both"/>
              <w:rPr>
                <w:sz w:val="20"/>
                <w:szCs w:val="20"/>
              </w:rPr>
            </w:pPr>
          </w:p>
        </w:tc>
        <w:tc>
          <w:tcPr>
            <w:tcW w:w="2340" w:type="pct"/>
          </w:tcPr>
          <w:p w:rsidR="00E033CB" w:rsidRPr="00005520" w:rsidRDefault="00E033CB" w:rsidP="00E033CB">
            <w:pPr>
              <w:jc w:val="both"/>
              <w:rPr>
                <w:sz w:val="20"/>
                <w:szCs w:val="20"/>
              </w:rPr>
            </w:pPr>
            <w:r w:rsidRPr="00005520">
              <w:rPr>
                <w:sz w:val="20"/>
                <w:szCs w:val="20"/>
              </w:rPr>
              <w:t>Appeal allowed (decision of disciplinary council of Barreau du Québec fining applicant $2,000 quashed and temporary striking off roll substituted for fine)</w:t>
            </w:r>
          </w:p>
          <w:p w:rsidR="00E033CB" w:rsidRPr="00005520" w:rsidRDefault="00E033CB" w:rsidP="00E033CB">
            <w:pPr>
              <w:jc w:val="both"/>
              <w:rPr>
                <w:sz w:val="20"/>
                <w:szCs w:val="20"/>
              </w:rPr>
            </w:pPr>
          </w:p>
        </w:tc>
      </w:tr>
      <w:tr w:rsidR="00E033CB" w:rsidRPr="00005520" w:rsidTr="0074616E">
        <w:tblPrEx>
          <w:tblCellMar>
            <w:bottom w:w="0" w:type="dxa"/>
          </w:tblCellMar>
        </w:tblPrEx>
        <w:tc>
          <w:tcPr>
            <w:tcW w:w="2390" w:type="pct"/>
            <w:gridSpan w:val="2"/>
          </w:tcPr>
          <w:p w:rsidR="00E033CB" w:rsidRPr="00005520" w:rsidRDefault="00E033CB" w:rsidP="00E033CB">
            <w:pPr>
              <w:jc w:val="both"/>
              <w:rPr>
                <w:sz w:val="20"/>
                <w:szCs w:val="20"/>
              </w:rPr>
            </w:pPr>
            <w:r w:rsidRPr="00005520">
              <w:rPr>
                <w:sz w:val="20"/>
                <w:szCs w:val="20"/>
              </w:rPr>
              <w:t>October 9, 2015</w:t>
            </w:r>
          </w:p>
          <w:p w:rsidR="00E033CB" w:rsidRPr="00005520" w:rsidRDefault="00E033CB" w:rsidP="00E033CB">
            <w:pPr>
              <w:jc w:val="both"/>
              <w:rPr>
                <w:sz w:val="20"/>
                <w:szCs w:val="20"/>
              </w:rPr>
            </w:pPr>
            <w:r w:rsidRPr="00005520">
              <w:rPr>
                <w:sz w:val="20"/>
                <w:szCs w:val="20"/>
              </w:rPr>
              <w:t>Quebec Superior Court</w:t>
            </w:r>
          </w:p>
          <w:p w:rsidR="00E033CB" w:rsidRPr="00005520" w:rsidRDefault="00E033CB" w:rsidP="00E033CB">
            <w:pPr>
              <w:jc w:val="both"/>
              <w:rPr>
                <w:sz w:val="20"/>
                <w:szCs w:val="20"/>
              </w:rPr>
            </w:pPr>
            <w:r w:rsidRPr="00005520">
              <w:rPr>
                <w:sz w:val="20"/>
                <w:szCs w:val="20"/>
              </w:rPr>
              <w:t>(Bisson J.)</w:t>
            </w:r>
          </w:p>
          <w:p w:rsidR="00E033CB" w:rsidRPr="00005520" w:rsidRDefault="00E033CB" w:rsidP="00E033CB">
            <w:pPr>
              <w:jc w:val="both"/>
              <w:rPr>
                <w:sz w:val="20"/>
                <w:szCs w:val="20"/>
              </w:rPr>
            </w:pPr>
            <w:r w:rsidRPr="00005520">
              <w:rPr>
                <w:sz w:val="20"/>
                <w:szCs w:val="20"/>
              </w:rPr>
              <w:t>No. 500-17-084555-146</w:t>
            </w:r>
          </w:p>
          <w:p w:rsidR="00E033CB" w:rsidRPr="00005520" w:rsidRDefault="00E033CB" w:rsidP="00E033CB">
            <w:pPr>
              <w:jc w:val="both"/>
              <w:rPr>
                <w:sz w:val="20"/>
                <w:szCs w:val="20"/>
              </w:rPr>
            </w:pPr>
          </w:p>
        </w:tc>
        <w:tc>
          <w:tcPr>
            <w:tcW w:w="270" w:type="pct"/>
          </w:tcPr>
          <w:p w:rsidR="00E033CB" w:rsidRPr="00005520" w:rsidRDefault="00E033CB" w:rsidP="00E033CB">
            <w:pPr>
              <w:jc w:val="both"/>
              <w:rPr>
                <w:sz w:val="20"/>
                <w:szCs w:val="20"/>
              </w:rPr>
            </w:pPr>
          </w:p>
        </w:tc>
        <w:tc>
          <w:tcPr>
            <w:tcW w:w="2340" w:type="pct"/>
          </w:tcPr>
          <w:p w:rsidR="00E033CB" w:rsidRPr="00005520" w:rsidRDefault="00E033CB" w:rsidP="00E033CB">
            <w:pPr>
              <w:jc w:val="both"/>
              <w:rPr>
                <w:sz w:val="20"/>
                <w:szCs w:val="20"/>
              </w:rPr>
            </w:pPr>
            <w:r w:rsidRPr="00005520">
              <w:rPr>
                <w:sz w:val="20"/>
                <w:szCs w:val="20"/>
              </w:rPr>
              <w:t>Motion for judicial review of decisions of disciplinary council of Barreau du Québec dismissed</w:t>
            </w:r>
          </w:p>
          <w:p w:rsidR="00E033CB" w:rsidRPr="00005520" w:rsidRDefault="00E033CB" w:rsidP="00E033CB">
            <w:pPr>
              <w:jc w:val="both"/>
              <w:rPr>
                <w:sz w:val="20"/>
                <w:szCs w:val="20"/>
              </w:rPr>
            </w:pPr>
          </w:p>
        </w:tc>
      </w:tr>
      <w:tr w:rsidR="00E033CB" w:rsidRPr="00005520" w:rsidTr="0074616E">
        <w:tblPrEx>
          <w:tblCellMar>
            <w:bottom w:w="0" w:type="dxa"/>
          </w:tblCellMar>
        </w:tblPrEx>
        <w:tc>
          <w:tcPr>
            <w:tcW w:w="2390" w:type="pct"/>
            <w:gridSpan w:val="2"/>
          </w:tcPr>
          <w:p w:rsidR="00E033CB" w:rsidRPr="00005520" w:rsidRDefault="00E033CB" w:rsidP="00E033CB">
            <w:pPr>
              <w:jc w:val="both"/>
              <w:rPr>
                <w:sz w:val="20"/>
                <w:szCs w:val="20"/>
              </w:rPr>
            </w:pPr>
            <w:r w:rsidRPr="00005520">
              <w:rPr>
                <w:sz w:val="20"/>
                <w:szCs w:val="20"/>
              </w:rPr>
              <w:t>May 25, 2017</w:t>
            </w:r>
          </w:p>
          <w:p w:rsidR="00E033CB" w:rsidRPr="00005520" w:rsidRDefault="00E033CB" w:rsidP="00E033CB">
            <w:pPr>
              <w:jc w:val="both"/>
              <w:rPr>
                <w:sz w:val="20"/>
                <w:szCs w:val="20"/>
              </w:rPr>
            </w:pPr>
            <w:r w:rsidRPr="00005520">
              <w:rPr>
                <w:sz w:val="20"/>
                <w:szCs w:val="20"/>
              </w:rPr>
              <w:t>Quebec Court of Appeal (Montréal)</w:t>
            </w:r>
          </w:p>
          <w:p w:rsidR="00E033CB" w:rsidRPr="00005520" w:rsidRDefault="00E033CB" w:rsidP="00E033CB">
            <w:pPr>
              <w:jc w:val="both"/>
              <w:rPr>
                <w:sz w:val="20"/>
                <w:szCs w:val="20"/>
              </w:rPr>
            </w:pPr>
            <w:r w:rsidRPr="00005520">
              <w:rPr>
                <w:sz w:val="20"/>
                <w:szCs w:val="20"/>
              </w:rPr>
              <w:t>(Dutil, St-Pierre and Savard JJ.A.)</w:t>
            </w:r>
          </w:p>
          <w:p w:rsidR="00E033CB" w:rsidRPr="00005520" w:rsidRDefault="00E033CB" w:rsidP="00E033CB">
            <w:pPr>
              <w:jc w:val="both"/>
              <w:rPr>
                <w:sz w:val="20"/>
                <w:szCs w:val="20"/>
              </w:rPr>
            </w:pPr>
            <w:r w:rsidRPr="00005520">
              <w:rPr>
                <w:sz w:val="20"/>
                <w:szCs w:val="20"/>
              </w:rPr>
              <w:t xml:space="preserve">No. </w:t>
            </w:r>
            <w:bookmarkStart w:id="3" w:name="NoDossier"/>
            <w:r w:rsidRPr="00005520">
              <w:rPr>
                <w:sz w:val="20"/>
                <w:szCs w:val="20"/>
              </w:rPr>
              <w:t>500-09-025673-153</w:t>
            </w:r>
            <w:bookmarkEnd w:id="3"/>
          </w:p>
          <w:p w:rsidR="00E033CB" w:rsidRPr="00005520" w:rsidRDefault="008D266B" w:rsidP="00E033CB">
            <w:pPr>
              <w:jc w:val="both"/>
              <w:rPr>
                <w:sz w:val="20"/>
                <w:szCs w:val="20"/>
              </w:rPr>
            </w:pPr>
            <w:hyperlink r:id="rId22" w:history="1">
              <w:r w:rsidR="00E033CB" w:rsidRPr="00005520">
                <w:rPr>
                  <w:rStyle w:val="Hyperlink"/>
                  <w:sz w:val="20"/>
                  <w:szCs w:val="20"/>
                </w:rPr>
                <w:t>2017 QCCA 842</w:t>
              </w:r>
            </w:hyperlink>
          </w:p>
          <w:p w:rsidR="00E033CB" w:rsidRPr="00005520" w:rsidRDefault="00E033CB" w:rsidP="00E033CB">
            <w:pPr>
              <w:jc w:val="both"/>
              <w:rPr>
                <w:sz w:val="20"/>
                <w:szCs w:val="20"/>
              </w:rPr>
            </w:pPr>
          </w:p>
        </w:tc>
        <w:tc>
          <w:tcPr>
            <w:tcW w:w="270" w:type="pct"/>
          </w:tcPr>
          <w:p w:rsidR="00E033CB" w:rsidRPr="00005520" w:rsidRDefault="00E033CB" w:rsidP="00E033CB">
            <w:pPr>
              <w:jc w:val="both"/>
              <w:rPr>
                <w:sz w:val="20"/>
                <w:szCs w:val="20"/>
              </w:rPr>
            </w:pPr>
          </w:p>
        </w:tc>
        <w:tc>
          <w:tcPr>
            <w:tcW w:w="2340" w:type="pct"/>
          </w:tcPr>
          <w:p w:rsidR="00E033CB" w:rsidRPr="00005520" w:rsidRDefault="00E033CB" w:rsidP="00E033CB">
            <w:pPr>
              <w:jc w:val="both"/>
              <w:rPr>
                <w:sz w:val="20"/>
                <w:szCs w:val="20"/>
              </w:rPr>
            </w:pPr>
            <w:r w:rsidRPr="00005520">
              <w:rPr>
                <w:sz w:val="20"/>
                <w:szCs w:val="20"/>
              </w:rPr>
              <w:t>Appeal allowed in part (Professions Tribunal’s decision on penalty quashed and initial penalty restored)</w:t>
            </w:r>
          </w:p>
          <w:p w:rsidR="00E033CB" w:rsidRPr="00005520" w:rsidRDefault="00E033CB" w:rsidP="00E033CB">
            <w:pPr>
              <w:jc w:val="both"/>
              <w:rPr>
                <w:sz w:val="20"/>
                <w:szCs w:val="20"/>
              </w:rPr>
            </w:pPr>
          </w:p>
        </w:tc>
      </w:tr>
      <w:tr w:rsidR="00E033CB" w:rsidRPr="00005520" w:rsidTr="0074616E">
        <w:tblPrEx>
          <w:tblCellMar>
            <w:bottom w:w="0" w:type="dxa"/>
          </w:tblCellMar>
        </w:tblPrEx>
        <w:tc>
          <w:tcPr>
            <w:tcW w:w="2390" w:type="pct"/>
            <w:gridSpan w:val="2"/>
          </w:tcPr>
          <w:p w:rsidR="00E033CB" w:rsidRPr="00005520" w:rsidRDefault="00E033CB" w:rsidP="00E033CB">
            <w:pPr>
              <w:jc w:val="both"/>
              <w:rPr>
                <w:sz w:val="20"/>
                <w:szCs w:val="20"/>
              </w:rPr>
            </w:pPr>
            <w:r w:rsidRPr="00005520">
              <w:rPr>
                <w:sz w:val="20"/>
                <w:szCs w:val="20"/>
              </w:rPr>
              <w:t>July 21, 2017</w:t>
            </w:r>
          </w:p>
          <w:p w:rsidR="00E033CB" w:rsidRPr="00005520" w:rsidRDefault="00E033CB" w:rsidP="00E033CB">
            <w:pPr>
              <w:jc w:val="both"/>
              <w:rPr>
                <w:sz w:val="20"/>
                <w:szCs w:val="20"/>
              </w:rPr>
            </w:pPr>
            <w:r w:rsidRPr="00005520">
              <w:rPr>
                <w:sz w:val="20"/>
                <w:szCs w:val="20"/>
              </w:rPr>
              <w:t>Supreme Court of Canada</w:t>
            </w:r>
          </w:p>
        </w:tc>
        <w:tc>
          <w:tcPr>
            <w:tcW w:w="270" w:type="pct"/>
          </w:tcPr>
          <w:p w:rsidR="00E033CB" w:rsidRPr="00005520" w:rsidRDefault="00E033CB" w:rsidP="00E033CB">
            <w:pPr>
              <w:jc w:val="both"/>
              <w:rPr>
                <w:sz w:val="20"/>
                <w:szCs w:val="20"/>
              </w:rPr>
            </w:pPr>
          </w:p>
        </w:tc>
        <w:tc>
          <w:tcPr>
            <w:tcW w:w="2340" w:type="pct"/>
          </w:tcPr>
          <w:p w:rsidR="00E033CB" w:rsidRPr="00005520" w:rsidRDefault="00E033CB" w:rsidP="00E033CB">
            <w:pPr>
              <w:jc w:val="both"/>
              <w:rPr>
                <w:sz w:val="20"/>
                <w:szCs w:val="20"/>
              </w:rPr>
            </w:pPr>
            <w:r w:rsidRPr="00005520">
              <w:rPr>
                <w:sz w:val="20"/>
                <w:szCs w:val="20"/>
              </w:rPr>
              <w:t>Application for leave to appeal filed</w:t>
            </w:r>
          </w:p>
          <w:p w:rsidR="00E033CB" w:rsidRPr="00005520" w:rsidRDefault="00E033CB" w:rsidP="00E033CB">
            <w:pPr>
              <w:jc w:val="both"/>
              <w:rPr>
                <w:sz w:val="20"/>
                <w:szCs w:val="20"/>
              </w:rPr>
            </w:pPr>
          </w:p>
        </w:tc>
      </w:tr>
    </w:tbl>
    <w:p w:rsidR="00E033CB" w:rsidRPr="00005520" w:rsidRDefault="008D266B" w:rsidP="00E033CB">
      <w:pPr>
        <w:rPr>
          <w:sz w:val="20"/>
          <w:szCs w:val="20"/>
        </w:rPr>
      </w:pPr>
      <w:r>
        <w:rPr>
          <w:sz w:val="20"/>
          <w:szCs w:val="20"/>
        </w:rPr>
        <w:pict>
          <v:rect id="_x0000_i1044" style="width:2in;height:1pt" o:hrpct="0" o:hralign="center" o:hrstd="t" o:hrnoshade="t" o:hr="t" fillcolor="black [3213]" stroked="f"/>
        </w:pict>
      </w:r>
    </w:p>
    <w:p w:rsidR="00E033CB" w:rsidRPr="00005520" w:rsidRDefault="00E033CB" w:rsidP="00E033CB">
      <w:pPr>
        <w:rPr>
          <w:sz w:val="20"/>
          <w:szCs w:val="20"/>
        </w:rPr>
      </w:pPr>
    </w:p>
    <w:p w:rsidR="0088323A" w:rsidRDefault="0088323A">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3"/>
        <w:gridCol w:w="3521"/>
        <w:gridCol w:w="514"/>
        <w:gridCol w:w="4459"/>
      </w:tblGrid>
      <w:tr w:rsidR="00E033CB" w:rsidRPr="00005520" w:rsidTr="0074616E">
        <w:tc>
          <w:tcPr>
            <w:tcW w:w="542" w:type="pct"/>
          </w:tcPr>
          <w:p w:rsidR="00E033CB" w:rsidRPr="00005520" w:rsidRDefault="00E033CB" w:rsidP="0074616E">
            <w:pPr>
              <w:rPr>
                <w:sz w:val="20"/>
                <w:szCs w:val="20"/>
              </w:rPr>
            </w:pPr>
            <w:r w:rsidRPr="00005520">
              <w:rPr>
                <w:rStyle w:val="SCCFileNumberChar"/>
                <w:sz w:val="20"/>
                <w:szCs w:val="20"/>
              </w:rPr>
              <w:lastRenderedPageBreak/>
              <w:t>37666</w:t>
            </w:r>
          </w:p>
        </w:tc>
        <w:tc>
          <w:tcPr>
            <w:tcW w:w="4458" w:type="pct"/>
            <w:gridSpan w:val="3"/>
          </w:tcPr>
          <w:p w:rsidR="00E033CB" w:rsidRPr="00005520" w:rsidRDefault="00E033CB" w:rsidP="0074616E">
            <w:pPr>
              <w:pStyle w:val="SCCLsocParty"/>
              <w:jc w:val="both"/>
              <w:rPr>
                <w:b/>
                <w:sz w:val="20"/>
                <w:szCs w:val="20"/>
              </w:rPr>
            </w:pPr>
            <w:r w:rsidRPr="00005520">
              <w:rPr>
                <w:b/>
                <w:sz w:val="20"/>
                <w:szCs w:val="20"/>
              </w:rPr>
              <w:t>Madelaine Drolet-Savoie c. Tribunal des professions, Secrétaire du Conseil de discipline du Barreau du Québec, Me Jean Lanctot, ès qualités de syndic ad hoc du Barreau du Québec, Barreau du Québec</w:t>
            </w:r>
          </w:p>
          <w:p w:rsidR="00E033CB" w:rsidRPr="00005520" w:rsidRDefault="00E033CB" w:rsidP="0074616E">
            <w:pPr>
              <w:rPr>
                <w:sz w:val="20"/>
                <w:szCs w:val="20"/>
              </w:rPr>
            </w:pPr>
            <w:r w:rsidRPr="00005520">
              <w:rPr>
                <w:sz w:val="20"/>
                <w:szCs w:val="20"/>
                <w:lang w:val="fr-CA"/>
              </w:rPr>
              <w:t>(Qc) (Civile) (Sur autorisation)</w:t>
            </w:r>
          </w:p>
        </w:tc>
      </w:tr>
      <w:tr w:rsidR="00047CBB" w:rsidRPr="0096343C" w:rsidTr="0074616E">
        <w:tc>
          <w:tcPr>
            <w:tcW w:w="542" w:type="pct"/>
          </w:tcPr>
          <w:p w:rsidR="00047CBB" w:rsidRPr="00005520" w:rsidRDefault="00047CBB" w:rsidP="0074616E">
            <w:pPr>
              <w:rPr>
                <w:rStyle w:val="SCCFileNumberChar"/>
                <w:sz w:val="20"/>
                <w:szCs w:val="20"/>
              </w:rPr>
            </w:pPr>
            <w:r>
              <w:rPr>
                <w:rStyle w:val="SCCFileNumberChar"/>
                <w:sz w:val="20"/>
                <w:szCs w:val="20"/>
              </w:rPr>
              <w:t>Coram:</w:t>
            </w:r>
          </w:p>
        </w:tc>
        <w:tc>
          <w:tcPr>
            <w:tcW w:w="4458" w:type="pct"/>
            <w:gridSpan w:val="3"/>
          </w:tcPr>
          <w:p w:rsidR="00047CBB" w:rsidRDefault="0088323A" w:rsidP="0074616E">
            <w:pPr>
              <w:pStyle w:val="SCCLsocParty"/>
              <w:jc w:val="both"/>
              <w:rPr>
                <w:sz w:val="20"/>
                <w:szCs w:val="20"/>
                <w:lang w:val="fr-FR"/>
              </w:rPr>
            </w:pPr>
            <w:r w:rsidRPr="00AF24D4">
              <w:rPr>
                <w:sz w:val="20"/>
                <w:szCs w:val="20"/>
                <w:lang w:val="fr-FR"/>
              </w:rPr>
              <w:t>La juge en chef McLachlin et les juges Abella, Moldaver, Karakatsanis, Wagner, Gascon, Côté, Brown et Rowe</w:t>
            </w:r>
          </w:p>
          <w:p w:rsidR="0088323A" w:rsidRPr="0088323A" w:rsidRDefault="0088323A" w:rsidP="0088323A">
            <w:pPr>
              <w:rPr>
                <w:lang w:val="fr-FR"/>
              </w:rPr>
            </w:pPr>
          </w:p>
        </w:tc>
      </w:tr>
      <w:tr w:rsidR="00047CBB" w:rsidRPr="0096343C" w:rsidTr="00047CBB">
        <w:tc>
          <w:tcPr>
            <w:tcW w:w="5000" w:type="pct"/>
            <w:gridSpan w:val="4"/>
          </w:tcPr>
          <w:p w:rsidR="0088323A" w:rsidRPr="00AF24D4" w:rsidRDefault="0088323A" w:rsidP="0088323A">
            <w:pPr>
              <w:jc w:val="both"/>
              <w:rPr>
                <w:sz w:val="20"/>
                <w:szCs w:val="20"/>
                <w:lang w:val="fr-FR"/>
              </w:rPr>
            </w:pPr>
            <w:r w:rsidRPr="00AF24D4">
              <w:rPr>
                <w:sz w:val="20"/>
                <w:szCs w:val="20"/>
                <w:lang w:val="fr-CA"/>
              </w:rPr>
              <w:t xml:space="preserve">La demande d’autorisation d’appel de l’arrêt de la </w:t>
            </w:r>
            <w:r w:rsidRPr="00AF24D4">
              <w:rPr>
                <w:sz w:val="20"/>
                <w:szCs w:val="20"/>
                <w:lang w:val="fr-FR"/>
              </w:rPr>
              <w:t>Cour d’appel du Québec (Montréal)</w:t>
            </w:r>
            <w:r w:rsidRPr="00AF24D4">
              <w:rPr>
                <w:sz w:val="20"/>
                <w:szCs w:val="20"/>
                <w:lang w:val="fr-CA"/>
              </w:rPr>
              <w:t xml:space="preserve">, numéro </w:t>
            </w:r>
            <w:r w:rsidRPr="00AF24D4">
              <w:rPr>
                <w:sz w:val="20"/>
                <w:szCs w:val="20"/>
                <w:lang w:val="fr-FR"/>
              </w:rPr>
              <w:t>500-09-025673-153</w:t>
            </w:r>
            <w:r w:rsidRPr="00AF24D4">
              <w:rPr>
                <w:sz w:val="20"/>
                <w:szCs w:val="20"/>
                <w:lang w:val="fr-CA"/>
              </w:rPr>
              <w:t xml:space="preserve">, </w:t>
            </w:r>
            <w:r w:rsidRPr="00AF24D4">
              <w:rPr>
                <w:sz w:val="20"/>
                <w:szCs w:val="20"/>
                <w:lang w:val="fr-FR"/>
              </w:rPr>
              <w:t xml:space="preserve">2017 QCCA 842, </w:t>
            </w:r>
            <w:r w:rsidRPr="00AF24D4">
              <w:rPr>
                <w:sz w:val="20"/>
                <w:szCs w:val="20"/>
                <w:lang w:val="fr-CA"/>
              </w:rPr>
              <w:t xml:space="preserve">daté du </w:t>
            </w:r>
            <w:r w:rsidRPr="00AF24D4">
              <w:rPr>
                <w:sz w:val="20"/>
                <w:szCs w:val="20"/>
                <w:lang w:val="fr-FR"/>
              </w:rPr>
              <w:t>25 mai 2017</w:t>
            </w:r>
            <w:r w:rsidRPr="00AF24D4">
              <w:rPr>
                <w:sz w:val="20"/>
                <w:szCs w:val="20"/>
                <w:lang w:val="fr-CA"/>
              </w:rPr>
              <w:t>, est rejetée avec dépens.</w:t>
            </w:r>
          </w:p>
          <w:p w:rsidR="0088323A" w:rsidRPr="0088323A" w:rsidRDefault="0088323A" w:rsidP="0088323A">
            <w:pPr>
              <w:rPr>
                <w:lang w:val="fr-FR"/>
              </w:rPr>
            </w:pPr>
          </w:p>
        </w:tc>
      </w:tr>
      <w:tr w:rsidR="00E033CB" w:rsidRPr="0096343C" w:rsidTr="0074616E">
        <w:tc>
          <w:tcPr>
            <w:tcW w:w="5000" w:type="pct"/>
            <w:gridSpan w:val="4"/>
          </w:tcPr>
          <w:p w:rsidR="00E033CB" w:rsidRPr="00005520" w:rsidRDefault="00E033CB" w:rsidP="00E033CB">
            <w:pPr>
              <w:jc w:val="both"/>
              <w:rPr>
                <w:sz w:val="20"/>
                <w:szCs w:val="20"/>
                <w:lang w:val="fr-CA"/>
              </w:rPr>
            </w:pPr>
            <w:r w:rsidRPr="00005520">
              <w:rPr>
                <w:i/>
                <w:iCs/>
                <w:sz w:val="20"/>
                <w:szCs w:val="20"/>
                <w:lang w:val="fr-CA"/>
              </w:rPr>
              <w:t>Charte canadienne des droits et libertés</w:t>
            </w:r>
            <w:r w:rsidRPr="00005520">
              <w:rPr>
                <w:iCs/>
                <w:sz w:val="20"/>
                <w:szCs w:val="20"/>
                <w:lang w:val="fr-CA"/>
              </w:rPr>
              <w:t xml:space="preserve"> – Liberté d’expression – Droit administratif </w:t>
            </w:r>
            <w:r w:rsidRPr="00005520">
              <w:rPr>
                <w:spacing w:val="-1"/>
                <w:sz w:val="20"/>
                <w:szCs w:val="20"/>
                <w:lang w:val="fr-CA"/>
              </w:rPr>
              <w:t>–</w:t>
            </w:r>
            <w:r w:rsidRPr="00005520">
              <w:rPr>
                <w:iCs/>
                <w:sz w:val="20"/>
                <w:szCs w:val="20"/>
                <w:lang w:val="fr-CA"/>
              </w:rPr>
              <w:t xml:space="preserve"> Contrôle judiciaire </w:t>
            </w:r>
            <w:r w:rsidRPr="00005520">
              <w:rPr>
                <w:spacing w:val="-1"/>
                <w:sz w:val="20"/>
                <w:szCs w:val="20"/>
                <w:lang w:val="fr-CA"/>
              </w:rPr>
              <w:t>–</w:t>
            </w:r>
            <w:r w:rsidRPr="00005520">
              <w:rPr>
                <w:iCs/>
                <w:sz w:val="20"/>
                <w:szCs w:val="20"/>
                <w:lang w:val="fr-CA"/>
              </w:rPr>
              <w:t xml:space="preserve"> Norme de contrôle </w:t>
            </w:r>
            <w:r w:rsidRPr="00005520">
              <w:rPr>
                <w:spacing w:val="-1"/>
                <w:sz w:val="20"/>
                <w:szCs w:val="20"/>
                <w:lang w:val="fr-CA"/>
              </w:rPr>
              <w:t>–</w:t>
            </w:r>
            <w:r w:rsidRPr="00005520">
              <w:rPr>
                <w:iCs/>
                <w:sz w:val="20"/>
                <w:szCs w:val="20"/>
                <w:lang w:val="fr-CA"/>
              </w:rPr>
              <w:t xml:space="preserve"> Droit de professions </w:t>
            </w:r>
            <w:r w:rsidRPr="00005520">
              <w:rPr>
                <w:spacing w:val="-1"/>
                <w:sz w:val="20"/>
                <w:szCs w:val="20"/>
                <w:lang w:val="fr-CA"/>
              </w:rPr>
              <w:t>–</w:t>
            </w:r>
            <w:r w:rsidRPr="00005520">
              <w:rPr>
                <w:iCs/>
                <w:sz w:val="20"/>
                <w:szCs w:val="20"/>
                <w:lang w:val="fr-CA"/>
              </w:rPr>
              <w:t xml:space="preserve"> Discipline </w:t>
            </w:r>
            <w:r w:rsidRPr="00005520">
              <w:rPr>
                <w:spacing w:val="-1"/>
                <w:sz w:val="20"/>
                <w:szCs w:val="20"/>
                <w:lang w:val="fr-CA"/>
              </w:rPr>
              <w:t>–</w:t>
            </w:r>
            <w:r w:rsidRPr="00005520">
              <w:rPr>
                <w:iCs/>
                <w:sz w:val="20"/>
                <w:szCs w:val="20"/>
                <w:lang w:val="fr-CA"/>
              </w:rPr>
              <w:t xml:space="preserve"> Avocats et procureurs </w:t>
            </w:r>
            <w:r w:rsidRPr="00005520">
              <w:rPr>
                <w:spacing w:val="-1"/>
                <w:sz w:val="20"/>
                <w:szCs w:val="20"/>
                <w:lang w:val="fr-CA"/>
              </w:rPr>
              <w:t>–</w:t>
            </w:r>
            <w:r w:rsidRPr="00005520">
              <w:rPr>
                <w:iCs/>
                <w:sz w:val="20"/>
                <w:szCs w:val="20"/>
                <w:lang w:val="fr-CA"/>
              </w:rPr>
              <w:t xml:space="preserve"> </w:t>
            </w:r>
            <w:r w:rsidRPr="00005520">
              <w:rPr>
                <w:spacing w:val="-1"/>
                <w:sz w:val="20"/>
                <w:szCs w:val="20"/>
                <w:lang w:val="fr-CA"/>
              </w:rPr>
              <w:t>Quelle est la norme de contrôle relative à une condamnation disciplinaire pour des propos tenus par une avocate qui, bien que critiques à l’égard d’un tribunal, ne sont ni véhéments ni impolis? – Quel est le rôle de l’avocat quand il s’agit d’attirer l’attention du public sur des failles perçues du système judiciaire ou du tribunal? – Est-il raisonnable d’exiger que les propos critiques tenus par les avocats soient « constructifs » ou « utiles »?</w:t>
            </w:r>
          </w:p>
        </w:tc>
      </w:tr>
      <w:tr w:rsidR="00E033CB" w:rsidRPr="0096343C" w:rsidTr="0074616E">
        <w:tc>
          <w:tcPr>
            <w:tcW w:w="5000" w:type="pct"/>
            <w:gridSpan w:val="4"/>
          </w:tcPr>
          <w:p w:rsidR="00E033CB" w:rsidRPr="00005520" w:rsidRDefault="00E033CB" w:rsidP="00E033CB">
            <w:pPr>
              <w:jc w:val="both"/>
              <w:rPr>
                <w:sz w:val="20"/>
                <w:szCs w:val="20"/>
                <w:lang w:val="fr-CA"/>
              </w:rPr>
            </w:pPr>
          </w:p>
        </w:tc>
      </w:tr>
      <w:tr w:rsidR="00E033CB" w:rsidRPr="0096343C" w:rsidTr="0074616E">
        <w:tc>
          <w:tcPr>
            <w:tcW w:w="5000" w:type="pct"/>
            <w:gridSpan w:val="4"/>
          </w:tcPr>
          <w:p w:rsidR="00E033CB" w:rsidRPr="00005520" w:rsidRDefault="00E033CB" w:rsidP="00E033CB">
            <w:pPr>
              <w:jc w:val="both"/>
              <w:rPr>
                <w:sz w:val="20"/>
                <w:szCs w:val="20"/>
                <w:lang w:val="fr-CA"/>
              </w:rPr>
            </w:pPr>
            <w:r w:rsidRPr="00005520">
              <w:rPr>
                <w:sz w:val="20"/>
                <w:szCs w:val="20"/>
                <w:lang w:val="fr-CA"/>
              </w:rPr>
              <w:t>La demanderesse, avocate et membre du Barreau du Québec, exerce notamment dans le domaine de la protection de la jeunesse. Dans le cadre d’un dossier concernant le fils d’une cliente, la demanderesse obtient un jugement en Cour supérieure annulant diverses ordonnances d’hébergement prononcées par la Cour du Québec, Chambre de la jeunesse. Les motifs du jugement de la Cour supérieure comportent des reproches adressés au juge de la Cour du Québec. La demanderesse, questionnée à ce sujet par un journaliste de la presse écrite, tient les propos suivants, reproduits dans un article publié en février 2008 :</w:t>
            </w:r>
            <w:r w:rsidRPr="00005520">
              <w:rPr>
                <w:rFonts w:ascii="Arial" w:hAnsi="Arial" w:cs="Arial"/>
                <w:color w:val="222222"/>
                <w:sz w:val="20"/>
                <w:szCs w:val="20"/>
                <w:lang w:val="fr-CA" w:eastAsia="fr-CA"/>
              </w:rPr>
              <w:t xml:space="preserve"> </w:t>
            </w:r>
            <w:r w:rsidRPr="00005520">
              <w:rPr>
                <w:sz w:val="20"/>
                <w:szCs w:val="20"/>
                <w:lang w:val="fr-CA"/>
              </w:rPr>
              <w:t>« Ça</w:t>
            </w:r>
            <w:r w:rsidRPr="00005520">
              <w:rPr>
                <w:spacing w:val="30"/>
                <w:sz w:val="20"/>
                <w:szCs w:val="20"/>
                <w:lang w:val="fr-CA"/>
              </w:rPr>
              <w:t xml:space="preserve"> </w:t>
            </w:r>
            <w:r w:rsidRPr="00005520">
              <w:rPr>
                <w:sz w:val="20"/>
                <w:szCs w:val="20"/>
                <w:lang w:val="fr-CA"/>
              </w:rPr>
              <w:t>fonctionne</w:t>
            </w:r>
            <w:r w:rsidRPr="00005520">
              <w:rPr>
                <w:spacing w:val="30"/>
                <w:sz w:val="20"/>
                <w:szCs w:val="20"/>
                <w:lang w:val="fr-CA"/>
              </w:rPr>
              <w:t xml:space="preserve"> </w:t>
            </w:r>
            <w:r w:rsidRPr="00005520">
              <w:rPr>
                <w:sz w:val="20"/>
                <w:szCs w:val="20"/>
                <w:lang w:val="fr-CA"/>
              </w:rPr>
              <w:t>en</w:t>
            </w:r>
            <w:r w:rsidRPr="00005520">
              <w:rPr>
                <w:spacing w:val="30"/>
                <w:sz w:val="20"/>
                <w:szCs w:val="20"/>
                <w:lang w:val="fr-CA"/>
              </w:rPr>
              <w:t xml:space="preserve"> </w:t>
            </w:r>
            <w:r w:rsidRPr="00005520">
              <w:rPr>
                <w:sz w:val="20"/>
                <w:szCs w:val="20"/>
                <w:lang w:val="fr-CA"/>
              </w:rPr>
              <w:t>vase</w:t>
            </w:r>
            <w:r w:rsidRPr="00005520">
              <w:rPr>
                <w:spacing w:val="30"/>
                <w:sz w:val="20"/>
                <w:szCs w:val="20"/>
                <w:lang w:val="fr-CA"/>
              </w:rPr>
              <w:t xml:space="preserve"> </w:t>
            </w:r>
            <w:r w:rsidRPr="00005520">
              <w:rPr>
                <w:sz w:val="20"/>
                <w:szCs w:val="20"/>
                <w:lang w:val="fr-CA"/>
              </w:rPr>
              <w:t>clos.</w:t>
            </w:r>
            <w:r w:rsidRPr="00005520">
              <w:rPr>
                <w:spacing w:val="30"/>
                <w:sz w:val="20"/>
                <w:szCs w:val="20"/>
                <w:lang w:val="fr-CA"/>
              </w:rPr>
              <w:t xml:space="preserve"> </w:t>
            </w:r>
            <w:r w:rsidRPr="00005520">
              <w:rPr>
                <w:sz w:val="20"/>
                <w:szCs w:val="20"/>
                <w:lang w:val="fr-CA"/>
              </w:rPr>
              <w:t>Ce</w:t>
            </w:r>
            <w:r w:rsidRPr="00005520">
              <w:rPr>
                <w:spacing w:val="30"/>
                <w:sz w:val="20"/>
                <w:szCs w:val="20"/>
                <w:lang w:val="fr-CA"/>
              </w:rPr>
              <w:t xml:space="preserve"> </w:t>
            </w:r>
            <w:r w:rsidRPr="00005520">
              <w:rPr>
                <w:sz w:val="20"/>
                <w:szCs w:val="20"/>
                <w:lang w:val="fr-CA"/>
              </w:rPr>
              <w:t>sont</w:t>
            </w:r>
            <w:r w:rsidRPr="00005520">
              <w:rPr>
                <w:spacing w:val="30"/>
                <w:sz w:val="20"/>
                <w:szCs w:val="20"/>
                <w:lang w:val="fr-CA"/>
              </w:rPr>
              <w:t xml:space="preserve"> </w:t>
            </w:r>
            <w:r w:rsidRPr="00005520">
              <w:rPr>
                <w:sz w:val="20"/>
                <w:szCs w:val="20"/>
                <w:lang w:val="fr-CA"/>
              </w:rPr>
              <w:t>toujours</w:t>
            </w:r>
            <w:r w:rsidRPr="00005520">
              <w:rPr>
                <w:spacing w:val="30"/>
                <w:sz w:val="20"/>
                <w:szCs w:val="20"/>
                <w:lang w:val="fr-CA"/>
              </w:rPr>
              <w:t xml:space="preserve"> </w:t>
            </w:r>
            <w:r w:rsidRPr="00005520">
              <w:rPr>
                <w:sz w:val="20"/>
                <w:szCs w:val="20"/>
                <w:lang w:val="fr-CA"/>
              </w:rPr>
              <w:t>les</w:t>
            </w:r>
            <w:r w:rsidRPr="00005520">
              <w:rPr>
                <w:spacing w:val="30"/>
                <w:sz w:val="20"/>
                <w:szCs w:val="20"/>
                <w:lang w:val="fr-CA"/>
              </w:rPr>
              <w:t xml:space="preserve"> </w:t>
            </w:r>
            <w:r w:rsidRPr="00005520">
              <w:rPr>
                <w:sz w:val="20"/>
                <w:szCs w:val="20"/>
                <w:lang w:val="fr-CA"/>
              </w:rPr>
              <w:t>mêmes</w:t>
            </w:r>
            <w:r w:rsidRPr="00005520">
              <w:rPr>
                <w:spacing w:val="30"/>
                <w:sz w:val="20"/>
                <w:szCs w:val="20"/>
                <w:lang w:val="fr-CA"/>
              </w:rPr>
              <w:t xml:space="preserve"> </w:t>
            </w:r>
            <w:r w:rsidRPr="00005520">
              <w:rPr>
                <w:sz w:val="20"/>
                <w:szCs w:val="20"/>
                <w:lang w:val="fr-CA"/>
              </w:rPr>
              <w:t>juges,</w:t>
            </w:r>
            <w:r w:rsidRPr="00005520">
              <w:rPr>
                <w:spacing w:val="30"/>
                <w:sz w:val="20"/>
                <w:szCs w:val="20"/>
                <w:lang w:val="fr-CA"/>
              </w:rPr>
              <w:t xml:space="preserve"> </w:t>
            </w:r>
            <w:r w:rsidRPr="00005520">
              <w:rPr>
                <w:sz w:val="20"/>
                <w:szCs w:val="20"/>
                <w:lang w:val="fr-CA"/>
              </w:rPr>
              <w:t>toujours</w:t>
            </w:r>
            <w:r w:rsidRPr="00005520">
              <w:rPr>
                <w:spacing w:val="-6"/>
                <w:sz w:val="20"/>
                <w:szCs w:val="20"/>
                <w:lang w:val="fr-CA"/>
              </w:rPr>
              <w:t xml:space="preserve"> </w:t>
            </w:r>
            <w:r w:rsidRPr="00005520">
              <w:rPr>
                <w:sz w:val="20"/>
                <w:szCs w:val="20"/>
                <w:lang w:val="fr-CA"/>
              </w:rPr>
              <w:t>les</w:t>
            </w:r>
            <w:r w:rsidRPr="00005520">
              <w:rPr>
                <w:spacing w:val="-6"/>
                <w:sz w:val="20"/>
                <w:szCs w:val="20"/>
                <w:lang w:val="fr-CA"/>
              </w:rPr>
              <w:t xml:space="preserve"> </w:t>
            </w:r>
            <w:r w:rsidRPr="00005520">
              <w:rPr>
                <w:sz w:val="20"/>
                <w:szCs w:val="20"/>
                <w:lang w:val="fr-CA"/>
              </w:rPr>
              <w:t>mêmes</w:t>
            </w:r>
            <w:r w:rsidRPr="00005520">
              <w:rPr>
                <w:spacing w:val="-6"/>
                <w:sz w:val="20"/>
                <w:szCs w:val="20"/>
                <w:lang w:val="fr-CA"/>
              </w:rPr>
              <w:t xml:space="preserve"> </w:t>
            </w:r>
            <w:r w:rsidRPr="00005520">
              <w:rPr>
                <w:sz w:val="20"/>
                <w:szCs w:val="20"/>
                <w:lang w:val="fr-CA"/>
              </w:rPr>
              <w:t>procureurs</w:t>
            </w:r>
            <w:r w:rsidRPr="00005520">
              <w:rPr>
                <w:spacing w:val="-6"/>
                <w:sz w:val="20"/>
                <w:szCs w:val="20"/>
                <w:lang w:val="fr-CA"/>
              </w:rPr>
              <w:t xml:space="preserve"> </w:t>
            </w:r>
            <w:r w:rsidRPr="00005520">
              <w:rPr>
                <w:sz w:val="20"/>
                <w:szCs w:val="20"/>
                <w:lang w:val="fr-CA"/>
              </w:rPr>
              <w:t>du</w:t>
            </w:r>
            <w:r w:rsidRPr="00005520">
              <w:rPr>
                <w:spacing w:val="-4"/>
                <w:sz w:val="20"/>
                <w:szCs w:val="20"/>
                <w:lang w:val="fr-CA"/>
              </w:rPr>
              <w:t xml:space="preserve"> </w:t>
            </w:r>
            <w:r w:rsidRPr="00005520">
              <w:rPr>
                <w:sz w:val="20"/>
                <w:szCs w:val="20"/>
                <w:lang w:val="fr-CA"/>
              </w:rPr>
              <w:t>DPJ,</w:t>
            </w:r>
            <w:r w:rsidRPr="00005520">
              <w:rPr>
                <w:spacing w:val="-6"/>
                <w:sz w:val="20"/>
                <w:szCs w:val="20"/>
                <w:lang w:val="fr-CA"/>
              </w:rPr>
              <w:t xml:space="preserve"> </w:t>
            </w:r>
            <w:r w:rsidRPr="00005520">
              <w:rPr>
                <w:sz w:val="20"/>
                <w:szCs w:val="20"/>
                <w:lang w:val="fr-CA"/>
              </w:rPr>
              <w:t>toujours</w:t>
            </w:r>
            <w:r w:rsidRPr="00005520">
              <w:rPr>
                <w:spacing w:val="-6"/>
                <w:sz w:val="20"/>
                <w:szCs w:val="20"/>
                <w:lang w:val="fr-CA"/>
              </w:rPr>
              <w:t xml:space="preserve"> </w:t>
            </w:r>
            <w:r w:rsidRPr="00005520">
              <w:rPr>
                <w:sz w:val="20"/>
                <w:szCs w:val="20"/>
                <w:lang w:val="fr-CA"/>
              </w:rPr>
              <w:t>les</w:t>
            </w:r>
            <w:r w:rsidRPr="00005520">
              <w:rPr>
                <w:spacing w:val="-6"/>
                <w:sz w:val="20"/>
                <w:szCs w:val="20"/>
                <w:lang w:val="fr-CA"/>
              </w:rPr>
              <w:t xml:space="preserve"> </w:t>
            </w:r>
            <w:r w:rsidRPr="00005520">
              <w:rPr>
                <w:sz w:val="20"/>
                <w:szCs w:val="20"/>
                <w:lang w:val="fr-CA"/>
              </w:rPr>
              <w:t>mêmes</w:t>
            </w:r>
            <w:r w:rsidRPr="00005520">
              <w:rPr>
                <w:spacing w:val="-6"/>
                <w:sz w:val="20"/>
                <w:szCs w:val="20"/>
                <w:lang w:val="fr-CA"/>
              </w:rPr>
              <w:t xml:space="preserve"> </w:t>
            </w:r>
            <w:r w:rsidRPr="00005520">
              <w:rPr>
                <w:sz w:val="20"/>
                <w:szCs w:val="20"/>
                <w:lang w:val="fr-CA"/>
              </w:rPr>
              <w:t>avocats</w:t>
            </w:r>
            <w:r w:rsidRPr="00005520">
              <w:rPr>
                <w:spacing w:val="21"/>
                <w:sz w:val="20"/>
                <w:szCs w:val="20"/>
                <w:lang w:val="fr-CA"/>
              </w:rPr>
              <w:t xml:space="preserve"> </w:t>
            </w:r>
            <w:r w:rsidRPr="00005520">
              <w:rPr>
                <w:sz w:val="20"/>
                <w:szCs w:val="20"/>
                <w:lang w:val="fr-CA"/>
              </w:rPr>
              <w:t>de</w:t>
            </w:r>
            <w:r w:rsidRPr="00005520">
              <w:rPr>
                <w:spacing w:val="-7"/>
                <w:sz w:val="20"/>
                <w:szCs w:val="20"/>
                <w:lang w:val="fr-CA"/>
              </w:rPr>
              <w:t xml:space="preserve"> </w:t>
            </w:r>
            <w:r w:rsidRPr="00005520">
              <w:rPr>
                <w:sz w:val="20"/>
                <w:szCs w:val="20"/>
                <w:lang w:val="fr-CA"/>
              </w:rPr>
              <w:t>l’Aide</w:t>
            </w:r>
            <w:r w:rsidRPr="00005520">
              <w:rPr>
                <w:spacing w:val="-7"/>
                <w:sz w:val="20"/>
                <w:szCs w:val="20"/>
                <w:lang w:val="fr-CA"/>
              </w:rPr>
              <w:t xml:space="preserve"> </w:t>
            </w:r>
            <w:r w:rsidRPr="00005520">
              <w:rPr>
                <w:sz w:val="20"/>
                <w:szCs w:val="20"/>
                <w:lang w:val="fr-CA"/>
              </w:rPr>
              <w:t>juridique</w:t>
            </w:r>
            <w:r w:rsidRPr="00005520">
              <w:rPr>
                <w:spacing w:val="-7"/>
                <w:sz w:val="20"/>
                <w:szCs w:val="20"/>
                <w:lang w:val="fr-CA"/>
              </w:rPr>
              <w:t xml:space="preserve"> </w:t>
            </w:r>
            <w:r w:rsidRPr="00005520">
              <w:rPr>
                <w:sz w:val="20"/>
                <w:szCs w:val="20"/>
                <w:lang w:val="fr-CA"/>
              </w:rPr>
              <w:t>qui</w:t>
            </w:r>
            <w:r w:rsidRPr="00005520">
              <w:rPr>
                <w:spacing w:val="-6"/>
                <w:sz w:val="20"/>
                <w:szCs w:val="20"/>
                <w:lang w:val="fr-CA"/>
              </w:rPr>
              <w:t xml:space="preserve"> </w:t>
            </w:r>
            <w:r w:rsidRPr="00005520">
              <w:rPr>
                <w:sz w:val="20"/>
                <w:szCs w:val="20"/>
                <w:lang w:val="fr-CA"/>
              </w:rPr>
              <w:t>représentent</w:t>
            </w:r>
            <w:r w:rsidRPr="00005520">
              <w:rPr>
                <w:spacing w:val="-7"/>
                <w:sz w:val="20"/>
                <w:szCs w:val="20"/>
                <w:lang w:val="fr-CA"/>
              </w:rPr>
              <w:t xml:space="preserve"> </w:t>
            </w:r>
            <w:r w:rsidRPr="00005520">
              <w:rPr>
                <w:sz w:val="20"/>
                <w:szCs w:val="20"/>
                <w:lang w:val="fr-CA"/>
              </w:rPr>
              <w:t>les</w:t>
            </w:r>
            <w:r w:rsidRPr="00005520">
              <w:rPr>
                <w:spacing w:val="-7"/>
                <w:sz w:val="20"/>
                <w:szCs w:val="20"/>
                <w:lang w:val="fr-CA"/>
              </w:rPr>
              <w:t xml:space="preserve"> </w:t>
            </w:r>
            <w:r w:rsidRPr="00005520">
              <w:rPr>
                <w:sz w:val="20"/>
                <w:szCs w:val="20"/>
                <w:lang w:val="fr-CA"/>
              </w:rPr>
              <w:t>enfants.</w:t>
            </w:r>
            <w:r w:rsidRPr="00005520">
              <w:rPr>
                <w:spacing w:val="-7"/>
                <w:sz w:val="20"/>
                <w:szCs w:val="20"/>
                <w:lang w:val="fr-CA"/>
              </w:rPr>
              <w:t xml:space="preserve"> </w:t>
            </w:r>
            <w:r w:rsidRPr="00005520">
              <w:rPr>
                <w:sz w:val="20"/>
                <w:szCs w:val="20"/>
                <w:lang w:val="fr-CA"/>
              </w:rPr>
              <w:t>Le</w:t>
            </w:r>
            <w:r w:rsidRPr="00005520">
              <w:rPr>
                <w:spacing w:val="-8"/>
                <w:sz w:val="20"/>
                <w:szCs w:val="20"/>
                <w:lang w:val="fr-CA"/>
              </w:rPr>
              <w:t xml:space="preserve"> </w:t>
            </w:r>
            <w:r w:rsidRPr="00005520">
              <w:rPr>
                <w:sz w:val="20"/>
                <w:szCs w:val="20"/>
                <w:lang w:val="fr-CA"/>
              </w:rPr>
              <w:t>résultat,</w:t>
            </w:r>
            <w:r w:rsidRPr="00005520">
              <w:rPr>
                <w:spacing w:val="-7"/>
                <w:sz w:val="20"/>
                <w:szCs w:val="20"/>
                <w:lang w:val="fr-CA"/>
              </w:rPr>
              <w:t xml:space="preserve"> </w:t>
            </w:r>
            <w:r w:rsidRPr="00005520">
              <w:rPr>
                <w:sz w:val="20"/>
                <w:szCs w:val="20"/>
                <w:lang w:val="fr-CA"/>
              </w:rPr>
              <w:t>c’est</w:t>
            </w:r>
            <w:r w:rsidRPr="00005520">
              <w:rPr>
                <w:spacing w:val="-7"/>
                <w:sz w:val="20"/>
                <w:szCs w:val="20"/>
                <w:lang w:val="fr-CA"/>
              </w:rPr>
              <w:t xml:space="preserve"> </w:t>
            </w:r>
            <w:r w:rsidRPr="00005520">
              <w:rPr>
                <w:sz w:val="20"/>
                <w:szCs w:val="20"/>
                <w:lang w:val="fr-CA"/>
              </w:rPr>
              <w:t>que</w:t>
            </w:r>
            <w:r w:rsidRPr="00005520">
              <w:rPr>
                <w:spacing w:val="26"/>
                <w:sz w:val="20"/>
                <w:szCs w:val="20"/>
                <w:lang w:val="fr-CA"/>
              </w:rPr>
              <w:t xml:space="preserve"> </w:t>
            </w:r>
            <w:r w:rsidRPr="00005520">
              <w:rPr>
                <w:sz w:val="20"/>
                <w:szCs w:val="20"/>
                <w:lang w:val="fr-CA"/>
              </w:rPr>
              <w:t>le DPJ obtient ce qu’il</w:t>
            </w:r>
            <w:r w:rsidRPr="00005520">
              <w:rPr>
                <w:spacing w:val="1"/>
                <w:sz w:val="20"/>
                <w:szCs w:val="20"/>
                <w:lang w:val="fr-CA"/>
              </w:rPr>
              <w:t xml:space="preserve"> </w:t>
            </w:r>
            <w:r w:rsidRPr="00005520">
              <w:rPr>
                <w:sz w:val="20"/>
                <w:szCs w:val="20"/>
                <w:lang w:val="fr-CA"/>
              </w:rPr>
              <w:t>veut dans l’immense majorité des cas. Ce</w:t>
            </w:r>
            <w:r w:rsidRPr="00005520">
              <w:rPr>
                <w:spacing w:val="3"/>
                <w:sz w:val="20"/>
                <w:szCs w:val="20"/>
                <w:lang w:val="fr-CA"/>
              </w:rPr>
              <w:t xml:space="preserve"> </w:t>
            </w:r>
            <w:r w:rsidRPr="00005520">
              <w:rPr>
                <w:sz w:val="20"/>
                <w:szCs w:val="20"/>
                <w:lang w:val="fr-CA"/>
              </w:rPr>
              <w:t>n’est</w:t>
            </w:r>
            <w:r w:rsidRPr="00005520">
              <w:rPr>
                <w:spacing w:val="3"/>
                <w:sz w:val="20"/>
                <w:szCs w:val="20"/>
                <w:lang w:val="fr-CA"/>
              </w:rPr>
              <w:t xml:space="preserve"> </w:t>
            </w:r>
            <w:r w:rsidRPr="00005520">
              <w:rPr>
                <w:sz w:val="20"/>
                <w:szCs w:val="20"/>
                <w:lang w:val="fr-CA"/>
              </w:rPr>
              <w:t>pas</w:t>
            </w:r>
            <w:r w:rsidRPr="00005520">
              <w:rPr>
                <w:spacing w:val="3"/>
                <w:sz w:val="20"/>
                <w:szCs w:val="20"/>
                <w:lang w:val="fr-CA"/>
              </w:rPr>
              <w:t xml:space="preserve"> </w:t>
            </w:r>
            <w:r w:rsidRPr="00005520">
              <w:rPr>
                <w:sz w:val="20"/>
                <w:szCs w:val="20"/>
                <w:lang w:val="fr-CA"/>
              </w:rPr>
              <w:t>juste</w:t>
            </w:r>
            <w:r w:rsidRPr="00005520">
              <w:rPr>
                <w:spacing w:val="3"/>
                <w:sz w:val="20"/>
                <w:szCs w:val="20"/>
                <w:lang w:val="fr-CA"/>
              </w:rPr>
              <w:t xml:space="preserve"> </w:t>
            </w:r>
            <w:r w:rsidRPr="00005520">
              <w:rPr>
                <w:sz w:val="20"/>
                <w:szCs w:val="20"/>
                <w:lang w:val="fr-CA"/>
              </w:rPr>
              <w:t>David</w:t>
            </w:r>
            <w:r w:rsidRPr="00005520">
              <w:rPr>
                <w:spacing w:val="3"/>
                <w:sz w:val="20"/>
                <w:szCs w:val="20"/>
                <w:lang w:val="fr-CA"/>
              </w:rPr>
              <w:t xml:space="preserve"> </w:t>
            </w:r>
            <w:r w:rsidRPr="00005520">
              <w:rPr>
                <w:sz w:val="20"/>
                <w:szCs w:val="20"/>
                <w:lang w:val="fr-CA"/>
              </w:rPr>
              <w:t>contre</w:t>
            </w:r>
            <w:r w:rsidRPr="00005520">
              <w:rPr>
                <w:spacing w:val="3"/>
                <w:sz w:val="20"/>
                <w:szCs w:val="20"/>
                <w:lang w:val="fr-CA"/>
              </w:rPr>
              <w:t xml:space="preserve"> </w:t>
            </w:r>
            <w:r w:rsidRPr="00005520">
              <w:rPr>
                <w:sz w:val="20"/>
                <w:szCs w:val="20"/>
                <w:lang w:val="fr-CA"/>
              </w:rPr>
              <w:t>Goliath.</w:t>
            </w:r>
            <w:r w:rsidRPr="00005520">
              <w:rPr>
                <w:spacing w:val="3"/>
                <w:sz w:val="20"/>
                <w:szCs w:val="20"/>
                <w:lang w:val="fr-CA"/>
              </w:rPr>
              <w:t xml:space="preserve"> </w:t>
            </w:r>
            <w:r w:rsidRPr="00005520">
              <w:rPr>
                <w:sz w:val="20"/>
                <w:szCs w:val="20"/>
                <w:lang w:val="fr-CA"/>
              </w:rPr>
              <w:t>C’est</w:t>
            </w:r>
            <w:r w:rsidRPr="00005520">
              <w:rPr>
                <w:spacing w:val="4"/>
                <w:sz w:val="20"/>
                <w:szCs w:val="20"/>
                <w:lang w:val="fr-CA"/>
              </w:rPr>
              <w:t xml:space="preserve"> </w:t>
            </w:r>
            <w:r w:rsidRPr="00005520">
              <w:rPr>
                <w:sz w:val="20"/>
                <w:szCs w:val="20"/>
                <w:lang w:val="fr-CA"/>
              </w:rPr>
              <w:t>David</w:t>
            </w:r>
            <w:r w:rsidRPr="00005520">
              <w:rPr>
                <w:spacing w:val="3"/>
                <w:sz w:val="20"/>
                <w:szCs w:val="20"/>
                <w:lang w:val="fr-CA"/>
              </w:rPr>
              <w:t xml:space="preserve"> </w:t>
            </w:r>
            <w:r w:rsidRPr="00005520">
              <w:rPr>
                <w:sz w:val="20"/>
                <w:szCs w:val="20"/>
                <w:lang w:val="fr-CA"/>
              </w:rPr>
              <w:t>contre</w:t>
            </w:r>
            <w:r w:rsidRPr="00005520">
              <w:rPr>
                <w:spacing w:val="3"/>
                <w:sz w:val="20"/>
                <w:szCs w:val="20"/>
                <w:lang w:val="fr-CA"/>
              </w:rPr>
              <w:t xml:space="preserve"> </w:t>
            </w:r>
            <w:r w:rsidRPr="00005520">
              <w:rPr>
                <w:sz w:val="20"/>
                <w:szCs w:val="20"/>
                <w:lang w:val="fr-CA"/>
              </w:rPr>
              <w:t>deux</w:t>
            </w:r>
            <w:r w:rsidRPr="00005520">
              <w:rPr>
                <w:spacing w:val="3"/>
                <w:sz w:val="20"/>
                <w:szCs w:val="20"/>
                <w:lang w:val="fr-CA"/>
              </w:rPr>
              <w:t xml:space="preserve"> </w:t>
            </w:r>
            <w:r w:rsidRPr="00005520">
              <w:rPr>
                <w:sz w:val="20"/>
                <w:szCs w:val="20"/>
                <w:lang w:val="fr-CA"/>
              </w:rPr>
              <w:t>ou</w:t>
            </w:r>
            <w:r w:rsidRPr="00005520">
              <w:rPr>
                <w:spacing w:val="34"/>
                <w:sz w:val="20"/>
                <w:szCs w:val="20"/>
                <w:lang w:val="fr-CA"/>
              </w:rPr>
              <w:t xml:space="preserve"> </w:t>
            </w:r>
            <w:r w:rsidRPr="00005520">
              <w:rPr>
                <w:sz w:val="20"/>
                <w:szCs w:val="20"/>
                <w:lang w:val="fr-CA"/>
              </w:rPr>
              <w:t>trois Goliath »</w:t>
            </w:r>
          </w:p>
          <w:p w:rsidR="00E033CB" w:rsidRPr="00005520" w:rsidRDefault="00E033CB" w:rsidP="00E033CB">
            <w:pPr>
              <w:jc w:val="both"/>
              <w:rPr>
                <w:color w:val="222222"/>
                <w:sz w:val="20"/>
                <w:szCs w:val="20"/>
                <w:lang w:val="fr-CA" w:eastAsia="fr-CA"/>
              </w:rPr>
            </w:pPr>
          </w:p>
          <w:p w:rsidR="00E033CB" w:rsidRPr="00005520" w:rsidRDefault="00E033CB" w:rsidP="00E033CB">
            <w:pPr>
              <w:jc w:val="both"/>
              <w:rPr>
                <w:sz w:val="20"/>
                <w:szCs w:val="20"/>
                <w:lang w:val="fr-CA"/>
              </w:rPr>
            </w:pPr>
            <w:r w:rsidRPr="00005520">
              <w:rPr>
                <w:spacing w:val="3"/>
                <w:sz w:val="20"/>
                <w:szCs w:val="20"/>
                <w:lang w:val="fr-CA"/>
              </w:rPr>
              <w:t>Saisie d’une plainte disciplinaire visant la demanderesse, le Conseil de discipline du Barreau du Québec déclare la demanderesse coupable d’une faute déontologique pour avoir exprimé un « jugement de valeur sur le processus judiciaire dont elle attaque la crédibilité et l’intégrité » via « une critique négative » et lui impose une amende de 2 000 $. En appel devant le Tribunal des professions, la déclaration de culpabilité est maintenue, mais par voie de décision distincte, la sanction est remplacée par une radiation temporaire de 30 jours. La demanderesse demande alors la révision judiciaire des décisions du Tribunal des professions auprès de la Cour supérieure.</w:t>
            </w:r>
          </w:p>
          <w:p w:rsidR="00E033CB" w:rsidRPr="00005520" w:rsidRDefault="00E033CB" w:rsidP="00E033CB">
            <w:pPr>
              <w:jc w:val="both"/>
              <w:rPr>
                <w:sz w:val="20"/>
                <w:szCs w:val="20"/>
                <w:lang w:val="fr-CA"/>
              </w:rPr>
            </w:pPr>
          </w:p>
        </w:tc>
      </w:tr>
      <w:tr w:rsidR="00E033CB" w:rsidRPr="0096343C" w:rsidTr="0074616E">
        <w:tblPrEx>
          <w:tblCellMar>
            <w:bottom w:w="0" w:type="dxa"/>
          </w:tblCellMar>
        </w:tblPrEx>
        <w:tc>
          <w:tcPr>
            <w:tcW w:w="2390" w:type="pct"/>
            <w:gridSpan w:val="2"/>
          </w:tcPr>
          <w:p w:rsidR="00E033CB" w:rsidRPr="00005520" w:rsidRDefault="00E033CB" w:rsidP="00E033CB">
            <w:pPr>
              <w:jc w:val="both"/>
              <w:rPr>
                <w:sz w:val="20"/>
                <w:szCs w:val="20"/>
                <w:lang w:val="fr-CA"/>
              </w:rPr>
            </w:pPr>
            <w:r w:rsidRPr="00005520">
              <w:rPr>
                <w:sz w:val="20"/>
                <w:szCs w:val="20"/>
                <w:lang w:val="fr-CA"/>
              </w:rPr>
              <w:t>Le 25 septembre 2014</w:t>
            </w:r>
          </w:p>
          <w:p w:rsidR="00E033CB" w:rsidRPr="00005520" w:rsidRDefault="00E033CB" w:rsidP="00E033CB">
            <w:pPr>
              <w:jc w:val="both"/>
              <w:rPr>
                <w:sz w:val="20"/>
                <w:szCs w:val="20"/>
                <w:lang w:val="fr-CA"/>
              </w:rPr>
            </w:pPr>
            <w:r w:rsidRPr="00005520">
              <w:rPr>
                <w:sz w:val="20"/>
                <w:szCs w:val="20"/>
                <w:lang w:val="fr-CA"/>
              </w:rPr>
              <w:t>Tribunal des Professions</w:t>
            </w:r>
          </w:p>
          <w:p w:rsidR="00E033CB" w:rsidRPr="00005520" w:rsidRDefault="00E033CB" w:rsidP="00E033CB">
            <w:pPr>
              <w:jc w:val="both"/>
              <w:rPr>
                <w:sz w:val="20"/>
                <w:szCs w:val="20"/>
                <w:lang w:val="fr-CA"/>
              </w:rPr>
            </w:pPr>
            <w:r w:rsidRPr="00005520">
              <w:rPr>
                <w:sz w:val="20"/>
                <w:szCs w:val="20"/>
                <w:lang w:val="fr-CA"/>
              </w:rPr>
              <w:t>(Les juges Hébert, Marchi et Despots)</w:t>
            </w:r>
          </w:p>
          <w:p w:rsidR="00E033CB" w:rsidRPr="00005520" w:rsidRDefault="00E033CB" w:rsidP="00E033CB">
            <w:pPr>
              <w:jc w:val="both"/>
              <w:rPr>
                <w:sz w:val="20"/>
                <w:szCs w:val="20"/>
              </w:rPr>
            </w:pPr>
            <w:r w:rsidRPr="00005520">
              <w:rPr>
                <w:sz w:val="20"/>
                <w:szCs w:val="20"/>
              </w:rPr>
              <w:t>No. 505-07-000052-111</w:t>
            </w:r>
          </w:p>
          <w:p w:rsidR="00E033CB" w:rsidRPr="00005520" w:rsidRDefault="008D266B" w:rsidP="00E033CB">
            <w:pPr>
              <w:jc w:val="both"/>
              <w:rPr>
                <w:sz w:val="20"/>
                <w:szCs w:val="20"/>
              </w:rPr>
            </w:pPr>
            <w:hyperlink r:id="rId23" w:history="1">
              <w:r w:rsidR="00E033CB" w:rsidRPr="00005520">
                <w:rPr>
                  <w:rStyle w:val="Hyperlink"/>
                  <w:sz w:val="20"/>
                  <w:szCs w:val="20"/>
                </w:rPr>
                <w:t>2014 QCTP 116</w:t>
              </w:r>
            </w:hyperlink>
          </w:p>
          <w:p w:rsidR="00E033CB" w:rsidRPr="00005520" w:rsidRDefault="00E033CB" w:rsidP="00E033CB">
            <w:pPr>
              <w:jc w:val="both"/>
              <w:rPr>
                <w:sz w:val="20"/>
                <w:szCs w:val="20"/>
              </w:rPr>
            </w:pPr>
          </w:p>
        </w:tc>
        <w:tc>
          <w:tcPr>
            <w:tcW w:w="270" w:type="pct"/>
          </w:tcPr>
          <w:p w:rsidR="00E033CB" w:rsidRPr="00005520" w:rsidRDefault="00E033CB" w:rsidP="00E033CB">
            <w:pPr>
              <w:jc w:val="both"/>
              <w:rPr>
                <w:sz w:val="20"/>
                <w:szCs w:val="20"/>
              </w:rPr>
            </w:pPr>
          </w:p>
        </w:tc>
        <w:tc>
          <w:tcPr>
            <w:tcW w:w="2340" w:type="pct"/>
          </w:tcPr>
          <w:p w:rsidR="00E033CB" w:rsidRPr="00005520" w:rsidRDefault="00E033CB" w:rsidP="00E033CB">
            <w:pPr>
              <w:jc w:val="both"/>
              <w:rPr>
                <w:sz w:val="20"/>
                <w:szCs w:val="20"/>
                <w:lang w:val="fr-CA"/>
              </w:rPr>
            </w:pPr>
            <w:r w:rsidRPr="00005520">
              <w:rPr>
                <w:sz w:val="20"/>
                <w:szCs w:val="20"/>
                <w:lang w:val="fr-CA"/>
              </w:rPr>
              <w:t xml:space="preserve">Appel rejeté (confirmant la </w:t>
            </w:r>
            <w:r w:rsidRPr="00005520">
              <w:rPr>
                <w:sz w:val="20"/>
                <w:szCs w:val="20"/>
                <w:lang w:val="fr-FR"/>
              </w:rPr>
              <w:t>décision du Conseil de discipline du Barreau du Québec déclarant la demanderesse coupable d’une faute déontologique).</w:t>
            </w:r>
          </w:p>
          <w:p w:rsidR="00E033CB" w:rsidRPr="00005520" w:rsidRDefault="00E033CB" w:rsidP="00E033CB">
            <w:pPr>
              <w:jc w:val="both"/>
              <w:rPr>
                <w:sz w:val="20"/>
                <w:szCs w:val="20"/>
                <w:lang w:val="fr-CA"/>
              </w:rPr>
            </w:pPr>
          </w:p>
        </w:tc>
      </w:tr>
      <w:tr w:rsidR="00E033CB" w:rsidRPr="0096343C" w:rsidTr="0074616E">
        <w:tblPrEx>
          <w:tblCellMar>
            <w:bottom w:w="0" w:type="dxa"/>
          </w:tblCellMar>
        </w:tblPrEx>
        <w:tc>
          <w:tcPr>
            <w:tcW w:w="2390" w:type="pct"/>
            <w:gridSpan w:val="2"/>
          </w:tcPr>
          <w:p w:rsidR="00E033CB" w:rsidRPr="00005520" w:rsidRDefault="00E033CB" w:rsidP="00E033CB">
            <w:pPr>
              <w:jc w:val="both"/>
              <w:rPr>
                <w:sz w:val="20"/>
                <w:szCs w:val="20"/>
                <w:lang w:val="fr-CA"/>
              </w:rPr>
            </w:pPr>
            <w:r w:rsidRPr="00005520">
              <w:rPr>
                <w:sz w:val="20"/>
                <w:szCs w:val="20"/>
                <w:lang w:val="fr-CA"/>
              </w:rPr>
              <w:t>Le 25 septembre 2014</w:t>
            </w:r>
          </w:p>
          <w:p w:rsidR="00E033CB" w:rsidRPr="00005520" w:rsidRDefault="00E033CB" w:rsidP="00E033CB">
            <w:pPr>
              <w:jc w:val="both"/>
              <w:rPr>
                <w:sz w:val="20"/>
                <w:szCs w:val="20"/>
                <w:lang w:val="fr-CA"/>
              </w:rPr>
            </w:pPr>
            <w:r w:rsidRPr="00005520">
              <w:rPr>
                <w:sz w:val="20"/>
                <w:szCs w:val="20"/>
                <w:lang w:val="fr-CA"/>
              </w:rPr>
              <w:t>Tribunal des Professions</w:t>
            </w:r>
          </w:p>
          <w:p w:rsidR="00E033CB" w:rsidRPr="00005520" w:rsidRDefault="00E033CB" w:rsidP="00E033CB">
            <w:pPr>
              <w:jc w:val="both"/>
              <w:rPr>
                <w:sz w:val="20"/>
                <w:szCs w:val="20"/>
                <w:lang w:val="fr-CA"/>
              </w:rPr>
            </w:pPr>
            <w:r w:rsidRPr="00005520">
              <w:rPr>
                <w:sz w:val="20"/>
                <w:szCs w:val="20"/>
                <w:lang w:val="fr-CA"/>
              </w:rPr>
              <w:t>(Les juges Hébert, Marchi et Despots)</w:t>
            </w:r>
          </w:p>
          <w:p w:rsidR="00E033CB" w:rsidRPr="00005520" w:rsidRDefault="00E033CB" w:rsidP="00E033CB">
            <w:pPr>
              <w:jc w:val="both"/>
              <w:rPr>
                <w:sz w:val="20"/>
                <w:szCs w:val="20"/>
              </w:rPr>
            </w:pPr>
            <w:r w:rsidRPr="00005520">
              <w:rPr>
                <w:sz w:val="20"/>
                <w:szCs w:val="20"/>
              </w:rPr>
              <w:t>No. 505-07-000051-113</w:t>
            </w:r>
          </w:p>
          <w:p w:rsidR="00E033CB" w:rsidRPr="00005520" w:rsidRDefault="008D266B" w:rsidP="00E033CB">
            <w:pPr>
              <w:jc w:val="both"/>
              <w:rPr>
                <w:sz w:val="20"/>
                <w:szCs w:val="20"/>
              </w:rPr>
            </w:pPr>
            <w:hyperlink r:id="rId24" w:history="1">
              <w:r w:rsidR="00E033CB" w:rsidRPr="00005520">
                <w:rPr>
                  <w:rStyle w:val="Hyperlink"/>
                  <w:sz w:val="20"/>
                  <w:szCs w:val="20"/>
                </w:rPr>
                <w:t>2014 QCTP 115</w:t>
              </w:r>
            </w:hyperlink>
          </w:p>
          <w:p w:rsidR="00E033CB" w:rsidRPr="00005520" w:rsidRDefault="00E033CB" w:rsidP="00E033CB">
            <w:pPr>
              <w:jc w:val="both"/>
              <w:rPr>
                <w:sz w:val="20"/>
                <w:szCs w:val="20"/>
              </w:rPr>
            </w:pPr>
          </w:p>
        </w:tc>
        <w:tc>
          <w:tcPr>
            <w:tcW w:w="270" w:type="pct"/>
          </w:tcPr>
          <w:p w:rsidR="00E033CB" w:rsidRPr="00005520" w:rsidRDefault="00E033CB" w:rsidP="00E033CB">
            <w:pPr>
              <w:jc w:val="both"/>
              <w:rPr>
                <w:sz w:val="20"/>
                <w:szCs w:val="20"/>
              </w:rPr>
            </w:pPr>
          </w:p>
        </w:tc>
        <w:tc>
          <w:tcPr>
            <w:tcW w:w="2340" w:type="pct"/>
          </w:tcPr>
          <w:p w:rsidR="00E033CB" w:rsidRPr="00005520" w:rsidRDefault="00E033CB" w:rsidP="00E033CB">
            <w:pPr>
              <w:jc w:val="both"/>
              <w:rPr>
                <w:sz w:val="20"/>
                <w:szCs w:val="20"/>
                <w:lang w:val="fr-CA"/>
              </w:rPr>
            </w:pPr>
            <w:r w:rsidRPr="00005520">
              <w:rPr>
                <w:sz w:val="20"/>
                <w:szCs w:val="20"/>
                <w:lang w:val="fr-CA"/>
              </w:rPr>
              <w:t xml:space="preserve">Appel accueilli (cassant la </w:t>
            </w:r>
            <w:r w:rsidRPr="00005520">
              <w:rPr>
                <w:sz w:val="20"/>
                <w:szCs w:val="20"/>
                <w:lang w:val="fr-FR"/>
              </w:rPr>
              <w:t xml:space="preserve">décision du Conseil de discipline du Barreau du Québec imposant à la demanderesse une amende de </w:t>
            </w:r>
            <w:r w:rsidRPr="00005520">
              <w:rPr>
                <w:spacing w:val="3"/>
                <w:sz w:val="20"/>
                <w:szCs w:val="20"/>
                <w:lang w:val="fr-CA"/>
              </w:rPr>
              <w:t>2 000 $ afin d’y substituer une radiation temporaire</w:t>
            </w:r>
            <w:r w:rsidRPr="00005520">
              <w:rPr>
                <w:sz w:val="20"/>
                <w:szCs w:val="20"/>
                <w:lang w:val="fr-FR"/>
              </w:rPr>
              <w:t>).</w:t>
            </w:r>
          </w:p>
          <w:p w:rsidR="00E033CB" w:rsidRPr="00005520" w:rsidRDefault="00E033CB" w:rsidP="00E033CB">
            <w:pPr>
              <w:jc w:val="both"/>
              <w:rPr>
                <w:sz w:val="20"/>
                <w:szCs w:val="20"/>
                <w:lang w:val="fr-CA"/>
              </w:rPr>
            </w:pPr>
          </w:p>
        </w:tc>
      </w:tr>
      <w:tr w:rsidR="00E033CB" w:rsidRPr="0096343C" w:rsidTr="0074616E">
        <w:tblPrEx>
          <w:tblCellMar>
            <w:bottom w:w="0" w:type="dxa"/>
          </w:tblCellMar>
        </w:tblPrEx>
        <w:tc>
          <w:tcPr>
            <w:tcW w:w="2390" w:type="pct"/>
            <w:gridSpan w:val="2"/>
          </w:tcPr>
          <w:p w:rsidR="00E033CB" w:rsidRPr="00005520" w:rsidRDefault="00E033CB" w:rsidP="00E033CB">
            <w:pPr>
              <w:jc w:val="both"/>
              <w:rPr>
                <w:sz w:val="20"/>
                <w:szCs w:val="20"/>
                <w:lang w:val="fr-CA"/>
              </w:rPr>
            </w:pPr>
            <w:r w:rsidRPr="00005520">
              <w:rPr>
                <w:sz w:val="20"/>
                <w:szCs w:val="20"/>
                <w:lang w:val="fr-CA"/>
              </w:rPr>
              <w:t>Le 9 octobre 2015</w:t>
            </w:r>
          </w:p>
          <w:p w:rsidR="00E033CB" w:rsidRPr="00005520" w:rsidRDefault="00E033CB" w:rsidP="00E033CB">
            <w:pPr>
              <w:jc w:val="both"/>
              <w:rPr>
                <w:sz w:val="20"/>
                <w:szCs w:val="20"/>
                <w:lang w:val="fr-CA"/>
              </w:rPr>
            </w:pPr>
            <w:r w:rsidRPr="00005520">
              <w:rPr>
                <w:sz w:val="20"/>
                <w:szCs w:val="20"/>
                <w:lang w:val="fr-CA"/>
              </w:rPr>
              <w:t>Cour supérieure du Québec</w:t>
            </w:r>
          </w:p>
          <w:p w:rsidR="00E033CB" w:rsidRPr="00005520" w:rsidRDefault="00E033CB" w:rsidP="00E033CB">
            <w:pPr>
              <w:jc w:val="both"/>
              <w:rPr>
                <w:sz w:val="20"/>
                <w:szCs w:val="20"/>
              </w:rPr>
            </w:pPr>
            <w:r w:rsidRPr="00005520">
              <w:rPr>
                <w:sz w:val="20"/>
                <w:szCs w:val="20"/>
              </w:rPr>
              <w:t>(Le juge Bisson)</w:t>
            </w:r>
          </w:p>
          <w:p w:rsidR="00E033CB" w:rsidRPr="00005520" w:rsidRDefault="00E033CB" w:rsidP="00E033CB">
            <w:pPr>
              <w:jc w:val="both"/>
              <w:rPr>
                <w:sz w:val="20"/>
                <w:szCs w:val="20"/>
              </w:rPr>
            </w:pPr>
            <w:r w:rsidRPr="00005520">
              <w:rPr>
                <w:sz w:val="20"/>
                <w:szCs w:val="20"/>
              </w:rPr>
              <w:t>No. 500-17-084555-146</w:t>
            </w:r>
          </w:p>
          <w:p w:rsidR="00E033CB" w:rsidRPr="00005520" w:rsidRDefault="00E033CB" w:rsidP="00E033CB">
            <w:pPr>
              <w:jc w:val="both"/>
              <w:rPr>
                <w:sz w:val="20"/>
                <w:szCs w:val="20"/>
              </w:rPr>
            </w:pPr>
          </w:p>
        </w:tc>
        <w:tc>
          <w:tcPr>
            <w:tcW w:w="270" w:type="pct"/>
          </w:tcPr>
          <w:p w:rsidR="00E033CB" w:rsidRPr="00005520" w:rsidRDefault="00E033CB" w:rsidP="00E033CB">
            <w:pPr>
              <w:jc w:val="both"/>
              <w:rPr>
                <w:sz w:val="20"/>
                <w:szCs w:val="20"/>
              </w:rPr>
            </w:pPr>
          </w:p>
        </w:tc>
        <w:tc>
          <w:tcPr>
            <w:tcW w:w="2340" w:type="pct"/>
          </w:tcPr>
          <w:p w:rsidR="00E033CB" w:rsidRPr="00005520" w:rsidRDefault="00E033CB" w:rsidP="00E033CB">
            <w:pPr>
              <w:jc w:val="both"/>
              <w:rPr>
                <w:sz w:val="20"/>
                <w:szCs w:val="20"/>
                <w:lang w:val="fr-CA"/>
              </w:rPr>
            </w:pPr>
            <w:r w:rsidRPr="00005520">
              <w:rPr>
                <w:sz w:val="20"/>
                <w:szCs w:val="20"/>
                <w:lang w:val="fr-CA"/>
              </w:rPr>
              <w:t xml:space="preserve">Requête en révision judiciaire des décisions du </w:t>
            </w:r>
            <w:r w:rsidRPr="00005520">
              <w:rPr>
                <w:sz w:val="20"/>
                <w:szCs w:val="20"/>
                <w:lang w:val="fr-FR"/>
              </w:rPr>
              <w:t>Conseil de discipline du Barreau du Québec rejetée.</w:t>
            </w:r>
          </w:p>
          <w:p w:rsidR="00E033CB" w:rsidRPr="00005520" w:rsidRDefault="00E033CB" w:rsidP="00E033CB">
            <w:pPr>
              <w:jc w:val="both"/>
              <w:rPr>
                <w:sz w:val="20"/>
                <w:szCs w:val="20"/>
                <w:lang w:val="fr-CA"/>
              </w:rPr>
            </w:pPr>
          </w:p>
        </w:tc>
      </w:tr>
      <w:tr w:rsidR="00E033CB" w:rsidRPr="0096343C" w:rsidTr="0074616E">
        <w:tblPrEx>
          <w:tblCellMar>
            <w:bottom w:w="0" w:type="dxa"/>
          </w:tblCellMar>
        </w:tblPrEx>
        <w:tc>
          <w:tcPr>
            <w:tcW w:w="2390" w:type="pct"/>
            <w:gridSpan w:val="2"/>
          </w:tcPr>
          <w:p w:rsidR="00E033CB" w:rsidRPr="00005520" w:rsidRDefault="00E033CB" w:rsidP="00E033CB">
            <w:pPr>
              <w:jc w:val="both"/>
              <w:rPr>
                <w:sz w:val="20"/>
                <w:szCs w:val="20"/>
                <w:lang w:val="fr-CA"/>
              </w:rPr>
            </w:pPr>
            <w:r w:rsidRPr="00005520">
              <w:rPr>
                <w:sz w:val="20"/>
                <w:szCs w:val="20"/>
                <w:lang w:val="fr-CA"/>
              </w:rPr>
              <w:lastRenderedPageBreak/>
              <w:t>Le 25 mai 2017</w:t>
            </w:r>
          </w:p>
          <w:p w:rsidR="00E033CB" w:rsidRPr="00005520" w:rsidRDefault="00E033CB" w:rsidP="00E033CB">
            <w:pPr>
              <w:jc w:val="both"/>
              <w:rPr>
                <w:sz w:val="20"/>
                <w:szCs w:val="20"/>
                <w:lang w:val="fr-CA"/>
              </w:rPr>
            </w:pPr>
            <w:r w:rsidRPr="00005520">
              <w:rPr>
                <w:sz w:val="20"/>
                <w:szCs w:val="20"/>
                <w:lang w:val="fr-CA"/>
              </w:rPr>
              <w:t>Cour d’appel du Québec (Montréal)</w:t>
            </w:r>
          </w:p>
          <w:p w:rsidR="00E033CB" w:rsidRPr="00005520" w:rsidRDefault="00E033CB" w:rsidP="00E033CB">
            <w:pPr>
              <w:jc w:val="both"/>
              <w:rPr>
                <w:sz w:val="20"/>
                <w:szCs w:val="20"/>
                <w:lang w:val="fr-CA"/>
              </w:rPr>
            </w:pPr>
            <w:r w:rsidRPr="00005520">
              <w:rPr>
                <w:sz w:val="20"/>
                <w:szCs w:val="20"/>
                <w:lang w:val="fr-CA"/>
              </w:rPr>
              <w:t>(Les juges Dutil, St-Pierre et Savard)</w:t>
            </w:r>
          </w:p>
          <w:p w:rsidR="00E033CB" w:rsidRPr="00005520" w:rsidRDefault="00E033CB" w:rsidP="00E033CB">
            <w:pPr>
              <w:jc w:val="both"/>
              <w:rPr>
                <w:sz w:val="20"/>
                <w:szCs w:val="20"/>
              </w:rPr>
            </w:pPr>
            <w:r w:rsidRPr="00005520">
              <w:rPr>
                <w:sz w:val="20"/>
                <w:szCs w:val="20"/>
              </w:rPr>
              <w:t>No. 500-09-025673-153</w:t>
            </w:r>
          </w:p>
          <w:p w:rsidR="00E033CB" w:rsidRPr="00005520" w:rsidRDefault="008D266B" w:rsidP="00E033CB">
            <w:pPr>
              <w:jc w:val="both"/>
              <w:rPr>
                <w:sz w:val="20"/>
                <w:szCs w:val="20"/>
              </w:rPr>
            </w:pPr>
            <w:hyperlink r:id="rId25" w:history="1">
              <w:r w:rsidR="00E033CB" w:rsidRPr="00005520">
                <w:rPr>
                  <w:rStyle w:val="Hyperlink"/>
                  <w:sz w:val="20"/>
                  <w:szCs w:val="20"/>
                </w:rPr>
                <w:t>2017 QCCA 842</w:t>
              </w:r>
            </w:hyperlink>
          </w:p>
          <w:p w:rsidR="00E033CB" w:rsidRPr="00005520" w:rsidRDefault="00E033CB" w:rsidP="00E033CB">
            <w:pPr>
              <w:jc w:val="both"/>
              <w:rPr>
                <w:sz w:val="20"/>
                <w:szCs w:val="20"/>
              </w:rPr>
            </w:pPr>
          </w:p>
        </w:tc>
        <w:tc>
          <w:tcPr>
            <w:tcW w:w="270" w:type="pct"/>
          </w:tcPr>
          <w:p w:rsidR="00E033CB" w:rsidRPr="00005520" w:rsidRDefault="00E033CB" w:rsidP="00E033CB">
            <w:pPr>
              <w:jc w:val="both"/>
              <w:rPr>
                <w:sz w:val="20"/>
                <w:szCs w:val="20"/>
              </w:rPr>
            </w:pPr>
          </w:p>
        </w:tc>
        <w:tc>
          <w:tcPr>
            <w:tcW w:w="2340" w:type="pct"/>
          </w:tcPr>
          <w:p w:rsidR="00E033CB" w:rsidRPr="00005520" w:rsidRDefault="00E033CB" w:rsidP="00E033CB">
            <w:pPr>
              <w:jc w:val="both"/>
              <w:rPr>
                <w:sz w:val="20"/>
                <w:szCs w:val="20"/>
                <w:lang w:val="fr-CA"/>
              </w:rPr>
            </w:pPr>
            <w:r w:rsidRPr="00005520">
              <w:rPr>
                <w:sz w:val="20"/>
                <w:szCs w:val="20"/>
                <w:lang w:val="fr-FR"/>
              </w:rPr>
              <w:t>Appel accueilli en partie (cassant la décision du Tribunal des professions portant sur la sanction et rétablissant la sanction initiale).</w:t>
            </w:r>
          </w:p>
          <w:p w:rsidR="00E033CB" w:rsidRPr="00005520" w:rsidRDefault="00E033CB" w:rsidP="00E033CB">
            <w:pPr>
              <w:jc w:val="both"/>
              <w:rPr>
                <w:sz w:val="20"/>
                <w:szCs w:val="20"/>
                <w:lang w:val="fr-CA"/>
              </w:rPr>
            </w:pPr>
          </w:p>
        </w:tc>
      </w:tr>
      <w:tr w:rsidR="00E033CB" w:rsidRPr="00005520" w:rsidTr="0074616E">
        <w:tblPrEx>
          <w:tblCellMar>
            <w:bottom w:w="0" w:type="dxa"/>
          </w:tblCellMar>
        </w:tblPrEx>
        <w:tc>
          <w:tcPr>
            <w:tcW w:w="2390" w:type="pct"/>
            <w:gridSpan w:val="2"/>
          </w:tcPr>
          <w:p w:rsidR="00E033CB" w:rsidRPr="00005520" w:rsidRDefault="00E033CB" w:rsidP="00E033CB">
            <w:pPr>
              <w:jc w:val="both"/>
              <w:rPr>
                <w:sz w:val="20"/>
                <w:szCs w:val="20"/>
                <w:lang w:val="fr-CA"/>
              </w:rPr>
            </w:pPr>
            <w:r w:rsidRPr="00005520">
              <w:rPr>
                <w:sz w:val="20"/>
                <w:szCs w:val="20"/>
                <w:lang w:val="fr-CA"/>
              </w:rPr>
              <w:t>Le 21 juillet 2017</w:t>
            </w:r>
          </w:p>
          <w:p w:rsidR="00E033CB" w:rsidRPr="00005520" w:rsidRDefault="00E033CB" w:rsidP="00E033CB">
            <w:pPr>
              <w:jc w:val="both"/>
              <w:rPr>
                <w:sz w:val="20"/>
                <w:szCs w:val="20"/>
                <w:lang w:val="fr-CA"/>
              </w:rPr>
            </w:pPr>
            <w:r w:rsidRPr="00005520">
              <w:rPr>
                <w:sz w:val="20"/>
                <w:szCs w:val="20"/>
                <w:lang w:val="fr-CA"/>
              </w:rPr>
              <w:t>Cour suprême du Canada</w:t>
            </w:r>
          </w:p>
        </w:tc>
        <w:tc>
          <w:tcPr>
            <w:tcW w:w="270" w:type="pct"/>
          </w:tcPr>
          <w:p w:rsidR="00E033CB" w:rsidRPr="00005520" w:rsidRDefault="00E033CB" w:rsidP="00E033CB">
            <w:pPr>
              <w:jc w:val="both"/>
              <w:rPr>
                <w:sz w:val="20"/>
                <w:szCs w:val="20"/>
                <w:lang w:val="fr-CA"/>
              </w:rPr>
            </w:pPr>
          </w:p>
        </w:tc>
        <w:tc>
          <w:tcPr>
            <w:tcW w:w="2340" w:type="pct"/>
          </w:tcPr>
          <w:p w:rsidR="00E033CB" w:rsidRPr="00005520" w:rsidRDefault="00E033CB" w:rsidP="00E033CB">
            <w:pPr>
              <w:jc w:val="both"/>
              <w:rPr>
                <w:sz w:val="20"/>
                <w:szCs w:val="20"/>
              </w:rPr>
            </w:pPr>
            <w:r w:rsidRPr="00005520">
              <w:rPr>
                <w:sz w:val="20"/>
                <w:szCs w:val="20"/>
              </w:rPr>
              <w:t>Demande d’autorisation d’appel déposée.</w:t>
            </w:r>
          </w:p>
          <w:p w:rsidR="00E033CB" w:rsidRPr="00005520" w:rsidRDefault="00E033CB" w:rsidP="00E033CB">
            <w:pPr>
              <w:jc w:val="both"/>
              <w:rPr>
                <w:sz w:val="20"/>
                <w:szCs w:val="20"/>
              </w:rPr>
            </w:pPr>
          </w:p>
        </w:tc>
      </w:tr>
    </w:tbl>
    <w:p w:rsidR="00E033CB" w:rsidRPr="00005520" w:rsidRDefault="008D266B" w:rsidP="00E033CB">
      <w:pPr>
        <w:rPr>
          <w:sz w:val="20"/>
          <w:szCs w:val="20"/>
        </w:rPr>
      </w:pPr>
      <w:r>
        <w:rPr>
          <w:sz w:val="20"/>
          <w:szCs w:val="20"/>
        </w:rPr>
        <w:pict>
          <v:rect id="_x0000_i1045" style="width:2in;height:1pt" o:hrpct="0" o:hralign="center" o:hrstd="t" o:hrnoshade="t" o:hr="t" fillcolor="black [3213]" stroked="f"/>
        </w:pict>
      </w:r>
    </w:p>
    <w:p w:rsidR="00E033CB" w:rsidRPr="00005520" w:rsidRDefault="00E033CB" w:rsidP="00E033CB">
      <w:pPr>
        <w:jc w:val="both"/>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033CB" w:rsidRPr="00005520" w:rsidTr="0074616E">
        <w:tc>
          <w:tcPr>
            <w:tcW w:w="543" w:type="pct"/>
          </w:tcPr>
          <w:p w:rsidR="00E033CB" w:rsidRPr="00005520" w:rsidRDefault="00E033CB" w:rsidP="0074616E">
            <w:pPr>
              <w:rPr>
                <w:sz w:val="20"/>
                <w:szCs w:val="20"/>
              </w:rPr>
            </w:pPr>
            <w:r w:rsidRPr="00005520">
              <w:rPr>
                <w:rStyle w:val="SCCFileNumberChar"/>
                <w:sz w:val="20"/>
                <w:szCs w:val="20"/>
              </w:rPr>
              <w:t>37608</w:t>
            </w:r>
          </w:p>
        </w:tc>
        <w:tc>
          <w:tcPr>
            <w:tcW w:w="4457" w:type="pct"/>
            <w:gridSpan w:val="3"/>
          </w:tcPr>
          <w:p w:rsidR="00E033CB" w:rsidRPr="00005520" w:rsidRDefault="00E033CB" w:rsidP="0074616E">
            <w:pPr>
              <w:pStyle w:val="SCCLsocParty"/>
              <w:jc w:val="both"/>
              <w:rPr>
                <w:b/>
                <w:sz w:val="20"/>
                <w:szCs w:val="20"/>
                <w:lang w:val="en-US"/>
              </w:rPr>
            </w:pPr>
            <w:r w:rsidRPr="00005520">
              <w:rPr>
                <w:b/>
                <w:sz w:val="20"/>
                <w:szCs w:val="20"/>
                <w:lang w:val="en-US"/>
              </w:rPr>
              <w:t>Seamus John Neary v. Her Majesty the Queen</w:t>
            </w:r>
          </w:p>
          <w:p w:rsidR="00E033CB" w:rsidRPr="00005520" w:rsidRDefault="00E033CB" w:rsidP="0074616E">
            <w:pPr>
              <w:rPr>
                <w:sz w:val="20"/>
                <w:szCs w:val="20"/>
              </w:rPr>
            </w:pPr>
            <w:r w:rsidRPr="00005520">
              <w:rPr>
                <w:sz w:val="20"/>
                <w:szCs w:val="20"/>
              </w:rPr>
              <w:t>(Sask.) (Criminal) (By Leave)</w:t>
            </w:r>
          </w:p>
        </w:tc>
      </w:tr>
      <w:tr w:rsidR="00047CBB" w:rsidRPr="00005520" w:rsidTr="0074616E">
        <w:tc>
          <w:tcPr>
            <w:tcW w:w="543" w:type="pct"/>
          </w:tcPr>
          <w:p w:rsidR="00047CBB" w:rsidRPr="00005520" w:rsidRDefault="00047CBB" w:rsidP="0074616E">
            <w:pPr>
              <w:rPr>
                <w:rStyle w:val="SCCFileNumberChar"/>
                <w:sz w:val="20"/>
                <w:szCs w:val="20"/>
              </w:rPr>
            </w:pPr>
            <w:r>
              <w:rPr>
                <w:rStyle w:val="SCCFileNumberChar"/>
                <w:sz w:val="20"/>
                <w:szCs w:val="20"/>
              </w:rPr>
              <w:t>Coram:</w:t>
            </w:r>
          </w:p>
        </w:tc>
        <w:tc>
          <w:tcPr>
            <w:tcW w:w="4457" w:type="pct"/>
            <w:gridSpan w:val="3"/>
          </w:tcPr>
          <w:p w:rsidR="00047CBB" w:rsidRDefault="0088323A" w:rsidP="0074616E">
            <w:pPr>
              <w:pStyle w:val="SCCLsocParty"/>
              <w:jc w:val="both"/>
              <w:rPr>
                <w:sz w:val="20"/>
                <w:szCs w:val="20"/>
                <w:lang w:val="en-US"/>
              </w:rPr>
            </w:pPr>
            <w:r w:rsidRPr="0088323A">
              <w:rPr>
                <w:sz w:val="20"/>
                <w:szCs w:val="20"/>
                <w:lang w:val="en-US"/>
              </w:rPr>
              <w:t>McLachlin C.J. and Abella, Moldaver, Karakatsanis, Wagner, Gascon, Côté, Brown and Rowe JJ.</w:t>
            </w:r>
          </w:p>
          <w:p w:rsidR="0088323A" w:rsidRPr="0088323A" w:rsidRDefault="0088323A" w:rsidP="0088323A">
            <w:pPr>
              <w:rPr>
                <w:lang w:val="en-US"/>
              </w:rPr>
            </w:pPr>
          </w:p>
        </w:tc>
      </w:tr>
      <w:tr w:rsidR="00047CBB" w:rsidRPr="00005520" w:rsidTr="00047CBB">
        <w:tc>
          <w:tcPr>
            <w:tcW w:w="5000" w:type="pct"/>
            <w:gridSpan w:val="4"/>
          </w:tcPr>
          <w:p w:rsidR="00047CBB" w:rsidRPr="0088323A" w:rsidRDefault="0088323A" w:rsidP="0074616E">
            <w:pPr>
              <w:pStyle w:val="SCCLsocParty"/>
              <w:jc w:val="both"/>
              <w:rPr>
                <w:sz w:val="20"/>
                <w:szCs w:val="20"/>
                <w:lang w:val="en-US"/>
              </w:rPr>
            </w:pPr>
            <w:r w:rsidRPr="0088323A">
              <w:rPr>
                <w:sz w:val="20"/>
                <w:szCs w:val="20"/>
                <w:lang w:val="en-US"/>
              </w:rPr>
              <w:t>The application for leave to appeal from the judgment of the Court of Appeal for Saskatchewan, Numbers CACR2815 and CACR2828, 2017 SKCA 29, dated April 25, 2017, is dismissed without costs.</w:t>
            </w:r>
          </w:p>
          <w:p w:rsidR="0088323A" w:rsidRPr="0088323A" w:rsidRDefault="0088323A" w:rsidP="0088323A">
            <w:pPr>
              <w:rPr>
                <w:lang w:val="en-US"/>
              </w:rPr>
            </w:pPr>
          </w:p>
        </w:tc>
      </w:tr>
      <w:tr w:rsidR="00E033CB" w:rsidRPr="00005520" w:rsidTr="0074616E">
        <w:tc>
          <w:tcPr>
            <w:tcW w:w="5000" w:type="pct"/>
            <w:gridSpan w:val="4"/>
          </w:tcPr>
          <w:p w:rsidR="00E033CB" w:rsidRPr="00005520" w:rsidRDefault="00E033CB" w:rsidP="00E033CB">
            <w:pPr>
              <w:jc w:val="both"/>
              <w:rPr>
                <w:sz w:val="20"/>
                <w:szCs w:val="20"/>
              </w:rPr>
            </w:pPr>
            <w:r w:rsidRPr="00005520">
              <w:rPr>
                <w:i/>
                <w:sz w:val="20"/>
                <w:szCs w:val="20"/>
              </w:rPr>
              <w:t>Charter of Rights and Freedoms – Safe Streets and Communities Act</w:t>
            </w:r>
            <w:r w:rsidRPr="00005520">
              <w:rPr>
                <w:sz w:val="20"/>
                <w:szCs w:val="20"/>
              </w:rPr>
              <w:t xml:space="preserve"> removes conditional sentence order as option where offender convicted of an offence involving in excess of 3 kilograms of cannabis (marijuana) – Whether provisions contrary to ss. 7 and 12 of </w:t>
            </w:r>
            <w:r w:rsidRPr="00005520">
              <w:rPr>
                <w:i/>
                <w:sz w:val="20"/>
                <w:szCs w:val="20"/>
              </w:rPr>
              <w:t xml:space="preserve">Charter – </w:t>
            </w:r>
            <w:r w:rsidRPr="00005520">
              <w:rPr>
                <w:sz w:val="20"/>
                <w:szCs w:val="20"/>
              </w:rPr>
              <w:t>Whether and how steps to</w:t>
            </w:r>
            <w:r w:rsidRPr="00005520">
              <w:rPr>
                <w:i/>
                <w:sz w:val="20"/>
                <w:szCs w:val="20"/>
              </w:rPr>
              <w:t xml:space="preserve"> </w:t>
            </w:r>
            <w:r w:rsidRPr="00005520">
              <w:rPr>
                <w:sz w:val="20"/>
                <w:szCs w:val="20"/>
              </w:rPr>
              <w:t xml:space="preserve">legalize cannabis (marihuana) impact applicability of sentencing principles of denunciation and deterrence – Whether Court of Appeal erred in law in imposing a sentence that is unfit in the circumstances </w:t>
            </w:r>
            <w:r w:rsidRPr="00005520">
              <w:rPr>
                <w:i/>
                <w:sz w:val="20"/>
                <w:szCs w:val="20"/>
              </w:rPr>
              <w:t>– Safe Streets and Communities Act</w:t>
            </w:r>
            <w:r w:rsidRPr="00005520">
              <w:rPr>
                <w:sz w:val="20"/>
                <w:szCs w:val="20"/>
              </w:rPr>
              <w:t xml:space="preserve">, S.C. 2012, c. l., </w:t>
            </w:r>
            <w:r w:rsidRPr="00005520">
              <w:rPr>
                <w:i/>
                <w:sz w:val="20"/>
                <w:szCs w:val="20"/>
              </w:rPr>
              <w:t>Criminal Code</w:t>
            </w:r>
            <w:r w:rsidRPr="00005520">
              <w:rPr>
                <w:sz w:val="20"/>
                <w:szCs w:val="20"/>
              </w:rPr>
              <w:t>, R.S.C. 1986, c. C-46, ss. 742.1(b), 742.1(c), 742.1(e)(ii).</w:t>
            </w:r>
          </w:p>
        </w:tc>
      </w:tr>
      <w:tr w:rsidR="00E033CB" w:rsidRPr="00005520" w:rsidTr="0074616E">
        <w:tc>
          <w:tcPr>
            <w:tcW w:w="5000" w:type="pct"/>
            <w:gridSpan w:val="4"/>
          </w:tcPr>
          <w:p w:rsidR="00E033CB" w:rsidRPr="00005520" w:rsidRDefault="00E033CB" w:rsidP="00E033CB">
            <w:pPr>
              <w:jc w:val="both"/>
              <w:rPr>
                <w:sz w:val="20"/>
                <w:szCs w:val="20"/>
              </w:rPr>
            </w:pPr>
          </w:p>
        </w:tc>
      </w:tr>
      <w:tr w:rsidR="00E033CB" w:rsidRPr="00005520" w:rsidTr="0074616E">
        <w:tc>
          <w:tcPr>
            <w:tcW w:w="5000" w:type="pct"/>
            <w:gridSpan w:val="4"/>
          </w:tcPr>
          <w:p w:rsidR="00E033CB" w:rsidRPr="00005520" w:rsidRDefault="00E033CB" w:rsidP="00E033CB">
            <w:pPr>
              <w:jc w:val="both"/>
              <w:rPr>
                <w:sz w:val="20"/>
                <w:szCs w:val="20"/>
              </w:rPr>
            </w:pPr>
            <w:r w:rsidRPr="00005520">
              <w:rPr>
                <w:sz w:val="20"/>
                <w:szCs w:val="20"/>
              </w:rPr>
              <w:t xml:space="preserve">Mr. Neary pleaded guilty to possession of psilocybin and was convicted for trafficking cannabis in an amount exceeding three kilograms, possession of cannabis for the purpose of trafficking, and possession of proceeds obtained by crime. Amendments to the </w:t>
            </w:r>
            <w:r w:rsidRPr="00005520">
              <w:rPr>
                <w:i/>
                <w:sz w:val="20"/>
                <w:szCs w:val="20"/>
              </w:rPr>
              <w:t>Criminal Code</w:t>
            </w:r>
            <w:r w:rsidRPr="00005520">
              <w:rPr>
                <w:sz w:val="20"/>
                <w:szCs w:val="20"/>
              </w:rPr>
              <w:t xml:space="preserve">, R.S.C. 1985, c. C-46, brought into effect by </w:t>
            </w:r>
            <w:r w:rsidRPr="00005520">
              <w:rPr>
                <w:i/>
                <w:sz w:val="20"/>
                <w:szCs w:val="20"/>
              </w:rPr>
              <w:t>Safe Streets and Communities Act</w:t>
            </w:r>
            <w:r w:rsidRPr="00005520">
              <w:rPr>
                <w:sz w:val="20"/>
                <w:szCs w:val="20"/>
              </w:rPr>
              <w:t xml:space="preserve">, S.C. 2012, c. 1, remove a conditional sentence from the range of sentencing options available for Mr. Neary. The sentencing judge dismissed an application to declare the </w:t>
            </w:r>
            <w:r w:rsidRPr="00005520">
              <w:rPr>
                <w:i/>
                <w:sz w:val="20"/>
                <w:szCs w:val="20"/>
              </w:rPr>
              <w:t>Safe Streets and Communities Act</w:t>
            </w:r>
            <w:r w:rsidRPr="00005520">
              <w:rPr>
                <w:sz w:val="20"/>
                <w:szCs w:val="20"/>
              </w:rPr>
              <w:t xml:space="preserve">, insofar as it introduced ss. 742.1(c) and (e)(ii) into the </w:t>
            </w:r>
            <w:r w:rsidRPr="00005520">
              <w:rPr>
                <w:i/>
                <w:sz w:val="20"/>
                <w:szCs w:val="20"/>
              </w:rPr>
              <w:t>Criminal Code</w:t>
            </w:r>
            <w:r w:rsidRPr="00005520">
              <w:rPr>
                <w:sz w:val="20"/>
                <w:szCs w:val="20"/>
              </w:rPr>
              <w:t xml:space="preserve">, breached ss. 7 and 12 of the </w:t>
            </w:r>
            <w:r w:rsidRPr="00005520">
              <w:rPr>
                <w:i/>
                <w:sz w:val="20"/>
                <w:szCs w:val="20"/>
              </w:rPr>
              <w:t>Charter</w:t>
            </w:r>
            <w:r w:rsidRPr="00005520">
              <w:rPr>
                <w:sz w:val="20"/>
                <w:szCs w:val="20"/>
              </w:rPr>
              <w:t xml:space="preserve">. He suspended sentencing for two years. The Court of Appeal dismissed an appeal from the decision on the </w:t>
            </w:r>
            <w:r w:rsidRPr="00005520">
              <w:rPr>
                <w:i/>
                <w:sz w:val="20"/>
                <w:szCs w:val="20"/>
              </w:rPr>
              <w:t xml:space="preserve">Charter </w:t>
            </w:r>
            <w:r w:rsidRPr="00005520">
              <w:rPr>
                <w:sz w:val="20"/>
                <w:szCs w:val="20"/>
              </w:rPr>
              <w:t>application, granted an appeal from the decision to suspend sentencing, and ordered concurrent sentences.</w:t>
            </w:r>
          </w:p>
          <w:p w:rsidR="00E033CB" w:rsidRPr="00005520" w:rsidRDefault="00E033CB" w:rsidP="00E033CB">
            <w:pPr>
              <w:jc w:val="both"/>
              <w:rPr>
                <w:sz w:val="20"/>
                <w:szCs w:val="20"/>
              </w:rPr>
            </w:pPr>
          </w:p>
        </w:tc>
      </w:tr>
      <w:tr w:rsidR="00E033CB" w:rsidRPr="00005520" w:rsidTr="0074616E">
        <w:tc>
          <w:tcPr>
            <w:tcW w:w="2427" w:type="pct"/>
            <w:gridSpan w:val="2"/>
          </w:tcPr>
          <w:p w:rsidR="00E033CB" w:rsidRPr="00005520" w:rsidRDefault="00E033CB" w:rsidP="00E033CB">
            <w:pPr>
              <w:jc w:val="both"/>
              <w:rPr>
                <w:sz w:val="20"/>
                <w:szCs w:val="20"/>
              </w:rPr>
            </w:pPr>
            <w:r w:rsidRPr="00005520">
              <w:rPr>
                <w:sz w:val="20"/>
                <w:szCs w:val="20"/>
              </w:rPr>
              <w:t xml:space="preserve">November 16, 2015 </w:t>
            </w:r>
          </w:p>
          <w:p w:rsidR="00E033CB" w:rsidRPr="00005520" w:rsidRDefault="00E033CB" w:rsidP="00E033CB">
            <w:pPr>
              <w:jc w:val="both"/>
              <w:rPr>
                <w:sz w:val="20"/>
                <w:szCs w:val="20"/>
              </w:rPr>
            </w:pPr>
            <w:r w:rsidRPr="00005520">
              <w:rPr>
                <w:sz w:val="20"/>
                <w:szCs w:val="20"/>
              </w:rPr>
              <w:t>Court of Queen’s Bench of Saskatchewan</w:t>
            </w:r>
          </w:p>
          <w:p w:rsidR="00E033CB" w:rsidRPr="00005520" w:rsidRDefault="00E033CB" w:rsidP="00E033CB">
            <w:pPr>
              <w:jc w:val="both"/>
              <w:rPr>
                <w:sz w:val="20"/>
                <w:szCs w:val="20"/>
              </w:rPr>
            </w:pPr>
            <w:r w:rsidRPr="00005520">
              <w:rPr>
                <w:sz w:val="20"/>
                <w:szCs w:val="20"/>
              </w:rPr>
              <w:t>(Smith J.)(Unreported)</w:t>
            </w:r>
          </w:p>
          <w:p w:rsidR="00E033CB" w:rsidRPr="00005520" w:rsidRDefault="00E033CB" w:rsidP="00E033CB">
            <w:pPr>
              <w:jc w:val="both"/>
              <w:rPr>
                <w:sz w:val="20"/>
                <w:szCs w:val="20"/>
              </w:rPr>
            </w:pPr>
          </w:p>
        </w:tc>
        <w:tc>
          <w:tcPr>
            <w:tcW w:w="243" w:type="pct"/>
          </w:tcPr>
          <w:p w:rsidR="00E033CB" w:rsidRPr="00005520" w:rsidRDefault="00E033CB" w:rsidP="00E033CB">
            <w:pPr>
              <w:jc w:val="both"/>
              <w:rPr>
                <w:sz w:val="20"/>
                <w:szCs w:val="20"/>
              </w:rPr>
            </w:pPr>
          </w:p>
        </w:tc>
        <w:tc>
          <w:tcPr>
            <w:tcW w:w="2330" w:type="pct"/>
          </w:tcPr>
          <w:p w:rsidR="00E033CB" w:rsidRPr="00005520" w:rsidRDefault="00E033CB" w:rsidP="00E033CB">
            <w:pPr>
              <w:jc w:val="both"/>
              <w:rPr>
                <w:sz w:val="20"/>
                <w:szCs w:val="20"/>
              </w:rPr>
            </w:pPr>
            <w:r w:rsidRPr="00005520">
              <w:rPr>
                <w:sz w:val="20"/>
                <w:szCs w:val="20"/>
              </w:rPr>
              <w:t>Convictions for trafficking cannabis in an amount exceeding three kilograms, possession of cannabis for purpose of trafficking, and possession of proceeds obtained by crime</w:t>
            </w:r>
          </w:p>
          <w:p w:rsidR="00E033CB" w:rsidRPr="00005520" w:rsidRDefault="00E033CB" w:rsidP="00E033CB">
            <w:pPr>
              <w:jc w:val="both"/>
              <w:rPr>
                <w:sz w:val="20"/>
                <w:szCs w:val="20"/>
              </w:rPr>
            </w:pPr>
          </w:p>
        </w:tc>
      </w:tr>
      <w:tr w:rsidR="00E033CB" w:rsidRPr="00005520" w:rsidTr="0074616E">
        <w:tc>
          <w:tcPr>
            <w:tcW w:w="2427" w:type="pct"/>
            <w:gridSpan w:val="2"/>
          </w:tcPr>
          <w:p w:rsidR="00E033CB" w:rsidRPr="00005520" w:rsidRDefault="00E033CB" w:rsidP="00E033CB">
            <w:pPr>
              <w:jc w:val="both"/>
              <w:rPr>
                <w:sz w:val="20"/>
                <w:szCs w:val="20"/>
              </w:rPr>
            </w:pPr>
            <w:r w:rsidRPr="00005520">
              <w:rPr>
                <w:sz w:val="20"/>
                <w:szCs w:val="20"/>
              </w:rPr>
              <w:t>June 23, 2016</w:t>
            </w:r>
          </w:p>
          <w:p w:rsidR="00E033CB" w:rsidRPr="00005520" w:rsidRDefault="00E033CB" w:rsidP="00E033CB">
            <w:pPr>
              <w:jc w:val="both"/>
              <w:rPr>
                <w:sz w:val="20"/>
                <w:szCs w:val="20"/>
              </w:rPr>
            </w:pPr>
            <w:r w:rsidRPr="00005520">
              <w:rPr>
                <w:sz w:val="20"/>
                <w:szCs w:val="20"/>
              </w:rPr>
              <w:t>Court of Queen’s Bench of Saskatchewan</w:t>
            </w:r>
          </w:p>
          <w:p w:rsidR="00E033CB" w:rsidRPr="00005520" w:rsidRDefault="00E033CB" w:rsidP="00E033CB">
            <w:pPr>
              <w:jc w:val="both"/>
              <w:rPr>
                <w:sz w:val="20"/>
                <w:szCs w:val="20"/>
              </w:rPr>
            </w:pPr>
            <w:r w:rsidRPr="00005520">
              <w:rPr>
                <w:sz w:val="20"/>
                <w:szCs w:val="20"/>
              </w:rPr>
              <w:t>(Smith J.)</w:t>
            </w:r>
          </w:p>
          <w:p w:rsidR="00E033CB" w:rsidRPr="00005520" w:rsidRDefault="008D266B" w:rsidP="00E033CB">
            <w:pPr>
              <w:jc w:val="both"/>
              <w:rPr>
                <w:sz w:val="20"/>
                <w:szCs w:val="20"/>
              </w:rPr>
            </w:pPr>
            <w:hyperlink r:id="rId26" w:history="1">
              <w:r w:rsidR="00E033CB" w:rsidRPr="00005520">
                <w:rPr>
                  <w:rStyle w:val="Hyperlink"/>
                  <w:sz w:val="20"/>
                  <w:szCs w:val="20"/>
                </w:rPr>
                <w:t>2016 SKQB 218</w:t>
              </w:r>
            </w:hyperlink>
          </w:p>
          <w:p w:rsidR="00E033CB" w:rsidRPr="00005520" w:rsidRDefault="00E033CB" w:rsidP="00E033CB">
            <w:pPr>
              <w:jc w:val="both"/>
              <w:rPr>
                <w:sz w:val="20"/>
                <w:szCs w:val="20"/>
              </w:rPr>
            </w:pPr>
          </w:p>
        </w:tc>
        <w:tc>
          <w:tcPr>
            <w:tcW w:w="243" w:type="pct"/>
          </w:tcPr>
          <w:p w:rsidR="00E033CB" w:rsidRPr="00005520" w:rsidRDefault="00E033CB" w:rsidP="00E033CB">
            <w:pPr>
              <w:jc w:val="both"/>
              <w:rPr>
                <w:sz w:val="20"/>
                <w:szCs w:val="20"/>
              </w:rPr>
            </w:pPr>
          </w:p>
        </w:tc>
        <w:tc>
          <w:tcPr>
            <w:tcW w:w="2330" w:type="pct"/>
          </w:tcPr>
          <w:p w:rsidR="00E033CB" w:rsidRPr="00005520" w:rsidRDefault="00E033CB" w:rsidP="00E033CB">
            <w:pPr>
              <w:jc w:val="both"/>
              <w:rPr>
                <w:sz w:val="20"/>
                <w:szCs w:val="20"/>
              </w:rPr>
            </w:pPr>
            <w:r w:rsidRPr="00005520">
              <w:rPr>
                <w:i/>
                <w:sz w:val="20"/>
                <w:szCs w:val="20"/>
              </w:rPr>
              <w:t xml:space="preserve">Charter </w:t>
            </w:r>
            <w:r w:rsidRPr="00005520">
              <w:rPr>
                <w:sz w:val="20"/>
                <w:szCs w:val="20"/>
              </w:rPr>
              <w:t xml:space="preserve">application dismissed; Sentencing for convictions and for plea of guilty to possession of psilocybin suspended for 2 years, conditions imposed, firearms prohibition order, DNA order, forfeiture order, victim surcharge </w:t>
            </w:r>
          </w:p>
          <w:p w:rsidR="00E033CB" w:rsidRPr="00005520" w:rsidRDefault="00E033CB" w:rsidP="00E033CB">
            <w:pPr>
              <w:jc w:val="both"/>
              <w:rPr>
                <w:sz w:val="20"/>
                <w:szCs w:val="20"/>
              </w:rPr>
            </w:pPr>
            <w:r w:rsidRPr="00005520">
              <w:rPr>
                <w:sz w:val="20"/>
                <w:szCs w:val="20"/>
              </w:rPr>
              <w:t xml:space="preserve"> </w:t>
            </w:r>
          </w:p>
        </w:tc>
      </w:tr>
      <w:tr w:rsidR="00E033CB" w:rsidRPr="00005520" w:rsidTr="0074616E">
        <w:tc>
          <w:tcPr>
            <w:tcW w:w="2427" w:type="pct"/>
            <w:gridSpan w:val="2"/>
          </w:tcPr>
          <w:p w:rsidR="00E033CB" w:rsidRPr="00005520" w:rsidRDefault="00E033CB" w:rsidP="00E033CB">
            <w:pPr>
              <w:jc w:val="both"/>
              <w:rPr>
                <w:sz w:val="20"/>
                <w:szCs w:val="20"/>
              </w:rPr>
            </w:pPr>
            <w:r w:rsidRPr="00005520">
              <w:rPr>
                <w:sz w:val="20"/>
                <w:szCs w:val="20"/>
              </w:rPr>
              <w:t>April 25, 2017</w:t>
            </w:r>
          </w:p>
          <w:p w:rsidR="00E033CB" w:rsidRPr="00005520" w:rsidRDefault="00E033CB" w:rsidP="00E033CB">
            <w:pPr>
              <w:jc w:val="both"/>
              <w:rPr>
                <w:sz w:val="20"/>
                <w:szCs w:val="20"/>
              </w:rPr>
            </w:pPr>
            <w:r w:rsidRPr="00005520">
              <w:rPr>
                <w:sz w:val="20"/>
                <w:szCs w:val="20"/>
              </w:rPr>
              <w:t>Court of Appeal for Saskatchewan</w:t>
            </w:r>
          </w:p>
          <w:p w:rsidR="00E033CB" w:rsidRPr="00005520" w:rsidRDefault="00E033CB" w:rsidP="00E033CB">
            <w:pPr>
              <w:jc w:val="both"/>
              <w:rPr>
                <w:sz w:val="20"/>
                <w:szCs w:val="20"/>
              </w:rPr>
            </w:pPr>
            <w:r w:rsidRPr="00005520">
              <w:rPr>
                <w:sz w:val="20"/>
                <w:szCs w:val="20"/>
              </w:rPr>
              <w:t>(Ottenbreit, Caldwell, Whitmore JJ.A.)</w:t>
            </w:r>
          </w:p>
          <w:p w:rsidR="00E033CB" w:rsidRPr="00005520" w:rsidRDefault="00E033CB" w:rsidP="00E033CB">
            <w:pPr>
              <w:jc w:val="both"/>
              <w:rPr>
                <w:sz w:val="20"/>
                <w:szCs w:val="20"/>
              </w:rPr>
            </w:pPr>
            <w:r w:rsidRPr="00005520">
              <w:rPr>
                <w:sz w:val="20"/>
                <w:szCs w:val="20"/>
              </w:rPr>
              <w:t xml:space="preserve">CACR2815,CACR2828; </w:t>
            </w:r>
            <w:hyperlink r:id="rId27" w:history="1">
              <w:r w:rsidRPr="00005520">
                <w:rPr>
                  <w:rStyle w:val="Hyperlink"/>
                  <w:sz w:val="20"/>
                  <w:szCs w:val="20"/>
                </w:rPr>
                <w:t>2017 SKCA 29</w:t>
              </w:r>
            </w:hyperlink>
          </w:p>
          <w:p w:rsidR="00E033CB" w:rsidRPr="00005520" w:rsidRDefault="00E033CB" w:rsidP="00E033CB">
            <w:pPr>
              <w:jc w:val="both"/>
              <w:rPr>
                <w:sz w:val="20"/>
                <w:szCs w:val="20"/>
              </w:rPr>
            </w:pPr>
          </w:p>
        </w:tc>
        <w:tc>
          <w:tcPr>
            <w:tcW w:w="243" w:type="pct"/>
          </w:tcPr>
          <w:p w:rsidR="00E033CB" w:rsidRPr="00005520" w:rsidRDefault="00E033CB" w:rsidP="00E033CB">
            <w:pPr>
              <w:jc w:val="both"/>
              <w:rPr>
                <w:sz w:val="20"/>
                <w:szCs w:val="20"/>
              </w:rPr>
            </w:pPr>
          </w:p>
        </w:tc>
        <w:tc>
          <w:tcPr>
            <w:tcW w:w="2330" w:type="pct"/>
          </w:tcPr>
          <w:p w:rsidR="00E033CB" w:rsidRPr="00005520" w:rsidRDefault="00E033CB" w:rsidP="00E033CB">
            <w:pPr>
              <w:jc w:val="both"/>
              <w:rPr>
                <w:sz w:val="20"/>
                <w:szCs w:val="20"/>
              </w:rPr>
            </w:pPr>
            <w:r w:rsidRPr="00005520">
              <w:rPr>
                <w:sz w:val="20"/>
                <w:szCs w:val="20"/>
              </w:rPr>
              <w:t xml:space="preserve">Appeal from decision on </w:t>
            </w:r>
            <w:r w:rsidRPr="00005520">
              <w:rPr>
                <w:i/>
                <w:sz w:val="20"/>
                <w:szCs w:val="20"/>
              </w:rPr>
              <w:t>Charter</w:t>
            </w:r>
            <w:r w:rsidRPr="00005520">
              <w:rPr>
                <w:sz w:val="20"/>
                <w:szCs w:val="20"/>
              </w:rPr>
              <w:t xml:space="preserve"> application dismissed (CACR2828); Appeal from sentence allowed (CACR2815);  Concurrent sentences totalling 15 months ordered</w:t>
            </w:r>
          </w:p>
          <w:p w:rsidR="00E033CB" w:rsidRPr="00005520" w:rsidRDefault="00E033CB" w:rsidP="00E033CB">
            <w:pPr>
              <w:jc w:val="both"/>
              <w:rPr>
                <w:sz w:val="20"/>
                <w:szCs w:val="20"/>
              </w:rPr>
            </w:pPr>
          </w:p>
        </w:tc>
      </w:tr>
    </w:tbl>
    <w:p w:rsidR="0088323A" w:rsidRDefault="0088323A">
      <w: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E033CB" w:rsidRPr="00005520" w:rsidTr="0074616E">
        <w:tc>
          <w:tcPr>
            <w:tcW w:w="2427" w:type="pct"/>
          </w:tcPr>
          <w:p w:rsidR="00E033CB" w:rsidRPr="00005520" w:rsidRDefault="00E033CB" w:rsidP="00E033CB">
            <w:pPr>
              <w:jc w:val="both"/>
              <w:rPr>
                <w:sz w:val="20"/>
                <w:szCs w:val="20"/>
              </w:rPr>
            </w:pPr>
            <w:r w:rsidRPr="00005520">
              <w:rPr>
                <w:sz w:val="20"/>
                <w:szCs w:val="20"/>
              </w:rPr>
              <w:lastRenderedPageBreak/>
              <w:t>June 26, 2017</w:t>
            </w:r>
          </w:p>
          <w:p w:rsidR="00E033CB" w:rsidRPr="00005520" w:rsidRDefault="00E033CB" w:rsidP="00E033CB">
            <w:pPr>
              <w:jc w:val="both"/>
              <w:rPr>
                <w:sz w:val="20"/>
                <w:szCs w:val="20"/>
              </w:rPr>
            </w:pPr>
            <w:r w:rsidRPr="00005520">
              <w:rPr>
                <w:sz w:val="20"/>
                <w:szCs w:val="20"/>
              </w:rPr>
              <w:t>Supreme Court of Canada</w:t>
            </w:r>
          </w:p>
        </w:tc>
        <w:tc>
          <w:tcPr>
            <w:tcW w:w="243" w:type="pct"/>
          </w:tcPr>
          <w:p w:rsidR="00E033CB" w:rsidRPr="00005520" w:rsidRDefault="00E033CB" w:rsidP="00E033CB">
            <w:pPr>
              <w:jc w:val="both"/>
              <w:rPr>
                <w:sz w:val="20"/>
                <w:szCs w:val="20"/>
              </w:rPr>
            </w:pPr>
          </w:p>
        </w:tc>
        <w:tc>
          <w:tcPr>
            <w:tcW w:w="2330" w:type="pct"/>
          </w:tcPr>
          <w:p w:rsidR="00E033CB" w:rsidRPr="00005520" w:rsidRDefault="00E033CB" w:rsidP="00E033CB">
            <w:pPr>
              <w:jc w:val="both"/>
              <w:rPr>
                <w:sz w:val="20"/>
                <w:szCs w:val="20"/>
              </w:rPr>
            </w:pPr>
            <w:r w:rsidRPr="00005520">
              <w:rPr>
                <w:sz w:val="20"/>
                <w:szCs w:val="20"/>
              </w:rPr>
              <w:t>Application for leave to appeal filed</w:t>
            </w:r>
          </w:p>
          <w:p w:rsidR="00E033CB" w:rsidRPr="00005520" w:rsidRDefault="00E033CB" w:rsidP="00E033CB">
            <w:pPr>
              <w:jc w:val="both"/>
              <w:rPr>
                <w:sz w:val="20"/>
                <w:szCs w:val="20"/>
              </w:rPr>
            </w:pPr>
          </w:p>
        </w:tc>
      </w:tr>
    </w:tbl>
    <w:p w:rsidR="00E033CB" w:rsidRPr="00005520" w:rsidRDefault="008D266B" w:rsidP="00E033CB">
      <w:pPr>
        <w:rPr>
          <w:sz w:val="20"/>
          <w:szCs w:val="20"/>
        </w:rPr>
      </w:pPr>
      <w:r>
        <w:rPr>
          <w:sz w:val="20"/>
          <w:szCs w:val="20"/>
        </w:rPr>
        <w:pict>
          <v:rect id="_x0000_i1046" style="width:2in;height:1pt" o:hrpct="0" o:hralign="center" o:hrstd="t" o:hrnoshade="t" o:hr="t" fillcolor="black [3213]" stroked="f"/>
        </w:pict>
      </w:r>
    </w:p>
    <w:p w:rsidR="00E033CB" w:rsidRPr="00005520" w:rsidRDefault="00E033CB" w:rsidP="00E033CB">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033CB" w:rsidRPr="00005520" w:rsidTr="0074616E">
        <w:tc>
          <w:tcPr>
            <w:tcW w:w="543" w:type="pct"/>
          </w:tcPr>
          <w:p w:rsidR="00E033CB" w:rsidRPr="00005520" w:rsidRDefault="00E033CB" w:rsidP="0074616E">
            <w:pPr>
              <w:rPr>
                <w:sz w:val="20"/>
                <w:szCs w:val="20"/>
                <w:lang w:val="fr-CA"/>
              </w:rPr>
            </w:pPr>
            <w:r w:rsidRPr="00005520">
              <w:rPr>
                <w:rStyle w:val="SCCFileNumberChar"/>
                <w:sz w:val="20"/>
                <w:szCs w:val="20"/>
                <w:lang w:val="fr-CA"/>
              </w:rPr>
              <w:t>37608</w:t>
            </w:r>
          </w:p>
        </w:tc>
        <w:tc>
          <w:tcPr>
            <w:tcW w:w="4457" w:type="pct"/>
            <w:gridSpan w:val="3"/>
          </w:tcPr>
          <w:p w:rsidR="00E033CB" w:rsidRPr="00005520" w:rsidRDefault="00E033CB" w:rsidP="0074616E">
            <w:pPr>
              <w:pStyle w:val="SCCLsocParty"/>
              <w:jc w:val="both"/>
              <w:rPr>
                <w:b/>
                <w:sz w:val="20"/>
                <w:szCs w:val="20"/>
              </w:rPr>
            </w:pPr>
            <w:r w:rsidRPr="00005520">
              <w:rPr>
                <w:b/>
                <w:sz w:val="20"/>
                <w:szCs w:val="20"/>
              </w:rPr>
              <w:t>Seamus John Neary c. Sa Majesté la Reine</w:t>
            </w:r>
          </w:p>
          <w:p w:rsidR="00E033CB" w:rsidRPr="00005520" w:rsidRDefault="00E033CB" w:rsidP="0074616E">
            <w:pPr>
              <w:rPr>
                <w:sz w:val="20"/>
                <w:szCs w:val="20"/>
                <w:lang w:val="fr-CA"/>
              </w:rPr>
            </w:pPr>
            <w:r w:rsidRPr="00005520">
              <w:rPr>
                <w:sz w:val="20"/>
                <w:szCs w:val="20"/>
                <w:lang w:val="fr-CA"/>
              </w:rPr>
              <w:t>(Sask.) (Criminelle) (Sur autorisation)</w:t>
            </w:r>
          </w:p>
        </w:tc>
      </w:tr>
      <w:tr w:rsidR="00047CBB" w:rsidRPr="0096343C" w:rsidTr="0074616E">
        <w:tc>
          <w:tcPr>
            <w:tcW w:w="543" w:type="pct"/>
          </w:tcPr>
          <w:p w:rsidR="00047CBB" w:rsidRPr="00005520" w:rsidRDefault="00047CBB" w:rsidP="0074616E">
            <w:pPr>
              <w:rPr>
                <w:rStyle w:val="SCCFileNumberChar"/>
                <w:sz w:val="20"/>
                <w:szCs w:val="20"/>
                <w:lang w:val="fr-CA"/>
              </w:rPr>
            </w:pPr>
            <w:r>
              <w:rPr>
                <w:rStyle w:val="SCCFileNumberChar"/>
                <w:sz w:val="20"/>
                <w:szCs w:val="20"/>
                <w:lang w:val="fr-CA"/>
              </w:rPr>
              <w:t>Coram :</w:t>
            </w:r>
          </w:p>
        </w:tc>
        <w:tc>
          <w:tcPr>
            <w:tcW w:w="4457" w:type="pct"/>
            <w:gridSpan w:val="3"/>
          </w:tcPr>
          <w:p w:rsidR="00047CBB" w:rsidRDefault="0088323A" w:rsidP="0074616E">
            <w:pPr>
              <w:pStyle w:val="SCCLsocParty"/>
              <w:jc w:val="both"/>
              <w:rPr>
                <w:sz w:val="20"/>
                <w:szCs w:val="20"/>
              </w:rPr>
            </w:pPr>
            <w:r w:rsidRPr="00565F6E">
              <w:rPr>
                <w:sz w:val="20"/>
                <w:szCs w:val="20"/>
              </w:rPr>
              <w:t>La juge en chef McLachlin et les juges Abella, Moldaver, Karakatsanis, Wagner, Gascon, Côté, Brown et Rowe</w:t>
            </w:r>
          </w:p>
          <w:p w:rsidR="0088323A" w:rsidRPr="0088323A" w:rsidRDefault="0088323A" w:rsidP="0088323A">
            <w:pPr>
              <w:rPr>
                <w:lang w:val="fr-CA"/>
              </w:rPr>
            </w:pPr>
          </w:p>
        </w:tc>
      </w:tr>
      <w:tr w:rsidR="00047CBB" w:rsidRPr="0096343C" w:rsidTr="00047CBB">
        <w:tc>
          <w:tcPr>
            <w:tcW w:w="5000" w:type="pct"/>
            <w:gridSpan w:val="4"/>
          </w:tcPr>
          <w:p w:rsidR="00047CBB" w:rsidRDefault="0088323A" w:rsidP="0074616E">
            <w:pPr>
              <w:pStyle w:val="SCCLsocParty"/>
              <w:jc w:val="both"/>
              <w:rPr>
                <w:sz w:val="20"/>
                <w:szCs w:val="20"/>
              </w:rPr>
            </w:pPr>
            <w:r w:rsidRPr="00565F6E">
              <w:rPr>
                <w:sz w:val="20"/>
                <w:szCs w:val="20"/>
              </w:rPr>
              <w:t xml:space="preserve">La demande d’autorisation d’appel de l’arrêt de la </w:t>
            </w:r>
            <w:r w:rsidRPr="00565F6E">
              <w:rPr>
                <w:sz w:val="20"/>
                <w:szCs w:val="20"/>
                <w:lang w:val="fr-FR"/>
              </w:rPr>
              <w:t>Cour d’appel de la Saskatchewan</w:t>
            </w:r>
            <w:r w:rsidRPr="00565F6E">
              <w:rPr>
                <w:sz w:val="20"/>
                <w:szCs w:val="20"/>
              </w:rPr>
              <w:t xml:space="preserve">, numéros </w:t>
            </w:r>
            <w:r w:rsidRPr="00565F6E">
              <w:rPr>
                <w:sz w:val="20"/>
                <w:szCs w:val="20"/>
                <w:lang w:val="fr-FR"/>
              </w:rPr>
              <w:t>CACR2815 et CACR2828, 2017 SKCA 29</w:t>
            </w:r>
            <w:r w:rsidRPr="00565F6E">
              <w:rPr>
                <w:sz w:val="20"/>
                <w:szCs w:val="20"/>
              </w:rPr>
              <w:t xml:space="preserve">, daté du </w:t>
            </w:r>
            <w:r w:rsidRPr="00565F6E">
              <w:rPr>
                <w:sz w:val="20"/>
                <w:szCs w:val="20"/>
                <w:lang w:val="fr-FR"/>
              </w:rPr>
              <w:t>25 avril 2017</w:t>
            </w:r>
            <w:r w:rsidRPr="00565F6E">
              <w:rPr>
                <w:sz w:val="20"/>
                <w:szCs w:val="20"/>
              </w:rPr>
              <w:t>, est rejetée sans dépens.</w:t>
            </w:r>
          </w:p>
          <w:p w:rsidR="0088323A" w:rsidRPr="0088323A" w:rsidRDefault="0088323A" w:rsidP="0088323A">
            <w:pPr>
              <w:rPr>
                <w:lang w:val="fr-CA"/>
              </w:rPr>
            </w:pPr>
          </w:p>
        </w:tc>
      </w:tr>
      <w:tr w:rsidR="00E033CB" w:rsidRPr="00047CBB" w:rsidTr="0074616E">
        <w:tc>
          <w:tcPr>
            <w:tcW w:w="5000" w:type="pct"/>
            <w:gridSpan w:val="4"/>
          </w:tcPr>
          <w:p w:rsidR="00E033CB" w:rsidRPr="00005520" w:rsidRDefault="00E033CB" w:rsidP="00E033CB">
            <w:pPr>
              <w:jc w:val="both"/>
              <w:rPr>
                <w:sz w:val="20"/>
                <w:szCs w:val="20"/>
                <w:lang w:val="fr-CA"/>
              </w:rPr>
            </w:pPr>
            <w:r w:rsidRPr="00005520">
              <w:rPr>
                <w:i/>
                <w:sz w:val="20"/>
                <w:szCs w:val="20"/>
                <w:lang w:val="fr-CA"/>
              </w:rPr>
              <w:t xml:space="preserve">Charte des droits et libertés – </w:t>
            </w:r>
            <w:r w:rsidRPr="00005520">
              <w:rPr>
                <w:sz w:val="20"/>
                <w:szCs w:val="20"/>
                <w:lang w:val="fr-CA"/>
              </w:rPr>
              <w:t>La</w:t>
            </w:r>
            <w:r w:rsidRPr="00005520">
              <w:rPr>
                <w:i/>
                <w:sz w:val="20"/>
                <w:szCs w:val="20"/>
                <w:lang w:val="fr-CA"/>
              </w:rPr>
              <w:t xml:space="preserve"> Loi sur la sécurité des rues et des communautés</w:t>
            </w:r>
            <w:r w:rsidRPr="00005520">
              <w:rPr>
                <w:sz w:val="20"/>
                <w:szCs w:val="20"/>
                <w:lang w:val="fr-CA"/>
              </w:rPr>
              <w:t xml:space="preserve"> supprime la possibilité de prononcer une ordonnance de sursis lorsque le délinquant est déclaré coupable d’une infraction impliquant plus de trois kilogrammes de cannabis (marihuana) – La disposition contrevient-elle </w:t>
            </w:r>
            <w:proofErr w:type="gramStart"/>
            <w:r w:rsidRPr="00005520">
              <w:rPr>
                <w:sz w:val="20"/>
                <w:szCs w:val="20"/>
                <w:lang w:val="fr-CA"/>
              </w:rPr>
              <w:t>aux art</w:t>
            </w:r>
            <w:proofErr w:type="gramEnd"/>
            <w:r w:rsidRPr="00005520">
              <w:rPr>
                <w:sz w:val="20"/>
                <w:szCs w:val="20"/>
                <w:lang w:val="fr-CA"/>
              </w:rPr>
              <w:t xml:space="preserve">. 7 et 12 de la </w:t>
            </w:r>
            <w:r w:rsidRPr="00005520">
              <w:rPr>
                <w:i/>
                <w:sz w:val="20"/>
                <w:szCs w:val="20"/>
                <w:lang w:val="fr-CA"/>
              </w:rPr>
              <w:t>Charte</w:t>
            </w:r>
            <w:r w:rsidRPr="00005520">
              <w:rPr>
                <w:sz w:val="20"/>
                <w:szCs w:val="20"/>
                <w:lang w:val="fr-CA"/>
              </w:rPr>
              <w:t>?</w:t>
            </w:r>
            <w:r w:rsidRPr="00005520">
              <w:rPr>
                <w:i/>
                <w:sz w:val="20"/>
                <w:szCs w:val="20"/>
                <w:lang w:val="fr-CA"/>
              </w:rPr>
              <w:t xml:space="preserve"> – </w:t>
            </w:r>
            <w:r w:rsidRPr="00005520">
              <w:rPr>
                <w:sz w:val="20"/>
                <w:szCs w:val="20"/>
                <w:lang w:val="fr-CA"/>
              </w:rPr>
              <w:t xml:space="preserve">Les mesures visant à légaliser le cannabis (marihuana) ont-elles une incidence sur l’applicabilité des principes de détermination de la peine, à savoir la dénonciation et la dissuasion et, dans l’affirmative, quelle est cette incidence? – La Cour d’appel a-t-elle commis une erreur de droit en imposant une peine inappropriée dans les circonstances? </w:t>
            </w:r>
            <w:r w:rsidRPr="00005520">
              <w:rPr>
                <w:i/>
                <w:sz w:val="20"/>
                <w:szCs w:val="20"/>
                <w:lang w:val="fr-CA"/>
              </w:rPr>
              <w:t>– Loi sur la sécurité des rues et des communautés</w:t>
            </w:r>
            <w:r w:rsidRPr="00005520">
              <w:rPr>
                <w:sz w:val="20"/>
                <w:szCs w:val="20"/>
                <w:lang w:val="fr-CA"/>
              </w:rPr>
              <w:t xml:space="preserve">, L.C. 2012, ch. l., </w:t>
            </w:r>
            <w:r w:rsidRPr="00005520">
              <w:rPr>
                <w:i/>
                <w:sz w:val="20"/>
                <w:szCs w:val="20"/>
                <w:lang w:val="fr-CA"/>
              </w:rPr>
              <w:t>Code criminel</w:t>
            </w:r>
            <w:r w:rsidRPr="00005520">
              <w:rPr>
                <w:sz w:val="20"/>
                <w:szCs w:val="20"/>
                <w:lang w:val="fr-CA"/>
              </w:rPr>
              <w:t>, L.R.C. 1986, ch. C-46, al. 742.1b), 742.1c), sous-al. 742.1e)(ii).</w:t>
            </w:r>
          </w:p>
        </w:tc>
      </w:tr>
      <w:tr w:rsidR="00E033CB" w:rsidRPr="00047CBB" w:rsidTr="0074616E">
        <w:tc>
          <w:tcPr>
            <w:tcW w:w="5000" w:type="pct"/>
            <w:gridSpan w:val="4"/>
          </w:tcPr>
          <w:p w:rsidR="00E033CB" w:rsidRPr="00005520" w:rsidRDefault="00E033CB" w:rsidP="00E033CB">
            <w:pPr>
              <w:jc w:val="both"/>
              <w:rPr>
                <w:sz w:val="20"/>
                <w:szCs w:val="20"/>
                <w:lang w:val="fr-CA"/>
              </w:rPr>
            </w:pPr>
          </w:p>
        </w:tc>
      </w:tr>
      <w:tr w:rsidR="00E033CB" w:rsidRPr="0096343C" w:rsidTr="0074616E">
        <w:tc>
          <w:tcPr>
            <w:tcW w:w="5000" w:type="pct"/>
            <w:gridSpan w:val="4"/>
          </w:tcPr>
          <w:p w:rsidR="00E033CB" w:rsidRPr="00005520" w:rsidRDefault="00E033CB" w:rsidP="00E033CB">
            <w:pPr>
              <w:jc w:val="both"/>
              <w:rPr>
                <w:sz w:val="20"/>
                <w:szCs w:val="20"/>
                <w:lang w:val="fr-CA"/>
              </w:rPr>
            </w:pPr>
            <w:r w:rsidRPr="00005520">
              <w:rPr>
                <w:sz w:val="20"/>
                <w:szCs w:val="20"/>
                <w:lang w:val="fr-CA"/>
              </w:rPr>
              <w:t xml:space="preserve">Monsieur Neary a plaidé coupable de possession de psilocybine et il a été déclaré coupable de trafic de cannabis en quantité supérieure à trois kilogrammes, de possession de cannabis en vue d’en faire le trafic et de possession de produits de la criminalité. Des modifications au </w:t>
            </w:r>
            <w:r w:rsidRPr="00005520">
              <w:rPr>
                <w:i/>
                <w:sz w:val="20"/>
                <w:szCs w:val="20"/>
                <w:lang w:val="fr-CA"/>
              </w:rPr>
              <w:t>Code criminel</w:t>
            </w:r>
            <w:r w:rsidRPr="00005520">
              <w:rPr>
                <w:sz w:val="20"/>
                <w:szCs w:val="20"/>
                <w:lang w:val="fr-CA"/>
              </w:rPr>
              <w:t xml:space="preserve">, L.R.C. 1985, ch. C-46, apportées par la </w:t>
            </w:r>
            <w:r w:rsidRPr="00005520">
              <w:rPr>
                <w:i/>
                <w:sz w:val="20"/>
                <w:szCs w:val="20"/>
                <w:lang w:val="fr-CA"/>
              </w:rPr>
              <w:t>Loi sur la sécurité des rues et des communautés</w:t>
            </w:r>
            <w:r w:rsidRPr="00005520">
              <w:rPr>
                <w:sz w:val="20"/>
                <w:szCs w:val="20"/>
                <w:lang w:val="fr-CA"/>
              </w:rPr>
              <w:t xml:space="preserve">, L.C. 2012, c. 1, éliminent la possibilité de prononcer une ordonnance de sursis dans le cas des peines qui pouvaient être infligées à M. Neary. Le juge qui a prononcé la peine a rejeté la demande de jugement déclarant que la </w:t>
            </w:r>
            <w:r w:rsidRPr="00005520">
              <w:rPr>
                <w:i/>
                <w:sz w:val="20"/>
                <w:szCs w:val="20"/>
                <w:lang w:val="fr-CA"/>
              </w:rPr>
              <w:t>Loi sur la sécurité des rues et des communautés</w:t>
            </w:r>
            <w:r w:rsidRPr="00005520">
              <w:rPr>
                <w:sz w:val="20"/>
                <w:szCs w:val="20"/>
                <w:lang w:val="fr-CA"/>
              </w:rPr>
              <w:t xml:space="preserve">, dans la mesure où elle a introduit l’al. 742.1c) et le sous-al. (e)(ii) dans le </w:t>
            </w:r>
            <w:r w:rsidRPr="00005520">
              <w:rPr>
                <w:i/>
                <w:sz w:val="20"/>
                <w:szCs w:val="20"/>
                <w:lang w:val="fr-CA"/>
              </w:rPr>
              <w:t>Code criminel</w:t>
            </w:r>
            <w:r w:rsidRPr="00005520">
              <w:rPr>
                <w:sz w:val="20"/>
                <w:szCs w:val="20"/>
                <w:lang w:val="fr-CA"/>
              </w:rPr>
              <w:t xml:space="preserve">, violait les art. 7 et 12 de la </w:t>
            </w:r>
            <w:r w:rsidRPr="00005520">
              <w:rPr>
                <w:i/>
                <w:sz w:val="20"/>
                <w:szCs w:val="20"/>
                <w:lang w:val="fr-CA"/>
              </w:rPr>
              <w:t>Charte</w:t>
            </w:r>
            <w:r w:rsidRPr="00005520">
              <w:rPr>
                <w:sz w:val="20"/>
                <w:szCs w:val="20"/>
                <w:lang w:val="fr-CA"/>
              </w:rPr>
              <w:t xml:space="preserve">. Il a prononcé une ordonnance de sursis de deux ans. La Cour d’appel a rejeté l’appel de la décision portant sur la demande fondée sur la </w:t>
            </w:r>
            <w:r w:rsidRPr="00005520">
              <w:rPr>
                <w:i/>
                <w:sz w:val="20"/>
                <w:szCs w:val="20"/>
                <w:lang w:val="fr-CA"/>
              </w:rPr>
              <w:t>Charte</w:t>
            </w:r>
            <w:r w:rsidRPr="00005520">
              <w:rPr>
                <w:sz w:val="20"/>
                <w:szCs w:val="20"/>
                <w:lang w:val="fr-CA"/>
              </w:rPr>
              <w:t>, a accueilli l’appel de la décision de suspendre la peine et a ordonné des peines concurrentes.</w:t>
            </w:r>
          </w:p>
          <w:p w:rsidR="00E033CB" w:rsidRPr="00005520" w:rsidRDefault="00E033CB" w:rsidP="00E033CB">
            <w:pPr>
              <w:jc w:val="both"/>
              <w:rPr>
                <w:sz w:val="20"/>
                <w:szCs w:val="20"/>
                <w:lang w:val="fr-CA"/>
              </w:rPr>
            </w:pPr>
          </w:p>
        </w:tc>
      </w:tr>
      <w:tr w:rsidR="00E033CB" w:rsidRPr="0096343C" w:rsidTr="0074616E">
        <w:tc>
          <w:tcPr>
            <w:tcW w:w="2427" w:type="pct"/>
            <w:gridSpan w:val="2"/>
          </w:tcPr>
          <w:p w:rsidR="00E033CB" w:rsidRPr="00005520" w:rsidRDefault="00E033CB" w:rsidP="00E033CB">
            <w:pPr>
              <w:jc w:val="both"/>
              <w:rPr>
                <w:sz w:val="20"/>
                <w:szCs w:val="20"/>
                <w:lang w:val="fr-CA"/>
              </w:rPr>
            </w:pPr>
            <w:r w:rsidRPr="00005520">
              <w:rPr>
                <w:sz w:val="20"/>
                <w:szCs w:val="20"/>
                <w:lang w:val="fr-CA"/>
              </w:rPr>
              <w:t xml:space="preserve">16 novembre 2015 </w:t>
            </w:r>
          </w:p>
          <w:p w:rsidR="00E033CB" w:rsidRPr="00005520" w:rsidRDefault="00E033CB" w:rsidP="00E033CB">
            <w:pPr>
              <w:jc w:val="both"/>
              <w:rPr>
                <w:sz w:val="20"/>
                <w:szCs w:val="20"/>
                <w:lang w:val="fr-CA"/>
              </w:rPr>
            </w:pPr>
            <w:r w:rsidRPr="00005520">
              <w:rPr>
                <w:sz w:val="20"/>
                <w:szCs w:val="20"/>
                <w:lang w:val="fr-CA"/>
              </w:rPr>
              <w:t>Cour du Banc de la Reine de la Saskatchewan</w:t>
            </w:r>
          </w:p>
          <w:p w:rsidR="00E033CB" w:rsidRPr="00005520" w:rsidRDefault="00E033CB" w:rsidP="00E033CB">
            <w:pPr>
              <w:jc w:val="both"/>
              <w:rPr>
                <w:sz w:val="20"/>
                <w:szCs w:val="20"/>
                <w:lang w:val="fr-CA"/>
              </w:rPr>
            </w:pPr>
            <w:r w:rsidRPr="00005520">
              <w:rPr>
                <w:sz w:val="20"/>
                <w:szCs w:val="20"/>
                <w:lang w:val="fr-CA"/>
              </w:rPr>
              <w:t>(Juge Smith) (Non publié)</w:t>
            </w:r>
          </w:p>
          <w:p w:rsidR="00E033CB" w:rsidRPr="00005520" w:rsidRDefault="00E033CB" w:rsidP="00E033CB">
            <w:pPr>
              <w:jc w:val="both"/>
              <w:rPr>
                <w:sz w:val="20"/>
                <w:szCs w:val="20"/>
                <w:lang w:val="fr-CA"/>
              </w:rPr>
            </w:pPr>
          </w:p>
        </w:tc>
        <w:tc>
          <w:tcPr>
            <w:tcW w:w="243" w:type="pct"/>
          </w:tcPr>
          <w:p w:rsidR="00E033CB" w:rsidRPr="00005520" w:rsidRDefault="00E033CB" w:rsidP="00E033CB">
            <w:pPr>
              <w:jc w:val="both"/>
              <w:rPr>
                <w:sz w:val="20"/>
                <w:szCs w:val="20"/>
                <w:lang w:val="fr-CA"/>
              </w:rPr>
            </w:pPr>
          </w:p>
        </w:tc>
        <w:tc>
          <w:tcPr>
            <w:tcW w:w="2330" w:type="pct"/>
          </w:tcPr>
          <w:p w:rsidR="00E033CB" w:rsidRPr="00005520" w:rsidRDefault="00E033CB" w:rsidP="00E033CB">
            <w:pPr>
              <w:jc w:val="both"/>
              <w:rPr>
                <w:sz w:val="20"/>
                <w:szCs w:val="20"/>
                <w:lang w:val="fr-CA"/>
              </w:rPr>
            </w:pPr>
            <w:r w:rsidRPr="00005520">
              <w:rPr>
                <w:sz w:val="20"/>
                <w:szCs w:val="20"/>
                <w:lang w:val="fr-CA"/>
              </w:rPr>
              <w:t>Déclarations de culpabilité de trafic de cannabis en quantité supérieure à trois kilogrammes, de possession de cannabis en vue d’en faire le trafic et de possession de produits de la criminalité</w:t>
            </w:r>
          </w:p>
          <w:p w:rsidR="00E033CB" w:rsidRPr="00005520" w:rsidRDefault="00E033CB" w:rsidP="00E033CB">
            <w:pPr>
              <w:jc w:val="both"/>
              <w:rPr>
                <w:sz w:val="20"/>
                <w:szCs w:val="20"/>
                <w:lang w:val="fr-CA"/>
              </w:rPr>
            </w:pPr>
          </w:p>
        </w:tc>
      </w:tr>
      <w:tr w:rsidR="00E033CB" w:rsidRPr="0096343C" w:rsidTr="0074616E">
        <w:tc>
          <w:tcPr>
            <w:tcW w:w="2427" w:type="pct"/>
            <w:gridSpan w:val="2"/>
          </w:tcPr>
          <w:p w:rsidR="00E033CB" w:rsidRPr="00005520" w:rsidRDefault="00E033CB" w:rsidP="00E033CB">
            <w:pPr>
              <w:jc w:val="both"/>
              <w:rPr>
                <w:sz w:val="20"/>
                <w:szCs w:val="20"/>
                <w:lang w:val="fr-CA"/>
              </w:rPr>
            </w:pPr>
            <w:r w:rsidRPr="00005520">
              <w:rPr>
                <w:sz w:val="20"/>
                <w:szCs w:val="20"/>
                <w:lang w:val="fr-CA"/>
              </w:rPr>
              <w:t>23 juin 2016</w:t>
            </w:r>
          </w:p>
          <w:p w:rsidR="00E033CB" w:rsidRPr="00005520" w:rsidRDefault="00E033CB" w:rsidP="00E033CB">
            <w:pPr>
              <w:jc w:val="both"/>
              <w:rPr>
                <w:sz w:val="20"/>
                <w:szCs w:val="20"/>
                <w:lang w:val="fr-CA"/>
              </w:rPr>
            </w:pPr>
            <w:r w:rsidRPr="00005520">
              <w:rPr>
                <w:sz w:val="20"/>
                <w:szCs w:val="20"/>
                <w:lang w:val="fr-CA"/>
              </w:rPr>
              <w:t>Cour du Banc de la Reine de la Saskatchewan</w:t>
            </w:r>
          </w:p>
          <w:p w:rsidR="00E033CB" w:rsidRPr="00005520" w:rsidRDefault="00E033CB" w:rsidP="00E033CB">
            <w:pPr>
              <w:jc w:val="both"/>
              <w:rPr>
                <w:sz w:val="20"/>
                <w:szCs w:val="20"/>
                <w:lang w:val="fr-CA"/>
              </w:rPr>
            </w:pPr>
            <w:r w:rsidRPr="00005520">
              <w:rPr>
                <w:sz w:val="20"/>
                <w:szCs w:val="20"/>
                <w:lang w:val="fr-CA"/>
              </w:rPr>
              <w:t>(Juge Smith)</w:t>
            </w:r>
          </w:p>
          <w:p w:rsidR="00E033CB" w:rsidRPr="00005520" w:rsidRDefault="008D266B" w:rsidP="00E033CB">
            <w:pPr>
              <w:jc w:val="both"/>
              <w:rPr>
                <w:sz w:val="20"/>
                <w:szCs w:val="20"/>
                <w:lang w:val="fr-CA"/>
              </w:rPr>
            </w:pPr>
            <w:hyperlink r:id="rId28" w:history="1">
              <w:r w:rsidR="00E033CB" w:rsidRPr="00005520">
                <w:rPr>
                  <w:rStyle w:val="Hyperlink"/>
                  <w:sz w:val="20"/>
                  <w:szCs w:val="20"/>
                  <w:lang w:val="fr-CA"/>
                </w:rPr>
                <w:t>2016 SKQB 218</w:t>
              </w:r>
            </w:hyperlink>
          </w:p>
          <w:p w:rsidR="00E033CB" w:rsidRPr="00005520" w:rsidRDefault="00E033CB" w:rsidP="00E033CB">
            <w:pPr>
              <w:jc w:val="both"/>
              <w:rPr>
                <w:sz w:val="20"/>
                <w:szCs w:val="20"/>
                <w:lang w:val="fr-CA"/>
              </w:rPr>
            </w:pPr>
          </w:p>
        </w:tc>
        <w:tc>
          <w:tcPr>
            <w:tcW w:w="243" w:type="pct"/>
          </w:tcPr>
          <w:p w:rsidR="00E033CB" w:rsidRPr="00005520" w:rsidRDefault="00E033CB" w:rsidP="00E033CB">
            <w:pPr>
              <w:jc w:val="both"/>
              <w:rPr>
                <w:sz w:val="20"/>
                <w:szCs w:val="20"/>
                <w:lang w:val="fr-CA"/>
              </w:rPr>
            </w:pPr>
          </w:p>
        </w:tc>
        <w:tc>
          <w:tcPr>
            <w:tcW w:w="2330" w:type="pct"/>
          </w:tcPr>
          <w:p w:rsidR="00E033CB" w:rsidRPr="00005520" w:rsidRDefault="00E033CB" w:rsidP="00E033CB">
            <w:pPr>
              <w:jc w:val="both"/>
              <w:rPr>
                <w:sz w:val="20"/>
                <w:szCs w:val="20"/>
                <w:lang w:val="fr-CA"/>
              </w:rPr>
            </w:pPr>
            <w:r w:rsidRPr="00005520">
              <w:rPr>
                <w:sz w:val="20"/>
                <w:szCs w:val="20"/>
                <w:lang w:val="fr-CA"/>
              </w:rPr>
              <w:t xml:space="preserve">Rejet de la demande fondée sur la </w:t>
            </w:r>
            <w:r w:rsidRPr="00005520">
              <w:rPr>
                <w:i/>
                <w:sz w:val="20"/>
                <w:szCs w:val="20"/>
                <w:lang w:val="fr-CA"/>
              </w:rPr>
              <w:t>Charte</w:t>
            </w:r>
            <w:r w:rsidRPr="00005520">
              <w:rPr>
                <w:sz w:val="20"/>
                <w:szCs w:val="20"/>
                <w:lang w:val="fr-CA"/>
              </w:rPr>
              <w:t xml:space="preserve">; sursis de la peine infligée relativement aux  déclarations de culpabilité et au plaidoyer de culpabilité de possession de psilocybine, imposition de conditions, ordonnance d’interdiction d’avoir des armes à feu, ordonnance de prélèvement d’ADN, ordonnance de confiscation et suramende compensatoire </w:t>
            </w:r>
          </w:p>
          <w:p w:rsidR="00E033CB" w:rsidRPr="00005520" w:rsidRDefault="00E033CB" w:rsidP="00E033CB">
            <w:pPr>
              <w:jc w:val="both"/>
              <w:rPr>
                <w:sz w:val="20"/>
                <w:szCs w:val="20"/>
                <w:lang w:val="fr-CA"/>
              </w:rPr>
            </w:pPr>
            <w:r w:rsidRPr="00005520">
              <w:rPr>
                <w:sz w:val="20"/>
                <w:szCs w:val="20"/>
                <w:lang w:val="fr-CA"/>
              </w:rPr>
              <w:t xml:space="preserve"> </w:t>
            </w:r>
          </w:p>
        </w:tc>
      </w:tr>
      <w:tr w:rsidR="00E033CB" w:rsidRPr="0096343C" w:rsidTr="0074616E">
        <w:tc>
          <w:tcPr>
            <w:tcW w:w="2427" w:type="pct"/>
            <w:gridSpan w:val="2"/>
          </w:tcPr>
          <w:p w:rsidR="00E033CB" w:rsidRPr="00005520" w:rsidRDefault="00E033CB" w:rsidP="00E033CB">
            <w:pPr>
              <w:jc w:val="both"/>
              <w:rPr>
                <w:sz w:val="20"/>
                <w:szCs w:val="20"/>
                <w:lang w:val="fr-CA"/>
              </w:rPr>
            </w:pPr>
            <w:r w:rsidRPr="00005520">
              <w:rPr>
                <w:sz w:val="20"/>
                <w:szCs w:val="20"/>
                <w:lang w:val="fr-CA"/>
              </w:rPr>
              <w:t>25 avril 2017</w:t>
            </w:r>
          </w:p>
          <w:p w:rsidR="00E033CB" w:rsidRPr="00005520" w:rsidRDefault="00E033CB" w:rsidP="00E033CB">
            <w:pPr>
              <w:jc w:val="both"/>
              <w:rPr>
                <w:sz w:val="20"/>
                <w:szCs w:val="20"/>
                <w:lang w:val="fr-CA"/>
              </w:rPr>
            </w:pPr>
            <w:r w:rsidRPr="00005520">
              <w:rPr>
                <w:sz w:val="20"/>
                <w:szCs w:val="20"/>
                <w:lang w:val="fr-CA"/>
              </w:rPr>
              <w:t>Cour d’appel de la Saskatchewan</w:t>
            </w:r>
          </w:p>
          <w:p w:rsidR="00E033CB" w:rsidRPr="00005520" w:rsidRDefault="00E033CB" w:rsidP="00E033CB">
            <w:pPr>
              <w:jc w:val="both"/>
              <w:rPr>
                <w:sz w:val="20"/>
                <w:szCs w:val="20"/>
              </w:rPr>
            </w:pPr>
            <w:r w:rsidRPr="00005520">
              <w:rPr>
                <w:sz w:val="20"/>
                <w:szCs w:val="20"/>
              </w:rPr>
              <w:t>(Juges Ottenbreit, Caldwell et Whitmore)</w:t>
            </w:r>
          </w:p>
          <w:p w:rsidR="00E033CB" w:rsidRPr="00005520" w:rsidRDefault="00E033CB" w:rsidP="00E033CB">
            <w:pPr>
              <w:jc w:val="both"/>
              <w:rPr>
                <w:sz w:val="20"/>
                <w:szCs w:val="20"/>
                <w:lang w:val="fr-CA"/>
              </w:rPr>
            </w:pPr>
            <w:r w:rsidRPr="00005520">
              <w:rPr>
                <w:sz w:val="20"/>
                <w:szCs w:val="20"/>
                <w:lang w:val="fr-CA"/>
              </w:rPr>
              <w:t xml:space="preserve">CACR2815,CACR2828; </w:t>
            </w:r>
            <w:hyperlink r:id="rId29" w:history="1">
              <w:r w:rsidRPr="00005520">
                <w:rPr>
                  <w:rStyle w:val="Hyperlink"/>
                  <w:sz w:val="20"/>
                  <w:szCs w:val="20"/>
                  <w:lang w:val="fr-CA"/>
                </w:rPr>
                <w:t>2017 SKCA 29</w:t>
              </w:r>
            </w:hyperlink>
          </w:p>
          <w:p w:rsidR="00E033CB" w:rsidRPr="00005520" w:rsidRDefault="00E033CB" w:rsidP="00E033CB">
            <w:pPr>
              <w:jc w:val="both"/>
              <w:rPr>
                <w:sz w:val="20"/>
                <w:szCs w:val="20"/>
                <w:lang w:val="fr-CA"/>
              </w:rPr>
            </w:pPr>
          </w:p>
        </w:tc>
        <w:tc>
          <w:tcPr>
            <w:tcW w:w="243" w:type="pct"/>
          </w:tcPr>
          <w:p w:rsidR="00E033CB" w:rsidRPr="00005520" w:rsidRDefault="00E033CB" w:rsidP="00E033CB">
            <w:pPr>
              <w:jc w:val="both"/>
              <w:rPr>
                <w:sz w:val="20"/>
                <w:szCs w:val="20"/>
                <w:lang w:val="fr-CA"/>
              </w:rPr>
            </w:pPr>
          </w:p>
        </w:tc>
        <w:tc>
          <w:tcPr>
            <w:tcW w:w="2330" w:type="pct"/>
          </w:tcPr>
          <w:p w:rsidR="00E033CB" w:rsidRPr="00005520" w:rsidRDefault="00E033CB" w:rsidP="00E033CB">
            <w:pPr>
              <w:jc w:val="both"/>
              <w:rPr>
                <w:sz w:val="20"/>
                <w:szCs w:val="20"/>
                <w:lang w:val="fr-CA"/>
              </w:rPr>
            </w:pPr>
            <w:r w:rsidRPr="00005520">
              <w:rPr>
                <w:sz w:val="20"/>
                <w:szCs w:val="20"/>
                <w:lang w:val="fr-CA"/>
              </w:rPr>
              <w:t xml:space="preserve">Rejet de l’appel de la décision portant sur la demande fondée sur la </w:t>
            </w:r>
            <w:r w:rsidRPr="00005520">
              <w:rPr>
                <w:i/>
                <w:sz w:val="20"/>
                <w:szCs w:val="20"/>
                <w:lang w:val="fr-CA"/>
              </w:rPr>
              <w:t xml:space="preserve">Charte </w:t>
            </w:r>
            <w:r w:rsidRPr="00005520">
              <w:rPr>
                <w:sz w:val="20"/>
                <w:szCs w:val="20"/>
                <w:lang w:val="fr-CA"/>
              </w:rPr>
              <w:t>(CACR2828); arrêt accueillant l’appel de la peine (CACR2815);  ordonnance de peines concurrentes totalisant 15 mois</w:t>
            </w:r>
          </w:p>
          <w:p w:rsidR="00E033CB" w:rsidRPr="00005520" w:rsidRDefault="00E033CB" w:rsidP="00E033CB">
            <w:pPr>
              <w:jc w:val="both"/>
              <w:rPr>
                <w:sz w:val="20"/>
                <w:szCs w:val="20"/>
                <w:lang w:val="fr-CA"/>
              </w:rPr>
            </w:pPr>
          </w:p>
        </w:tc>
      </w:tr>
      <w:tr w:rsidR="00E033CB" w:rsidRPr="0096343C" w:rsidTr="0074616E">
        <w:tc>
          <w:tcPr>
            <w:tcW w:w="2427" w:type="pct"/>
            <w:gridSpan w:val="2"/>
          </w:tcPr>
          <w:p w:rsidR="00E033CB" w:rsidRPr="00005520" w:rsidRDefault="00E033CB" w:rsidP="00E033CB">
            <w:pPr>
              <w:jc w:val="both"/>
              <w:rPr>
                <w:sz w:val="20"/>
                <w:szCs w:val="20"/>
                <w:lang w:val="fr-CA"/>
              </w:rPr>
            </w:pPr>
            <w:r w:rsidRPr="00005520">
              <w:rPr>
                <w:sz w:val="20"/>
                <w:szCs w:val="20"/>
                <w:lang w:val="fr-CA"/>
              </w:rPr>
              <w:lastRenderedPageBreak/>
              <w:t>26 juin 2017</w:t>
            </w:r>
          </w:p>
          <w:p w:rsidR="00E033CB" w:rsidRPr="00005520" w:rsidRDefault="00E033CB" w:rsidP="00E033CB">
            <w:pPr>
              <w:jc w:val="both"/>
              <w:rPr>
                <w:sz w:val="20"/>
                <w:szCs w:val="20"/>
                <w:lang w:val="fr-CA"/>
              </w:rPr>
            </w:pPr>
            <w:r w:rsidRPr="00005520">
              <w:rPr>
                <w:sz w:val="20"/>
                <w:szCs w:val="20"/>
                <w:lang w:val="fr-CA"/>
              </w:rPr>
              <w:t>Cour suprême Canada</w:t>
            </w:r>
          </w:p>
        </w:tc>
        <w:tc>
          <w:tcPr>
            <w:tcW w:w="243" w:type="pct"/>
          </w:tcPr>
          <w:p w:rsidR="00E033CB" w:rsidRPr="00005520" w:rsidRDefault="00E033CB" w:rsidP="00E033CB">
            <w:pPr>
              <w:jc w:val="both"/>
              <w:rPr>
                <w:sz w:val="20"/>
                <w:szCs w:val="20"/>
                <w:lang w:val="fr-CA"/>
              </w:rPr>
            </w:pPr>
          </w:p>
        </w:tc>
        <w:tc>
          <w:tcPr>
            <w:tcW w:w="2330" w:type="pct"/>
          </w:tcPr>
          <w:p w:rsidR="00E033CB" w:rsidRPr="00005520" w:rsidRDefault="00E033CB" w:rsidP="00E033CB">
            <w:pPr>
              <w:jc w:val="both"/>
              <w:rPr>
                <w:sz w:val="20"/>
                <w:szCs w:val="20"/>
                <w:lang w:val="fr-CA"/>
              </w:rPr>
            </w:pPr>
            <w:r w:rsidRPr="00005520">
              <w:rPr>
                <w:sz w:val="20"/>
                <w:szCs w:val="20"/>
                <w:lang w:val="fr-CA"/>
              </w:rPr>
              <w:t>Dépôt de la demande d’autorisation d’appel</w:t>
            </w:r>
          </w:p>
          <w:p w:rsidR="00E033CB" w:rsidRPr="00005520" w:rsidRDefault="00E033CB" w:rsidP="00E033CB">
            <w:pPr>
              <w:jc w:val="both"/>
              <w:rPr>
                <w:sz w:val="20"/>
                <w:szCs w:val="20"/>
                <w:lang w:val="fr-CA"/>
              </w:rPr>
            </w:pPr>
          </w:p>
        </w:tc>
      </w:tr>
    </w:tbl>
    <w:p w:rsidR="00E033CB" w:rsidRPr="00005520" w:rsidRDefault="008D266B" w:rsidP="00E033CB">
      <w:pPr>
        <w:rPr>
          <w:sz w:val="20"/>
          <w:szCs w:val="20"/>
          <w:lang w:val="fr-CA"/>
        </w:rPr>
      </w:pPr>
      <w:r>
        <w:rPr>
          <w:sz w:val="20"/>
          <w:szCs w:val="20"/>
        </w:rPr>
        <w:pict>
          <v:rect id="_x0000_i1047" style="width:2in;height:1pt" o:hrpct="0" o:hralign="center" o:hrstd="t" o:hrnoshade="t" o:hr="t" fillcolor="black [3213]" stroked="f"/>
        </w:pict>
      </w:r>
    </w:p>
    <w:p w:rsidR="00E033CB" w:rsidRPr="00005520" w:rsidRDefault="00E033CB" w:rsidP="00E033CB">
      <w:pPr>
        <w:jc w:val="both"/>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E033CB" w:rsidRPr="00005520" w:rsidTr="0074616E">
        <w:tc>
          <w:tcPr>
            <w:tcW w:w="543" w:type="pct"/>
          </w:tcPr>
          <w:p w:rsidR="00E033CB" w:rsidRPr="00005520" w:rsidRDefault="00E033CB" w:rsidP="0074616E">
            <w:pPr>
              <w:rPr>
                <w:sz w:val="20"/>
                <w:szCs w:val="20"/>
              </w:rPr>
            </w:pPr>
            <w:r w:rsidRPr="00005520">
              <w:rPr>
                <w:rStyle w:val="SCCFileNumberChar"/>
                <w:sz w:val="20"/>
                <w:szCs w:val="20"/>
              </w:rPr>
              <w:t>37700</w:t>
            </w:r>
          </w:p>
        </w:tc>
        <w:tc>
          <w:tcPr>
            <w:tcW w:w="4457" w:type="pct"/>
          </w:tcPr>
          <w:p w:rsidR="00E033CB" w:rsidRPr="00005520" w:rsidRDefault="00E033CB" w:rsidP="0074616E">
            <w:pPr>
              <w:pStyle w:val="SCCLsocParty"/>
              <w:jc w:val="both"/>
              <w:rPr>
                <w:b/>
                <w:sz w:val="20"/>
                <w:szCs w:val="20"/>
                <w:lang w:val="en-US"/>
              </w:rPr>
            </w:pPr>
            <w:r w:rsidRPr="00005520">
              <w:rPr>
                <w:b/>
                <w:sz w:val="20"/>
                <w:szCs w:val="20"/>
                <w:lang w:val="en-US"/>
              </w:rPr>
              <w:t>David Joseph Douglas v. Her Majesty the Queen</w:t>
            </w:r>
          </w:p>
          <w:p w:rsidR="00E033CB" w:rsidRPr="00005520" w:rsidRDefault="00E033CB" w:rsidP="0074616E">
            <w:pPr>
              <w:rPr>
                <w:sz w:val="20"/>
                <w:szCs w:val="20"/>
              </w:rPr>
            </w:pPr>
            <w:r w:rsidRPr="00005520">
              <w:rPr>
                <w:sz w:val="20"/>
                <w:szCs w:val="20"/>
              </w:rPr>
              <w:t>(Man.) (Criminal) (By Leave)</w:t>
            </w:r>
          </w:p>
        </w:tc>
      </w:tr>
      <w:tr w:rsidR="00047CBB" w:rsidRPr="00005520" w:rsidTr="0074616E">
        <w:tc>
          <w:tcPr>
            <w:tcW w:w="543" w:type="pct"/>
          </w:tcPr>
          <w:p w:rsidR="00047CBB" w:rsidRPr="00005520" w:rsidRDefault="00047CBB" w:rsidP="0074616E">
            <w:pPr>
              <w:rPr>
                <w:rStyle w:val="SCCFileNumberChar"/>
                <w:sz w:val="20"/>
                <w:szCs w:val="20"/>
              </w:rPr>
            </w:pPr>
            <w:r>
              <w:rPr>
                <w:rStyle w:val="SCCFileNumberChar"/>
                <w:sz w:val="20"/>
                <w:szCs w:val="20"/>
              </w:rPr>
              <w:t>Coram:</w:t>
            </w:r>
          </w:p>
        </w:tc>
        <w:tc>
          <w:tcPr>
            <w:tcW w:w="4457" w:type="pct"/>
          </w:tcPr>
          <w:p w:rsidR="00047CBB" w:rsidRDefault="0088323A" w:rsidP="0074616E">
            <w:pPr>
              <w:pStyle w:val="SCCLsocParty"/>
              <w:jc w:val="both"/>
              <w:rPr>
                <w:sz w:val="20"/>
                <w:szCs w:val="20"/>
                <w:lang w:val="en-US"/>
              </w:rPr>
            </w:pPr>
            <w:r w:rsidRPr="0088323A">
              <w:rPr>
                <w:sz w:val="20"/>
                <w:szCs w:val="20"/>
                <w:lang w:val="en-US"/>
              </w:rPr>
              <w:t>McLachlin C.J. and Abella, Moldaver, Karakatsanis, Wagner, Gascon, Côté, Brown and Rowe JJ.</w:t>
            </w:r>
          </w:p>
          <w:p w:rsidR="0088323A" w:rsidRPr="0088323A" w:rsidRDefault="0088323A" w:rsidP="0088323A">
            <w:pPr>
              <w:rPr>
                <w:lang w:val="en-US"/>
              </w:rPr>
            </w:pPr>
          </w:p>
        </w:tc>
      </w:tr>
      <w:tr w:rsidR="00047CBB" w:rsidRPr="00005520" w:rsidTr="00047CBB">
        <w:tc>
          <w:tcPr>
            <w:tcW w:w="5000" w:type="pct"/>
            <w:gridSpan w:val="2"/>
          </w:tcPr>
          <w:p w:rsidR="00047CBB" w:rsidRDefault="0088323A" w:rsidP="0074616E">
            <w:pPr>
              <w:pStyle w:val="SCCLsocParty"/>
              <w:jc w:val="both"/>
              <w:rPr>
                <w:sz w:val="20"/>
                <w:szCs w:val="20"/>
                <w:lang w:val="en-US"/>
              </w:rPr>
            </w:pPr>
            <w:r w:rsidRPr="0088323A">
              <w:rPr>
                <w:sz w:val="20"/>
                <w:szCs w:val="20"/>
                <w:lang w:val="en-US"/>
              </w:rPr>
              <w:t>The application for leave to appeal from the judgment of the Court of Appeal of Manitoba, Number AR15-30-08456, 2017 MBCA 63, dated June 29, 2017, is dismissed.</w:t>
            </w:r>
          </w:p>
          <w:p w:rsidR="0088323A" w:rsidRPr="0088323A" w:rsidRDefault="0088323A" w:rsidP="0088323A">
            <w:pPr>
              <w:rPr>
                <w:lang w:val="en-US"/>
              </w:rPr>
            </w:pPr>
          </w:p>
        </w:tc>
      </w:tr>
      <w:tr w:rsidR="00E033CB" w:rsidRPr="00005520" w:rsidTr="0074616E">
        <w:tc>
          <w:tcPr>
            <w:tcW w:w="5000" w:type="pct"/>
            <w:gridSpan w:val="2"/>
          </w:tcPr>
          <w:p w:rsidR="00E033CB" w:rsidRPr="00005520" w:rsidRDefault="00E033CB" w:rsidP="00E033CB">
            <w:pPr>
              <w:jc w:val="both"/>
              <w:rPr>
                <w:sz w:val="20"/>
                <w:szCs w:val="20"/>
              </w:rPr>
            </w:pPr>
            <w:r w:rsidRPr="00005520">
              <w:rPr>
                <w:i/>
                <w:sz w:val="20"/>
                <w:szCs w:val="20"/>
              </w:rPr>
              <w:t>Charter of Rights</w:t>
            </w:r>
            <w:r w:rsidRPr="00005520">
              <w:rPr>
                <w:sz w:val="20"/>
                <w:szCs w:val="20"/>
              </w:rPr>
              <w:t xml:space="preserve"> – Criminal – Search and Seizure – Remedy – RMCP executing search warrants – Whether property seized was subject to solicitor-client privilege – Whether the Court of Appeal erred in law in upholding the dismissal of the applicant’s application for an order to quash search warrants issued for the applicant’s legal correspondence, for an order returning the property seized pursuant to the warrants and for a judicial stay of proceedings pursuant to ss. 8 and 24(1) of the </w:t>
            </w:r>
            <w:r w:rsidRPr="00005520">
              <w:rPr>
                <w:i/>
                <w:sz w:val="20"/>
                <w:szCs w:val="20"/>
              </w:rPr>
              <w:t>Canadian Charter of Rights and Freedoms</w:t>
            </w:r>
            <w:r w:rsidRPr="00005520">
              <w:rPr>
                <w:sz w:val="20"/>
                <w:szCs w:val="20"/>
              </w:rPr>
              <w:t xml:space="preserve">, and in particular by granting the applicant a remedy that was neither just nor appropriate in the circumstances – ss. 8, 24(2) of the </w:t>
            </w:r>
            <w:r w:rsidRPr="00005520">
              <w:rPr>
                <w:i/>
                <w:sz w:val="20"/>
                <w:szCs w:val="20"/>
              </w:rPr>
              <w:t>Charter</w:t>
            </w:r>
            <w:r w:rsidRPr="00005520">
              <w:rPr>
                <w:sz w:val="20"/>
                <w:szCs w:val="20"/>
              </w:rPr>
              <w:t>.</w:t>
            </w:r>
          </w:p>
        </w:tc>
      </w:tr>
      <w:tr w:rsidR="00E033CB" w:rsidRPr="00005520" w:rsidTr="0074616E">
        <w:tc>
          <w:tcPr>
            <w:tcW w:w="5000" w:type="pct"/>
            <w:gridSpan w:val="2"/>
          </w:tcPr>
          <w:p w:rsidR="00E033CB" w:rsidRPr="00005520" w:rsidRDefault="00E033CB" w:rsidP="00E033CB">
            <w:pPr>
              <w:jc w:val="both"/>
              <w:rPr>
                <w:sz w:val="20"/>
                <w:szCs w:val="20"/>
              </w:rPr>
            </w:pPr>
          </w:p>
        </w:tc>
      </w:tr>
      <w:tr w:rsidR="00E033CB" w:rsidRPr="00005520" w:rsidTr="0074616E">
        <w:tc>
          <w:tcPr>
            <w:tcW w:w="5000" w:type="pct"/>
            <w:gridSpan w:val="2"/>
          </w:tcPr>
          <w:p w:rsidR="00E033CB" w:rsidRPr="00005520" w:rsidRDefault="00E033CB" w:rsidP="00E033CB">
            <w:pPr>
              <w:jc w:val="both"/>
              <w:rPr>
                <w:sz w:val="20"/>
                <w:szCs w:val="20"/>
              </w:rPr>
            </w:pPr>
            <w:r w:rsidRPr="00005520">
              <w:rPr>
                <w:sz w:val="20"/>
                <w:szCs w:val="20"/>
                <w:lang w:val="en"/>
              </w:rPr>
              <w:t xml:space="preserve">The applicant, Mr. Douglas, worked as a realtor, mortgage broker and in various capacities relating to real estate transactions. The RCMP commenced an investigation and obtained warrants pursuant to s. 487 of the </w:t>
            </w:r>
            <w:r w:rsidRPr="00005520">
              <w:rPr>
                <w:i/>
                <w:sz w:val="20"/>
                <w:szCs w:val="20"/>
                <w:lang w:val="en"/>
              </w:rPr>
              <w:t>Criminal Code</w:t>
            </w:r>
            <w:r w:rsidRPr="00005520">
              <w:rPr>
                <w:sz w:val="20"/>
                <w:szCs w:val="20"/>
                <w:lang w:val="en"/>
              </w:rPr>
              <w:t xml:space="preserve">, R.S.C. 1985, c. C-46 to search Mr. Douglas’ home and business. Mr. Douglas brought an application pursuant to s. 24(1) of the </w:t>
            </w:r>
            <w:r w:rsidRPr="00005520">
              <w:rPr>
                <w:i/>
                <w:sz w:val="20"/>
                <w:szCs w:val="20"/>
                <w:lang w:val="en"/>
              </w:rPr>
              <w:t>Charter of Rights</w:t>
            </w:r>
            <w:r w:rsidRPr="00005520">
              <w:rPr>
                <w:sz w:val="20"/>
                <w:szCs w:val="20"/>
                <w:lang w:val="en"/>
              </w:rPr>
              <w:t xml:space="preserve"> for an order to quash warrants to search his home and place of business for legal correspondence, for an order for the return of the property seized contrary to s. 8 of the </w:t>
            </w:r>
            <w:r w:rsidRPr="00005520">
              <w:rPr>
                <w:i/>
                <w:sz w:val="20"/>
                <w:szCs w:val="20"/>
                <w:lang w:val="en"/>
              </w:rPr>
              <w:t>Charter</w:t>
            </w:r>
            <w:r w:rsidRPr="00005520">
              <w:rPr>
                <w:sz w:val="20"/>
                <w:szCs w:val="20"/>
                <w:lang w:val="en"/>
              </w:rPr>
              <w:t xml:space="preserve">, and for a judicial stay of proceedings of the charges. The application judge found that the legal correspondence sought constituted transactional documents that were not presumptively protected by solicitor client privilege, and dismissed the </w:t>
            </w:r>
            <w:r w:rsidRPr="00005520">
              <w:rPr>
                <w:i/>
                <w:sz w:val="20"/>
                <w:szCs w:val="20"/>
                <w:lang w:val="en"/>
              </w:rPr>
              <w:t xml:space="preserve">Charter </w:t>
            </w:r>
            <w:r w:rsidRPr="00005520">
              <w:rPr>
                <w:sz w:val="20"/>
                <w:szCs w:val="20"/>
                <w:lang w:val="en"/>
              </w:rPr>
              <w:t xml:space="preserve">application. The Court of Appeal held that Mr. Douglas’ s. 8 </w:t>
            </w:r>
            <w:r w:rsidRPr="00005520">
              <w:rPr>
                <w:i/>
                <w:sz w:val="20"/>
                <w:szCs w:val="20"/>
                <w:lang w:val="en"/>
              </w:rPr>
              <w:t>Charter</w:t>
            </w:r>
            <w:r w:rsidRPr="00005520">
              <w:rPr>
                <w:sz w:val="20"/>
                <w:szCs w:val="20"/>
                <w:lang w:val="en"/>
              </w:rPr>
              <w:t xml:space="preserve"> rights were breached by a defective search warrant which authorized the seizure of presumptively privileged “legal correspondence” relating to the real estate transactions. The Court of Appeal’s order directed that: the defect be excised from the warrants; that solicitor-client privilege be protected in the interim; that any potential prejudice be contained by way of injunction and set in place a process to determine whether any relevant document is privileged; the request to quash the warrants and application for a stay were dismissed. </w:t>
            </w:r>
          </w:p>
        </w:tc>
      </w:tr>
      <w:tr w:rsidR="00E033CB" w:rsidRPr="00005520" w:rsidTr="0074616E">
        <w:tc>
          <w:tcPr>
            <w:tcW w:w="5000" w:type="pct"/>
            <w:gridSpan w:val="2"/>
          </w:tcPr>
          <w:p w:rsidR="00E033CB" w:rsidRPr="00005520" w:rsidRDefault="00E033CB" w:rsidP="00E033CB">
            <w:pPr>
              <w:jc w:val="both"/>
              <w:rPr>
                <w:sz w:val="20"/>
                <w:szCs w:val="20"/>
                <w:lang w:val="en"/>
              </w:rPr>
            </w:pPr>
          </w:p>
        </w:tc>
      </w:tr>
      <w:tr w:rsidR="00E033CB" w:rsidRPr="00005520" w:rsidTr="0074616E">
        <w:tc>
          <w:tcPr>
            <w:tcW w:w="5000" w:type="pct"/>
            <w:gridSpan w:val="2"/>
          </w:tcPr>
          <w:tbl>
            <w:tblPr>
              <w:tblW w:w="5000" w:type="pct"/>
              <w:tblLayout w:type="fixed"/>
              <w:tblCellMar>
                <w:left w:w="0" w:type="dxa"/>
                <w:right w:w="0" w:type="dxa"/>
              </w:tblCellMar>
              <w:tblLook w:val="04A0" w:firstRow="1" w:lastRow="0" w:firstColumn="1" w:lastColumn="0" w:noHBand="0" w:noVBand="1"/>
            </w:tblPr>
            <w:tblGrid>
              <w:gridCol w:w="4510"/>
              <w:gridCol w:w="509"/>
              <w:gridCol w:w="4508"/>
            </w:tblGrid>
            <w:tr w:rsidR="00E033CB" w:rsidRPr="00005520" w:rsidTr="0074616E">
              <w:tc>
                <w:tcPr>
                  <w:tcW w:w="2367" w:type="pct"/>
                </w:tcPr>
                <w:p w:rsidR="00E033CB" w:rsidRPr="00005520" w:rsidRDefault="00E033CB" w:rsidP="00E033CB">
                  <w:pPr>
                    <w:jc w:val="both"/>
                    <w:rPr>
                      <w:sz w:val="20"/>
                      <w:szCs w:val="20"/>
                    </w:rPr>
                  </w:pPr>
                  <w:r w:rsidRPr="00005520">
                    <w:rPr>
                      <w:sz w:val="20"/>
                      <w:szCs w:val="20"/>
                    </w:rPr>
                    <w:t>September 3, 2015</w:t>
                  </w:r>
                </w:p>
                <w:p w:rsidR="00E033CB" w:rsidRPr="00005520" w:rsidRDefault="00E033CB" w:rsidP="00E033CB">
                  <w:pPr>
                    <w:jc w:val="both"/>
                    <w:rPr>
                      <w:sz w:val="20"/>
                      <w:szCs w:val="20"/>
                    </w:rPr>
                  </w:pPr>
                  <w:r w:rsidRPr="00005520">
                    <w:rPr>
                      <w:sz w:val="20"/>
                      <w:szCs w:val="20"/>
                    </w:rPr>
                    <w:t>Court of Queen’s Bench of Manitoba</w:t>
                  </w:r>
                </w:p>
                <w:p w:rsidR="00E033CB" w:rsidRPr="00005520" w:rsidRDefault="00E033CB" w:rsidP="00E033CB">
                  <w:pPr>
                    <w:jc w:val="both"/>
                    <w:rPr>
                      <w:sz w:val="20"/>
                      <w:szCs w:val="20"/>
                    </w:rPr>
                  </w:pPr>
                  <w:r w:rsidRPr="00005520">
                    <w:rPr>
                      <w:sz w:val="20"/>
                      <w:szCs w:val="20"/>
                    </w:rPr>
                    <w:t>(Saull J.)</w:t>
                  </w:r>
                </w:p>
              </w:tc>
              <w:tc>
                <w:tcPr>
                  <w:tcW w:w="267" w:type="pct"/>
                </w:tcPr>
                <w:p w:rsidR="00E033CB" w:rsidRPr="00005520" w:rsidRDefault="00E033CB" w:rsidP="00E033CB">
                  <w:pPr>
                    <w:jc w:val="both"/>
                    <w:rPr>
                      <w:sz w:val="20"/>
                      <w:szCs w:val="20"/>
                    </w:rPr>
                  </w:pPr>
                </w:p>
              </w:tc>
              <w:tc>
                <w:tcPr>
                  <w:tcW w:w="2366" w:type="pct"/>
                </w:tcPr>
                <w:p w:rsidR="00E033CB" w:rsidRPr="00005520" w:rsidRDefault="00E033CB" w:rsidP="00E033CB">
                  <w:pPr>
                    <w:jc w:val="both"/>
                    <w:rPr>
                      <w:sz w:val="20"/>
                      <w:szCs w:val="20"/>
                      <w:lang w:val="en"/>
                    </w:rPr>
                  </w:pPr>
                  <w:r w:rsidRPr="00005520">
                    <w:rPr>
                      <w:sz w:val="20"/>
                      <w:szCs w:val="20"/>
                      <w:lang w:val="en"/>
                    </w:rPr>
                    <w:t xml:space="preserve">Applicant’s application pursuant to s. 24(1) of the </w:t>
                  </w:r>
                  <w:r w:rsidRPr="00005520">
                    <w:rPr>
                      <w:i/>
                      <w:sz w:val="20"/>
                      <w:szCs w:val="20"/>
                      <w:lang w:val="en"/>
                    </w:rPr>
                    <w:t>Charter</w:t>
                  </w:r>
                  <w:r w:rsidRPr="00005520">
                    <w:rPr>
                      <w:sz w:val="20"/>
                      <w:szCs w:val="20"/>
                      <w:lang w:val="en"/>
                    </w:rPr>
                    <w:t xml:space="preserve"> requesting: an order of </w:t>
                  </w:r>
                  <w:r w:rsidRPr="00005520">
                    <w:rPr>
                      <w:i/>
                      <w:iCs/>
                      <w:sz w:val="20"/>
                      <w:szCs w:val="20"/>
                      <w:lang w:val="en"/>
                    </w:rPr>
                    <w:t>certiorari</w:t>
                  </w:r>
                  <w:r w:rsidRPr="00005520">
                    <w:rPr>
                      <w:sz w:val="20"/>
                      <w:szCs w:val="20"/>
                      <w:lang w:val="en"/>
                    </w:rPr>
                    <w:t xml:space="preserve"> quashing the search warrants; an order for the interim and final recovery of all property that was seized  and prohibition dismissed</w:t>
                  </w:r>
                </w:p>
                <w:p w:rsidR="00E033CB" w:rsidRPr="00005520" w:rsidRDefault="00E033CB" w:rsidP="00E033CB">
                  <w:pPr>
                    <w:jc w:val="both"/>
                    <w:rPr>
                      <w:sz w:val="20"/>
                      <w:szCs w:val="20"/>
                    </w:rPr>
                  </w:pPr>
                </w:p>
              </w:tc>
            </w:tr>
            <w:tr w:rsidR="00E033CB" w:rsidRPr="00005520" w:rsidTr="0074616E">
              <w:tc>
                <w:tcPr>
                  <w:tcW w:w="2367" w:type="pct"/>
                </w:tcPr>
                <w:p w:rsidR="00E033CB" w:rsidRPr="00005520" w:rsidRDefault="00E033CB" w:rsidP="00E033CB">
                  <w:pPr>
                    <w:jc w:val="both"/>
                    <w:rPr>
                      <w:sz w:val="20"/>
                      <w:szCs w:val="20"/>
                    </w:rPr>
                  </w:pPr>
                  <w:r w:rsidRPr="00005520">
                    <w:rPr>
                      <w:sz w:val="20"/>
                      <w:szCs w:val="20"/>
                    </w:rPr>
                    <w:t>June 29, 2017</w:t>
                  </w:r>
                </w:p>
                <w:p w:rsidR="00E033CB" w:rsidRPr="00005520" w:rsidRDefault="00E033CB" w:rsidP="00E033CB">
                  <w:pPr>
                    <w:jc w:val="both"/>
                    <w:rPr>
                      <w:sz w:val="20"/>
                      <w:szCs w:val="20"/>
                    </w:rPr>
                  </w:pPr>
                  <w:r w:rsidRPr="00005520">
                    <w:rPr>
                      <w:sz w:val="20"/>
                      <w:szCs w:val="20"/>
                    </w:rPr>
                    <w:t>Court of Appeal of Manitoba</w:t>
                  </w:r>
                </w:p>
                <w:p w:rsidR="00E033CB" w:rsidRPr="00005520" w:rsidRDefault="00E033CB" w:rsidP="00E033CB">
                  <w:pPr>
                    <w:jc w:val="both"/>
                    <w:rPr>
                      <w:sz w:val="20"/>
                      <w:szCs w:val="20"/>
                    </w:rPr>
                  </w:pPr>
                  <w:r w:rsidRPr="00005520">
                    <w:rPr>
                      <w:sz w:val="20"/>
                      <w:szCs w:val="20"/>
                    </w:rPr>
                    <w:t>(Monnin, Cameron, Burnett JJ.A.)</w:t>
                  </w:r>
                </w:p>
                <w:p w:rsidR="00E033CB" w:rsidRPr="00005520" w:rsidRDefault="00E033CB" w:rsidP="00E033CB">
                  <w:pPr>
                    <w:jc w:val="both"/>
                    <w:rPr>
                      <w:sz w:val="20"/>
                      <w:szCs w:val="20"/>
                    </w:rPr>
                  </w:pPr>
                  <w:r w:rsidRPr="00005520">
                    <w:rPr>
                      <w:sz w:val="20"/>
                      <w:szCs w:val="20"/>
                    </w:rPr>
                    <w:t>2017 MBCA 63; AR15-30-08456</w:t>
                  </w:r>
                </w:p>
                <w:p w:rsidR="00E033CB" w:rsidRPr="00005520" w:rsidRDefault="008D266B" w:rsidP="00E033CB">
                  <w:pPr>
                    <w:jc w:val="both"/>
                    <w:rPr>
                      <w:sz w:val="20"/>
                      <w:szCs w:val="20"/>
                    </w:rPr>
                  </w:pPr>
                  <w:hyperlink r:id="rId30" w:history="1">
                    <w:r w:rsidR="00E033CB" w:rsidRPr="00005520">
                      <w:rPr>
                        <w:rStyle w:val="Hyperlink"/>
                        <w:rFonts w:eastAsiaTheme="majorEastAsia"/>
                        <w:sz w:val="20"/>
                        <w:szCs w:val="20"/>
                      </w:rPr>
                      <w:t>http://canlii.ca/t/h4nc2</w:t>
                    </w:r>
                  </w:hyperlink>
                </w:p>
                <w:p w:rsidR="00E033CB" w:rsidRPr="00005520" w:rsidRDefault="00E033CB" w:rsidP="00E033CB">
                  <w:pPr>
                    <w:jc w:val="both"/>
                    <w:rPr>
                      <w:sz w:val="20"/>
                      <w:szCs w:val="20"/>
                    </w:rPr>
                  </w:pPr>
                </w:p>
              </w:tc>
              <w:tc>
                <w:tcPr>
                  <w:tcW w:w="267" w:type="pct"/>
                </w:tcPr>
                <w:p w:rsidR="00E033CB" w:rsidRPr="00005520" w:rsidRDefault="00E033CB" w:rsidP="00E033CB">
                  <w:pPr>
                    <w:jc w:val="both"/>
                    <w:rPr>
                      <w:sz w:val="20"/>
                      <w:szCs w:val="20"/>
                    </w:rPr>
                  </w:pPr>
                </w:p>
              </w:tc>
              <w:tc>
                <w:tcPr>
                  <w:tcW w:w="2366" w:type="pct"/>
                </w:tcPr>
                <w:p w:rsidR="00E033CB" w:rsidRPr="00005520" w:rsidRDefault="00E033CB" w:rsidP="00E033CB">
                  <w:pPr>
                    <w:jc w:val="both"/>
                    <w:rPr>
                      <w:sz w:val="20"/>
                      <w:szCs w:val="20"/>
                    </w:rPr>
                  </w:pPr>
                  <w:r w:rsidRPr="00005520">
                    <w:rPr>
                      <w:sz w:val="20"/>
                      <w:szCs w:val="20"/>
                    </w:rPr>
                    <w:t xml:space="preserve">Appeal allowed: search </w:t>
                  </w:r>
                  <w:r w:rsidRPr="00005520">
                    <w:rPr>
                      <w:sz w:val="20"/>
                      <w:szCs w:val="20"/>
                      <w:lang w:val="en"/>
                    </w:rPr>
                    <w:t xml:space="preserve">warrants seizing legal correspondence breaching s. 8 of the </w:t>
                  </w:r>
                  <w:r w:rsidRPr="00005520">
                    <w:rPr>
                      <w:i/>
                      <w:sz w:val="20"/>
                      <w:szCs w:val="20"/>
                      <w:lang w:val="en"/>
                    </w:rPr>
                    <w:t>Charter</w:t>
                  </w:r>
                  <w:r w:rsidRPr="00005520">
                    <w:rPr>
                      <w:sz w:val="20"/>
                      <w:szCs w:val="20"/>
                      <w:lang w:val="en"/>
                    </w:rPr>
                    <w:t>; documents to remain sealed until determination is made regarding solicitor-client privilege</w:t>
                  </w:r>
                </w:p>
                <w:p w:rsidR="00E033CB" w:rsidRPr="00005520" w:rsidRDefault="00E033CB" w:rsidP="00E033CB">
                  <w:pPr>
                    <w:jc w:val="both"/>
                    <w:rPr>
                      <w:sz w:val="20"/>
                      <w:szCs w:val="20"/>
                    </w:rPr>
                  </w:pPr>
                </w:p>
              </w:tc>
            </w:tr>
            <w:tr w:rsidR="00E033CB" w:rsidRPr="00005520" w:rsidTr="0074616E">
              <w:tc>
                <w:tcPr>
                  <w:tcW w:w="2367" w:type="pct"/>
                </w:tcPr>
                <w:p w:rsidR="00E033CB" w:rsidRPr="00005520" w:rsidRDefault="00E033CB" w:rsidP="00E033CB">
                  <w:pPr>
                    <w:jc w:val="both"/>
                    <w:rPr>
                      <w:sz w:val="20"/>
                      <w:szCs w:val="20"/>
                    </w:rPr>
                  </w:pPr>
                  <w:r w:rsidRPr="00005520">
                    <w:rPr>
                      <w:sz w:val="20"/>
                      <w:szCs w:val="20"/>
                    </w:rPr>
                    <w:t>August 17, 2017</w:t>
                  </w:r>
                </w:p>
                <w:p w:rsidR="00E033CB" w:rsidRPr="00005520" w:rsidRDefault="00E033CB" w:rsidP="00E033CB">
                  <w:pPr>
                    <w:jc w:val="both"/>
                    <w:rPr>
                      <w:sz w:val="20"/>
                      <w:szCs w:val="20"/>
                    </w:rPr>
                  </w:pPr>
                  <w:r w:rsidRPr="00005520">
                    <w:rPr>
                      <w:sz w:val="20"/>
                      <w:szCs w:val="20"/>
                    </w:rPr>
                    <w:t>Supreme Court of Canada</w:t>
                  </w:r>
                </w:p>
              </w:tc>
              <w:tc>
                <w:tcPr>
                  <w:tcW w:w="267" w:type="pct"/>
                </w:tcPr>
                <w:p w:rsidR="00E033CB" w:rsidRPr="00005520" w:rsidRDefault="00E033CB" w:rsidP="00E033CB">
                  <w:pPr>
                    <w:jc w:val="both"/>
                    <w:rPr>
                      <w:sz w:val="20"/>
                      <w:szCs w:val="20"/>
                    </w:rPr>
                  </w:pPr>
                </w:p>
              </w:tc>
              <w:tc>
                <w:tcPr>
                  <w:tcW w:w="2366" w:type="pct"/>
                </w:tcPr>
                <w:p w:rsidR="00E033CB" w:rsidRPr="00005520" w:rsidRDefault="00E033CB" w:rsidP="00E033CB">
                  <w:pPr>
                    <w:jc w:val="both"/>
                    <w:rPr>
                      <w:sz w:val="20"/>
                      <w:szCs w:val="20"/>
                    </w:rPr>
                  </w:pPr>
                  <w:r w:rsidRPr="00005520">
                    <w:rPr>
                      <w:sz w:val="20"/>
                      <w:szCs w:val="20"/>
                    </w:rPr>
                    <w:t>Application for leave to appeal filed</w:t>
                  </w:r>
                </w:p>
                <w:p w:rsidR="00E033CB" w:rsidRPr="00005520" w:rsidRDefault="00E033CB" w:rsidP="00E033CB">
                  <w:pPr>
                    <w:jc w:val="both"/>
                    <w:rPr>
                      <w:sz w:val="20"/>
                      <w:szCs w:val="20"/>
                    </w:rPr>
                  </w:pPr>
                </w:p>
              </w:tc>
            </w:tr>
          </w:tbl>
          <w:p w:rsidR="00E033CB" w:rsidRPr="00005520" w:rsidRDefault="00E033CB" w:rsidP="00E033CB">
            <w:pPr>
              <w:jc w:val="both"/>
              <w:rPr>
                <w:sz w:val="20"/>
                <w:szCs w:val="20"/>
                <w:lang w:val="en"/>
              </w:rPr>
            </w:pPr>
          </w:p>
        </w:tc>
      </w:tr>
    </w:tbl>
    <w:p w:rsidR="00E033CB" w:rsidRPr="00005520" w:rsidRDefault="008D266B" w:rsidP="00E033CB">
      <w:pPr>
        <w:rPr>
          <w:sz w:val="20"/>
          <w:szCs w:val="20"/>
        </w:rPr>
      </w:pPr>
      <w:r>
        <w:rPr>
          <w:sz w:val="20"/>
          <w:szCs w:val="20"/>
        </w:rPr>
        <w:pict>
          <v:rect id="_x0000_i1048" style="width:2in;height:1pt" o:hrpct="0" o:hralign="center" o:hrstd="t" o:hrnoshade="t" o:hr="t" fillcolor="black [3213]" stroked="f"/>
        </w:pict>
      </w:r>
    </w:p>
    <w:p w:rsidR="00E033CB" w:rsidRPr="00005520" w:rsidRDefault="00E033CB" w:rsidP="00E033CB">
      <w:pPr>
        <w:rPr>
          <w:sz w:val="20"/>
          <w:szCs w:val="20"/>
        </w:rPr>
      </w:pPr>
    </w:p>
    <w:p w:rsidR="0088323A" w:rsidRDefault="0088323A">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E033CB" w:rsidRPr="00005520" w:rsidTr="0074616E">
        <w:tc>
          <w:tcPr>
            <w:tcW w:w="543" w:type="pct"/>
          </w:tcPr>
          <w:p w:rsidR="00E033CB" w:rsidRPr="00005520" w:rsidRDefault="00E033CB" w:rsidP="0074616E">
            <w:pPr>
              <w:rPr>
                <w:sz w:val="20"/>
                <w:szCs w:val="20"/>
                <w:lang w:val="fr-CA"/>
              </w:rPr>
            </w:pPr>
            <w:r w:rsidRPr="00005520">
              <w:rPr>
                <w:rStyle w:val="SCCFileNumberChar"/>
                <w:sz w:val="20"/>
                <w:szCs w:val="20"/>
                <w:lang w:val="fr-CA"/>
              </w:rPr>
              <w:lastRenderedPageBreak/>
              <w:t>37700</w:t>
            </w:r>
          </w:p>
        </w:tc>
        <w:tc>
          <w:tcPr>
            <w:tcW w:w="4457" w:type="pct"/>
          </w:tcPr>
          <w:p w:rsidR="00E033CB" w:rsidRPr="00005520" w:rsidRDefault="00E033CB" w:rsidP="0074616E">
            <w:pPr>
              <w:pStyle w:val="SCCLsocParty"/>
              <w:jc w:val="both"/>
              <w:rPr>
                <w:b/>
                <w:sz w:val="20"/>
                <w:szCs w:val="20"/>
              </w:rPr>
            </w:pPr>
            <w:r w:rsidRPr="00005520">
              <w:rPr>
                <w:b/>
                <w:sz w:val="20"/>
                <w:szCs w:val="20"/>
              </w:rPr>
              <w:t>David Joseph Douglas c. Sa Majesté la Reine</w:t>
            </w:r>
          </w:p>
          <w:p w:rsidR="00E033CB" w:rsidRPr="00005520" w:rsidRDefault="00E033CB" w:rsidP="0074616E">
            <w:pPr>
              <w:rPr>
                <w:sz w:val="20"/>
                <w:szCs w:val="20"/>
                <w:lang w:val="fr-CA"/>
              </w:rPr>
            </w:pPr>
            <w:r w:rsidRPr="00005520">
              <w:rPr>
                <w:sz w:val="20"/>
                <w:szCs w:val="20"/>
                <w:lang w:val="fr-CA"/>
              </w:rPr>
              <w:t>(Man.) (Criminelle) (Sur autorisation)</w:t>
            </w:r>
          </w:p>
        </w:tc>
      </w:tr>
      <w:tr w:rsidR="00047CBB" w:rsidRPr="0096343C" w:rsidTr="0074616E">
        <w:tc>
          <w:tcPr>
            <w:tcW w:w="543" w:type="pct"/>
          </w:tcPr>
          <w:p w:rsidR="00047CBB" w:rsidRPr="00005520" w:rsidRDefault="00047CBB" w:rsidP="0074616E">
            <w:pPr>
              <w:rPr>
                <w:rStyle w:val="SCCFileNumberChar"/>
                <w:sz w:val="20"/>
                <w:szCs w:val="20"/>
                <w:lang w:val="fr-CA"/>
              </w:rPr>
            </w:pPr>
            <w:r>
              <w:rPr>
                <w:rStyle w:val="SCCFileNumberChar"/>
                <w:sz w:val="20"/>
                <w:szCs w:val="20"/>
                <w:lang w:val="fr-CA"/>
              </w:rPr>
              <w:t>Coram :</w:t>
            </w:r>
          </w:p>
        </w:tc>
        <w:tc>
          <w:tcPr>
            <w:tcW w:w="4457" w:type="pct"/>
          </w:tcPr>
          <w:p w:rsidR="00047CBB" w:rsidRDefault="0088323A" w:rsidP="0074616E">
            <w:pPr>
              <w:pStyle w:val="SCCLsocParty"/>
              <w:jc w:val="both"/>
              <w:rPr>
                <w:sz w:val="20"/>
                <w:szCs w:val="20"/>
              </w:rPr>
            </w:pPr>
            <w:r w:rsidRPr="00784790">
              <w:rPr>
                <w:sz w:val="20"/>
                <w:szCs w:val="20"/>
              </w:rPr>
              <w:t>La juge en chef McLachlin et les juges Abella, Moldaver, Karakatsanis, Wagner, Gascon, Côté, Brown et Rowe</w:t>
            </w:r>
          </w:p>
          <w:p w:rsidR="0088323A" w:rsidRPr="0088323A" w:rsidRDefault="0088323A" w:rsidP="0088323A">
            <w:pPr>
              <w:rPr>
                <w:lang w:val="fr-CA"/>
              </w:rPr>
            </w:pPr>
          </w:p>
        </w:tc>
      </w:tr>
      <w:tr w:rsidR="00047CBB" w:rsidRPr="0096343C" w:rsidTr="00047CBB">
        <w:tc>
          <w:tcPr>
            <w:tcW w:w="5000" w:type="pct"/>
            <w:gridSpan w:val="2"/>
          </w:tcPr>
          <w:p w:rsidR="00047CBB" w:rsidRDefault="0088323A" w:rsidP="0074616E">
            <w:pPr>
              <w:pStyle w:val="SCCLsocParty"/>
              <w:jc w:val="both"/>
              <w:rPr>
                <w:sz w:val="20"/>
                <w:szCs w:val="20"/>
              </w:rPr>
            </w:pPr>
            <w:r w:rsidRPr="00784790">
              <w:rPr>
                <w:sz w:val="20"/>
                <w:szCs w:val="20"/>
              </w:rPr>
              <w:t xml:space="preserve">La demande d’autorisation d’appel de l’arrêt de la </w:t>
            </w:r>
            <w:r w:rsidRPr="00784790">
              <w:rPr>
                <w:sz w:val="20"/>
                <w:szCs w:val="20"/>
                <w:lang w:val="fr-FR"/>
              </w:rPr>
              <w:t>Cour d’appel du Manitoba</w:t>
            </w:r>
            <w:r w:rsidRPr="00784790">
              <w:rPr>
                <w:sz w:val="20"/>
                <w:szCs w:val="20"/>
              </w:rPr>
              <w:t xml:space="preserve">, numéro </w:t>
            </w:r>
            <w:r w:rsidRPr="00784790">
              <w:rPr>
                <w:sz w:val="20"/>
                <w:szCs w:val="20"/>
                <w:lang w:val="fr-FR"/>
              </w:rPr>
              <w:t>AR15-30-08456, 2017 MBCA 63</w:t>
            </w:r>
            <w:r w:rsidRPr="00784790">
              <w:rPr>
                <w:sz w:val="20"/>
                <w:szCs w:val="20"/>
              </w:rPr>
              <w:t xml:space="preserve">, daté du </w:t>
            </w:r>
            <w:r w:rsidRPr="00784790">
              <w:rPr>
                <w:sz w:val="20"/>
                <w:szCs w:val="20"/>
                <w:lang w:val="fr-FR"/>
              </w:rPr>
              <w:t>29 juin 2017</w:t>
            </w:r>
            <w:r w:rsidRPr="00784790">
              <w:rPr>
                <w:sz w:val="20"/>
                <w:szCs w:val="20"/>
              </w:rPr>
              <w:t>, est rejetée.</w:t>
            </w:r>
          </w:p>
          <w:p w:rsidR="0088323A" w:rsidRPr="0088323A" w:rsidRDefault="0088323A" w:rsidP="0088323A">
            <w:pPr>
              <w:rPr>
                <w:lang w:val="fr-CA"/>
              </w:rPr>
            </w:pPr>
          </w:p>
        </w:tc>
      </w:tr>
      <w:tr w:rsidR="00E033CB" w:rsidRPr="0096343C" w:rsidTr="0074616E">
        <w:tc>
          <w:tcPr>
            <w:tcW w:w="5000" w:type="pct"/>
            <w:gridSpan w:val="2"/>
          </w:tcPr>
          <w:p w:rsidR="00E033CB" w:rsidRPr="00005520" w:rsidRDefault="00E033CB" w:rsidP="00E033CB">
            <w:pPr>
              <w:jc w:val="both"/>
              <w:rPr>
                <w:sz w:val="20"/>
                <w:szCs w:val="20"/>
                <w:lang w:val="fr-CA"/>
              </w:rPr>
            </w:pPr>
            <w:r w:rsidRPr="00005520">
              <w:rPr>
                <w:i/>
                <w:sz w:val="20"/>
                <w:szCs w:val="20"/>
                <w:lang w:val="fr-CA"/>
              </w:rPr>
              <w:t>Charte des droits</w:t>
            </w:r>
            <w:r w:rsidRPr="00005520">
              <w:rPr>
                <w:sz w:val="20"/>
                <w:szCs w:val="20"/>
                <w:lang w:val="fr-CA"/>
              </w:rPr>
              <w:t xml:space="preserve"> – Droit criminel – Fouilles, perquisitions et saisies – Recours – La GRC a exécuté des mandats de perquisition – Les biens saisis étaient-ils protégés par le secret professionnel de l’avocat? – La Cour d’appel a-t-elle commis une erreur de droit en confirmant le rejet de la requête du demandeur pour obtenir une ordonnance d’annulation des mandats de perquisition décernés relativement à la correspondance du demandeur avec son avocat, une ordonnance de retour des biens saisis en exécution des mandats et l’arrêt des procédures en application de l’art. 8 et du par. 24(1) de la </w:t>
            </w:r>
            <w:r w:rsidRPr="00005520">
              <w:rPr>
                <w:i/>
                <w:sz w:val="20"/>
                <w:szCs w:val="20"/>
                <w:lang w:val="fr-CA"/>
              </w:rPr>
              <w:t>Charte canadienne des droits et libertés</w:t>
            </w:r>
            <w:r w:rsidRPr="00005520">
              <w:rPr>
                <w:sz w:val="20"/>
                <w:szCs w:val="20"/>
                <w:lang w:val="fr-CA"/>
              </w:rPr>
              <w:t xml:space="preserve">, et en particulier en accordant au demandeur une réparation qui n’était ni juste ni appropriée dans les circonstances? – Art. 8, par. 24(2) de la </w:t>
            </w:r>
            <w:r w:rsidRPr="00005520">
              <w:rPr>
                <w:i/>
                <w:sz w:val="20"/>
                <w:szCs w:val="20"/>
                <w:lang w:val="fr-CA"/>
              </w:rPr>
              <w:t>Charte</w:t>
            </w:r>
            <w:r w:rsidRPr="00005520">
              <w:rPr>
                <w:sz w:val="20"/>
                <w:szCs w:val="20"/>
                <w:lang w:val="fr-CA"/>
              </w:rPr>
              <w:t>.</w:t>
            </w:r>
          </w:p>
        </w:tc>
      </w:tr>
      <w:tr w:rsidR="00E033CB" w:rsidRPr="0096343C" w:rsidTr="0074616E">
        <w:tc>
          <w:tcPr>
            <w:tcW w:w="5000" w:type="pct"/>
            <w:gridSpan w:val="2"/>
          </w:tcPr>
          <w:p w:rsidR="00E033CB" w:rsidRPr="00005520" w:rsidRDefault="00E033CB" w:rsidP="0074616E">
            <w:pPr>
              <w:rPr>
                <w:sz w:val="20"/>
                <w:szCs w:val="20"/>
                <w:lang w:val="fr-CA"/>
              </w:rPr>
            </w:pPr>
          </w:p>
        </w:tc>
      </w:tr>
      <w:tr w:rsidR="00E033CB" w:rsidRPr="0096343C" w:rsidTr="0074616E">
        <w:tc>
          <w:tcPr>
            <w:tcW w:w="5000" w:type="pct"/>
            <w:gridSpan w:val="2"/>
          </w:tcPr>
          <w:p w:rsidR="00E033CB" w:rsidRPr="00005520" w:rsidRDefault="00E033CB" w:rsidP="00E033CB">
            <w:pPr>
              <w:jc w:val="both"/>
              <w:rPr>
                <w:sz w:val="20"/>
                <w:szCs w:val="20"/>
                <w:lang w:val="fr-CA"/>
              </w:rPr>
            </w:pPr>
            <w:r w:rsidRPr="00005520">
              <w:rPr>
                <w:sz w:val="20"/>
                <w:szCs w:val="20"/>
                <w:lang w:val="fr-CA"/>
              </w:rPr>
              <w:t xml:space="preserve">Le demandeur, M. Douglas, travaillait comme courtier en immeubles, courtier en hypothèques et à divers autres titres en lien avec des opérations immobilières. La GRC a lancé une enquête et a obtenu des mandats en application de l’art. 487 du </w:t>
            </w:r>
            <w:r w:rsidRPr="00005520">
              <w:rPr>
                <w:i/>
                <w:sz w:val="20"/>
                <w:szCs w:val="20"/>
                <w:lang w:val="fr-CA"/>
              </w:rPr>
              <w:t>Code  criminel</w:t>
            </w:r>
            <w:r w:rsidRPr="00005520">
              <w:rPr>
                <w:sz w:val="20"/>
                <w:szCs w:val="20"/>
                <w:lang w:val="fr-CA"/>
              </w:rPr>
              <w:t xml:space="preserve">, L.R.C. 1985, ch. C-46 pour perquisitionner le domicile et l’établissement commercial de M. Douglas. Monsieur Douglas a présenté une requête fondée sur le par. 24(1) de la </w:t>
            </w:r>
            <w:r w:rsidRPr="00005520">
              <w:rPr>
                <w:i/>
                <w:sz w:val="20"/>
                <w:szCs w:val="20"/>
                <w:lang w:val="fr-CA"/>
              </w:rPr>
              <w:t>Charte des droits</w:t>
            </w:r>
            <w:r w:rsidRPr="00005520">
              <w:rPr>
                <w:sz w:val="20"/>
                <w:szCs w:val="20"/>
                <w:lang w:val="fr-CA"/>
              </w:rPr>
              <w:t xml:space="preserve"> pour obtenir une ordonnance d’annulation des mandats de perquisition de son domicile et de son établissement commercial relativement à la correspondance avec son avocat, une ordonnance de retour des biens saisis contrairement à l’art. 8 de la </w:t>
            </w:r>
            <w:r w:rsidRPr="00005520">
              <w:rPr>
                <w:i/>
                <w:sz w:val="20"/>
                <w:szCs w:val="20"/>
                <w:lang w:val="fr-CA"/>
              </w:rPr>
              <w:t>Charte</w:t>
            </w:r>
            <w:r w:rsidRPr="00005520">
              <w:rPr>
                <w:sz w:val="20"/>
                <w:szCs w:val="20"/>
                <w:lang w:val="fr-CA"/>
              </w:rPr>
              <w:t xml:space="preserve"> et l’arrêt des procédures relativement aux accusations.  Le juge saisi de la requête a conclu que la correspondance entre le demandeur et son avocat constituait des documents relatifs à des opérations qui n’étaient pas présumés protégés par le secret professionnel de l’avocat et a rejeté la demande fondée sur la </w:t>
            </w:r>
            <w:r w:rsidRPr="00005520">
              <w:rPr>
                <w:i/>
                <w:sz w:val="20"/>
                <w:szCs w:val="20"/>
                <w:lang w:val="fr-CA"/>
              </w:rPr>
              <w:t>Charte</w:t>
            </w:r>
            <w:r w:rsidRPr="00005520">
              <w:rPr>
                <w:sz w:val="20"/>
                <w:szCs w:val="20"/>
                <w:lang w:val="fr-CA"/>
              </w:rPr>
              <w:t xml:space="preserve">. La Cour d’appel a statué que les droits que l’art. 8 de la </w:t>
            </w:r>
            <w:r w:rsidRPr="00005520">
              <w:rPr>
                <w:i/>
                <w:sz w:val="20"/>
                <w:szCs w:val="20"/>
                <w:lang w:val="fr-CA"/>
              </w:rPr>
              <w:t>Charte</w:t>
            </w:r>
            <w:r w:rsidRPr="00005520">
              <w:rPr>
                <w:sz w:val="20"/>
                <w:szCs w:val="20"/>
                <w:lang w:val="fr-CA"/>
              </w:rPr>
              <w:t xml:space="preserve"> garantit à M. Douglas ont été violés par un mandat de perquisition vicié qui autorisait la saisie de la [</w:t>
            </w:r>
            <w:r w:rsidRPr="00005520">
              <w:rPr>
                <w:smallCaps/>
                <w:sz w:val="20"/>
                <w:szCs w:val="20"/>
                <w:lang w:val="fr-CA"/>
              </w:rPr>
              <w:t>traduction</w:t>
            </w:r>
            <w:r w:rsidRPr="00005520">
              <w:rPr>
                <w:sz w:val="20"/>
                <w:szCs w:val="20"/>
                <w:lang w:val="fr-CA"/>
              </w:rPr>
              <w:t xml:space="preserve">] « correspondance entre le demandeur et son avocat » en lien avec des opérations immobilières, laquelle était présumée protégée par le secret professionnel de l’avocat. La Cour d’appel a ordonné ce qui suit : que le vice soit expurgé des mandats de perquisition, que le secret professionnel de l’avocat soit protégé dans l’intervalle, que tout préjudice éventuel soit empêché par voie d’injonction et qu’un processus soit mis en place pour déterminer si des documents pertinents sont protégés par le secret professionnel; la demande d’annulation des mandats et la demande d’arrêt des procédures ont été rejetées. </w:t>
            </w:r>
          </w:p>
        </w:tc>
      </w:tr>
      <w:tr w:rsidR="00E033CB" w:rsidRPr="0096343C" w:rsidTr="0074616E">
        <w:tc>
          <w:tcPr>
            <w:tcW w:w="5000" w:type="pct"/>
            <w:gridSpan w:val="2"/>
          </w:tcPr>
          <w:p w:rsidR="00E033CB" w:rsidRPr="00005520" w:rsidRDefault="00E033CB" w:rsidP="00E033CB">
            <w:pPr>
              <w:jc w:val="both"/>
              <w:rPr>
                <w:sz w:val="20"/>
                <w:szCs w:val="20"/>
                <w:lang w:val="fr-CA"/>
              </w:rPr>
            </w:pPr>
          </w:p>
        </w:tc>
      </w:tr>
      <w:tr w:rsidR="00E033CB" w:rsidRPr="0096343C" w:rsidTr="0074616E">
        <w:tc>
          <w:tcPr>
            <w:tcW w:w="5000" w:type="pct"/>
            <w:gridSpan w:val="2"/>
          </w:tcPr>
          <w:tbl>
            <w:tblPr>
              <w:tblW w:w="5000" w:type="pct"/>
              <w:tblLayout w:type="fixed"/>
              <w:tblCellMar>
                <w:left w:w="0" w:type="dxa"/>
                <w:right w:w="0" w:type="dxa"/>
              </w:tblCellMar>
              <w:tblLook w:val="04A0" w:firstRow="1" w:lastRow="0" w:firstColumn="1" w:lastColumn="0" w:noHBand="0" w:noVBand="1"/>
            </w:tblPr>
            <w:tblGrid>
              <w:gridCol w:w="4510"/>
              <w:gridCol w:w="509"/>
              <w:gridCol w:w="4508"/>
            </w:tblGrid>
            <w:tr w:rsidR="00E033CB" w:rsidRPr="0096343C" w:rsidTr="0074616E">
              <w:tc>
                <w:tcPr>
                  <w:tcW w:w="2367" w:type="pct"/>
                </w:tcPr>
                <w:p w:rsidR="00E033CB" w:rsidRPr="00005520" w:rsidRDefault="00E033CB" w:rsidP="00E033CB">
                  <w:pPr>
                    <w:jc w:val="both"/>
                    <w:rPr>
                      <w:sz w:val="20"/>
                      <w:szCs w:val="20"/>
                      <w:lang w:val="fr-CA"/>
                    </w:rPr>
                  </w:pPr>
                  <w:r w:rsidRPr="00005520">
                    <w:rPr>
                      <w:sz w:val="20"/>
                      <w:szCs w:val="20"/>
                      <w:lang w:val="fr-CA"/>
                    </w:rPr>
                    <w:t>3 septembre 2015</w:t>
                  </w:r>
                </w:p>
                <w:p w:rsidR="00E033CB" w:rsidRPr="00005520" w:rsidRDefault="00E033CB" w:rsidP="00E033CB">
                  <w:pPr>
                    <w:jc w:val="both"/>
                    <w:rPr>
                      <w:sz w:val="20"/>
                      <w:szCs w:val="20"/>
                      <w:lang w:val="fr-CA"/>
                    </w:rPr>
                  </w:pPr>
                  <w:r w:rsidRPr="00005520">
                    <w:rPr>
                      <w:sz w:val="20"/>
                      <w:szCs w:val="20"/>
                      <w:lang w:val="fr-CA"/>
                    </w:rPr>
                    <w:t>Cour du Banc de la Reine du Manitoba</w:t>
                  </w:r>
                </w:p>
                <w:p w:rsidR="00E033CB" w:rsidRPr="00005520" w:rsidRDefault="00E033CB" w:rsidP="00E033CB">
                  <w:pPr>
                    <w:jc w:val="both"/>
                    <w:rPr>
                      <w:sz w:val="20"/>
                      <w:szCs w:val="20"/>
                      <w:lang w:val="fr-CA"/>
                    </w:rPr>
                  </w:pPr>
                  <w:r w:rsidRPr="00005520">
                    <w:rPr>
                      <w:sz w:val="20"/>
                      <w:szCs w:val="20"/>
                      <w:lang w:val="fr-CA"/>
                    </w:rPr>
                    <w:t>(Juge Saull)</w:t>
                  </w:r>
                </w:p>
              </w:tc>
              <w:tc>
                <w:tcPr>
                  <w:tcW w:w="267" w:type="pct"/>
                </w:tcPr>
                <w:p w:rsidR="00E033CB" w:rsidRPr="00005520" w:rsidRDefault="00E033CB" w:rsidP="00E033CB">
                  <w:pPr>
                    <w:jc w:val="both"/>
                    <w:rPr>
                      <w:sz w:val="20"/>
                      <w:szCs w:val="20"/>
                      <w:lang w:val="fr-CA"/>
                    </w:rPr>
                  </w:pPr>
                </w:p>
              </w:tc>
              <w:tc>
                <w:tcPr>
                  <w:tcW w:w="2366" w:type="pct"/>
                </w:tcPr>
                <w:p w:rsidR="00E033CB" w:rsidRPr="00005520" w:rsidRDefault="00E033CB" w:rsidP="00E033CB">
                  <w:pPr>
                    <w:jc w:val="both"/>
                    <w:rPr>
                      <w:sz w:val="20"/>
                      <w:szCs w:val="20"/>
                      <w:lang w:val="fr-CA"/>
                    </w:rPr>
                  </w:pPr>
                  <w:r w:rsidRPr="00005520">
                    <w:rPr>
                      <w:sz w:val="20"/>
                      <w:szCs w:val="20"/>
                      <w:lang w:val="fr-CA"/>
                    </w:rPr>
                    <w:t xml:space="preserve">Rejet de la requête du demandeur fondée sur le par. 24(1) de la </w:t>
                  </w:r>
                  <w:r w:rsidRPr="00005520">
                    <w:rPr>
                      <w:i/>
                      <w:sz w:val="20"/>
                      <w:szCs w:val="20"/>
                      <w:lang w:val="fr-CA"/>
                    </w:rPr>
                    <w:t>Charte</w:t>
                  </w:r>
                  <w:r w:rsidRPr="00005520">
                    <w:rPr>
                      <w:sz w:val="20"/>
                      <w:szCs w:val="20"/>
                      <w:lang w:val="fr-CA"/>
                    </w:rPr>
                    <w:t xml:space="preserve"> sollicitant ce qui suit : une ordonnance de </w:t>
                  </w:r>
                  <w:r w:rsidRPr="00005520">
                    <w:rPr>
                      <w:i/>
                      <w:iCs/>
                      <w:sz w:val="20"/>
                      <w:szCs w:val="20"/>
                      <w:lang w:val="fr-CA"/>
                    </w:rPr>
                    <w:t>certiorari</w:t>
                  </w:r>
                  <w:r w:rsidRPr="00005520">
                    <w:rPr>
                      <w:sz w:val="20"/>
                      <w:szCs w:val="20"/>
                      <w:lang w:val="fr-CA"/>
                    </w:rPr>
                    <w:t xml:space="preserve"> annulant les mandats de perquisition, une ordonnance de restitution provisoire et définitive de tous les biens saisis et une ordonnance de prohibition</w:t>
                  </w:r>
                </w:p>
                <w:p w:rsidR="00E033CB" w:rsidRPr="00005520" w:rsidRDefault="00E033CB" w:rsidP="00E033CB">
                  <w:pPr>
                    <w:jc w:val="both"/>
                    <w:rPr>
                      <w:sz w:val="20"/>
                      <w:szCs w:val="20"/>
                      <w:lang w:val="fr-CA"/>
                    </w:rPr>
                  </w:pPr>
                </w:p>
              </w:tc>
            </w:tr>
            <w:tr w:rsidR="00E033CB" w:rsidRPr="0096343C" w:rsidTr="0074616E">
              <w:tc>
                <w:tcPr>
                  <w:tcW w:w="2367" w:type="pct"/>
                </w:tcPr>
                <w:p w:rsidR="00E033CB" w:rsidRPr="00005520" w:rsidRDefault="00E033CB" w:rsidP="00E033CB">
                  <w:pPr>
                    <w:jc w:val="both"/>
                    <w:rPr>
                      <w:sz w:val="20"/>
                      <w:szCs w:val="20"/>
                      <w:lang w:val="fr-CA"/>
                    </w:rPr>
                  </w:pPr>
                  <w:r w:rsidRPr="00005520">
                    <w:rPr>
                      <w:sz w:val="20"/>
                      <w:szCs w:val="20"/>
                      <w:lang w:val="fr-CA"/>
                    </w:rPr>
                    <w:t>29 juin 2017</w:t>
                  </w:r>
                </w:p>
                <w:p w:rsidR="00E033CB" w:rsidRPr="00005520" w:rsidRDefault="00E033CB" w:rsidP="00E033CB">
                  <w:pPr>
                    <w:jc w:val="both"/>
                    <w:rPr>
                      <w:sz w:val="20"/>
                      <w:szCs w:val="20"/>
                      <w:lang w:val="fr-CA"/>
                    </w:rPr>
                  </w:pPr>
                  <w:r w:rsidRPr="00005520">
                    <w:rPr>
                      <w:sz w:val="20"/>
                      <w:szCs w:val="20"/>
                      <w:lang w:val="fr-CA"/>
                    </w:rPr>
                    <w:t>Cour d’appel du Manitoba</w:t>
                  </w:r>
                </w:p>
                <w:p w:rsidR="00E033CB" w:rsidRPr="00005520" w:rsidRDefault="00E033CB" w:rsidP="00E033CB">
                  <w:pPr>
                    <w:jc w:val="both"/>
                    <w:rPr>
                      <w:sz w:val="20"/>
                      <w:szCs w:val="20"/>
                      <w:lang w:val="fr-CA"/>
                    </w:rPr>
                  </w:pPr>
                  <w:r w:rsidRPr="00005520">
                    <w:rPr>
                      <w:sz w:val="20"/>
                      <w:szCs w:val="20"/>
                      <w:lang w:val="fr-CA"/>
                    </w:rPr>
                    <w:t>(Juges Monnin, Cameron et Burnett)</w:t>
                  </w:r>
                </w:p>
                <w:p w:rsidR="00E033CB" w:rsidRPr="00005520" w:rsidRDefault="00E033CB" w:rsidP="00E033CB">
                  <w:pPr>
                    <w:jc w:val="both"/>
                    <w:rPr>
                      <w:sz w:val="20"/>
                      <w:szCs w:val="20"/>
                    </w:rPr>
                  </w:pPr>
                  <w:r w:rsidRPr="00005520">
                    <w:rPr>
                      <w:sz w:val="20"/>
                      <w:szCs w:val="20"/>
                    </w:rPr>
                    <w:t>2017 MBCA 63; AR15-30-08456</w:t>
                  </w:r>
                </w:p>
                <w:p w:rsidR="00E033CB" w:rsidRPr="00005520" w:rsidRDefault="008D266B" w:rsidP="00E033CB">
                  <w:pPr>
                    <w:jc w:val="both"/>
                    <w:rPr>
                      <w:sz w:val="20"/>
                      <w:szCs w:val="20"/>
                    </w:rPr>
                  </w:pPr>
                  <w:hyperlink r:id="rId31" w:history="1">
                    <w:r w:rsidR="00E033CB" w:rsidRPr="00005520">
                      <w:rPr>
                        <w:rStyle w:val="Hyperlink"/>
                        <w:rFonts w:eastAsiaTheme="majorEastAsia"/>
                        <w:sz w:val="20"/>
                        <w:szCs w:val="20"/>
                      </w:rPr>
                      <w:t>http://canlii.ca/t/h4nc2</w:t>
                    </w:r>
                  </w:hyperlink>
                </w:p>
                <w:p w:rsidR="00E033CB" w:rsidRPr="00005520" w:rsidRDefault="00E033CB" w:rsidP="00E033CB">
                  <w:pPr>
                    <w:jc w:val="both"/>
                    <w:rPr>
                      <w:sz w:val="20"/>
                      <w:szCs w:val="20"/>
                    </w:rPr>
                  </w:pPr>
                </w:p>
              </w:tc>
              <w:tc>
                <w:tcPr>
                  <w:tcW w:w="267" w:type="pct"/>
                </w:tcPr>
                <w:p w:rsidR="00E033CB" w:rsidRPr="00005520" w:rsidRDefault="00E033CB" w:rsidP="00E033CB">
                  <w:pPr>
                    <w:jc w:val="both"/>
                    <w:rPr>
                      <w:sz w:val="20"/>
                      <w:szCs w:val="20"/>
                    </w:rPr>
                  </w:pPr>
                </w:p>
              </w:tc>
              <w:tc>
                <w:tcPr>
                  <w:tcW w:w="2366" w:type="pct"/>
                </w:tcPr>
                <w:p w:rsidR="00E033CB" w:rsidRPr="00005520" w:rsidRDefault="00E033CB" w:rsidP="00E033CB">
                  <w:pPr>
                    <w:jc w:val="both"/>
                    <w:rPr>
                      <w:sz w:val="20"/>
                      <w:szCs w:val="20"/>
                      <w:lang w:val="fr-CA"/>
                    </w:rPr>
                  </w:pPr>
                  <w:r w:rsidRPr="00005520">
                    <w:rPr>
                      <w:sz w:val="20"/>
                      <w:szCs w:val="20"/>
                      <w:lang w:val="fr-CA"/>
                    </w:rPr>
                    <w:t xml:space="preserve">Arrêt accueillant l’appel et statuant que les mandats de perquisition qui ont mené à la saisie de la correspondance entre le demandeur et son avocat violent l’art. 8 de la </w:t>
                  </w:r>
                  <w:r w:rsidRPr="00005520">
                    <w:rPr>
                      <w:i/>
                      <w:sz w:val="20"/>
                      <w:szCs w:val="20"/>
                      <w:lang w:val="fr-CA"/>
                    </w:rPr>
                    <w:t>Charte</w:t>
                  </w:r>
                  <w:r w:rsidRPr="00005520">
                    <w:rPr>
                      <w:sz w:val="20"/>
                      <w:szCs w:val="20"/>
                      <w:lang w:val="fr-CA"/>
                    </w:rPr>
                    <w:t xml:space="preserve"> et ordonnant que les documents demeurent sous scellés jusqu’à ce qu’il soit statué sur la question du secret professionnel de l’avocat </w:t>
                  </w:r>
                </w:p>
                <w:p w:rsidR="00E033CB" w:rsidRPr="00005520" w:rsidRDefault="00E033CB" w:rsidP="00E033CB">
                  <w:pPr>
                    <w:jc w:val="both"/>
                    <w:rPr>
                      <w:sz w:val="20"/>
                      <w:szCs w:val="20"/>
                      <w:lang w:val="fr-CA"/>
                    </w:rPr>
                  </w:pPr>
                </w:p>
              </w:tc>
            </w:tr>
            <w:tr w:rsidR="00E033CB" w:rsidRPr="0096343C" w:rsidTr="0074616E">
              <w:tc>
                <w:tcPr>
                  <w:tcW w:w="2367" w:type="pct"/>
                </w:tcPr>
                <w:p w:rsidR="00E033CB" w:rsidRPr="00005520" w:rsidRDefault="00E033CB" w:rsidP="00E033CB">
                  <w:pPr>
                    <w:jc w:val="both"/>
                    <w:rPr>
                      <w:sz w:val="20"/>
                      <w:szCs w:val="20"/>
                      <w:lang w:val="fr-CA"/>
                    </w:rPr>
                  </w:pPr>
                  <w:r w:rsidRPr="00005520">
                    <w:rPr>
                      <w:sz w:val="20"/>
                      <w:szCs w:val="20"/>
                      <w:lang w:val="fr-CA"/>
                    </w:rPr>
                    <w:t>17 août 2017</w:t>
                  </w:r>
                </w:p>
                <w:p w:rsidR="00E033CB" w:rsidRPr="00005520" w:rsidRDefault="00E033CB" w:rsidP="00E033CB">
                  <w:pPr>
                    <w:jc w:val="both"/>
                    <w:rPr>
                      <w:sz w:val="20"/>
                      <w:szCs w:val="20"/>
                      <w:lang w:val="fr-CA"/>
                    </w:rPr>
                  </w:pPr>
                  <w:r w:rsidRPr="00005520">
                    <w:rPr>
                      <w:sz w:val="20"/>
                      <w:szCs w:val="20"/>
                      <w:lang w:val="fr-CA"/>
                    </w:rPr>
                    <w:t>Cour suprême du Canada</w:t>
                  </w:r>
                </w:p>
              </w:tc>
              <w:tc>
                <w:tcPr>
                  <w:tcW w:w="267" w:type="pct"/>
                </w:tcPr>
                <w:p w:rsidR="00E033CB" w:rsidRPr="00005520" w:rsidRDefault="00E033CB" w:rsidP="00E033CB">
                  <w:pPr>
                    <w:jc w:val="both"/>
                    <w:rPr>
                      <w:sz w:val="20"/>
                      <w:szCs w:val="20"/>
                      <w:lang w:val="fr-CA"/>
                    </w:rPr>
                  </w:pPr>
                </w:p>
              </w:tc>
              <w:tc>
                <w:tcPr>
                  <w:tcW w:w="2366" w:type="pct"/>
                </w:tcPr>
                <w:p w:rsidR="00E033CB" w:rsidRPr="00005520" w:rsidRDefault="00E033CB" w:rsidP="00E033CB">
                  <w:pPr>
                    <w:jc w:val="both"/>
                    <w:rPr>
                      <w:sz w:val="20"/>
                      <w:szCs w:val="20"/>
                      <w:lang w:val="fr-CA"/>
                    </w:rPr>
                  </w:pPr>
                  <w:r w:rsidRPr="00005520">
                    <w:rPr>
                      <w:sz w:val="20"/>
                      <w:szCs w:val="20"/>
                      <w:lang w:val="fr-CA"/>
                    </w:rPr>
                    <w:t>Dépôt de la demande d’autorisation d’appel</w:t>
                  </w:r>
                </w:p>
                <w:p w:rsidR="00E033CB" w:rsidRPr="00005520" w:rsidRDefault="00E033CB" w:rsidP="00E033CB">
                  <w:pPr>
                    <w:jc w:val="both"/>
                    <w:rPr>
                      <w:sz w:val="20"/>
                      <w:szCs w:val="20"/>
                      <w:lang w:val="fr-CA"/>
                    </w:rPr>
                  </w:pPr>
                </w:p>
              </w:tc>
            </w:tr>
          </w:tbl>
          <w:p w:rsidR="00E033CB" w:rsidRPr="00005520" w:rsidRDefault="00E033CB" w:rsidP="00E033CB">
            <w:pPr>
              <w:jc w:val="both"/>
              <w:rPr>
                <w:sz w:val="20"/>
                <w:szCs w:val="20"/>
                <w:lang w:val="fr-CA"/>
              </w:rPr>
            </w:pPr>
          </w:p>
        </w:tc>
      </w:tr>
    </w:tbl>
    <w:p w:rsidR="00E033CB" w:rsidRPr="00005520" w:rsidRDefault="008D266B" w:rsidP="00E033CB">
      <w:pPr>
        <w:rPr>
          <w:sz w:val="20"/>
          <w:szCs w:val="20"/>
          <w:lang w:val="fr-CA"/>
        </w:rPr>
      </w:pPr>
      <w:r>
        <w:rPr>
          <w:sz w:val="20"/>
          <w:szCs w:val="20"/>
        </w:rPr>
        <w:pict>
          <v:rect id="_x0000_i1049" style="width:2in;height:1pt" o:hrpct="0" o:hralign="center" o:hrstd="t" o:hrnoshade="t" o:hr="t" fillcolor="black [3213]" stroked="f"/>
        </w:pict>
      </w:r>
    </w:p>
    <w:p w:rsidR="00E033CB" w:rsidRPr="00005520" w:rsidRDefault="00E033CB" w:rsidP="00E033CB">
      <w:pPr>
        <w:jc w:val="both"/>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033CB" w:rsidRPr="00005520" w:rsidTr="0074616E">
        <w:tc>
          <w:tcPr>
            <w:tcW w:w="543" w:type="pct"/>
          </w:tcPr>
          <w:p w:rsidR="00E033CB" w:rsidRPr="00005520" w:rsidRDefault="00E033CB" w:rsidP="0074616E">
            <w:pPr>
              <w:rPr>
                <w:sz w:val="20"/>
                <w:szCs w:val="20"/>
              </w:rPr>
            </w:pPr>
            <w:r w:rsidRPr="00005520">
              <w:rPr>
                <w:rStyle w:val="SCCFileNumberChar"/>
                <w:sz w:val="20"/>
                <w:szCs w:val="20"/>
              </w:rPr>
              <w:lastRenderedPageBreak/>
              <w:t>37730</w:t>
            </w:r>
          </w:p>
        </w:tc>
        <w:tc>
          <w:tcPr>
            <w:tcW w:w="4457" w:type="pct"/>
            <w:gridSpan w:val="3"/>
          </w:tcPr>
          <w:p w:rsidR="00E033CB" w:rsidRPr="00005520" w:rsidRDefault="00E033CB" w:rsidP="0074616E">
            <w:pPr>
              <w:pStyle w:val="SCCLsocParty"/>
              <w:jc w:val="both"/>
              <w:rPr>
                <w:b/>
                <w:sz w:val="20"/>
                <w:szCs w:val="20"/>
                <w:lang w:val="en-CA"/>
              </w:rPr>
            </w:pPr>
            <w:r w:rsidRPr="00005520">
              <w:rPr>
                <w:b/>
                <w:sz w:val="20"/>
                <w:szCs w:val="20"/>
                <w:lang w:val="en-CA"/>
              </w:rPr>
              <w:t>Réjean Kègle v. Stan O’Neil</w:t>
            </w:r>
          </w:p>
          <w:p w:rsidR="00E033CB" w:rsidRPr="00005520" w:rsidRDefault="00E033CB" w:rsidP="0074616E">
            <w:pPr>
              <w:rPr>
                <w:sz w:val="20"/>
                <w:szCs w:val="20"/>
              </w:rPr>
            </w:pPr>
            <w:r w:rsidRPr="00005520">
              <w:rPr>
                <w:sz w:val="20"/>
                <w:szCs w:val="20"/>
              </w:rPr>
              <w:t>(Que.) (Civil) (By Leave)</w:t>
            </w:r>
          </w:p>
        </w:tc>
      </w:tr>
      <w:tr w:rsidR="00047CBB" w:rsidRPr="00C5128B" w:rsidTr="0074616E">
        <w:tc>
          <w:tcPr>
            <w:tcW w:w="543" w:type="pct"/>
          </w:tcPr>
          <w:p w:rsidR="00047CBB" w:rsidRPr="00005520" w:rsidRDefault="00047CBB" w:rsidP="0074616E">
            <w:pPr>
              <w:rPr>
                <w:rStyle w:val="SCCFileNumberChar"/>
                <w:sz w:val="20"/>
                <w:szCs w:val="20"/>
              </w:rPr>
            </w:pPr>
            <w:r>
              <w:rPr>
                <w:rStyle w:val="SCCFileNumberChar"/>
                <w:sz w:val="20"/>
                <w:szCs w:val="20"/>
              </w:rPr>
              <w:t>Coram:</w:t>
            </w:r>
          </w:p>
        </w:tc>
        <w:tc>
          <w:tcPr>
            <w:tcW w:w="4457" w:type="pct"/>
            <w:gridSpan w:val="3"/>
          </w:tcPr>
          <w:p w:rsidR="007E781E" w:rsidRDefault="00C5128B" w:rsidP="00C5128B">
            <w:pPr>
              <w:pStyle w:val="SCCLsocParty"/>
              <w:jc w:val="both"/>
              <w:rPr>
                <w:sz w:val="20"/>
                <w:szCs w:val="20"/>
                <w:lang w:val="en-CA"/>
              </w:rPr>
            </w:pPr>
            <w:r w:rsidRPr="00173F16">
              <w:rPr>
                <w:sz w:val="20"/>
                <w:szCs w:val="20"/>
                <w:lang w:val="en-CA"/>
              </w:rPr>
              <w:t>McLachlin C.J. and Abella, Moldaver, Karakatsanis, Wagner, Gascon, Côté, Brown and Rowe JJ.</w:t>
            </w:r>
          </w:p>
          <w:p w:rsidR="00C5128B" w:rsidRPr="00C5128B" w:rsidRDefault="00C5128B" w:rsidP="00C5128B">
            <w:pPr>
              <w:rPr>
                <w:lang w:val="en-US"/>
              </w:rPr>
            </w:pPr>
          </w:p>
        </w:tc>
      </w:tr>
      <w:tr w:rsidR="00047CBB" w:rsidRPr="00C5128B" w:rsidTr="00047CBB">
        <w:tc>
          <w:tcPr>
            <w:tcW w:w="5000" w:type="pct"/>
            <w:gridSpan w:val="4"/>
          </w:tcPr>
          <w:p w:rsidR="007E781E" w:rsidRDefault="00C5128B" w:rsidP="00C5128B">
            <w:pPr>
              <w:pStyle w:val="SCCLsocParty"/>
              <w:tabs>
                <w:tab w:val="left" w:pos="1896"/>
              </w:tabs>
              <w:jc w:val="both"/>
              <w:rPr>
                <w:sz w:val="20"/>
                <w:szCs w:val="20"/>
                <w:lang w:val="en-CA"/>
              </w:rPr>
            </w:pPr>
            <w:r w:rsidRPr="00173F16">
              <w:rPr>
                <w:sz w:val="20"/>
                <w:szCs w:val="20"/>
                <w:lang w:val="en-CA"/>
              </w:rPr>
              <w:t>The application for leave to appeal from the judgment of the Court of Appeal of Quebec (Québec), Number 200-09-009492-171, 2017 QCCA 941, dated June 2, 2017, is dismissed without costs.</w:t>
            </w:r>
          </w:p>
          <w:p w:rsidR="00C5128B" w:rsidRPr="00C5128B" w:rsidRDefault="00C5128B" w:rsidP="00C5128B">
            <w:pPr>
              <w:rPr>
                <w:lang w:val="en-US"/>
              </w:rPr>
            </w:pPr>
          </w:p>
        </w:tc>
      </w:tr>
      <w:tr w:rsidR="00E033CB" w:rsidRPr="00005520" w:rsidTr="0074616E">
        <w:tc>
          <w:tcPr>
            <w:tcW w:w="5000" w:type="pct"/>
            <w:gridSpan w:val="4"/>
          </w:tcPr>
          <w:p w:rsidR="00E033CB" w:rsidRPr="00005520" w:rsidRDefault="00E033CB" w:rsidP="00E033CB">
            <w:pPr>
              <w:jc w:val="both"/>
              <w:rPr>
                <w:sz w:val="20"/>
                <w:szCs w:val="20"/>
              </w:rPr>
            </w:pPr>
            <w:r w:rsidRPr="00005520">
              <w:rPr>
                <w:sz w:val="20"/>
                <w:szCs w:val="20"/>
              </w:rPr>
              <w:t>Civil procedure – Appeals – Decision dismissing motion for leave to appeal from judgment allowing application to dismiss action for damages – Whether Quebec Court of Appeal was correct in dismissing motion for leave to appeal.</w:t>
            </w:r>
          </w:p>
        </w:tc>
      </w:tr>
      <w:tr w:rsidR="00E033CB" w:rsidRPr="00005520" w:rsidTr="0074616E">
        <w:tc>
          <w:tcPr>
            <w:tcW w:w="5000" w:type="pct"/>
            <w:gridSpan w:val="4"/>
          </w:tcPr>
          <w:p w:rsidR="00E033CB" w:rsidRPr="00005520" w:rsidRDefault="00E033CB" w:rsidP="00E033CB">
            <w:pPr>
              <w:jc w:val="both"/>
              <w:rPr>
                <w:sz w:val="20"/>
                <w:szCs w:val="20"/>
              </w:rPr>
            </w:pPr>
          </w:p>
        </w:tc>
      </w:tr>
      <w:tr w:rsidR="00E033CB" w:rsidRPr="00005520" w:rsidTr="0074616E">
        <w:tc>
          <w:tcPr>
            <w:tcW w:w="5000" w:type="pct"/>
            <w:gridSpan w:val="4"/>
          </w:tcPr>
          <w:p w:rsidR="00E033CB" w:rsidRPr="00005520" w:rsidRDefault="00E033CB" w:rsidP="00E033CB">
            <w:pPr>
              <w:jc w:val="both"/>
              <w:rPr>
                <w:sz w:val="20"/>
                <w:szCs w:val="20"/>
              </w:rPr>
            </w:pPr>
            <w:r w:rsidRPr="00005520">
              <w:rPr>
                <w:sz w:val="20"/>
                <w:szCs w:val="20"/>
              </w:rPr>
              <w:t xml:space="preserve">In 2013, Réjean Kègle was charged with doing an indecent act in a public place so as to be seen by another person. The trial minutes showed that the prosecution requested the withdrawal of the statement of offence. Mr. Kègle felt that he had been discredited as a result of the events in 2013, so he brought an action in defamation claiming $1,000,000. </w:t>
            </w:r>
          </w:p>
          <w:p w:rsidR="00E033CB" w:rsidRPr="00005520" w:rsidRDefault="00E033CB" w:rsidP="00E033CB">
            <w:pPr>
              <w:jc w:val="both"/>
              <w:rPr>
                <w:sz w:val="20"/>
                <w:szCs w:val="20"/>
              </w:rPr>
            </w:pPr>
          </w:p>
        </w:tc>
      </w:tr>
      <w:tr w:rsidR="00E033CB" w:rsidRPr="00005520" w:rsidTr="0074616E">
        <w:tc>
          <w:tcPr>
            <w:tcW w:w="2427" w:type="pct"/>
            <w:gridSpan w:val="2"/>
          </w:tcPr>
          <w:p w:rsidR="00E033CB" w:rsidRPr="00005520" w:rsidRDefault="00E033CB" w:rsidP="00E033CB">
            <w:pPr>
              <w:jc w:val="both"/>
              <w:rPr>
                <w:sz w:val="20"/>
                <w:szCs w:val="20"/>
              </w:rPr>
            </w:pPr>
            <w:r w:rsidRPr="00005520">
              <w:rPr>
                <w:sz w:val="20"/>
                <w:szCs w:val="20"/>
              </w:rPr>
              <w:t>March 13, 2017</w:t>
            </w:r>
          </w:p>
          <w:p w:rsidR="00E033CB" w:rsidRPr="00005520" w:rsidRDefault="00E033CB" w:rsidP="00E033CB">
            <w:pPr>
              <w:jc w:val="both"/>
              <w:rPr>
                <w:sz w:val="20"/>
                <w:szCs w:val="20"/>
              </w:rPr>
            </w:pPr>
            <w:r w:rsidRPr="00005520">
              <w:rPr>
                <w:sz w:val="20"/>
                <w:szCs w:val="20"/>
              </w:rPr>
              <w:t>Quebec Superior Court</w:t>
            </w:r>
          </w:p>
          <w:p w:rsidR="00E033CB" w:rsidRPr="00005520" w:rsidRDefault="00E033CB" w:rsidP="00E033CB">
            <w:pPr>
              <w:jc w:val="both"/>
              <w:rPr>
                <w:sz w:val="20"/>
                <w:szCs w:val="20"/>
              </w:rPr>
            </w:pPr>
            <w:r w:rsidRPr="00005520">
              <w:rPr>
                <w:sz w:val="20"/>
                <w:szCs w:val="20"/>
              </w:rPr>
              <w:t>(Bergeron J.)</w:t>
            </w:r>
          </w:p>
          <w:p w:rsidR="00E033CB" w:rsidRPr="00005520" w:rsidRDefault="00E033CB" w:rsidP="00E033CB">
            <w:pPr>
              <w:jc w:val="both"/>
              <w:rPr>
                <w:sz w:val="20"/>
                <w:szCs w:val="20"/>
              </w:rPr>
            </w:pPr>
          </w:p>
        </w:tc>
        <w:tc>
          <w:tcPr>
            <w:tcW w:w="243" w:type="pct"/>
          </w:tcPr>
          <w:p w:rsidR="00E033CB" w:rsidRPr="00005520" w:rsidRDefault="00E033CB" w:rsidP="00E033CB">
            <w:pPr>
              <w:jc w:val="both"/>
              <w:rPr>
                <w:sz w:val="20"/>
                <w:szCs w:val="20"/>
              </w:rPr>
            </w:pPr>
          </w:p>
        </w:tc>
        <w:tc>
          <w:tcPr>
            <w:tcW w:w="2330" w:type="pct"/>
          </w:tcPr>
          <w:p w:rsidR="00E033CB" w:rsidRPr="00005520" w:rsidRDefault="00E033CB" w:rsidP="00E033CB">
            <w:pPr>
              <w:jc w:val="both"/>
              <w:rPr>
                <w:sz w:val="20"/>
                <w:szCs w:val="20"/>
              </w:rPr>
            </w:pPr>
            <w:r w:rsidRPr="00005520">
              <w:rPr>
                <w:sz w:val="20"/>
                <w:szCs w:val="20"/>
              </w:rPr>
              <w:t>Application to dismiss action for damages allowed</w:t>
            </w:r>
          </w:p>
          <w:p w:rsidR="00E033CB" w:rsidRPr="00005520" w:rsidRDefault="00E033CB" w:rsidP="00E033CB">
            <w:pPr>
              <w:jc w:val="both"/>
              <w:rPr>
                <w:sz w:val="20"/>
                <w:szCs w:val="20"/>
              </w:rPr>
            </w:pPr>
          </w:p>
        </w:tc>
      </w:tr>
      <w:tr w:rsidR="00E033CB" w:rsidRPr="00005520" w:rsidTr="0074616E">
        <w:tc>
          <w:tcPr>
            <w:tcW w:w="2427" w:type="pct"/>
            <w:gridSpan w:val="2"/>
          </w:tcPr>
          <w:p w:rsidR="00E033CB" w:rsidRPr="00005520" w:rsidRDefault="00E033CB" w:rsidP="00E033CB">
            <w:pPr>
              <w:jc w:val="both"/>
              <w:rPr>
                <w:sz w:val="20"/>
                <w:szCs w:val="20"/>
              </w:rPr>
            </w:pPr>
            <w:r w:rsidRPr="00005520">
              <w:rPr>
                <w:sz w:val="20"/>
                <w:szCs w:val="20"/>
              </w:rPr>
              <w:t>June 2, 2017</w:t>
            </w:r>
          </w:p>
          <w:p w:rsidR="00E033CB" w:rsidRPr="00005520" w:rsidRDefault="00E033CB" w:rsidP="00E033CB">
            <w:pPr>
              <w:jc w:val="both"/>
              <w:rPr>
                <w:sz w:val="20"/>
                <w:szCs w:val="20"/>
              </w:rPr>
            </w:pPr>
            <w:r w:rsidRPr="00005520">
              <w:rPr>
                <w:sz w:val="20"/>
                <w:szCs w:val="20"/>
              </w:rPr>
              <w:t>Quebec Court of Appeal (Québec)</w:t>
            </w:r>
          </w:p>
          <w:p w:rsidR="00E033CB" w:rsidRPr="00005520" w:rsidRDefault="00E033CB" w:rsidP="00E033CB">
            <w:pPr>
              <w:jc w:val="both"/>
              <w:rPr>
                <w:sz w:val="20"/>
                <w:szCs w:val="20"/>
              </w:rPr>
            </w:pPr>
            <w:r w:rsidRPr="00005520">
              <w:rPr>
                <w:sz w:val="20"/>
                <w:szCs w:val="20"/>
              </w:rPr>
              <w:t>(Bouchard J.A.)</w:t>
            </w:r>
          </w:p>
          <w:p w:rsidR="00E033CB" w:rsidRPr="00005520" w:rsidRDefault="00E033CB" w:rsidP="00E033CB">
            <w:pPr>
              <w:jc w:val="both"/>
              <w:rPr>
                <w:sz w:val="20"/>
                <w:szCs w:val="20"/>
              </w:rPr>
            </w:pPr>
          </w:p>
        </w:tc>
        <w:tc>
          <w:tcPr>
            <w:tcW w:w="243" w:type="pct"/>
          </w:tcPr>
          <w:p w:rsidR="00E033CB" w:rsidRPr="00005520" w:rsidRDefault="00E033CB" w:rsidP="00E033CB">
            <w:pPr>
              <w:jc w:val="both"/>
              <w:rPr>
                <w:sz w:val="20"/>
                <w:szCs w:val="20"/>
              </w:rPr>
            </w:pPr>
          </w:p>
        </w:tc>
        <w:tc>
          <w:tcPr>
            <w:tcW w:w="2330" w:type="pct"/>
          </w:tcPr>
          <w:p w:rsidR="00E033CB" w:rsidRPr="00005520" w:rsidRDefault="00E033CB" w:rsidP="00E033CB">
            <w:pPr>
              <w:jc w:val="both"/>
              <w:rPr>
                <w:sz w:val="20"/>
                <w:szCs w:val="20"/>
              </w:rPr>
            </w:pPr>
            <w:r w:rsidRPr="00005520">
              <w:rPr>
                <w:sz w:val="20"/>
                <w:szCs w:val="20"/>
              </w:rPr>
              <w:t>Motion for leave to appeal dismissed</w:t>
            </w:r>
          </w:p>
          <w:p w:rsidR="00E033CB" w:rsidRPr="00005520" w:rsidRDefault="00E033CB" w:rsidP="00E033CB">
            <w:pPr>
              <w:jc w:val="both"/>
              <w:rPr>
                <w:sz w:val="20"/>
                <w:szCs w:val="20"/>
              </w:rPr>
            </w:pPr>
          </w:p>
        </w:tc>
      </w:tr>
      <w:tr w:rsidR="00E033CB" w:rsidRPr="00005520" w:rsidTr="0074616E">
        <w:tc>
          <w:tcPr>
            <w:tcW w:w="2427" w:type="pct"/>
            <w:gridSpan w:val="2"/>
          </w:tcPr>
          <w:p w:rsidR="00E033CB" w:rsidRPr="00005520" w:rsidRDefault="00E033CB" w:rsidP="00E033CB">
            <w:pPr>
              <w:jc w:val="both"/>
              <w:rPr>
                <w:sz w:val="20"/>
                <w:szCs w:val="20"/>
              </w:rPr>
            </w:pPr>
            <w:r w:rsidRPr="00005520">
              <w:rPr>
                <w:sz w:val="20"/>
                <w:szCs w:val="20"/>
              </w:rPr>
              <w:t>August 17, 2017</w:t>
            </w:r>
          </w:p>
          <w:p w:rsidR="00E033CB" w:rsidRPr="00005520" w:rsidRDefault="00E033CB" w:rsidP="00E033CB">
            <w:pPr>
              <w:jc w:val="both"/>
              <w:rPr>
                <w:sz w:val="20"/>
                <w:szCs w:val="20"/>
              </w:rPr>
            </w:pPr>
            <w:r w:rsidRPr="00005520">
              <w:rPr>
                <w:sz w:val="20"/>
                <w:szCs w:val="20"/>
              </w:rPr>
              <w:t>Supreme Court of Canada</w:t>
            </w:r>
          </w:p>
        </w:tc>
        <w:tc>
          <w:tcPr>
            <w:tcW w:w="243" w:type="pct"/>
          </w:tcPr>
          <w:p w:rsidR="00E033CB" w:rsidRPr="00005520" w:rsidRDefault="00E033CB" w:rsidP="00E033CB">
            <w:pPr>
              <w:jc w:val="both"/>
              <w:rPr>
                <w:sz w:val="20"/>
                <w:szCs w:val="20"/>
              </w:rPr>
            </w:pPr>
          </w:p>
        </w:tc>
        <w:tc>
          <w:tcPr>
            <w:tcW w:w="2330" w:type="pct"/>
          </w:tcPr>
          <w:p w:rsidR="00E033CB" w:rsidRPr="00005520" w:rsidRDefault="00E033CB" w:rsidP="00E033CB">
            <w:pPr>
              <w:jc w:val="both"/>
              <w:rPr>
                <w:sz w:val="20"/>
                <w:szCs w:val="20"/>
              </w:rPr>
            </w:pPr>
            <w:r w:rsidRPr="00005520">
              <w:rPr>
                <w:sz w:val="20"/>
                <w:szCs w:val="20"/>
              </w:rPr>
              <w:t>Application for leave to appeal filed</w:t>
            </w:r>
          </w:p>
          <w:p w:rsidR="00E033CB" w:rsidRPr="00005520" w:rsidRDefault="00E033CB" w:rsidP="00E033CB">
            <w:pPr>
              <w:jc w:val="both"/>
              <w:rPr>
                <w:sz w:val="20"/>
                <w:szCs w:val="20"/>
              </w:rPr>
            </w:pPr>
          </w:p>
        </w:tc>
      </w:tr>
    </w:tbl>
    <w:p w:rsidR="00E033CB" w:rsidRPr="00005520" w:rsidRDefault="00E033CB" w:rsidP="00E033CB">
      <w:pPr>
        <w:rPr>
          <w:sz w:val="20"/>
          <w:szCs w:val="20"/>
        </w:rPr>
      </w:pPr>
    </w:p>
    <w:p w:rsidR="00E033CB" w:rsidRPr="00005520" w:rsidRDefault="00E033CB" w:rsidP="00E033CB">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033CB" w:rsidRPr="0096343C" w:rsidTr="0074616E">
        <w:tc>
          <w:tcPr>
            <w:tcW w:w="543" w:type="pct"/>
          </w:tcPr>
          <w:p w:rsidR="00E033CB" w:rsidRPr="00005520" w:rsidRDefault="00E033CB" w:rsidP="0074616E">
            <w:pPr>
              <w:rPr>
                <w:sz w:val="20"/>
                <w:szCs w:val="20"/>
              </w:rPr>
            </w:pPr>
            <w:r w:rsidRPr="00005520">
              <w:rPr>
                <w:rStyle w:val="SCCFileNumberChar"/>
                <w:sz w:val="20"/>
                <w:szCs w:val="20"/>
              </w:rPr>
              <w:t>37730</w:t>
            </w:r>
          </w:p>
        </w:tc>
        <w:tc>
          <w:tcPr>
            <w:tcW w:w="4457" w:type="pct"/>
            <w:gridSpan w:val="3"/>
          </w:tcPr>
          <w:p w:rsidR="00E033CB" w:rsidRPr="00005520" w:rsidRDefault="00E033CB" w:rsidP="0074616E">
            <w:pPr>
              <w:pStyle w:val="SCCLsocParty"/>
              <w:jc w:val="both"/>
              <w:rPr>
                <w:b/>
                <w:sz w:val="20"/>
                <w:szCs w:val="20"/>
              </w:rPr>
            </w:pPr>
            <w:r w:rsidRPr="00005520">
              <w:rPr>
                <w:b/>
                <w:sz w:val="20"/>
                <w:szCs w:val="20"/>
              </w:rPr>
              <w:t>Réjean Kègle c. Stan O’Neil</w:t>
            </w:r>
          </w:p>
          <w:p w:rsidR="00E033CB" w:rsidRPr="00005520" w:rsidRDefault="00E033CB" w:rsidP="0074616E">
            <w:pPr>
              <w:rPr>
                <w:sz w:val="20"/>
                <w:szCs w:val="20"/>
                <w:lang w:val="fr-CA"/>
              </w:rPr>
            </w:pPr>
            <w:r w:rsidRPr="00005520">
              <w:rPr>
                <w:sz w:val="20"/>
                <w:szCs w:val="20"/>
                <w:lang w:val="fr-CA"/>
              </w:rPr>
              <w:t>(Qc) (Civile) (Autorisation)</w:t>
            </w:r>
          </w:p>
        </w:tc>
      </w:tr>
      <w:tr w:rsidR="00047CBB" w:rsidRPr="0096343C" w:rsidTr="0074616E">
        <w:tc>
          <w:tcPr>
            <w:tcW w:w="543" w:type="pct"/>
          </w:tcPr>
          <w:p w:rsidR="00047CBB" w:rsidRPr="00005520" w:rsidRDefault="00047CBB" w:rsidP="0074616E">
            <w:pPr>
              <w:rPr>
                <w:rStyle w:val="SCCFileNumberChar"/>
                <w:sz w:val="20"/>
                <w:szCs w:val="20"/>
              </w:rPr>
            </w:pPr>
            <w:r>
              <w:rPr>
                <w:rStyle w:val="SCCFileNumberChar"/>
                <w:sz w:val="20"/>
                <w:szCs w:val="20"/>
              </w:rPr>
              <w:t>Coram:</w:t>
            </w:r>
          </w:p>
        </w:tc>
        <w:tc>
          <w:tcPr>
            <w:tcW w:w="4457" w:type="pct"/>
            <w:gridSpan w:val="3"/>
          </w:tcPr>
          <w:p w:rsidR="00C5128B" w:rsidRDefault="00C5128B" w:rsidP="00C5128B">
            <w:pPr>
              <w:pStyle w:val="SCCLsocParty"/>
              <w:jc w:val="both"/>
              <w:rPr>
                <w:sz w:val="20"/>
                <w:szCs w:val="20"/>
              </w:rPr>
            </w:pPr>
            <w:r w:rsidRPr="00173F16">
              <w:rPr>
                <w:sz w:val="20"/>
                <w:szCs w:val="20"/>
              </w:rPr>
              <w:t>La juge en chef McLachlin et les juges Abella, Moldaver, Karakatsanis, Wagner, Gascon, Côté, Brown et Rowe</w:t>
            </w:r>
          </w:p>
          <w:p w:rsidR="00047CBB" w:rsidRPr="00005520" w:rsidRDefault="00047CBB" w:rsidP="0074616E">
            <w:pPr>
              <w:pStyle w:val="SCCLsocParty"/>
              <w:jc w:val="both"/>
              <w:rPr>
                <w:b/>
                <w:sz w:val="20"/>
                <w:szCs w:val="20"/>
              </w:rPr>
            </w:pPr>
          </w:p>
        </w:tc>
      </w:tr>
      <w:tr w:rsidR="00047CBB" w:rsidRPr="0096343C" w:rsidTr="00047CBB">
        <w:tc>
          <w:tcPr>
            <w:tcW w:w="5000" w:type="pct"/>
            <w:gridSpan w:val="4"/>
          </w:tcPr>
          <w:p w:rsidR="00C5128B" w:rsidRDefault="00C5128B" w:rsidP="00C5128B">
            <w:pPr>
              <w:pStyle w:val="SCCLsocParty"/>
              <w:jc w:val="both"/>
              <w:rPr>
                <w:sz w:val="20"/>
                <w:szCs w:val="20"/>
              </w:rPr>
            </w:pPr>
            <w:r w:rsidRPr="00173F16">
              <w:rPr>
                <w:sz w:val="20"/>
                <w:szCs w:val="20"/>
              </w:rPr>
              <w:t>La demande d’autorisation d’appel de l’arrêt de la Cour d’appel du Québec (Québec), numéro 200-09-009492-171, 2017 QCCA 941, daté du 2 juin 2017, est rejetée sans dépens.</w:t>
            </w:r>
          </w:p>
          <w:p w:rsidR="00047CBB" w:rsidRPr="00005520" w:rsidRDefault="00047CBB" w:rsidP="0074616E">
            <w:pPr>
              <w:pStyle w:val="SCCLsocParty"/>
              <w:jc w:val="both"/>
              <w:rPr>
                <w:b/>
                <w:sz w:val="20"/>
                <w:szCs w:val="20"/>
              </w:rPr>
            </w:pPr>
          </w:p>
        </w:tc>
      </w:tr>
      <w:tr w:rsidR="00E033CB" w:rsidRPr="0096343C" w:rsidTr="0074616E">
        <w:tc>
          <w:tcPr>
            <w:tcW w:w="5000" w:type="pct"/>
            <w:gridSpan w:val="4"/>
          </w:tcPr>
          <w:p w:rsidR="00E033CB" w:rsidRPr="00005520" w:rsidRDefault="00E033CB" w:rsidP="00E033CB">
            <w:pPr>
              <w:jc w:val="both"/>
              <w:rPr>
                <w:sz w:val="20"/>
                <w:szCs w:val="20"/>
                <w:lang w:val="fr-CA"/>
              </w:rPr>
            </w:pPr>
            <w:r w:rsidRPr="00005520">
              <w:rPr>
                <w:sz w:val="20"/>
                <w:szCs w:val="20"/>
                <w:lang w:val="fr-CA"/>
              </w:rPr>
              <w:t>Procédure civile – Appels – Décision rejetant une requête pour permission d’en appeler d’une demande de rejet d’une poursuite en dommages et intérêts – La Cour d’appel du Québec a-t-elle eu raison de rejeter la requête pour permission d’appel?</w:t>
            </w:r>
          </w:p>
        </w:tc>
      </w:tr>
      <w:tr w:rsidR="00E033CB" w:rsidRPr="0096343C" w:rsidTr="0074616E">
        <w:tc>
          <w:tcPr>
            <w:tcW w:w="5000" w:type="pct"/>
            <w:gridSpan w:val="4"/>
          </w:tcPr>
          <w:p w:rsidR="00E033CB" w:rsidRPr="00005520" w:rsidRDefault="00E033CB" w:rsidP="00E033CB">
            <w:pPr>
              <w:jc w:val="both"/>
              <w:rPr>
                <w:sz w:val="20"/>
                <w:szCs w:val="20"/>
                <w:lang w:val="fr-CA"/>
              </w:rPr>
            </w:pPr>
          </w:p>
        </w:tc>
      </w:tr>
      <w:tr w:rsidR="00E033CB" w:rsidRPr="0096343C" w:rsidTr="0074616E">
        <w:tc>
          <w:tcPr>
            <w:tcW w:w="5000" w:type="pct"/>
            <w:gridSpan w:val="4"/>
          </w:tcPr>
          <w:p w:rsidR="00E033CB" w:rsidRPr="00005520" w:rsidRDefault="00E033CB" w:rsidP="00E033CB">
            <w:pPr>
              <w:jc w:val="both"/>
              <w:rPr>
                <w:sz w:val="20"/>
                <w:szCs w:val="20"/>
                <w:lang w:val="fr-CA"/>
              </w:rPr>
            </w:pPr>
            <w:r w:rsidRPr="00005520">
              <w:rPr>
                <w:sz w:val="20"/>
                <w:szCs w:val="20"/>
                <w:lang w:val="fr-CA"/>
              </w:rPr>
              <w:t>En 2013, Réjean Kègle est accusé d’avoir commis une action indécente dans un endroit public de manière à être vue d’une autre personne. Le procès-verbal d’instruction montre que la poursuite a demandé le retrait du constat d’infraction. Monsieur Kègle estime avoir été discrédité à la suite des évènements de 2013. Il initie donc une poursuite en diffamation selon laquelle il réclame 1 000 000 $.</w:t>
            </w:r>
          </w:p>
          <w:p w:rsidR="00E033CB" w:rsidRPr="00005520" w:rsidRDefault="00E033CB" w:rsidP="00E033CB">
            <w:pPr>
              <w:jc w:val="both"/>
              <w:rPr>
                <w:sz w:val="20"/>
                <w:szCs w:val="20"/>
                <w:lang w:val="fr-CA"/>
              </w:rPr>
            </w:pPr>
          </w:p>
        </w:tc>
      </w:tr>
      <w:tr w:rsidR="00E033CB" w:rsidRPr="0096343C" w:rsidTr="0074616E">
        <w:tc>
          <w:tcPr>
            <w:tcW w:w="2427" w:type="pct"/>
            <w:gridSpan w:val="2"/>
          </w:tcPr>
          <w:p w:rsidR="00E033CB" w:rsidRPr="00005520" w:rsidRDefault="00E033CB" w:rsidP="00E033CB">
            <w:pPr>
              <w:jc w:val="both"/>
              <w:rPr>
                <w:sz w:val="20"/>
                <w:szCs w:val="20"/>
                <w:lang w:val="fr-CA"/>
              </w:rPr>
            </w:pPr>
            <w:r w:rsidRPr="00005520">
              <w:rPr>
                <w:sz w:val="20"/>
                <w:szCs w:val="20"/>
                <w:lang w:val="fr-CA"/>
              </w:rPr>
              <w:t>Le 13 mars 2017</w:t>
            </w:r>
          </w:p>
          <w:p w:rsidR="00E033CB" w:rsidRPr="00005520" w:rsidRDefault="00E033CB" w:rsidP="00E033CB">
            <w:pPr>
              <w:jc w:val="both"/>
              <w:rPr>
                <w:sz w:val="20"/>
                <w:szCs w:val="20"/>
                <w:lang w:val="fr-CA"/>
              </w:rPr>
            </w:pPr>
            <w:r w:rsidRPr="00005520">
              <w:rPr>
                <w:sz w:val="20"/>
                <w:szCs w:val="20"/>
                <w:lang w:val="fr-CA"/>
              </w:rPr>
              <w:t>Cour supérieure du Québec</w:t>
            </w:r>
          </w:p>
          <w:p w:rsidR="00E033CB" w:rsidRPr="00005520" w:rsidRDefault="00E033CB" w:rsidP="00E033CB">
            <w:pPr>
              <w:jc w:val="both"/>
              <w:rPr>
                <w:sz w:val="20"/>
                <w:szCs w:val="20"/>
              </w:rPr>
            </w:pPr>
            <w:r w:rsidRPr="00005520">
              <w:rPr>
                <w:sz w:val="20"/>
                <w:szCs w:val="20"/>
              </w:rPr>
              <w:t>(La juge Bergeron)</w:t>
            </w:r>
          </w:p>
          <w:p w:rsidR="00E033CB" w:rsidRPr="00005520" w:rsidRDefault="00E033CB" w:rsidP="00E033CB">
            <w:pPr>
              <w:jc w:val="both"/>
              <w:rPr>
                <w:sz w:val="20"/>
                <w:szCs w:val="20"/>
              </w:rPr>
            </w:pPr>
          </w:p>
        </w:tc>
        <w:tc>
          <w:tcPr>
            <w:tcW w:w="243" w:type="pct"/>
          </w:tcPr>
          <w:p w:rsidR="00E033CB" w:rsidRPr="00005520" w:rsidRDefault="00E033CB" w:rsidP="00E033CB">
            <w:pPr>
              <w:jc w:val="both"/>
              <w:rPr>
                <w:sz w:val="20"/>
                <w:szCs w:val="20"/>
              </w:rPr>
            </w:pPr>
          </w:p>
        </w:tc>
        <w:tc>
          <w:tcPr>
            <w:tcW w:w="2330" w:type="pct"/>
          </w:tcPr>
          <w:p w:rsidR="00E033CB" w:rsidRPr="00005520" w:rsidRDefault="00E033CB" w:rsidP="00E033CB">
            <w:pPr>
              <w:jc w:val="both"/>
              <w:rPr>
                <w:sz w:val="20"/>
                <w:szCs w:val="20"/>
                <w:lang w:val="fr-CA"/>
              </w:rPr>
            </w:pPr>
            <w:r w:rsidRPr="00005520">
              <w:rPr>
                <w:sz w:val="20"/>
                <w:szCs w:val="20"/>
                <w:lang w:val="fr-CA"/>
              </w:rPr>
              <w:t>Demande de rejet d’une poursuite en dommages et intérêts accueillie</w:t>
            </w:r>
          </w:p>
          <w:p w:rsidR="00E033CB" w:rsidRPr="00005520" w:rsidRDefault="00E033CB" w:rsidP="00E033CB">
            <w:pPr>
              <w:jc w:val="both"/>
              <w:rPr>
                <w:sz w:val="20"/>
                <w:szCs w:val="20"/>
                <w:lang w:val="fr-CA"/>
              </w:rPr>
            </w:pPr>
          </w:p>
        </w:tc>
      </w:tr>
      <w:tr w:rsidR="00E033CB" w:rsidRPr="00005520" w:rsidTr="0074616E">
        <w:tc>
          <w:tcPr>
            <w:tcW w:w="2427" w:type="pct"/>
            <w:gridSpan w:val="2"/>
          </w:tcPr>
          <w:p w:rsidR="00E033CB" w:rsidRPr="00005520" w:rsidRDefault="00E033CB" w:rsidP="00E033CB">
            <w:pPr>
              <w:jc w:val="both"/>
              <w:rPr>
                <w:sz w:val="20"/>
                <w:szCs w:val="20"/>
                <w:lang w:val="fr-CA"/>
              </w:rPr>
            </w:pPr>
            <w:r w:rsidRPr="00005520">
              <w:rPr>
                <w:sz w:val="20"/>
                <w:szCs w:val="20"/>
                <w:lang w:val="fr-CA"/>
              </w:rPr>
              <w:lastRenderedPageBreak/>
              <w:t>Le 2 juin 2017</w:t>
            </w:r>
          </w:p>
          <w:p w:rsidR="00E033CB" w:rsidRPr="00005520" w:rsidRDefault="00E033CB" w:rsidP="00E033CB">
            <w:pPr>
              <w:jc w:val="both"/>
              <w:rPr>
                <w:sz w:val="20"/>
                <w:szCs w:val="20"/>
                <w:lang w:val="fr-CA"/>
              </w:rPr>
            </w:pPr>
            <w:r w:rsidRPr="00005520">
              <w:rPr>
                <w:sz w:val="20"/>
                <w:szCs w:val="20"/>
                <w:lang w:val="fr-CA"/>
              </w:rPr>
              <w:t>Cour d’appel du Québec (Québec)</w:t>
            </w:r>
          </w:p>
          <w:p w:rsidR="00E033CB" w:rsidRPr="00005520" w:rsidRDefault="00E033CB" w:rsidP="00E033CB">
            <w:pPr>
              <w:jc w:val="both"/>
              <w:rPr>
                <w:sz w:val="20"/>
                <w:szCs w:val="20"/>
              </w:rPr>
            </w:pPr>
            <w:r w:rsidRPr="00005520">
              <w:rPr>
                <w:sz w:val="20"/>
                <w:szCs w:val="20"/>
              </w:rPr>
              <w:t>(Le juge Bouchard)</w:t>
            </w:r>
          </w:p>
          <w:p w:rsidR="00E033CB" w:rsidRPr="00005520" w:rsidRDefault="00E033CB" w:rsidP="00E033CB">
            <w:pPr>
              <w:jc w:val="both"/>
              <w:rPr>
                <w:sz w:val="20"/>
                <w:szCs w:val="20"/>
              </w:rPr>
            </w:pPr>
          </w:p>
        </w:tc>
        <w:tc>
          <w:tcPr>
            <w:tcW w:w="243" w:type="pct"/>
          </w:tcPr>
          <w:p w:rsidR="00E033CB" w:rsidRPr="00005520" w:rsidRDefault="00E033CB" w:rsidP="00E033CB">
            <w:pPr>
              <w:jc w:val="both"/>
              <w:rPr>
                <w:sz w:val="20"/>
                <w:szCs w:val="20"/>
              </w:rPr>
            </w:pPr>
          </w:p>
        </w:tc>
        <w:tc>
          <w:tcPr>
            <w:tcW w:w="2330" w:type="pct"/>
          </w:tcPr>
          <w:p w:rsidR="00E033CB" w:rsidRPr="00005520" w:rsidRDefault="00E033CB" w:rsidP="00E033CB">
            <w:pPr>
              <w:jc w:val="both"/>
              <w:rPr>
                <w:sz w:val="20"/>
                <w:szCs w:val="20"/>
              </w:rPr>
            </w:pPr>
            <w:r w:rsidRPr="00005520">
              <w:rPr>
                <w:sz w:val="20"/>
                <w:szCs w:val="20"/>
              </w:rPr>
              <w:t>Requête pour permission d’appeler rejetée</w:t>
            </w:r>
          </w:p>
          <w:p w:rsidR="00E033CB" w:rsidRPr="00005520" w:rsidRDefault="00E033CB" w:rsidP="00E033CB">
            <w:pPr>
              <w:jc w:val="both"/>
              <w:rPr>
                <w:sz w:val="20"/>
                <w:szCs w:val="20"/>
              </w:rPr>
            </w:pPr>
          </w:p>
        </w:tc>
      </w:tr>
      <w:tr w:rsidR="00E033CB" w:rsidRPr="00005520" w:rsidTr="0074616E">
        <w:tc>
          <w:tcPr>
            <w:tcW w:w="2427" w:type="pct"/>
            <w:gridSpan w:val="2"/>
          </w:tcPr>
          <w:p w:rsidR="00E033CB" w:rsidRPr="00005520" w:rsidRDefault="00E033CB" w:rsidP="00E033CB">
            <w:pPr>
              <w:jc w:val="both"/>
              <w:rPr>
                <w:sz w:val="20"/>
                <w:szCs w:val="20"/>
                <w:lang w:val="fr-CA"/>
              </w:rPr>
            </w:pPr>
            <w:r w:rsidRPr="00005520">
              <w:rPr>
                <w:sz w:val="20"/>
                <w:szCs w:val="20"/>
                <w:lang w:val="fr-CA"/>
              </w:rPr>
              <w:t>Le 17 août 2017</w:t>
            </w:r>
          </w:p>
          <w:p w:rsidR="00E033CB" w:rsidRPr="00005520" w:rsidRDefault="00E033CB" w:rsidP="00E033CB">
            <w:pPr>
              <w:jc w:val="both"/>
              <w:rPr>
                <w:sz w:val="20"/>
                <w:szCs w:val="20"/>
                <w:lang w:val="fr-CA"/>
              </w:rPr>
            </w:pPr>
            <w:r w:rsidRPr="00005520">
              <w:rPr>
                <w:sz w:val="20"/>
                <w:szCs w:val="20"/>
                <w:lang w:val="fr-CA"/>
              </w:rPr>
              <w:t>Cour suprême du Canada</w:t>
            </w:r>
          </w:p>
        </w:tc>
        <w:tc>
          <w:tcPr>
            <w:tcW w:w="243" w:type="pct"/>
          </w:tcPr>
          <w:p w:rsidR="00E033CB" w:rsidRPr="00005520" w:rsidRDefault="00E033CB" w:rsidP="00E033CB">
            <w:pPr>
              <w:jc w:val="both"/>
              <w:rPr>
                <w:sz w:val="20"/>
                <w:szCs w:val="20"/>
                <w:lang w:val="fr-CA"/>
              </w:rPr>
            </w:pPr>
          </w:p>
        </w:tc>
        <w:tc>
          <w:tcPr>
            <w:tcW w:w="2330" w:type="pct"/>
          </w:tcPr>
          <w:p w:rsidR="00E033CB" w:rsidRPr="00005520" w:rsidRDefault="00E033CB" w:rsidP="00E033CB">
            <w:pPr>
              <w:jc w:val="both"/>
              <w:rPr>
                <w:sz w:val="20"/>
                <w:szCs w:val="20"/>
              </w:rPr>
            </w:pPr>
            <w:r w:rsidRPr="00005520">
              <w:rPr>
                <w:sz w:val="20"/>
                <w:szCs w:val="20"/>
              </w:rPr>
              <w:t>Demande d’autorisation d’appel déposée</w:t>
            </w:r>
          </w:p>
          <w:p w:rsidR="00E033CB" w:rsidRPr="00005520" w:rsidRDefault="00E033CB" w:rsidP="00E033CB">
            <w:pPr>
              <w:jc w:val="both"/>
              <w:rPr>
                <w:sz w:val="20"/>
                <w:szCs w:val="20"/>
              </w:rPr>
            </w:pPr>
          </w:p>
        </w:tc>
      </w:tr>
    </w:tbl>
    <w:p w:rsidR="00E033CB" w:rsidRPr="00005520" w:rsidRDefault="008D266B" w:rsidP="00E033CB">
      <w:pPr>
        <w:rPr>
          <w:sz w:val="20"/>
          <w:szCs w:val="20"/>
        </w:rPr>
      </w:pPr>
      <w:r>
        <w:rPr>
          <w:sz w:val="20"/>
          <w:szCs w:val="20"/>
        </w:rPr>
        <w:pict>
          <v:rect id="_x0000_i1050" style="width:2in;height:1pt" o:hrpct="0" o:hralign="center" o:hrstd="t" o:hrnoshade="t" o:hr="t" fillcolor="black [3213]" stroked="f"/>
        </w:pict>
      </w:r>
    </w:p>
    <w:p w:rsidR="00E033CB" w:rsidRPr="00005520" w:rsidRDefault="00E033CB" w:rsidP="00E033CB">
      <w:pPr>
        <w:jc w:val="both"/>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033CB" w:rsidRPr="00005520" w:rsidTr="0074616E">
        <w:tc>
          <w:tcPr>
            <w:tcW w:w="543" w:type="pct"/>
          </w:tcPr>
          <w:p w:rsidR="00E033CB" w:rsidRPr="00005520" w:rsidRDefault="00E033CB" w:rsidP="0074616E">
            <w:pPr>
              <w:rPr>
                <w:sz w:val="20"/>
                <w:szCs w:val="20"/>
              </w:rPr>
            </w:pPr>
            <w:r w:rsidRPr="00005520">
              <w:rPr>
                <w:rStyle w:val="SCCFileNumberChar"/>
                <w:sz w:val="20"/>
                <w:szCs w:val="20"/>
              </w:rPr>
              <w:t>37708</w:t>
            </w:r>
          </w:p>
        </w:tc>
        <w:tc>
          <w:tcPr>
            <w:tcW w:w="4457" w:type="pct"/>
            <w:gridSpan w:val="3"/>
          </w:tcPr>
          <w:p w:rsidR="00E033CB" w:rsidRPr="00005520" w:rsidRDefault="00E033CB" w:rsidP="0074616E">
            <w:pPr>
              <w:pStyle w:val="SCCLsocParty"/>
              <w:jc w:val="both"/>
              <w:rPr>
                <w:b/>
                <w:sz w:val="20"/>
                <w:szCs w:val="20"/>
                <w:lang w:val="en-US"/>
              </w:rPr>
            </w:pPr>
            <w:r w:rsidRPr="00005520">
              <w:rPr>
                <w:b/>
                <w:sz w:val="20"/>
                <w:szCs w:val="20"/>
                <w:lang w:val="en-US"/>
              </w:rPr>
              <w:t>Brian Patrick Belway v. Shawna Eileen Lalande-Weber</w:t>
            </w:r>
          </w:p>
          <w:p w:rsidR="00E033CB" w:rsidRPr="00005520" w:rsidRDefault="00E033CB" w:rsidP="0074616E">
            <w:pPr>
              <w:rPr>
                <w:sz w:val="20"/>
                <w:szCs w:val="20"/>
              </w:rPr>
            </w:pPr>
            <w:r w:rsidRPr="00005520">
              <w:rPr>
                <w:sz w:val="20"/>
                <w:szCs w:val="20"/>
              </w:rPr>
              <w:t>(Alta.) (Civil) (By Leave)</w:t>
            </w:r>
          </w:p>
        </w:tc>
      </w:tr>
      <w:tr w:rsidR="00047CBB" w:rsidRPr="00005520" w:rsidTr="0074616E">
        <w:tc>
          <w:tcPr>
            <w:tcW w:w="543" w:type="pct"/>
          </w:tcPr>
          <w:p w:rsidR="00047CBB" w:rsidRPr="00005520" w:rsidRDefault="00047CBB" w:rsidP="0074616E">
            <w:pPr>
              <w:rPr>
                <w:rStyle w:val="SCCFileNumberChar"/>
                <w:sz w:val="20"/>
                <w:szCs w:val="20"/>
              </w:rPr>
            </w:pPr>
            <w:r>
              <w:rPr>
                <w:rStyle w:val="SCCFileNumberChar"/>
                <w:sz w:val="20"/>
                <w:szCs w:val="20"/>
              </w:rPr>
              <w:t>Coram:</w:t>
            </w:r>
          </w:p>
        </w:tc>
        <w:tc>
          <w:tcPr>
            <w:tcW w:w="4457" w:type="pct"/>
            <w:gridSpan w:val="3"/>
          </w:tcPr>
          <w:p w:rsidR="00047CBB" w:rsidRDefault="00CA518B" w:rsidP="0074616E">
            <w:pPr>
              <w:pStyle w:val="SCCLsocParty"/>
              <w:jc w:val="both"/>
              <w:rPr>
                <w:sz w:val="20"/>
                <w:szCs w:val="20"/>
                <w:lang w:val="en-US"/>
              </w:rPr>
            </w:pPr>
            <w:r w:rsidRPr="00440C3A">
              <w:rPr>
                <w:sz w:val="20"/>
                <w:szCs w:val="20"/>
                <w:lang w:val="en-US"/>
              </w:rPr>
              <w:t>McLachlin C.J. and Abella, Moldaver, Karakatsanis, Wagner, Gascon, Côté, Brown and Rowe JJ.</w:t>
            </w:r>
          </w:p>
          <w:p w:rsidR="00CA518B" w:rsidRPr="00CA518B" w:rsidRDefault="00CA518B" w:rsidP="00CA518B">
            <w:pPr>
              <w:rPr>
                <w:lang w:val="en-US"/>
              </w:rPr>
            </w:pPr>
          </w:p>
        </w:tc>
      </w:tr>
      <w:tr w:rsidR="00047CBB" w:rsidRPr="00005520" w:rsidTr="00047CBB">
        <w:tc>
          <w:tcPr>
            <w:tcW w:w="5000" w:type="pct"/>
            <w:gridSpan w:val="4"/>
          </w:tcPr>
          <w:p w:rsidR="00047CBB" w:rsidRDefault="00CA518B" w:rsidP="0074616E">
            <w:pPr>
              <w:pStyle w:val="SCCLsocParty"/>
              <w:jc w:val="both"/>
              <w:rPr>
                <w:sz w:val="20"/>
                <w:szCs w:val="20"/>
                <w:lang w:val="en-US"/>
              </w:rPr>
            </w:pPr>
            <w:r w:rsidRPr="00CA518B">
              <w:rPr>
                <w:sz w:val="20"/>
                <w:szCs w:val="20"/>
                <w:lang w:val="en-US"/>
              </w:rPr>
              <w:t>The application for leave to appeal from the judgment of the Court of Appeal of Alberta (Calgary), Number 1701-0020-AC, 2017 ABCA 177, dated June 9, 2017, is dismissed with costs on a solicitor-client basis.</w:t>
            </w:r>
          </w:p>
          <w:p w:rsidR="00CA518B" w:rsidRPr="00CA518B" w:rsidRDefault="00CA518B" w:rsidP="00CA518B">
            <w:pPr>
              <w:rPr>
                <w:lang w:val="en-US"/>
              </w:rPr>
            </w:pPr>
          </w:p>
        </w:tc>
      </w:tr>
      <w:tr w:rsidR="00E033CB" w:rsidRPr="00005520" w:rsidTr="0074616E">
        <w:tc>
          <w:tcPr>
            <w:tcW w:w="5000" w:type="pct"/>
            <w:gridSpan w:val="4"/>
          </w:tcPr>
          <w:p w:rsidR="00E033CB" w:rsidRPr="00005520" w:rsidRDefault="00E033CB" w:rsidP="00E033CB">
            <w:pPr>
              <w:jc w:val="both"/>
              <w:rPr>
                <w:sz w:val="20"/>
                <w:szCs w:val="20"/>
              </w:rPr>
            </w:pPr>
            <w:r w:rsidRPr="00005520">
              <w:rPr>
                <w:sz w:val="20"/>
                <w:szCs w:val="20"/>
              </w:rPr>
              <w:t>Family law – Support – Child support – Variation – Applicant seeking variation of child support consent order – Should a child over the age of majority, who is in a shared custody dynamic and is a full time student be constrained to s. 3(2) of the Guidelines, or should this dynamic warrant a material change of circumstances to vary a current child support order if present economic/financial realities have not been previously take into consideration in making of originating consent order; one not made under a judicial determination of all facts?</w:t>
            </w:r>
          </w:p>
        </w:tc>
      </w:tr>
      <w:tr w:rsidR="00E033CB" w:rsidRPr="00005520" w:rsidTr="0074616E">
        <w:tc>
          <w:tcPr>
            <w:tcW w:w="5000" w:type="pct"/>
            <w:gridSpan w:val="4"/>
          </w:tcPr>
          <w:p w:rsidR="00E033CB" w:rsidRPr="00005520" w:rsidRDefault="00E033CB" w:rsidP="00E033CB">
            <w:pPr>
              <w:jc w:val="both"/>
              <w:rPr>
                <w:sz w:val="20"/>
                <w:szCs w:val="20"/>
              </w:rPr>
            </w:pPr>
          </w:p>
          <w:p w:rsidR="00E033CB" w:rsidRPr="00005520" w:rsidRDefault="00E033CB" w:rsidP="00E033CB">
            <w:pPr>
              <w:jc w:val="both"/>
              <w:rPr>
                <w:sz w:val="20"/>
                <w:szCs w:val="20"/>
              </w:rPr>
            </w:pPr>
            <w:r w:rsidRPr="00005520">
              <w:rPr>
                <w:sz w:val="20"/>
                <w:szCs w:val="20"/>
              </w:rPr>
              <w:t>The parties were in a relationship from approximately 1998 to 2002 and had a son together, who turned 18 years of age in March, 2017. He began to attend university in the fall of 2017. The parties have shared custody but over the years, there has been litigation relating to financial disclosure and child support. The parties entered into a Consent Order regarding child support, but the litigation continued. The case was ordered into case management. In 2015, the case management judge ordered that Mr. Belway could make no further applications without leave of the court.</w:t>
            </w:r>
          </w:p>
        </w:tc>
      </w:tr>
      <w:tr w:rsidR="00E033CB" w:rsidRPr="00005520" w:rsidTr="0074616E">
        <w:tc>
          <w:tcPr>
            <w:tcW w:w="5000" w:type="pct"/>
            <w:gridSpan w:val="4"/>
          </w:tcPr>
          <w:p w:rsidR="00E033CB" w:rsidRPr="00005520" w:rsidRDefault="00E033CB" w:rsidP="00E033CB">
            <w:pPr>
              <w:jc w:val="both"/>
              <w:rPr>
                <w:sz w:val="20"/>
                <w:szCs w:val="20"/>
              </w:rPr>
            </w:pPr>
          </w:p>
        </w:tc>
      </w:tr>
      <w:tr w:rsidR="00E033CB" w:rsidRPr="00005520" w:rsidTr="0074616E">
        <w:tc>
          <w:tcPr>
            <w:tcW w:w="2427" w:type="pct"/>
            <w:gridSpan w:val="2"/>
          </w:tcPr>
          <w:p w:rsidR="00E033CB" w:rsidRPr="00005520" w:rsidRDefault="00E033CB" w:rsidP="00E033CB">
            <w:pPr>
              <w:jc w:val="both"/>
              <w:rPr>
                <w:sz w:val="20"/>
                <w:szCs w:val="20"/>
              </w:rPr>
            </w:pPr>
            <w:r w:rsidRPr="00005520">
              <w:rPr>
                <w:sz w:val="20"/>
                <w:szCs w:val="20"/>
              </w:rPr>
              <w:t>January 18, 2017</w:t>
            </w:r>
          </w:p>
          <w:p w:rsidR="00E033CB" w:rsidRPr="00005520" w:rsidRDefault="00E033CB" w:rsidP="00E033CB">
            <w:pPr>
              <w:jc w:val="both"/>
              <w:rPr>
                <w:sz w:val="20"/>
                <w:szCs w:val="20"/>
              </w:rPr>
            </w:pPr>
            <w:r w:rsidRPr="00005520">
              <w:rPr>
                <w:sz w:val="20"/>
                <w:szCs w:val="20"/>
              </w:rPr>
              <w:t>Court of Queen’s Bench of Alberta</w:t>
            </w:r>
          </w:p>
          <w:p w:rsidR="00E033CB" w:rsidRPr="00005520" w:rsidRDefault="00E033CB" w:rsidP="00E033CB">
            <w:pPr>
              <w:jc w:val="both"/>
              <w:rPr>
                <w:sz w:val="20"/>
                <w:szCs w:val="20"/>
              </w:rPr>
            </w:pPr>
            <w:r w:rsidRPr="00005520">
              <w:rPr>
                <w:sz w:val="20"/>
                <w:szCs w:val="20"/>
              </w:rPr>
              <w:t>(Wilson J.)</w:t>
            </w:r>
          </w:p>
          <w:p w:rsidR="00E033CB" w:rsidRPr="00005520" w:rsidRDefault="00E033CB" w:rsidP="00E033CB">
            <w:pPr>
              <w:jc w:val="both"/>
              <w:rPr>
                <w:sz w:val="20"/>
                <w:szCs w:val="20"/>
              </w:rPr>
            </w:pPr>
            <w:r w:rsidRPr="00005520">
              <w:rPr>
                <w:sz w:val="20"/>
                <w:szCs w:val="20"/>
              </w:rPr>
              <w:t>Unreported</w:t>
            </w:r>
          </w:p>
        </w:tc>
        <w:tc>
          <w:tcPr>
            <w:tcW w:w="243" w:type="pct"/>
          </w:tcPr>
          <w:p w:rsidR="00E033CB" w:rsidRPr="00005520" w:rsidRDefault="00E033CB" w:rsidP="00E033CB">
            <w:pPr>
              <w:jc w:val="both"/>
              <w:rPr>
                <w:sz w:val="20"/>
                <w:szCs w:val="20"/>
              </w:rPr>
            </w:pPr>
          </w:p>
        </w:tc>
        <w:tc>
          <w:tcPr>
            <w:tcW w:w="2330" w:type="pct"/>
          </w:tcPr>
          <w:p w:rsidR="00E033CB" w:rsidRPr="00005520" w:rsidRDefault="00E033CB" w:rsidP="00E033CB">
            <w:pPr>
              <w:jc w:val="both"/>
              <w:rPr>
                <w:sz w:val="20"/>
                <w:szCs w:val="20"/>
              </w:rPr>
            </w:pPr>
            <w:r w:rsidRPr="00005520">
              <w:rPr>
                <w:sz w:val="20"/>
                <w:szCs w:val="20"/>
              </w:rPr>
              <w:t>Applicant’s application for leave to commence an application to vary child support consent order dismissed</w:t>
            </w:r>
          </w:p>
          <w:p w:rsidR="00E033CB" w:rsidRPr="00005520" w:rsidRDefault="00E033CB" w:rsidP="00E033CB">
            <w:pPr>
              <w:jc w:val="both"/>
              <w:rPr>
                <w:sz w:val="20"/>
                <w:szCs w:val="20"/>
              </w:rPr>
            </w:pPr>
          </w:p>
          <w:p w:rsidR="00E033CB" w:rsidRPr="00005520" w:rsidRDefault="00E033CB" w:rsidP="00E033CB">
            <w:pPr>
              <w:jc w:val="both"/>
              <w:rPr>
                <w:sz w:val="20"/>
                <w:szCs w:val="20"/>
              </w:rPr>
            </w:pPr>
          </w:p>
        </w:tc>
      </w:tr>
      <w:tr w:rsidR="00E033CB" w:rsidRPr="00005520" w:rsidTr="0074616E">
        <w:tc>
          <w:tcPr>
            <w:tcW w:w="2427" w:type="pct"/>
            <w:gridSpan w:val="2"/>
          </w:tcPr>
          <w:p w:rsidR="00E033CB" w:rsidRPr="00005520" w:rsidRDefault="00E033CB" w:rsidP="00E033CB">
            <w:pPr>
              <w:jc w:val="both"/>
              <w:rPr>
                <w:sz w:val="20"/>
                <w:szCs w:val="20"/>
              </w:rPr>
            </w:pPr>
            <w:r w:rsidRPr="00005520">
              <w:rPr>
                <w:sz w:val="20"/>
                <w:szCs w:val="20"/>
              </w:rPr>
              <w:t>April 7, 2017</w:t>
            </w:r>
          </w:p>
          <w:p w:rsidR="00E033CB" w:rsidRPr="00005520" w:rsidRDefault="00E033CB" w:rsidP="00E033CB">
            <w:pPr>
              <w:jc w:val="both"/>
              <w:rPr>
                <w:sz w:val="20"/>
                <w:szCs w:val="20"/>
              </w:rPr>
            </w:pPr>
            <w:r w:rsidRPr="00005520">
              <w:rPr>
                <w:sz w:val="20"/>
                <w:szCs w:val="20"/>
              </w:rPr>
              <w:t>Court of Appeal of Alberta (Calgary)</w:t>
            </w:r>
          </w:p>
          <w:p w:rsidR="00E033CB" w:rsidRPr="00005520" w:rsidRDefault="00E033CB" w:rsidP="00E033CB">
            <w:pPr>
              <w:jc w:val="both"/>
              <w:rPr>
                <w:sz w:val="20"/>
                <w:szCs w:val="20"/>
              </w:rPr>
            </w:pPr>
            <w:r w:rsidRPr="00005520">
              <w:rPr>
                <w:sz w:val="20"/>
                <w:szCs w:val="20"/>
              </w:rPr>
              <w:t>(Martin J.)</w:t>
            </w:r>
          </w:p>
          <w:p w:rsidR="00E033CB" w:rsidRPr="00005520" w:rsidRDefault="008D266B" w:rsidP="00E033CB">
            <w:pPr>
              <w:jc w:val="both"/>
              <w:rPr>
                <w:sz w:val="20"/>
                <w:szCs w:val="20"/>
              </w:rPr>
            </w:pPr>
            <w:hyperlink r:id="rId32" w:history="1">
              <w:r w:rsidR="00E033CB" w:rsidRPr="00005520">
                <w:rPr>
                  <w:rStyle w:val="Hyperlink"/>
                  <w:sz w:val="20"/>
                  <w:szCs w:val="20"/>
                </w:rPr>
                <w:t>2017 ABCA 108</w:t>
              </w:r>
            </w:hyperlink>
          </w:p>
          <w:p w:rsidR="00E033CB" w:rsidRPr="00005520" w:rsidRDefault="00E033CB" w:rsidP="00E033CB">
            <w:pPr>
              <w:jc w:val="both"/>
              <w:rPr>
                <w:sz w:val="20"/>
                <w:szCs w:val="20"/>
              </w:rPr>
            </w:pPr>
          </w:p>
        </w:tc>
        <w:tc>
          <w:tcPr>
            <w:tcW w:w="243" w:type="pct"/>
          </w:tcPr>
          <w:p w:rsidR="00E033CB" w:rsidRPr="00005520" w:rsidRDefault="00E033CB" w:rsidP="00E033CB">
            <w:pPr>
              <w:jc w:val="both"/>
              <w:rPr>
                <w:sz w:val="20"/>
                <w:szCs w:val="20"/>
              </w:rPr>
            </w:pPr>
          </w:p>
        </w:tc>
        <w:tc>
          <w:tcPr>
            <w:tcW w:w="2330" w:type="pct"/>
          </w:tcPr>
          <w:p w:rsidR="00E033CB" w:rsidRPr="00005520" w:rsidRDefault="00E033CB" w:rsidP="00E033CB">
            <w:pPr>
              <w:jc w:val="both"/>
              <w:rPr>
                <w:sz w:val="20"/>
                <w:szCs w:val="20"/>
              </w:rPr>
            </w:pPr>
            <w:r w:rsidRPr="00005520">
              <w:rPr>
                <w:sz w:val="20"/>
                <w:szCs w:val="20"/>
              </w:rPr>
              <w:t>Applicant’s appeal granted in part; Applicant granted leave on specific issue</w:t>
            </w:r>
          </w:p>
          <w:p w:rsidR="00E033CB" w:rsidRPr="00005520" w:rsidRDefault="00E033CB" w:rsidP="00E033CB">
            <w:pPr>
              <w:jc w:val="both"/>
              <w:rPr>
                <w:sz w:val="20"/>
                <w:szCs w:val="20"/>
              </w:rPr>
            </w:pPr>
          </w:p>
          <w:p w:rsidR="00E033CB" w:rsidRPr="00005520" w:rsidRDefault="00E033CB" w:rsidP="00E033CB">
            <w:pPr>
              <w:jc w:val="both"/>
              <w:rPr>
                <w:sz w:val="20"/>
                <w:szCs w:val="20"/>
              </w:rPr>
            </w:pPr>
          </w:p>
        </w:tc>
      </w:tr>
      <w:tr w:rsidR="00E033CB" w:rsidRPr="00005520" w:rsidTr="0074616E">
        <w:tc>
          <w:tcPr>
            <w:tcW w:w="2427" w:type="pct"/>
            <w:gridSpan w:val="2"/>
          </w:tcPr>
          <w:p w:rsidR="00E033CB" w:rsidRPr="00005520" w:rsidRDefault="00E033CB" w:rsidP="00E033CB">
            <w:pPr>
              <w:jc w:val="both"/>
              <w:rPr>
                <w:sz w:val="20"/>
                <w:szCs w:val="20"/>
              </w:rPr>
            </w:pPr>
            <w:r w:rsidRPr="00005520">
              <w:rPr>
                <w:sz w:val="20"/>
                <w:szCs w:val="20"/>
              </w:rPr>
              <w:t>June 9, 2017</w:t>
            </w:r>
          </w:p>
          <w:p w:rsidR="00E033CB" w:rsidRPr="00005520" w:rsidRDefault="00E033CB" w:rsidP="00E033CB">
            <w:pPr>
              <w:jc w:val="both"/>
              <w:rPr>
                <w:sz w:val="20"/>
                <w:szCs w:val="20"/>
              </w:rPr>
            </w:pPr>
            <w:r w:rsidRPr="00005520">
              <w:rPr>
                <w:sz w:val="20"/>
                <w:szCs w:val="20"/>
              </w:rPr>
              <w:t>Court of Appeal of Alberta (Calgary)</w:t>
            </w:r>
          </w:p>
          <w:p w:rsidR="00E033CB" w:rsidRPr="00005520" w:rsidRDefault="00E033CB" w:rsidP="00E033CB">
            <w:pPr>
              <w:jc w:val="both"/>
              <w:rPr>
                <w:sz w:val="20"/>
                <w:szCs w:val="20"/>
              </w:rPr>
            </w:pPr>
            <w:r w:rsidRPr="00005520">
              <w:rPr>
                <w:sz w:val="20"/>
                <w:szCs w:val="20"/>
              </w:rPr>
              <w:t>(Berger, O'Ferrall and Schutz JJ.A.)</w:t>
            </w:r>
          </w:p>
          <w:p w:rsidR="00E033CB" w:rsidRPr="00005520" w:rsidRDefault="008D266B" w:rsidP="00E033CB">
            <w:pPr>
              <w:jc w:val="both"/>
              <w:rPr>
                <w:sz w:val="20"/>
                <w:szCs w:val="20"/>
              </w:rPr>
            </w:pPr>
            <w:hyperlink r:id="rId33" w:history="1">
              <w:r w:rsidR="00E033CB" w:rsidRPr="00005520">
                <w:rPr>
                  <w:rStyle w:val="Hyperlink"/>
                  <w:sz w:val="20"/>
                  <w:szCs w:val="20"/>
                </w:rPr>
                <w:t>2017 ABCA 177</w:t>
              </w:r>
            </w:hyperlink>
          </w:p>
          <w:p w:rsidR="00E033CB" w:rsidRPr="00005520" w:rsidRDefault="00E033CB" w:rsidP="00E033CB">
            <w:pPr>
              <w:jc w:val="both"/>
              <w:rPr>
                <w:sz w:val="20"/>
                <w:szCs w:val="20"/>
              </w:rPr>
            </w:pPr>
          </w:p>
        </w:tc>
        <w:tc>
          <w:tcPr>
            <w:tcW w:w="243" w:type="pct"/>
          </w:tcPr>
          <w:p w:rsidR="00E033CB" w:rsidRPr="00005520" w:rsidRDefault="00E033CB" w:rsidP="00E033CB">
            <w:pPr>
              <w:jc w:val="both"/>
              <w:rPr>
                <w:sz w:val="20"/>
                <w:szCs w:val="20"/>
              </w:rPr>
            </w:pPr>
          </w:p>
        </w:tc>
        <w:tc>
          <w:tcPr>
            <w:tcW w:w="2330" w:type="pct"/>
          </w:tcPr>
          <w:p w:rsidR="00E033CB" w:rsidRPr="00005520" w:rsidRDefault="00E033CB" w:rsidP="00E033CB">
            <w:pPr>
              <w:jc w:val="both"/>
              <w:rPr>
                <w:sz w:val="20"/>
                <w:szCs w:val="20"/>
              </w:rPr>
            </w:pPr>
            <w:r w:rsidRPr="00005520">
              <w:rPr>
                <w:sz w:val="20"/>
                <w:szCs w:val="20"/>
              </w:rPr>
              <w:t>Applicant’s appeal dismissed</w:t>
            </w:r>
          </w:p>
          <w:p w:rsidR="00E033CB" w:rsidRPr="00005520" w:rsidRDefault="00E033CB" w:rsidP="00E033CB">
            <w:pPr>
              <w:jc w:val="both"/>
              <w:rPr>
                <w:sz w:val="20"/>
                <w:szCs w:val="20"/>
              </w:rPr>
            </w:pPr>
          </w:p>
        </w:tc>
      </w:tr>
      <w:tr w:rsidR="00E033CB" w:rsidRPr="00005520" w:rsidTr="0074616E">
        <w:tc>
          <w:tcPr>
            <w:tcW w:w="2427" w:type="pct"/>
            <w:gridSpan w:val="2"/>
          </w:tcPr>
          <w:p w:rsidR="00E033CB" w:rsidRPr="00005520" w:rsidRDefault="00E033CB" w:rsidP="00E033CB">
            <w:pPr>
              <w:jc w:val="both"/>
              <w:rPr>
                <w:sz w:val="20"/>
                <w:szCs w:val="20"/>
              </w:rPr>
            </w:pPr>
            <w:r w:rsidRPr="00005520">
              <w:rPr>
                <w:sz w:val="20"/>
                <w:szCs w:val="20"/>
              </w:rPr>
              <w:t>August 10, 2017</w:t>
            </w:r>
          </w:p>
          <w:p w:rsidR="00E033CB" w:rsidRPr="00005520" w:rsidRDefault="00E033CB" w:rsidP="00E033CB">
            <w:pPr>
              <w:jc w:val="both"/>
              <w:rPr>
                <w:sz w:val="20"/>
                <w:szCs w:val="20"/>
              </w:rPr>
            </w:pPr>
            <w:r w:rsidRPr="00005520">
              <w:rPr>
                <w:sz w:val="20"/>
                <w:szCs w:val="20"/>
              </w:rPr>
              <w:t>Supreme Court of Canada</w:t>
            </w:r>
          </w:p>
        </w:tc>
        <w:tc>
          <w:tcPr>
            <w:tcW w:w="243" w:type="pct"/>
          </w:tcPr>
          <w:p w:rsidR="00E033CB" w:rsidRPr="00005520" w:rsidRDefault="00E033CB" w:rsidP="00E033CB">
            <w:pPr>
              <w:jc w:val="both"/>
              <w:rPr>
                <w:sz w:val="20"/>
                <w:szCs w:val="20"/>
              </w:rPr>
            </w:pPr>
          </w:p>
        </w:tc>
        <w:tc>
          <w:tcPr>
            <w:tcW w:w="2330" w:type="pct"/>
          </w:tcPr>
          <w:p w:rsidR="00E033CB" w:rsidRPr="00005520" w:rsidRDefault="00E033CB" w:rsidP="00E033CB">
            <w:pPr>
              <w:jc w:val="both"/>
              <w:rPr>
                <w:sz w:val="20"/>
                <w:szCs w:val="20"/>
              </w:rPr>
            </w:pPr>
            <w:r w:rsidRPr="00005520">
              <w:rPr>
                <w:sz w:val="20"/>
                <w:szCs w:val="20"/>
              </w:rPr>
              <w:t>Application for leave to appeal filed</w:t>
            </w:r>
          </w:p>
          <w:p w:rsidR="00E033CB" w:rsidRPr="00005520" w:rsidRDefault="00E033CB" w:rsidP="00E033CB">
            <w:pPr>
              <w:jc w:val="both"/>
              <w:rPr>
                <w:sz w:val="20"/>
                <w:szCs w:val="20"/>
              </w:rPr>
            </w:pPr>
          </w:p>
        </w:tc>
      </w:tr>
    </w:tbl>
    <w:p w:rsidR="00E033CB" w:rsidRPr="00005520" w:rsidRDefault="008D266B" w:rsidP="00E033CB">
      <w:pPr>
        <w:rPr>
          <w:sz w:val="20"/>
          <w:szCs w:val="20"/>
        </w:rPr>
      </w:pPr>
      <w:r>
        <w:rPr>
          <w:sz w:val="20"/>
          <w:szCs w:val="20"/>
        </w:rPr>
        <w:pict>
          <v:rect id="_x0000_i1051" style="width:2in;height:1pt" o:hrpct="0" o:hralign="center" o:hrstd="t" o:hrnoshade="t" o:hr="t" fillcolor="black [3213]" stroked="f"/>
        </w:pict>
      </w:r>
    </w:p>
    <w:p w:rsidR="00E033CB" w:rsidRPr="00005520" w:rsidRDefault="00E033CB" w:rsidP="00E033CB">
      <w:pPr>
        <w:rPr>
          <w:sz w:val="20"/>
          <w:szCs w:val="20"/>
        </w:rPr>
      </w:pPr>
    </w:p>
    <w:p w:rsidR="00CA518B" w:rsidRDefault="00CA518B">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033CB" w:rsidRPr="00005520" w:rsidTr="0074616E">
        <w:tc>
          <w:tcPr>
            <w:tcW w:w="543" w:type="pct"/>
          </w:tcPr>
          <w:p w:rsidR="00E033CB" w:rsidRPr="00005520" w:rsidRDefault="00E033CB" w:rsidP="0074616E">
            <w:pPr>
              <w:rPr>
                <w:sz w:val="20"/>
                <w:szCs w:val="20"/>
                <w:lang w:val="fr-CA"/>
              </w:rPr>
            </w:pPr>
            <w:r w:rsidRPr="00005520">
              <w:rPr>
                <w:rStyle w:val="SCCFileNumberChar"/>
                <w:sz w:val="20"/>
                <w:szCs w:val="20"/>
                <w:lang w:val="fr-CA"/>
              </w:rPr>
              <w:lastRenderedPageBreak/>
              <w:t>37708</w:t>
            </w:r>
          </w:p>
        </w:tc>
        <w:tc>
          <w:tcPr>
            <w:tcW w:w="4457" w:type="pct"/>
            <w:gridSpan w:val="3"/>
          </w:tcPr>
          <w:p w:rsidR="00E033CB" w:rsidRPr="00005520" w:rsidRDefault="00E033CB" w:rsidP="0074616E">
            <w:pPr>
              <w:pStyle w:val="SCCLsocParty"/>
              <w:jc w:val="both"/>
              <w:rPr>
                <w:b/>
                <w:sz w:val="20"/>
                <w:szCs w:val="20"/>
                <w:lang w:val="en-US"/>
              </w:rPr>
            </w:pPr>
            <w:r w:rsidRPr="00005520">
              <w:rPr>
                <w:b/>
                <w:sz w:val="20"/>
                <w:szCs w:val="20"/>
                <w:lang w:val="en-US"/>
              </w:rPr>
              <w:t>Brian Patrick Belway c. Shawna Eileen Lalande-Weber</w:t>
            </w:r>
          </w:p>
          <w:p w:rsidR="00E033CB" w:rsidRPr="00005520" w:rsidRDefault="00E033CB" w:rsidP="0074616E">
            <w:pPr>
              <w:rPr>
                <w:sz w:val="20"/>
                <w:szCs w:val="20"/>
                <w:lang w:val="fr-CA"/>
              </w:rPr>
            </w:pPr>
            <w:r w:rsidRPr="00005520">
              <w:rPr>
                <w:sz w:val="20"/>
                <w:szCs w:val="20"/>
                <w:lang w:val="fr-CA"/>
              </w:rPr>
              <w:t>(Alb.) (Civile) (Sur autorisation)</w:t>
            </w:r>
          </w:p>
        </w:tc>
      </w:tr>
      <w:tr w:rsidR="00047CBB" w:rsidRPr="0096343C" w:rsidTr="0074616E">
        <w:tc>
          <w:tcPr>
            <w:tcW w:w="543" w:type="pct"/>
          </w:tcPr>
          <w:p w:rsidR="00047CBB" w:rsidRPr="00005520" w:rsidRDefault="00047CBB" w:rsidP="0074616E">
            <w:pPr>
              <w:rPr>
                <w:rStyle w:val="SCCFileNumberChar"/>
                <w:sz w:val="20"/>
                <w:szCs w:val="20"/>
                <w:lang w:val="fr-CA"/>
              </w:rPr>
            </w:pPr>
            <w:r>
              <w:rPr>
                <w:rStyle w:val="SCCFileNumberChar"/>
                <w:sz w:val="20"/>
                <w:szCs w:val="20"/>
                <w:lang w:val="fr-CA"/>
              </w:rPr>
              <w:t>Coram :</w:t>
            </w:r>
          </w:p>
        </w:tc>
        <w:tc>
          <w:tcPr>
            <w:tcW w:w="4457" w:type="pct"/>
            <w:gridSpan w:val="3"/>
          </w:tcPr>
          <w:p w:rsidR="00047CBB" w:rsidRDefault="00CA518B" w:rsidP="0074616E">
            <w:pPr>
              <w:pStyle w:val="SCCLsocParty"/>
              <w:jc w:val="both"/>
              <w:rPr>
                <w:sz w:val="20"/>
                <w:szCs w:val="20"/>
                <w:lang w:val="fr-FR"/>
              </w:rPr>
            </w:pPr>
            <w:r w:rsidRPr="00440C3A">
              <w:rPr>
                <w:sz w:val="20"/>
                <w:szCs w:val="20"/>
                <w:lang w:val="fr-FR"/>
              </w:rPr>
              <w:t>La juge en chef McLachlin et les juges Abella, Moldaver, Karakatsanis, Wagner, Gascon, Côté, Brown et Rowe</w:t>
            </w:r>
          </w:p>
          <w:p w:rsidR="00CA518B" w:rsidRPr="00CA518B" w:rsidRDefault="00CA518B" w:rsidP="00CA518B">
            <w:pPr>
              <w:rPr>
                <w:lang w:val="fr-FR"/>
              </w:rPr>
            </w:pPr>
          </w:p>
        </w:tc>
      </w:tr>
      <w:tr w:rsidR="00047CBB" w:rsidRPr="0096343C" w:rsidTr="00047CBB">
        <w:tc>
          <w:tcPr>
            <w:tcW w:w="5000" w:type="pct"/>
            <w:gridSpan w:val="4"/>
          </w:tcPr>
          <w:p w:rsidR="00047CBB" w:rsidRDefault="00CA518B" w:rsidP="0074616E">
            <w:pPr>
              <w:pStyle w:val="SCCLsocParty"/>
              <w:jc w:val="both"/>
              <w:rPr>
                <w:sz w:val="20"/>
                <w:szCs w:val="20"/>
              </w:rPr>
            </w:pPr>
            <w:r w:rsidRPr="00440C3A">
              <w:rPr>
                <w:sz w:val="20"/>
                <w:szCs w:val="20"/>
              </w:rPr>
              <w:t xml:space="preserve">La demande d’autorisation d’appel de l’arrêt de la </w:t>
            </w:r>
            <w:r w:rsidRPr="00440C3A">
              <w:rPr>
                <w:sz w:val="20"/>
                <w:szCs w:val="20"/>
                <w:lang w:val="fr-FR"/>
              </w:rPr>
              <w:t>Cour d’appel de l’Alberta (Calgary)</w:t>
            </w:r>
            <w:r w:rsidRPr="00440C3A">
              <w:rPr>
                <w:sz w:val="20"/>
                <w:szCs w:val="20"/>
              </w:rPr>
              <w:t xml:space="preserve">, numéro </w:t>
            </w:r>
            <w:r w:rsidRPr="00440C3A">
              <w:rPr>
                <w:sz w:val="20"/>
                <w:szCs w:val="20"/>
                <w:lang w:val="fr-FR"/>
              </w:rPr>
              <w:t>1701-0020-AC, 2017 ABCA 177</w:t>
            </w:r>
            <w:r w:rsidRPr="00440C3A">
              <w:rPr>
                <w:sz w:val="20"/>
                <w:szCs w:val="20"/>
              </w:rPr>
              <w:t xml:space="preserve">, daté du </w:t>
            </w:r>
            <w:r w:rsidRPr="00440C3A">
              <w:rPr>
                <w:sz w:val="20"/>
                <w:szCs w:val="20"/>
                <w:lang w:val="fr-FR"/>
              </w:rPr>
              <w:t>9 juin 2017</w:t>
            </w:r>
            <w:r w:rsidRPr="00440C3A">
              <w:rPr>
                <w:sz w:val="20"/>
                <w:szCs w:val="20"/>
              </w:rPr>
              <w:t>, est rejetée avec dépens sur la base procureur-client.</w:t>
            </w:r>
          </w:p>
          <w:p w:rsidR="00CA518B" w:rsidRPr="00CA518B" w:rsidRDefault="00CA518B" w:rsidP="00CA518B">
            <w:pPr>
              <w:rPr>
                <w:lang w:val="fr-CA"/>
              </w:rPr>
            </w:pPr>
          </w:p>
        </w:tc>
      </w:tr>
      <w:tr w:rsidR="00E033CB" w:rsidRPr="0096343C" w:rsidTr="0074616E">
        <w:tc>
          <w:tcPr>
            <w:tcW w:w="5000" w:type="pct"/>
            <w:gridSpan w:val="4"/>
          </w:tcPr>
          <w:p w:rsidR="00E033CB" w:rsidRPr="00005520" w:rsidRDefault="00E033CB" w:rsidP="00E033CB">
            <w:pPr>
              <w:jc w:val="both"/>
              <w:rPr>
                <w:sz w:val="20"/>
                <w:szCs w:val="20"/>
                <w:lang w:val="fr-CA"/>
              </w:rPr>
            </w:pPr>
            <w:r w:rsidRPr="00005520">
              <w:rPr>
                <w:sz w:val="20"/>
                <w:szCs w:val="20"/>
                <w:lang w:val="fr-CA"/>
              </w:rPr>
              <w:t>Droit de la famille – Aliments – Pension alimentaire pour enfants – Modification – Le demandeur sollicite une modification de l’ordonnance alimentaire sur consentement en faveur de l’enfant – Dans le cas d’un enfant majeur qui se trouve dans une situation de garde partagée et qui étudie à temps plein, doit-on s’en tenir au par. 3(2) des lignes directrices, ou bien est-ce la situation constitue un changement important de circonstances qui justifie une modification de l’ordonnance alimentaire en faveur de l’enfant actuellement en vigueur si les réalités économiques et financières actuelles n’ont pas été prises en compte dans l’ordonnance sur consentement initial, laquelle n’a pas été établie en vertu d’une décision judiciaire portant sur tous les faits?</w:t>
            </w:r>
          </w:p>
        </w:tc>
      </w:tr>
      <w:tr w:rsidR="00E033CB" w:rsidRPr="0096343C" w:rsidTr="0074616E">
        <w:tc>
          <w:tcPr>
            <w:tcW w:w="5000" w:type="pct"/>
            <w:gridSpan w:val="4"/>
          </w:tcPr>
          <w:p w:rsidR="00E033CB" w:rsidRPr="00005520" w:rsidRDefault="00E033CB" w:rsidP="00E033CB">
            <w:pPr>
              <w:jc w:val="both"/>
              <w:rPr>
                <w:sz w:val="20"/>
                <w:szCs w:val="20"/>
                <w:lang w:val="fr-CA"/>
              </w:rPr>
            </w:pPr>
          </w:p>
          <w:p w:rsidR="00E033CB" w:rsidRPr="00005520" w:rsidRDefault="00E033CB" w:rsidP="00E033CB">
            <w:pPr>
              <w:jc w:val="both"/>
              <w:rPr>
                <w:sz w:val="20"/>
                <w:szCs w:val="20"/>
                <w:lang w:val="fr-CA"/>
              </w:rPr>
            </w:pPr>
            <w:r w:rsidRPr="00005520">
              <w:rPr>
                <w:sz w:val="20"/>
                <w:szCs w:val="20"/>
                <w:lang w:val="fr-CA"/>
              </w:rPr>
              <w:t>Les parties ont entretenu une relation de 1998 à 2002 environ, et ils ont eu ensemble un fils qui a eu 18 ans en mars 2017. Ce dernier a commencé à fréquenter l’université à l’automne 2017. Les parties avaient la garde partagée, mais au fil des ans, il y a eu des litiges portant sur la divulgation financière et la pension aliment pour enfant. Les parties ont consenti à une ordonnance alimentaire en faveur de l’enfant, mais le litige s’est poursuivi. L’affaire a été renvoyée en gestion de l’instance. En 2015, le juge responsable de la gestion de l’instance a ordonné à M. Belway de ne plus présenter de demandes sans autorisation du tribunal.</w:t>
            </w:r>
          </w:p>
        </w:tc>
      </w:tr>
      <w:tr w:rsidR="00E033CB" w:rsidRPr="0096343C" w:rsidTr="0074616E">
        <w:tc>
          <w:tcPr>
            <w:tcW w:w="5000" w:type="pct"/>
            <w:gridSpan w:val="4"/>
          </w:tcPr>
          <w:p w:rsidR="00E033CB" w:rsidRPr="00005520" w:rsidRDefault="00E033CB" w:rsidP="00E033CB">
            <w:pPr>
              <w:jc w:val="both"/>
              <w:rPr>
                <w:sz w:val="20"/>
                <w:szCs w:val="20"/>
                <w:lang w:val="fr-CA"/>
              </w:rPr>
            </w:pPr>
          </w:p>
        </w:tc>
      </w:tr>
      <w:tr w:rsidR="00E033CB" w:rsidRPr="0096343C" w:rsidTr="0074616E">
        <w:tc>
          <w:tcPr>
            <w:tcW w:w="2427" w:type="pct"/>
            <w:gridSpan w:val="2"/>
          </w:tcPr>
          <w:p w:rsidR="00E033CB" w:rsidRPr="00005520" w:rsidRDefault="00E033CB" w:rsidP="00E033CB">
            <w:pPr>
              <w:jc w:val="both"/>
              <w:rPr>
                <w:sz w:val="20"/>
                <w:szCs w:val="20"/>
                <w:lang w:val="fr-CA"/>
              </w:rPr>
            </w:pPr>
            <w:r w:rsidRPr="00005520">
              <w:rPr>
                <w:sz w:val="20"/>
                <w:szCs w:val="20"/>
                <w:lang w:val="fr-CA"/>
              </w:rPr>
              <w:t>18 janvier 2017</w:t>
            </w:r>
          </w:p>
          <w:p w:rsidR="00E033CB" w:rsidRPr="00005520" w:rsidRDefault="00E033CB" w:rsidP="00E033CB">
            <w:pPr>
              <w:jc w:val="both"/>
              <w:rPr>
                <w:sz w:val="20"/>
                <w:szCs w:val="20"/>
                <w:lang w:val="fr-CA"/>
              </w:rPr>
            </w:pPr>
            <w:r w:rsidRPr="00005520">
              <w:rPr>
                <w:sz w:val="20"/>
                <w:szCs w:val="20"/>
                <w:lang w:val="fr-CA"/>
              </w:rPr>
              <w:t>Cour du Banc de la Reine de l’Alberta</w:t>
            </w:r>
          </w:p>
          <w:p w:rsidR="00E033CB" w:rsidRPr="00005520" w:rsidRDefault="00E033CB" w:rsidP="00E033CB">
            <w:pPr>
              <w:jc w:val="both"/>
              <w:rPr>
                <w:sz w:val="20"/>
                <w:szCs w:val="20"/>
                <w:lang w:val="fr-CA"/>
              </w:rPr>
            </w:pPr>
            <w:r w:rsidRPr="00005520">
              <w:rPr>
                <w:sz w:val="20"/>
                <w:szCs w:val="20"/>
                <w:lang w:val="fr-CA"/>
              </w:rPr>
              <w:t>(Juge Wilson)</w:t>
            </w:r>
          </w:p>
          <w:p w:rsidR="00E033CB" w:rsidRPr="00005520" w:rsidRDefault="00E033CB" w:rsidP="00E033CB">
            <w:pPr>
              <w:jc w:val="both"/>
              <w:rPr>
                <w:sz w:val="20"/>
                <w:szCs w:val="20"/>
                <w:lang w:val="fr-CA"/>
              </w:rPr>
            </w:pPr>
            <w:r w:rsidRPr="00005520">
              <w:rPr>
                <w:sz w:val="20"/>
                <w:szCs w:val="20"/>
                <w:lang w:val="fr-CA"/>
              </w:rPr>
              <w:t>Non publié</w:t>
            </w:r>
          </w:p>
        </w:tc>
        <w:tc>
          <w:tcPr>
            <w:tcW w:w="243" w:type="pct"/>
          </w:tcPr>
          <w:p w:rsidR="00E033CB" w:rsidRPr="00005520" w:rsidRDefault="00E033CB" w:rsidP="00E033CB">
            <w:pPr>
              <w:jc w:val="both"/>
              <w:rPr>
                <w:sz w:val="20"/>
                <w:szCs w:val="20"/>
                <w:lang w:val="fr-CA"/>
              </w:rPr>
            </w:pPr>
          </w:p>
        </w:tc>
        <w:tc>
          <w:tcPr>
            <w:tcW w:w="2330" w:type="pct"/>
          </w:tcPr>
          <w:p w:rsidR="00E033CB" w:rsidRPr="00005520" w:rsidRDefault="00E033CB" w:rsidP="00E033CB">
            <w:pPr>
              <w:jc w:val="both"/>
              <w:rPr>
                <w:sz w:val="20"/>
                <w:szCs w:val="20"/>
                <w:lang w:val="fr-CA"/>
              </w:rPr>
            </w:pPr>
            <w:r w:rsidRPr="00005520">
              <w:rPr>
                <w:sz w:val="20"/>
                <w:szCs w:val="20"/>
                <w:lang w:val="fr-CA"/>
              </w:rPr>
              <w:t>Rejet de la demande du demandeur en autorisation d’introduire une demande de modification de l’ordonnance alimentaire en faveur de l’enfant</w:t>
            </w:r>
          </w:p>
          <w:p w:rsidR="00E033CB" w:rsidRPr="00005520" w:rsidRDefault="00E033CB" w:rsidP="00E033CB">
            <w:pPr>
              <w:jc w:val="both"/>
              <w:rPr>
                <w:sz w:val="20"/>
                <w:szCs w:val="20"/>
                <w:lang w:val="fr-CA"/>
              </w:rPr>
            </w:pPr>
          </w:p>
        </w:tc>
      </w:tr>
      <w:tr w:rsidR="00E033CB" w:rsidRPr="0096343C" w:rsidTr="0074616E">
        <w:tc>
          <w:tcPr>
            <w:tcW w:w="2427" w:type="pct"/>
            <w:gridSpan w:val="2"/>
          </w:tcPr>
          <w:p w:rsidR="00E033CB" w:rsidRPr="00005520" w:rsidRDefault="00E033CB" w:rsidP="00E033CB">
            <w:pPr>
              <w:jc w:val="both"/>
              <w:rPr>
                <w:sz w:val="20"/>
                <w:szCs w:val="20"/>
                <w:lang w:val="fr-CA"/>
              </w:rPr>
            </w:pPr>
            <w:r w:rsidRPr="00005520">
              <w:rPr>
                <w:sz w:val="20"/>
                <w:szCs w:val="20"/>
                <w:lang w:val="fr-CA"/>
              </w:rPr>
              <w:t>7 avril 2017</w:t>
            </w:r>
          </w:p>
          <w:p w:rsidR="00E033CB" w:rsidRPr="00005520" w:rsidRDefault="00E033CB" w:rsidP="00E033CB">
            <w:pPr>
              <w:jc w:val="both"/>
              <w:rPr>
                <w:sz w:val="20"/>
                <w:szCs w:val="20"/>
                <w:lang w:val="fr-CA"/>
              </w:rPr>
            </w:pPr>
            <w:r w:rsidRPr="00005520">
              <w:rPr>
                <w:sz w:val="20"/>
                <w:szCs w:val="20"/>
                <w:lang w:val="fr-CA"/>
              </w:rPr>
              <w:t>Cour d’appel de l’Alberta (Calgary)</w:t>
            </w:r>
          </w:p>
          <w:p w:rsidR="00E033CB" w:rsidRPr="00005520" w:rsidRDefault="00E033CB" w:rsidP="00E033CB">
            <w:pPr>
              <w:jc w:val="both"/>
              <w:rPr>
                <w:sz w:val="20"/>
                <w:szCs w:val="20"/>
                <w:lang w:val="fr-CA"/>
              </w:rPr>
            </w:pPr>
            <w:r w:rsidRPr="00005520">
              <w:rPr>
                <w:sz w:val="20"/>
                <w:szCs w:val="20"/>
                <w:lang w:val="fr-CA"/>
              </w:rPr>
              <w:t>(Juge Martin)</w:t>
            </w:r>
          </w:p>
          <w:p w:rsidR="00E033CB" w:rsidRPr="00005520" w:rsidRDefault="008D266B" w:rsidP="00E033CB">
            <w:pPr>
              <w:jc w:val="both"/>
              <w:rPr>
                <w:sz w:val="20"/>
                <w:szCs w:val="20"/>
                <w:lang w:val="fr-CA"/>
              </w:rPr>
            </w:pPr>
            <w:hyperlink r:id="rId34" w:history="1">
              <w:r w:rsidR="00E033CB" w:rsidRPr="00005520">
                <w:rPr>
                  <w:rStyle w:val="Hyperlink"/>
                  <w:sz w:val="20"/>
                  <w:szCs w:val="20"/>
                  <w:lang w:val="fr-CA"/>
                </w:rPr>
                <w:t>2017 ABCA 108</w:t>
              </w:r>
            </w:hyperlink>
          </w:p>
          <w:p w:rsidR="00E033CB" w:rsidRPr="00005520" w:rsidRDefault="00E033CB" w:rsidP="00E033CB">
            <w:pPr>
              <w:jc w:val="both"/>
              <w:rPr>
                <w:sz w:val="20"/>
                <w:szCs w:val="20"/>
                <w:lang w:val="fr-CA"/>
              </w:rPr>
            </w:pPr>
          </w:p>
        </w:tc>
        <w:tc>
          <w:tcPr>
            <w:tcW w:w="243" w:type="pct"/>
          </w:tcPr>
          <w:p w:rsidR="00E033CB" w:rsidRPr="00005520" w:rsidRDefault="00E033CB" w:rsidP="00E033CB">
            <w:pPr>
              <w:jc w:val="both"/>
              <w:rPr>
                <w:sz w:val="20"/>
                <w:szCs w:val="20"/>
                <w:lang w:val="fr-CA"/>
              </w:rPr>
            </w:pPr>
          </w:p>
        </w:tc>
        <w:tc>
          <w:tcPr>
            <w:tcW w:w="2330" w:type="pct"/>
          </w:tcPr>
          <w:p w:rsidR="00E033CB" w:rsidRPr="00005520" w:rsidRDefault="00E033CB" w:rsidP="00E033CB">
            <w:pPr>
              <w:jc w:val="both"/>
              <w:rPr>
                <w:sz w:val="20"/>
                <w:szCs w:val="20"/>
                <w:lang w:val="fr-CA"/>
              </w:rPr>
            </w:pPr>
            <w:r w:rsidRPr="00005520">
              <w:rPr>
                <w:sz w:val="20"/>
                <w:szCs w:val="20"/>
                <w:lang w:val="fr-CA"/>
              </w:rPr>
              <w:t>Arrêt accueillant en partie l’appel du demandeur et lui accordant l’autorisation sur une question en particulier</w:t>
            </w:r>
          </w:p>
          <w:p w:rsidR="00E033CB" w:rsidRPr="00005520" w:rsidRDefault="00E033CB" w:rsidP="00E033CB">
            <w:pPr>
              <w:jc w:val="both"/>
              <w:rPr>
                <w:sz w:val="20"/>
                <w:szCs w:val="20"/>
                <w:lang w:val="fr-CA"/>
              </w:rPr>
            </w:pPr>
          </w:p>
          <w:p w:rsidR="00E033CB" w:rsidRPr="00005520" w:rsidRDefault="00E033CB" w:rsidP="00E033CB">
            <w:pPr>
              <w:jc w:val="both"/>
              <w:rPr>
                <w:sz w:val="20"/>
                <w:szCs w:val="20"/>
                <w:lang w:val="fr-CA"/>
              </w:rPr>
            </w:pPr>
          </w:p>
        </w:tc>
      </w:tr>
      <w:tr w:rsidR="00E033CB" w:rsidRPr="00005520" w:rsidTr="0074616E">
        <w:tc>
          <w:tcPr>
            <w:tcW w:w="2427" w:type="pct"/>
            <w:gridSpan w:val="2"/>
          </w:tcPr>
          <w:p w:rsidR="00E033CB" w:rsidRPr="00005520" w:rsidRDefault="00E033CB" w:rsidP="00E033CB">
            <w:pPr>
              <w:jc w:val="both"/>
              <w:rPr>
                <w:sz w:val="20"/>
                <w:szCs w:val="20"/>
                <w:lang w:val="fr-CA"/>
              </w:rPr>
            </w:pPr>
            <w:r w:rsidRPr="00005520">
              <w:rPr>
                <w:sz w:val="20"/>
                <w:szCs w:val="20"/>
                <w:lang w:val="fr-CA"/>
              </w:rPr>
              <w:t>9 juin 2017</w:t>
            </w:r>
          </w:p>
          <w:p w:rsidR="00E033CB" w:rsidRPr="00005520" w:rsidRDefault="00E033CB" w:rsidP="00E033CB">
            <w:pPr>
              <w:jc w:val="both"/>
              <w:rPr>
                <w:sz w:val="20"/>
                <w:szCs w:val="20"/>
                <w:lang w:val="fr-CA"/>
              </w:rPr>
            </w:pPr>
            <w:r w:rsidRPr="00005520">
              <w:rPr>
                <w:sz w:val="20"/>
                <w:szCs w:val="20"/>
                <w:lang w:val="fr-CA"/>
              </w:rPr>
              <w:t>Cour d’appel de l’Alberta (Calgary)</w:t>
            </w:r>
          </w:p>
          <w:p w:rsidR="00E033CB" w:rsidRPr="00005520" w:rsidRDefault="00E033CB" w:rsidP="00E033CB">
            <w:pPr>
              <w:jc w:val="both"/>
              <w:rPr>
                <w:sz w:val="20"/>
                <w:szCs w:val="20"/>
                <w:lang w:val="fr-CA"/>
              </w:rPr>
            </w:pPr>
            <w:r w:rsidRPr="00005520">
              <w:rPr>
                <w:sz w:val="20"/>
                <w:szCs w:val="20"/>
                <w:lang w:val="fr-CA"/>
              </w:rPr>
              <w:t>(Juges Berger, O'Ferrall et Schutz)</w:t>
            </w:r>
          </w:p>
          <w:p w:rsidR="00E033CB" w:rsidRPr="00005520" w:rsidRDefault="008D266B" w:rsidP="00E033CB">
            <w:pPr>
              <w:jc w:val="both"/>
              <w:rPr>
                <w:sz w:val="20"/>
                <w:szCs w:val="20"/>
                <w:lang w:val="fr-CA"/>
              </w:rPr>
            </w:pPr>
            <w:hyperlink r:id="rId35" w:history="1">
              <w:r w:rsidR="00E033CB" w:rsidRPr="00005520">
                <w:rPr>
                  <w:rStyle w:val="Hyperlink"/>
                  <w:sz w:val="20"/>
                  <w:szCs w:val="20"/>
                  <w:lang w:val="fr-CA"/>
                </w:rPr>
                <w:t>2017 ABCA 177</w:t>
              </w:r>
            </w:hyperlink>
          </w:p>
          <w:p w:rsidR="00E033CB" w:rsidRPr="00005520" w:rsidRDefault="00E033CB" w:rsidP="00E033CB">
            <w:pPr>
              <w:jc w:val="both"/>
              <w:rPr>
                <w:sz w:val="20"/>
                <w:szCs w:val="20"/>
                <w:lang w:val="fr-CA"/>
              </w:rPr>
            </w:pPr>
          </w:p>
        </w:tc>
        <w:tc>
          <w:tcPr>
            <w:tcW w:w="243" w:type="pct"/>
          </w:tcPr>
          <w:p w:rsidR="00E033CB" w:rsidRPr="00005520" w:rsidRDefault="00E033CB" w:rsidP="00E033CB">
            <w:pPr>
              <w:jc w:val="both"/>
              <w:rPr>
                <w:sz w:val="20"/>
                <w:szCs w:val="20"/>
                <w:lang w:val="fr-CA"/>
              </w:rPr>
            </w:pPr>
          </w:p>
        </w:tc>
        <w:tc>
          <w:tcPr>
            <w:tcW w:w="2330" w:type="pct"/>
          </w:tcPr>
          <w:p w:rsidR="00E033CB" w:rsidRPr="00005520" w:rsidRDefault="00E033CB" w:rsidP="00E033CB">
            <w:pPr>
              <w:jc w:val="both"/>
              <w:rPr>
                <w:sz w:val="20"/>
                <w:szCs w:val="20"/>
                <w:lang w:val="fr-CA"/>
              </w:rPr>
            </w:pPr>
            <w:r w:rsidRPr="00005520">
              <w:rPr>
                <w:sz w:val="20"/>
                <w:szCs w:val="20"/>
                <w:lang w:val="fr-CA"/>
              </w:rPr>
              <w:t>Rejet de l’appel du demandeur</w:t>
            </w:r>
          </w:p>
          <w:p w:rsidR="00E033CB" w:rsidRPr="00005520" w:rsidRDefault="00E033CB" w:rsidP="00E033CB">
            <w:pPr>
              <w:jc w:val="both"/>
              <w:rPr>
                <w:sz w:val="20"/>
                <w:szCs w:val="20"/>
                <w:lang w:val="fr-CA"/>
              </w:rPr>
            </w:pPr>
          </w:p>
        </w:tc>
      </w:tr>
      <w:tr w:rsidR="00E033CB" w:rsidRPr="0096343C" w:rsidTr="0074616E">
        <w:tc>
          <w:tcPr>
            <w:tcW w:w="2427" w:type="pct"/>
            <w:gridSpan w:val="2"/>
          </w:tcPr>
          <w:p w:rsidR="00E033CB" w:rsidRPr="00005520" w:rsidRDefault="00E033CB" w:rsidP="00E033CB">
            <w:pPr>
              <w:jc w:val="both"/>
              <w:rPr>
                <w:sz w:val="20"/>
                <w:szCs w:val="20"/>
                <w:lang w:val="fr-CA"/>
              </w:rPr>
            </w:pPr>
            <w:r w:rsidRPr="00005520">
              <w:rPr>
                <w:sz w:val="20"/>
                <w:szCs w:val="20"/>
                <w:lang w:val="fr-CA"/>
              </w:rPr>
              <w:t>10 août 2017</w:t>
            </w:r>
          </w:p>
          <w:p w:rsidR="00E033CB" w:rsidRPr="00005520" w:rsidRDefault="00E033CB" w:rsidP="00E033CB">
            <w:pPr>
              <w:jc w:val="both"/>
              <w:rPr>
                <w:sz w:val="20"/>
                <w:szCs w:val="20"/>
                <w:lang w:val="fr-CA"/>
              </w:rPr>
            </w:pPr>
            <w:r w:rsidRPr="00005520">
              <w:rPr>
                <w:sz w:val="20"/>
                <w:szCs w:val="20"/>
                <w:lang w:val="fr-CA"/>
              </w:rPr>
              <w:t>Cour suprême du Canada</w:t>
            </w:r>
          </w:p>
        </w:tc>
        <w:tc>
          <w:tcPr>
            <w:tcW w:w="243" w:type="pct"/>
          </w:tcPr>
          <w:p w:rsidR="00E033CB" w:rsidRPr="00005520" w:rsidRDefault="00E033CB" w:rsidP="00E033CB">
            <w:pPr>
              <w:jc w:val="both"/>
              <w:rPr>
                <w:sz w:val="20"/>
                <w:szCs w:val="20"/>
                <w:lang w:val="fr-CA"/>
              </w:rPr>
            </w:pPr>
          </w:p>
        </w:tc>
        <w:tc>
          <w:tcPr>
            <w:tcW w:w="2330" w:type="pct"/>
          </w:tcPr>
          <w:p w:rsidR="00E033CB" w:rsidRPr="00005520" w:rsidRDefault="00E033CB" w:rsidP="00E033CB">
            <w:pPr>
              <w:jc w:val="both"/>
              <w:rPr>
                <w:sz w:val="20"/>
                <w:szCs w:val="20"/>
                <w:lang w:val="fr-CA"/>
              </w:rPr>
            </w:pPr>
            <w:r w:rsidRPr="00005520">
              <w:rPr>
                <w:sz w:val="20"/>
                <w:szCs w:val="20"/>
                <w:lang w:val="fr-CA"/>
              </w:rPr>
              <w:t>Dépôt de la demande d’autorisation d’appel</w:t>
            </w:r>
          </w:p>
          <w:p w:rsidR="00E033CB" w:rsidRPr="00005520" w:rsidRDefault="00E033CB" w:rsidP="00E033CB">
            <w:pPr>
              <w:jc w:val="both"/>
              <w:rPr>
                <w:sz w:val="20"/>
                <w:szCs w:val="20"/>
                <w:lang w:val="fr-CA"/>
              </w:rPr>
            </w:pPr>
          </w:p>
        </w:tc>
      </w:tr>
    </w:tbl>
    <w:p w:rsidR="00E033CB" w:rsidRPr="00005520" w:rsidRDefault="008D266B" w:rsidP="00E033CB">
      <w:pPr>
        <w:rPr>
          <w:sz w:val="20"/>
          <w:szCs w:val="20"/>
          <w:lang w:val="fr-CA"/>
        </w:rPr>
      </w:pPr>
      <w:r>
        <w:rPr>
          <w:sz w:val="20"/>
          <w:szCs w:val="20"/>
        </w:rPr>
        <w:pict>
          <v:rect id="_x0000_i1052" style="width:2in;height:1pt" o:hrpct="0" o:hralign="center" o:hrstd="t" o:hrnoshade="t" o:hr="t" fillcolor="black [3213]" stroked="f"/>
        </w:pict>
      </w:r>
    </w:p>
    <w:p w:rsidR="00E033CB" w:rsidRPr="00005520" w:rsidRDefault="00E033CB" w:rsidP="00E033CB">
      <w:pPr>
        <w:jc w:val="both"/>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033CB" w:rsidRPr="00005520" w:rsidTr="0074616E">
        <w:tc>
          <w:tcPr>
            <w:tcW w:w="543" w:type="pct"/>
          </w:tcPr>
          <w:p w:rsidR="00E033CB" w:rsidRPr="00005520" w:rsidRDefault="00E033CB" w:rsidP="0074616E">
            <w:pPr>
              <w:rPr>
                <w:sz w:val="20"/>
                <w:szCs w:val="20"/>
              </w:rPr>
            </w:pPr>
            <w:r w:rsidRPr="00005520">
              <w:rPr>
                <w:rStyle w:val="SCCFileNumberChar"/>
                <w:sz w:val="20"/>
                <w:szCs w:val="20"/>
              </w:rPr>
              <w:t>37731</w:t>
            </w:r>
          </w:p>
        </w:tc>
        <w:tc>
          <w:tcPr>
            <w:tcW w:w="4457" w:type="pct"/>
            <w:gridSpan w:val="3"/>
          </w:tcPr>
          <w:p w:rsidR="00E033CB" w:rsidRPr="00005520" w:rsidRDefault="00E033CB" w:rsidP="0074616E">
            <w:pPr>
              <w:pStyle w:val="SCCLsocParty"/>
              <w:jc w:val="both"/>
              <w:rPr>
                <w:b/>
                <w:sz w:val="20"/>
                <w:szCs w:val="20"/>
                <w:lang w:val="en-CA"/>
              </w:rPr>
            </w:pPr>
            <w:r w:rsidRPr="00005520">
              <w:rPr>
                <w:b/>
                <w:sz w:val="20"/>
                <w:szCs w:val="20"/>
                <w:lang w:val="en-CA"/>
              </w:rPr>
              <w:t>S.D. v. S.M.</w:t>
            </w:r>
          </w:p>
          <w:p w:rsidR="00E033CB" w:rsidRPr="00005520" w:rsidRDefault="00E033CB" w:rsidP="0074616E">
            <w:pPr>
              <w:rPr>
                <w:sz w:val="20"/>
                <w:szCs w:val="20"/>
              </w:rPr>
            </w:pPr>
            <w:r w:rsidRPr="00005520">
              <w:rPr>
                <w:sz w:val="20"/>
                <w:szCs w:val="20"/>
              </w:rPr>
              <w:t>(Que.) (Civil) (By Leave)</w:t>
            </w:r>
          </w:p>
        </w:tc>
      </w:tr>
      <w:tr w:rsidR="00047CBB" w:rsidRPr="00005520" w:rsidTr="0074616E">
        <w:tc>
          <w:tcPr>
            <w:tcW w:w="543" w:type="pct"/>
          </w:tcPr>
          <w:p w:rsidR="00047CBB" w:rsidRPr="00005520" w:rsidRDefault="00047CBB" w:rsidP="0074616E">
            <w:pPr>
              <w:rPr>
                <w:rStyle w:val="SCCFileNumberChar"/>
                <w:sz w:val="20"/>
                <w:szCs w:val="20"/>
              </w:rPr>
            </w:pPr>
            <w:r>
              <w:rPr>
                <w:rStyle w:val="SCCFileNumberChar"/>
                <w:sz w:val="20"/>
                <w:szCs w:val="20"/>
              </w:rPr>
              <w:t>Coram:</w:t>
            </w:r>
          </w:p>
        </w:tc>
        <w:tc>
          <w:tcPr>
            <w:tcW w:w="4457" w:type="pct"/>
            <w:gridSpan w:val="3"/>
          </w:tcPr>
          <w:p w:rsidR="00047CBB" w:rsidRDefault="00CA518B" w:rsidP="0074616E">
            <w:pPr>
              <w:pStyle w:val="SCCLsocParty"/>
              <w:jc w:val="both"/>
              <w:rPr>
                <w:sz w:val="20"/>
                <w:szCs w:val="20"/>
                <w:lang w:val="en-CA"/>
              </w:rPr>
            </w:pPr>
            <w:r w:rsidRPr="007501BD">
              <w:rPr>
                <w:sz w:val="20"/>
                <w:szCs w:val="20"/>
                <w:lang w:val="en-CA"/>
              </w:rPr>
              <w:t>McLachlin C.J. and Abella, Moldaver, Karakatsanis, Wagner, Gascon, Côté, Brown and Rowe JJ.</w:t>
            </w:r>
          </w:p>
          <w:p w:rsidR="00CA518B" w:rsidRPr="00CA518B" w:rsidRDefault="00CA518B" w:rsidP="00CA518B"/>
        </w:tc>
      </w:tr>
      <w:tr w:rsidR="00047CBB" w:rsidRPr="00005520" w:rsidTr="00047CBB">
        <w:tc>
          <w:tcPr>
            <w:tcW w:w="5000" w:type="pct"/>
            <w:gridSpan w:val="4"/>
          </w:tcPr>
          <w:p w:rsidR="00047CBB" w:rsidRDefault="00E059D1" w:rsidP="0074616E">
            <w:pPr>
              <w:pStyle w:val="SCCLsocParty"/>
              <w:jc w:val="both"/>
              <w:rPr>
                <w:sz w:val="20"/>
                <w:szCs w:val="20"/>
                <w:lang w:val="en-CA"/>
              </w:rPr>
            </w:pPr>
            <w:r w:rsidRPr="007501BD">
              <w:rPr>
                <w:sz w:val="20"/>
                <w:szCs w:val="20"/>
                <w:lang w:val="en-CA"/>
              </w:rPr>
              <w:t>The application for leave to appeal from the judgment of the Court of Appeal of Quebec (Montréal), Number 500-09-026760-173, 2017 QCCA 1367, dated September 7, 2017, is dismissed with costs.</w:t>
            </w:r>
          </w:p>
          <w:p w:rsidR="00E059D1" w:rsidRPr="00E059D1" w:rsidRDefault="00E059D1" w:rsidP="00E059D1"/>
        </w:tc>
      </w:tr>
      <w:tr w:rsidR="00E033CB" w:rsidRPr="00005520" w:rsidTr="0074616E">
        <w:tc>
          <w:tcPr>
            <w:tcW w:w="5000" w:type="pct"/>
            <w:gridSpan w:val="4"/>
          </w:tcPr>
          <w:p w:rsidR="00E033CB" w:rsidRPr="00005520" w:rsidRDefault="00E033CB" w:rsidP="00E033CB">
            <w:pPr>
              <w:pStyle w:val="SCCBanSummary"/>
              <w:rPr>
                <w:sz w:val="20"/>
                <w:szCs w:val="20"/>
              </w:rPr>
            </w:pPr>
            <w:r w:rsidRPr="00005520">
              <w:rPr>
                <w:sz w:val="20"/>
                <w:szCs w:val="20"/>
              </w:rPr>
              <w:lastRenderedPageBreak/>
              <w:t>(</w:t>
            </w:r>
            <w:r w:rsidRPr="00005520">
              <w:rPr>
                <w:sz w:val="20"/>
                <w:szCs w:val="20"/>
                <w:lang w:val="en-GB"/>
              </w:rPr>
              <w:t>Publication Ban in Case</w:t>
            </w:r>
            <w:r w:rsidRPr="00005520">
              <w:rPr>
                <w:sz w:val="20"/>
                <w:szCs w:val="20"/>
              </w:rPr>
              <w:t>) (</w:t>
            </w:r>
            <w:r w:rsidRPr="00005520">
              <w:rPr>
                <w:sz w:val="20"/>
                <w:szCs w:val="20"/>
                <w:lang w:val="en-GB"/>
              </w:rPr>
              <w:t>Publication Ban on Party</w:t>
            </w:r>
            <w:r w:rsidRPr="00005520">
              <w:rPr>
                <w:sz w:val="20"/>
                <w:szCs w:val="20"/>
              </w:rPr>
              <w:t>) (</w:t>
            </w:r>
            <w:r w:rsidRPr="00005520">
              <w:rPr>
                <w:sz w:val="20"/>
                <w:szCs w:val="20"/>
                <w:lang w:val="en-GB"/>
              </w:rPr>
              <w:t>Court file contains information that is not available for inspection by the public</w:t>
            </w:r>
            <w:r w:rsidRPr="00005520">
              <w:rPr>
                <w:sz w:val="20"/>
                <w:szCs w:val="20"/>
              </w:rPr>
              <w:t>)</w:t>
            </w:r>
          </w:p>
          <w:p w:rsidR="00E033CB" w:rsidRPr="00005520" w:rsidRDefault="00E033CB" w:rsidP="00E033CB">
            <w:pPr>
              <w:jc w:val="both"/>
              <w:rPr>
                <w:sz w:val="20"/>
                <w:szCs w:val="20"/>
              </w:rPr>
            </w:pPr>
          </w:p>
          <w:p w:rsidR="00E033CB" w:rsidRPr="00005520" w:rsidRDefault="00E033CB" w:rsidP="00E033CB">
            <w:pPr>
              <w:jc w:val="both"/>
              <w:rPr>
                <w:sz w:val="20"/>
                <w:szCs w:val="20"/>
              </w:rPr>
            </w:pPr>
            <w:r w:rsidRPr="00005520">
              <w:rPr>
                <w:sz w:val="20"/>
                <w:szCs w:val="20"/>
              </w:rPr>
              <w:t xml:space="preserve">Family law — Custody — Mobility — Access rights — Whether analytical framework set out in </w:t>
            </w:r>
            <w:r w:rsidRPr="00005520">
              <w:rPr>
                <w:i/>
                <w:sz w:val="20"/>
                <w:szCs w:val="20"/>
              </w:rPr>
              <w:t>Gordon v. Goertz</w:t>
            </w:r>
            <w:r w:rsidRPr="00005520">
              <w:rPr>
                <w:sz w:val="20"/>
                <w:szCs w:val="20"/>
              </w:rPr>
              <w:t xml:space="preserve"> should be revised in light of evolution of society over past 21 years, particularly mobility of members of society and large number of parents of different nationalities who still have family in their countries of origin — Whether analytical framework set out in </w:t>
            </w:r>
            <w:r w:rsidRPr="00005520">
              <w:rPr>
                <w:i/>
                <w:sz w:val="20"/>
                <w:szCs w:val="20"/>
              </w:rPr>
              <w:t>Gordon v. Goertz</w:t>
            </w:r>
            <w:r w:rsidRPr="00005520">
              <w:rPr>
                <w:sz w:val="20"/>
                <w:szCs w:val="20"/>
              </w:rPr>
              <w:t xml:space="preserve"> should be revised so that criterion of child’s age is analyzed differently having regard to child’s needs, on basis that six</w:t>
            </w:r>
            <w:r w:rsidRPr="00005520">
              <w:rPr>
                <w:sz w:val="20"/>
                <w:szCs w:val="20"/>
              </w:rPr>
              <w:noBreakHyphen/>
              <w:t>month</w:t>
            </w:r>
            <w:r w:rsidRPr="00005520">
              <w:rPr>
                <w:sz w:val="20"/>
                <w:szCs w:val="20"/>
              </w:rPr>
              <w:noBreakHyphen/>
              <w:t>old child does not have same emotional and psychological needs as ten</w:t>
            </w:r>
            <w:r w:rsidRPr="00005520">
              <w:rPr>
                <w:sz w:val="20"/>
                <w:szCs w:val="20"/>
              </w:rPr>
              <w:noBreakHyphen/>
              <w:t>year</w:t>
            </w:r>
            <w:r w:rsidRPr="00005520">
              <w:rPr>
                <w:sz w:val="20"/>
                <w:szCs w:val="20"/>
              </w:rPr>
              <w:softHyphen/>
            </w:r>
            <w:r w:rsidRPr="00005520">
              <w:rPr>
                <w:sz w:val="20"/>
                <w:szCs w:val="20"/>
              </w:rPr>
              <w:noBreakHyphen/>
              <w:t xml:space="preserve">old child — Whether analytical framework set out in </w:t>
            </w:r>
            <w:r w:rsidRPr="00005520">
              <w:rPr>
                <w:i/>
                <w:sz w:val="20"/>
                <w:szCs w:val="20"/>
              </w:rPr>
              <w:t>Gordon v. Goertz</w:t>
            </w:r>
            <w:r w:rsidRPr="00005520">
              <w:rPr>
                <w:sz w:val="20"/>
                <w:szCs w:val="20"/>
              </w:rPr>
              <w:t xml:space="preserve"> should be revised to consider reason for moving, and not only to determine whether this affects parenting ability of parent requesting move — </w:t>
            </w:r>
            <w:r w:rsidRPr="00005520">
              <w:rPr>
                <w:i/>
                <w:sz w:val="20"/>
                <w:szCs w:val="20"/>
              </w:rPr>
              <w:t>Civil Code of Québec</w:t>
            </w:r>
            <w:r w:rsidRPr="00005520">
              <w:rPr>
                <w:sz w:val="20"/>
                <w:szCs w:val="20"/>
              </w:rPr>
              <w:t>, art. 33.</w:t>
            </w:r>
          </w:p>
        </w:tc>
      </w:tr>
      <w:tr w:rsidR="00E033CB" w:rsidRPr="00005520" w:rsidTr="0074616E">
        <w:tc>
          <w:tcPr>
            <w:tcW w:w="5000" w:type="pct"/>
            <w:gridSpan w:val="4"/>
          </w:tcPr>
          <w:p w:rsidR="00E033CB" w:rsidRPr="00005520" w:rsidRDefault="00E033CB" w:rsidP="00E033CB">
            <w:pPr>
              <w:jc w:val="both"/>
              <w:rPr>
                <w:sz w:val="20"/>
                <w:szCs w:val="20"/>
              </w:rPr>
            </w:pPr>
          </w:p>
        </w:tc>
      </w:tr>
      <w:tr w:rsidR="00E033CB" w:rsidRPr="00005520" w:rsidTr="0074616E">
        <w:tc>
          <w:tcPr>
            <w:tcW w:w="5000" w:type="pct"/>
            <w:gridSpan w:val="4"/>
          </w:tcPr>
          <w:p w:rsidR="00E033CB" w:rsidRPr="00005520" w:rsidRDefault="00E033CB" w:rsidP="00E033CB">
            <w:pPr>
              <w:jc w:val="both"/>
              <w:rPr>
                <w:sz w:val="20"/>
                <w:szCs w:val="20"/>
              </w:rPr>
            </w:pPr>
            <w:r w:rsidRPr="00005520">
              <w:rPr>
                <w:sz w:val="20"/>
                <w:szCs w:val="20"/>
              </w:rPr>
              <w:t>The respondent S.M. is of French nationality. She resided in France until 2010, when she obtained a student visa and came to a Quebec university for graduate studies in neuropsychology. She met the applicant S.D. in 2011, although she did not start dating him until January 2014. S.D. is of Greek origin and grew up in Quebec. They began living together in February 2015. The same year, S.M. gave birth to a little boy. The relationship deteriorated quickly, mainly because of cultural differences. The parties separated in May 2016, when the child was only five months old. The parties agreed that S.M. would have custody of the child and that S.D. would have access for short periods of time because the child was so young. That interim consent agreement was the subject of safeguard orders made by the Superior Court, which progressively increased S.D.’s access. Before the start of the trial, S.M. completed her studies and obtained a Ph.D. in neuropsychology. She informed S.D. that she intended to go back to live in France with her son. In response, S.D. brought a motion for shared custody of the child and asked that S.M. be prohibited from leaving Quebec with the child. S.M. sought sole custody and authorization to move to France with the child.</w:t>
            </w:r>
          </w:p>
          <w:p w:rsidR="00E033CB" w:rsidRPr="00005520" w:rsidRDefault="00E033CB" w:rsidP="00E033CB">
            <w:pPr>
              <w:jc w:val="both"/>
              <w:rPr>
                <w:sz w:val="20"/>
                <w:szCs w:val="20"/>
              </w:rPr>
            </w:pPr>
          </w:p>
        </w:tc>
      </w:tr>
      <w:tr w:rsidR="00E033CB" w:rsidRPr="00005520" w:rsidTr="0074616E">
        <w:tc>
          <w:tcPr>
            <w:tcW w:w="2427" w:type="pct"/>
            <w:gridSpan w:val="2"/>
          </w:tcPr>
          <w:p w:rsidR="00E033CB" w:rsidRPr="00005520" w:rsidRDefault="00E033CB" w:rsidP="0074616E">
            <w:pPr>
              <w:rPr>
                <w:sz w:val="20"/>
                <w:szCs w:val="20"/>
              </w:rPr>
            </w:pPr>
            <w:r w:rsidRPr="00005520">
              <w:rPr>
                <w:sz w:val="20"/>
                <w:szCs w:val="20"/>
              </w:rPr>
              <w:t>April 27, 2017</w:t>
            </w:r>
          </w:p>
          <w:p w:rsidR="00E033CB" w:rsidRPr="00005520" w:rsidRDefault="00E033CB" w:rsidP="0074616E">
            <w:pPr>
              <w:rPr>
                <w:sz w:val="20"/>
                <w:szCs w:val="20"/>
              </w:rPr>
            </w:pPr>
            <w:r w:rsidRPr="00005520">
              <w:rPr>
                <w:sz w:val="20"/>
                <w:szCs w:val="20"/>
              </w:rPr>
              <w:t>Quebec Superior Court</w:t>
            </w:r>
          </w:p>
          <w:p w:rsidR="00E033CB" w:rsidRPr="00005520" w:rsidRDefault="00E033CB" w:rsidP="0074616E">
            <w:pPr>
              <w:rPr>
                <w:sz w:val="20"/>
                <w:szCs w:val="20"/>
              </w:rPr>
            </w:pPr>
            <w:r w:rsidRPr="00005520">
              <w:rPr>
                <w:sz w:val="20"/>
                <w:szCs w:val="20"/>
              </w:rPr>
              <w:t>(Kear-Jodoin J.)</w:t>
            </w:r>
          </w:p>
          <w:p w:rsidR="00E033CB" w:rsidRPr="00005520" w:rsidRDefault="008D266B" w:rsidP="0074616E">
            <w:pPr>
              <w:rPr>
                <w:sz w:val="20"/>
                <w:szCs w:val="20"/>
              </w:rPr>
            </w:pPr>
            <w:hyperlink r:id="rId36" w:history="1">
              <w:r w:rsidR="00E033CB" w:rsidRPr="00005520">
                <w:rPr>
                  <w:rStyle w:val="Hyperlink"/>
                  <w:sz w:val="20"/>
                  <w:szCs w:val="20"/>
                </w:rPr>
                <w:t>2017 QCCS 1600</w:t>
              </w:r>
            </w:hyperlink>
          </w:p>
          <w:p w:rsidR="00E033CB" w:rsidRPr="00005520" w:rsidRDefault="00E033CB" w:rsidP="0074616E">
            <w:pPr>
              <w:rPr>
                <w:sz w:val="20"/>
                <w:szCs w:val="20"/>
              </w:rPr>
            </w:pPr>
          </w:p>
        </w:tc>
        <w:tc>
          <w:tcPr>
            <w:tcW w:w="243" w:type="pct"/>
          </w:tcPr>
          <w:p w:rsidR="00E033CB" w:rsidRPr="00005520" w:rsidRDefault="00E033CB" w:rsidP="0074616E">
            <w:pPr>
              <w:rPr>
                <w:sz w:val="20"/>
                <w:szCs w:val="20"/>
              </w:rPr>
            </w:pPr>
          </w:p>
        </w:tc>
        <w:tc>
          <w:tcPr>
            <w:tcW w:w="2330" w:type="pct"/>
          </w:tcPr>
          <w:p w:rsidR="00E033CB" w:rsidRPr="00005520" w:rsidRDefault="00E033CB" w:rsidP="00E033CB">
            <w:pPr>
              <w:jc w:val="both"/>
              <w:rPr>
                <w:sz w:val="20"/>
                <w:szCs w:val="20"/>
              </w:rPr>
            </w:pPr>
            <w:r w:rsidRPr="00005520">
              <w:rPr>
                <w:sz w:val="20"/>
                <w:szCs w:val="20"/>
              </w:rPr>
              <w:t>Progressive shared custody of minor child granted</w:t>
            </w:r>
          </w:p>
        </w:tc>
      </w:tr>
      <w:tr w:rsidR="00E033CB" w:rsidRPr="00005520" w:rsidTr="0074616E">
        <w:tc>
          <w:tcPr>
            <w:tcW w:w="2427" w:type="pct"/>
            <w:gridSpan w:val="2"/>
          </w:tcPr>
          <w:p w:rsidR="00E033CB" w:rsidRPr="00005520" w:rsidRDefault="00E033CB" w:rsidP="0074616E">
            <w:pPr>
              <w:rPr>
                <w:sz w:val="20"/>
                <w:szCs w:val="20"/>
              </w:rPr>
            </w:pPr>
            <w:r w:rsidRPr="00005520">
              <w:rPr>
                <w:sz w:val="20"/>
                <w:szCs w:val="20"/>
              </w:rPr>
              <w:t>September 7, 2017</w:t>
            </w:r>
          </w:p>
          <w:p w:rsidR="00E033CB" w:rsidRPr="00005520" w:rsidRDefault="00E033CB" w:rsidP="0074616E">
            <w:pPr>
              <w:rPr>
                <w:sz w:val="20"/>
                <w:szCs w:val="20"/>
              </w:rPr>
            </w:pPr>
            <w:r w:rsidRPr="00005520">
              <w:rPr>
                <w:sz w:val="20"/>
                <w:szCs w:val="20"/>
              </w:rPr>
              <w:t>Quebec Court of Appeal (Montréal)</w:t>
            </w:r>
          </w:p>
          <w:p w:rsidR="00E033CB" w:rsidRPr="00005520" w:rsidRDefault="00E033CB" w:rsidP="0074616E">
            <w:pPr>
              <w:rPr>
                <w:sz w:val="20"/>
                <w:szCs w:val="20"/>
              </w:rPr>
            </w:pPr>
            <w:r w:rsidRPr="00005520">
              <w:rPr>
                <w:sz w:val="20"/>
                <w:szCs w:val="20"/>
              </w:rPr>
              <w:t>(Mainville, Hogue and Healy JJ.A.)</w:t>
            </w:r>
          </w:p>
          <w:p w:rsidR="00E033CB" w:rsidRPr="00005520" w:rsidRDefault="008D266B" w:rsidP="0074616E">
            <w:pPr>
              <w:rPr>
                <w:sz w:val="20"/>
                <w:szCs w:val="20"/>
              </w:rPr>
            </w:pPr>
            <w:hyperlink r:id="rId37" w:history="1">
              <w:r w:rsidR="00E033CB" w:rsidRPr="00005520">
                <w:rPr>
                  <w:rStyle w:val="Hyperlink"/>
                  <w:sz w:val="20"/>
                  <w:szCs w:val="20"/>
                </w:rPr>
                <w:t>2017 QCCA 1367</w:t>
              </w:r>
            </w:hyperlink>
          </w:p>
          <w:p w:rsidR="00E033CB" w:rsidRPr="00005520" w:rsidRDefault="00E033CB" w:rsidP="0074616E">
            <w:pPr>
              <w:rPr>
                <w:sz w:val="20"/>
                <w:szCs w:val="20"/>
              </w:rPr>
            </w:pPr>
          </w:p>
        </w:tc>
        <w:tc>
          <w:tcPr>
            <w:tcW w:w="243" w:type="pct"/>
          </w:tcPr>
          <w:p w:rsidR="00E033CB" w:rsidRPr="00005520" w:rsidRDefault="00E033CB" w:rsidP="0074616E">
            <w:pPr>
              <w:rPr>
                <w:sz w:val="20"/>
                <w:szCs w:val="20"/>
              </w:rPr>
            </w:pPr>
          </w:p>
        </w:tc>
        <w:tc>
          <w:tcPr>
            <w:tcW w:w="2330" w:type="pct"/>
          </w:tcPr>
          <w:p w:rsidR="00E033CB" w:rsidRPr="00005520" w:rsidRDefault="00E033CB" w:rsidP="00E033CB">
            <w:pPr>
              <w:jc w:val="both"/>
              <w:rPr>
                <w:sz w:val="20"/>
                <w:szCs w:val="20"/>
              </w:rPr>
            </w:pPr>
            <w:r w:rsidRPr="00005520">
              <w:rPr>
                <w:sz w:val="20"/>
                <w:szCs w:val="20"/>
              </w:rPr>
              <w:t>Appeal allowed; S.M. granted sole custody of minor child and authorized to move to France with minor child; S.D. granted access rights</w:t>
            </w:r>
          </w:p>
          <w:p w:rsidR="00E033CB" w:rsidRPr="00005520" w:rsidRDefault="00E033CB" w:rsidP="00E033CB">
            <w:pPr>
              <w:jc w:val="both"/>
              <w:rPr>
                <w:sz w:val="20"/>
                <w:szCs w:val="20"/>
              </w:rPr>
            </w:pPr>
          </w:p>
        </w:tc>
      </w:tr>
      <w:tr w:rsidR="00E033CB" w:rsidRPr="00005520" w:rsidTr="0074616E">
        <w:tc>
          <w:tcPr>
            <w:tcW w:w="2427" w:type="pct"/>
            <w:gridSpan w:val="2"/>
          </w:tcPr>
          <w:p w:rsidR="00E033CB" w:rsidRPr="00005520" w:rsidRDefault="00E033CB" w:rsidP="0074616E">
            <w:pPr>
              <w:rPr>
                <w:sz w:val="20"/>
                <w:szCs w:val="20"/>
              </w:rPr>
            </w:pPr>
            <w:r w:rsidRPr="00005520">
              <w:rPr>
                <w:sz w:val="20"/>
                <w:szCs w:val="20"/>
              </w:rPr>
              <w:t>November 6, 2017</w:t>
            </w:r>
          </w:p>
          <w:p w:rsidR="00E033CB" w:rsidRPr="00005520" w:rsidRDefault="00E033CB" w:rsidP="0074616E">
            <w:pPr>
              <w:rPr>
                <w:sz w:val="20"/>
                <w:szCs w:val="20"/>
              </w:rPr>
            </w:pPr>
            <w:r w:rsidRPr="00005520">
              <w:rPr>
                <w:sz w:val="20"/>
                <w:szCs w:val="20"/>
              </w:rPr>
              <w:t>Supreme Court of Canada</w:t>
            </w:r>
          </w:p>
        </w:tc>
        <w:tc>
          <w:tcPr>
            <w:tcW w:w="243" w:type="pct"/>
          </w:tcPr>
          <w:p w:rsidR="00E033CB" w:rsidRPr="00005520" w:rsidRDefault="00E033CB" w:rsidP="0074616E">
            <w:pPr>
              <w:rPr>
                <w:sz w:val="20"/>
                <w:szCs w:val="20"/>
              </w:rPr>
            </w:pPr>
          </w:p>
        </w:tc>
        <w:tc>
          <w:tcPr>
            <w:tcW w:w="2330" w:type="pct"/>
          </w:tcPr>
          <w:p w:rsidR="00E033CB" w:rsidRPr="00005520" w:rsidRDefault="00E033CB" w:rsidP="00E033CB">
            <w:pPr>
              <w:jc w:val="both"/>
              <w:rPr>
                <w:sz w:val="20"/>
                <w:szCs w:val="20"/>
              </w:rPr>
            </w:pPr>
            <w:r w:rsidRPr="00005520">
              <w:rPr>
                <w:sz w:val="20"/>
                <w:szCs w:val="20"/>
              </w:rPr>
              <w:t>Application for leave to appeal filed</w:t>
            </w:r>
          </w:p>
          <w:p w:rsidR="00E033CB" w:rsidRPr="00005520" w:rsidRDefault="00E033CB" w:rsidP="00E033CB">
            <w:pPr>
              <w:jc w:val="both"/>
              <w:rPr>
                <w:sz w:val="20"/>
                <w:szCs w:val="20"/>
              </w:rPr>
            </w:pPr>
          </w:p>
        </w:tc>
      </w:tr>
    </w:tbl>
    <w:p w:rsidR="00E033CB" w:rsidRPr="00005520" w:rsidRDefault="008D266B" w:rsidP="00E033CB">
      <w:pPr>
        <w:rPr>
          <w:sz w:val="20"/>
          <w:szCs w:val="20"/>
        </w:rPr>
      </w:pPr>
      <w:r>
        <w:rPr>
          <w:sz w:val="20"/>
          <w:szCs w:val="20"/>
        </w:rPr>
        <w:pict>
          <v:rect id="_x0000_i1053" style="width:2in;height:1pt" o:hrpct="0" o:hralign="center" o:hrstd="t" o:hrnoshade="t" o:hr="t" fillcolor="black [3213]" stroked="f"/>
        </w:pict>
      </w:r>
    </w:p>
    <w:p w:rsidR="00E033CB" w:rsidRPr="00005520" w:rsidRDefault="00E033CB" w:rsidP="00E033CB">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033CB" w:rsidRPr="0096343C" w:rsidTr="0074616E">
        <w:tc>
          <w:tcPr>
            <w:tcW w:w="543" w:type="pct"/>
          </w:tcPr>
          <w:p w:rsidR="00E033CB" w:rsidRPr="00005520" w:rsidRDefault="00E033CB" w:rsidP="0074616E">
            <w:pPr>
              <w:rPr>
                <w:sz w:val="20"/>
                <w:szCs w:val="20"/>
              </w:rPr>
            </w:pPr>
            <w:r w:rsidRPr="00005520">
              <w:rPr>
                <w:rStyle w:val="SCCFileNumberChar"/>
                <w:sz w:val="20"/>
                <w:szCs w:val="20"/>
              </w:rPr>
              <w:t>37731</w:t>
            </w:r>
          </w:p>
        </w:tc>
        <w:tc>
          <w:tcPr>
            <w:tcW w:w="4457" w:type="pct"/>
            <w:gridSpan w:val="3"/>
          </w:tcPr>
          <w:p w:rsidR="00E033CB" w:rsidRPr="00005520" w:rsidRDefault="00E033CB" w:rsidP="0074616E">
            <w:pPr>
              <w:pStyle w:val="SCCLsocParty"/>
              <w:jc w:val="both"/>
              <w:rPr>
                <w:b/>
                <w:sz w:val="20"/>
                <w:szCs w:val="20"/>
              </w:rPr>
            </w:pPr>
            <w:r w:rsidRPr="00005520">
              <w:rPr>
                <w:b/>
                <w:sz w:val="20"/>
                <w:szCs w:val="20"/>
              </w:rPr>
              <w:t>S.D. c. S.M.</w:t>
            </w:r>
          </w:p>
          <w:p w:rsidR="00E033CB" w:rsidRPr="00005520" w:rsidRDefault="00E033CB" w:rsidP="0074616E">
            <w:pPr>
              <w:rPr>
                <w:sz w:val="20"/>
                <w:szCs w:val="20"/>
                <w:lang w:val="fr-CA"/>
              </w:rPr>
            </w:pPr>
            <w:r w:rsidRPr="00005520">
              <w:rPr>
                <w:sz w:val="20"/>
                <w:szCs w:val="20"/>
                <w:lang w:val="fr-CA"/>
              </w:rPr>
              <w:t>(Qc) (Civile) (Autorisation)</w:t>
            </w:r>
          </w:p>
        </w:tc>
      </w:tr>
      <w:tr w:rsidR="00047CBB" w:rsidRPr="0096343C" w:rsidTr="0074616E">
        <w:tc>
          <w:tcPr>
            <w:tcW w:w="543" w:type="pct"/>
          </w:tcPr>
          <w:p w:rsidR="00047CBB" w:rsidRPr="00005520" w:rsidRDefault="00047CBB" w:rsidP="0074616E">
            <w:pPr>
              <w:rPr>
                <w:rStyle w:val="SCCFileNumberChar"/>
                <w:sz w:val="20"/>
                <w:szCs w:val="20"/>
              </w:rPr>
            </w:pPr>
            <w:r>
              <w:rPr>
                <w:rStyle w:val="SCCFileNumberChar"/>
                <w:sz w:val="20"/>
                <w:szCs w:val="20"/>
              </w:rPr>
              <w:t>Coram:</w:t>
            </w:r>
          </w:p>
        </w:tc>
        <w:tc>
          <w:tcPr>
            <w:tcW w:w="4457" w:type="pct"/>
            <w:gridSpan w:val="3"/>
          </w:tcPr>
          <w:p w:rsidR="00047CBB" w:rsidRDefault="00E059D1" w:rsidP="0074616E">
            <w:pPr>
              <w:pStyle w:val="SCCLsocParty"/>
              <w:jc w:val="both"/>
              <w:rPr>
                <w:sz w:val="20"/>
                <w:szCs w:val="20"/>
              </w:rPr>
            </w:pPr>
            <w:r w:rsidRPr="007501BD">
              <w:rPr>
                <w:sz w:val="20"/>
                <w:szCs w:val="20"/>
              </w:rPr>
              <w:t>La juge en chef McLachlin et les juges Abella, Moldaver, Karakatsanis, Wagner, Gascon, Côté, Brown et Rowe</w:t>
            </w:r>
          </w:p>
          <w:p w:rsidR="00E059D1" w:rsidRPr="00E059D1" w:rsidRDefault="00E059D1" w:rsidP="00E059D1">
            <w:pPr>
              <w:rPr>
                <w:lang w:val="fr-CA"/>
              </w:rPr>
            </w:pPr>
          </w:p>
        </w:tc>
      </w:tr>
      <w:tr w:rsidR="00047CBB" w:rsidRPr="0096343C" w:rsidTr="00047CBB">
        <w:tc>
          <w:tcPr>
            <w:tcW w:w="5000" w:type="pct"/>
            <w:gridSpan w:val="4"/>
          </w:tcPr>
          <w:p w:rsidR="00047CBB" w:rsidRDefault="00E059D1" w:rsidP="0074616E">
            <w:pPr>
              <w:pStyle w:val="SCCLsocParty"/>
              <w:jc w:val="both"/>
              <w:rPr>
                <w:sz w:val="20"/>
                <w:szCs w:val="20"/>
              </w:rPr>
            </w:pPr>
            <w:r w:rsidRPr="007501BD">
              <w:rPr>
                <w:sz w:val="20"/>
                <w:szCs w:val="20"/>
              </w:rPr>
              <w:t>La demande d’autorisation d’appel de l’arrêt de la Cour d’appel du Québec (Montréal), numéro 500-09-026760-173, 2017 QCCA 1367, daté du 7 septembre 2017, est rejetée avec dépens.</w:t>
            </w:r>
          </w:p>
          <w:p w:rsidR="00E059D1" w:rsidRPr="00E059D1" w:rsidRDefault="00E059D1" w:rsidP="00E059D1">
            <w:pPr>
              <w:rPr>
                <w:lang w:val="fr-CA"/>
              </w:rPr>
            </w:pPr>
          </w:p>
        </w:tc>
      </w:tr>
      <w:tr w:rsidR="00E033CB" w:rsidRPr="0096343C" w:rsidTr="0074616E">
        <w:tc>
          <w:tcPr>
            <w:tcW w:w="5000" w:type="pct"/>
            <w:gridSpan w:val="4"/>
          </w:tcPr>
          <w:p w:rsidR="00E033CB" w:rsidRPr="00005520" w:rsidRDefault="00E033CB" w:rsidP="00E033CB">
            <w:pPr>
              <w:pStyle w:val="SCCBanSummary"/>
              <w:rPr>
                <w:sz w:val="20"/>
                <w:szCs w:val="20"/>
                <w:lang w:val="fr-CA"/>
              </w:rPr>
            </w:pPr>
            <w:r w:rsidRPr="00005520">
              <w:rPr>
                <w:sz w:val="20"/>
                <w:szCs w:val="20"/>
                <w:lang w:val="fr-CA"/>
              </w:rPr>
              <w:t>(Ordonnance de non-publication dans le dossier) (Ordonnance de non-publication visant une partie) (Le dossier de la Cour renferme des données que le public n’est pas autorisé à consulter)</w:t>
            </w:r>
          </w:p>
          <w:p w:rsidR="00E033CB" w:rsidRPr="00005520" w:rsidRDefault="00E033CB" w:rsidP="00E033CB">
            <w:pPr>
              <w:jc w:val="both"/>
              <w:rPr>
                <w:sz w:val="20"/>
                <w:szCs w:val="20"/>
                <w:lang w:val="fr-CA"/>
              </w:rPr>
            </w:pPr>
          </w:p>
          <w:p w:rsidR="00E033CB" w:rsidRPr="00005520" w:rsidRDefault="00E033CB" w:rsidP="00E033CB">
            <w:pPr>
              <w:jc w:val="both"/>
              <w:rPr>
                <w:sz w:val="20"/>
                <w:szCs w:val="20"/>
                <w:lang w:val="fr-CA"/>
              </w:rPr>
            </w:pPr>
            <w:r w:rsidRPr="00005520">
              <w:rPr>
                <w:sz w:val="20"/>
                <w:szCs w:val="20"/>
                <w:lang w:val="fr-CA"/>
              </w:rPr>
              <w:lastRenderedPageBreak/>
              <w:t xml:space="preserve">Droit de la famille — Garde — Mobilité — Droit d’accès — Y a-t-il lieu de réviser la grille d’analyse de </w:t>
            </w:r>
            <w:r w:rsidRPr="00005520">
              <w:rPr>
                <w:i/>
                <w:sz w:val="20"/>
                <w:szCs w:val="20"/>
                <w:lang w:val="fr-CA"/>
              </w:rPr>
              <w:t>Gordon c. Goertz</w:t>
            </w:r>
            <w:r w:rsidRPr="00005520">
              <w:rPr>
                <w:sz w:val="20"/>
                <w:szCs w:val="20"/>
                <w:lang w:val="fr-CA"/>
              </w:rPr>
              <w:t xml:space="preserve">, compte tenu de l’évolution de la société au cours des 21 dernières années et notamment de la mobilité des membres de la société et le nombre important de parents de nationalités différentes qui ont toujours de la famille dans leur pays d’origine? — Y a-t-il lieu de réviser la grille d’analyse de </w:t>
            </w:r>
            <w:r w:rsidRPr="00005520">
              <w:rPr>
                <w:i/>
                <w:sz w:val="20"/>
                <w:szCs w:val="20"/>
                <w:lang w:val="fr-CA"/>
              </w:rPr>
              <w:t>Gordon c. Goertz</w:t>
            </w:r>
            <w:r w:rsidRPr="00005520">
              <w:rPr>
                <w:sz w:val="20"/>
                <w:szCs w:val="20"/>
                <w:lang w:val="fr-CA"/>
              </w:rPr>
              <w:t xml:space="preserve"> afin d’analyser de façon différente le critère de l’âge de l’enfant eu égard à ses besoins, étant entendu qu’un enfant de 6 mois n’a pas les mêmes besoins qu’un enfant de 10 ans du point de vue affectif et psychologique? — Y a-t-il lieu de réviser la grille d’analyse de </w:t>
            </w:r>
            <w:r w:rsidRPr="00005520">
              <w:rPr>
                <w:i/>
                <w:sz w:val="20"/>
                <w:szCs w:val="20"/>
                <w:lang w:val="fr-CA"/>
              </w:rPr>
              <w:t>Gordon c. Goertz</w:t>
            </w:r>
            <w:r w:rsidRPr="00005520">
              <w:rPr>
                <w:sz w:val="20"/>
                <w:szCs w:val="20"/>
                <w:lang w:val="fr-CA"/>
              </w:rPr>
              <w:t xml:space="preserve"> afin de considérer le motif de déménagement, non seulement pour déterminer si cela effecte les capacités parentales du parent requérant le déménagement? — </w:t>
            </w:r>
            <w:r w:rsidRPr="00005520">
              <w:rPr>
                <w:i/>
                <w:sz w:val="20"/>
                <w:szCs w:val="20"/>
                <w:lang w:val="fr-CA"/>
              </w:rPr>
              <w:t>Code civil du Québec</w:t>
            </w:r>
            <w:r w:rsidRPr="00005520">
              <w:rPr>
                <w:sz w:val="20"/>
                <w:szCs w:val="20"/>
                <w:lang w:val="fr-FR"/>
              </w:rPr>
              <w:t>,</w:t>
            </w:r>
            <w:r w:rsidRPr="00005520">
              <w:rPr>
                <w:sz w:val="20"/>
                <w:szCs w:val="20"/>
                <w:lang w:val="fr-CA"/>
              </w:rPr>
              <w:t xml:space="preserve"> art. 33.</w:t>
            </w:r>
          </w:p>
        </w:tc>
      </w:tr>
      <w:tr w:rsidR="00E033CB" w:rsidRPr="0096343C" w:rsidTr="0074616E">
        <w:tc>
          <w:tcPr>
            <w:tcW w:w="5000" w:type="pct"/>
            <w:gridSpan w:val="4"/>
          </w:tcPr>
          <w:p w:rsidR="00E033CB" w:rsidRPr="00005520" w:rsidRDefault="00E033CB" w:rsidP="00E033CB">
            <w:pPr>
              <w:jc w:val="both"/>
              <w:rPr>
                <w:sz w:val="20"/>
                <w:szCs w:val="20"/>
                <w:lang w:val="fr-CA"/>
              </w:rPr>
            </w:pPr>
          </w:p>
        </w:tc>
      </w:tr>
      <w:tr w:rsidR="00E033CB" w:rsidRPr="0096343C" w:rsidTr="0074616E">
        <w:tc>
          <w:tcPr>
            <w:tcW w:w="5000" w:type="pct"/>
            <w:gridSpan w:val="4"/>
          </w:tcPr>
          <w:p w:rsidR="00E033CB" w:rsidRPr="00005520" w:rsidRDefault="00E033CB" w:rsidP="00E033CB">
            <w:pPr>
              <w:jc w:val="both"/>
              <w:rPr>
                <w:sz w:val="20"/>
                <w:szCs w:val="20"/>
                <w:lang w:val="fr-CA"/>
              </w:rPr>
            </w:pPr>
            <w:r w:rsidRPr="00005520">
              <w:rPr>
                <w:sz w:val="20"/>
                <w:szCs w:val="20"/>
                <w:lang w:val="fr-CA"/>
              </w:rPr>
              <w:t xml:space="preserve">L’intimée, S.M., est de nationalité française. Elle réside en France jusqu’en 2010 soit l’année où elle obtient un visa d’étudiante et vient poursuivre des études supérieures en neuropsychologie dans une université québécoise. Elle fait connaissance du demandeur, </w:t>
            </w:r>
            <w:r w:rsidRPr="00005520">
              <w:rPr>
                <w:rStyle w:val="SCCSsocChar"/>
                <w:rFonts w:eastAsiaTheme="minorHAnsi"/>
                <w:sz w:val="20"/>
              </w:rPr>
              <w:t>S.D.</w:t>
            </w:r>
            <w:r w:rsidRPr="00005520">
              <w:rPr>
                <w:sz w:val="20"/>
                <w:szCs w:val="20"/>
                <w:lang w:val="fr-CA"/>
              </w:rPr>
              <w:t xml:space="preserve"> en 2011 bien qu’elle ne commence à le fréquenter qu’en janvier 2014. Il est d’origine grecque et a grandi au Québec. Ils commencent à faire vie commune en février 2015. Cette même année, S.M. donne naissance à un petit garçon. Principalement pour des raisons de différences culturelles, la relation se détériore rapidement. Les parties se séparent en mai 2016 alors que l’enfant n’a que cinq mois. Les parties conviennent que S.M. aura la garde de l’enfant et que S.D. aura des accès de courte durée en raison du jeune âge de l’enfant. Cette entente intérimaire par consentement fera l’objet d’ordonnances de sauvegarde par la Cour supérieure qui augmente progressivement les accès de S.D. Avant le début de l’audition en première instance, S.M. termine ses études et obtient un doctorat en neuropsychologie. Elle informe S.D. de son intention de retourner vivre en France avec son fils. En réaction, S.D. présente une requête pour obtenir la garde partagée de l’enfant et demande qu’il soit interdit à S.M. de quitter le Québec avec l’enfant. S.M. demande la garde exclusive et l’autorisation de déménager en France avec l’enfant pour s’y établir.</w:t>
            </w:r>
          </w:p>
          <w:p w:rsidR="00E033CB" w:rsidRPr="00005520" w:rsidRDefault="00E033CB" w:rsidP="00E033CB">
            <w:pPr>
              <w:jc w:val="both"/>
              <w:rPr>
                <w:sz w:val="20"/>
                <w:szCs w:val="20"/>
                <w:lang w:val="fr-CA"/>
              </w:rPr>
            </w:pPr>
          </w:p>
        </w:tc>
      </w:tr>
      <w:tr w:rsidR="00E033CB" w:rsidRPr="00005520" w:rsidTr="0074616E">
        <w:tc>
          <w:tcPr>
            <w:tcW w:w="2427" w:type="pct"/>
            <w:gridSpan w:val="2"/>
          </w:tcPr>
          <w:p w:rsidR="00E033CB" w:rsidRPr="00005520" w:rsidRDefault="00E033CB" w:rsidP="00E033CB">
            <w:pPr>
              <w:jc w:val="both"/>
              <w:rPr>
                <w:sz w:val="20"/>
                <w:szCs w:val="20"/>
                <w:lang w:val="fr-CA"/>
              </w:rPr>
            </w:pPr>
            <w:r w:rsidRPr="00005520">
              <w:rPr>
                <w:sz w:val="20"/>
                <w:szCs w:val="20"/>
                <w:lang w:val="fr-CA"/>
              </w:rPr>
              <w:t>Le 27 avril 2017</w:t>
            </w:r>
          </w:p>
          <w:p w:rsidR="00E033CB" w:rsidRPr="00005520" w:rsidRDefault="00E033CB" w:rsidP="00E033CB">
            <w:pPr>
              <w:jc w:val="both"/>
              <w:rPr>
                <w:sz w:val="20"/>
                <w:szCs w:val="20"/>
                <w:lang w:val="fr-CA"/>
              </w:rPr>
            </w:pPr>
            <w:r w:rsidRPr="00005520">
              <w:rPr>
                <w:sz w:val="20"/>
                <w:szCs w:val="20"/>
                <w:lang w:val="fr-CA"/>
              </w:rPr>
              <w:t>Cour supérieure du Québec</w:t>
            </w:r>
          </w:p>
          <w:p w:rsidR="00E033CB" w:rsidRPr="00005520" w:rsidRDefault="00E033CB" w:rsidP="00E033CB">
            <w:pPr>
              <w:jc w:val="both"/>
              <w:rPr>
                <w:sz w:val="20"/>
                <w:szCs w:val="20"/>
                <w:lang w:val="fr-CA"/>
              </w:rPr>
            </w:pPr>
            <w:r w:rsidRPr="00005520">
              <w:rPr>
                <w:sz w:val="20"/>
                <w:szCs w:val="20"/>
                <w:lang w:val="fr-CA"/>
              </w:rPr>
              <w:t>(La juge Kear-Jodoin)</w:t>
            </w:r>
          </w:p>
          <w:p w:rsidR="00E033CB" w:rsidRPr="00005520" w:rsidRDefault="008D266B" w:rsidP="00E033CB">
            <w:pPr>
              <w:jc w:val="both"/>
              <w:rPr>
                <w:sz w:val="20"/>
                <w:szCs w:val="20"/>
                <w:lang w:val="fr-CA"/>
              </w:rPr>
            </w:pPr>
            <w:hyperlink r:id="rId38" w:history="1">
              <w:r w:rsidR="00E033CB" w:rsidRPr="00005520">
                <w:rPr>
                  <w:rStyle w:val="Hyperlink"/>
                  <w:sz w:val="20"/>
                  <w:szCs w:val="20"/>
                  <w:lang w:val="fr-CA"/>
                </w:rPr>
                <w:t>2017 QCCS 1600</w:t>
              </w:r>
            </w:hyperlink>
          </w:p>
          <w:p w:rsidR="00E033CB" w:rsidRPr="00005520" w:rsidRDefault="00E033CB" w:rsidP="00E033CB">
            <w:pPr>
              <w:jc w:val="both"/>
              <w:rPr>
                <w:sz w:val="20"/>
                <w:szCs w:val="20"/>
                <w:lang w:val="fr-CA"/>
              </w:rPr>
            </w:pPr>
          </w:p>
        </w:tc>
        <w:tc>
          <w:tcPr>
            <w:tcW w:w="243" w:type="pct"/>
          </w:tcPr>
          <w:p w:rsidR="00E033CB" w:rsidRPr="00005520" w:rsidRDefault="00E033CB" w:rsidP="00E033CB">
            <w:pPr>
              <w:jc w:val="both"/>
              <w:rPr>
                <w:sz w:val="20"/>
                <w:szCs w:val="20"/>
                <w:lang w:val="fr-CA"/>
              </w:rPr>
            </w:pPr>
          </w:p>
        </w:tc>
        <w:tc>
          <w:tcPr>
            <w:tcW w:w="2330" w:type="pct"/>
          </w:tcPr>
          <w:p w:rsidR="00E033CB" w:rsidRPr="00005520" w:rsidRDefault="00E033CB" w:rsidP="00E033CB">
            <w:pPr>
              <w:jc w:val="both"/>
              <w:rPr>
                <w:sz w:val="20"/>
                <w:szCs w:val="20"/>
              </w:rPr>
            </w:pPr>
            <w:r w:rsidRPr="00005520">
              <w:rPr>
                <w:sz w:val="20"/>
                <w:szCs w:val="20"/>
              </w:rPr>
              <w:t>Progressive shared custody of the minor child granted.</w:t>
            </w:r>
          </w:p>
        </w:tc>
      </w:tr>
      <w:tr w:rsidR="00E033CB" w:rsidRPr="0096343C" w:rsidTr="0074616E">
        <w:tc>
          <w:tcPr>
            <w:tcW w:w="2427" w:type="pct"/>
            <w:gridSpan w:val="2"/>
          </w:tcPr>
          <w:p w:rsidR="00E033CB" w:rsidRPr="00005520" w:rsidRDefault="00E033CB" w:rsidP="00E033CB">
            <w:pPr>
              <w:jc w:val="both"/>
              <w:rPr>
                <w:sz w:val="20"/>
                <w:szCs w:val="20"/>
                <w:lang w:val="fr-CA"/>
              </w:rPr>
            </w:pPr>
            <w:r w:rsidRPr="00005520">
              <w:rPr>
                <w:sz w:val="20"/>
                <w:szCs w:val="20"/>
                <w:lang w:val="fr-CA"/>
              </w:rPr>
              <w:t>Le 7 septembre 2017</w:t>
            </w:r>
          </w:p>
          <w:p w:rsidR="00E033CB" w:rsidRPr="00005520" w:rsidRDefault="00E033CB" w:rsidP="00E033CB">
            <w:pPr>
              <w:jc w:val="both"/>
              <w:rPr>
                <w:sz w:val="20"/>
                <w:szCs w:val="20"/>
                <w:lang w:val="fr-CA"/>
              </w:rPr>
            </w:pPr>
            <w:r w:rsidRPr="00005520">
              <w:rPr>
                <w:sz w:val="20"/>
                <w:szCs w:val="20"/>
                <w:lang w:val="fr-CA"/>
              </w:rPr>
              <w:t>Cour d’appel du Québec (Montréal)</w:t>
            </w:r>
          </w:p>
          <w:p w:rsidR="00E033CB" w:rsidRPr="00005520" w:rsidRDefault="00E033CB" w:rsidP="00E033CB">
            <w:pPr>
              <w:jc w:val="both"/>
              <w:rPr>
                <w:sz w:val="20"/>
                <w:szCs w:val="20"/>
                <w:lang w:val="fr-CA"/>
              </w:rPr>
            </w:pPr>
            <w:r w:rsidRPr="00005520">
              <w:rPr>
                <w:sz w:val="20"/>
                <w:szCs w:val="20"/>
                <w:lang w:val="fr-CA"/>
              </w:rPr>
              <w:t>(Les juges Mainville, Hogue et Healy)</w:t>
            </w:r>
          </w:p>
          <w:p w:rsidR="00E033CB" w:rsidRPr="00005520" w:rsidRDefault="008D266B" w:rsidP="00E033CB">
            <w:pPr>
              <w:jc w:val="both"/>
              <w:rPr>
                <w:sz w:val="20"/>
                <w:szCs w:val="20"/>
              </w:rPr>
            </w:pPr>
            <w:hyperlink r:id="rId39" w:history="1">
              <w:r w:rsidR="00E033CB" w:rsidRPr="00005520">
                <w:rPr>
                  <w:rStyle w:val="Hyperlink"/>
                  <w:sz w:val="20"/>
                  <w:szCs w:val="20"/>
                </w:rPr>
                <w:t>2017 QCCA 1367</w:t>
              </w:r>
            </w:hyperlink>
          </w:p>
          <w:p w:rsidR="00E033CB" w:rsidRPr="00005520" w:rsidRDefault="00E033CB" w:rsidP="00E033CB">
            <w:pPr>
              <w:jc w:val="both"/>
              <w:rPr>
                <w:sz w:val="20"/>
                <w:szCs w:val="20"/>
              </w:rPr>
            </w:pPr>
          </w:p>
        </w:tc>
        <w:tc>
          <w:tcPr>
            <w:tcW w:w="243" w:type="pct"/>
          </w:tcPr>
          <w:p w:rsidR="00E033CB" w:rsidRPr="00005520" w:rsidRDefault="00E033CB" w:rsidP="00E033CB">
            <w:pPr>
              <w:jc w:val="both"/>
              <w:rPr>
                <w:sz w:val="20"/>
                <w:szCs w:val="20"/>
              </w:rPr>
            </w:pPr>
          </w:p>
        </w:tc>
        <w:tc>
          <w:tcPr>
            <w:tcW w:w="2330" w:type="pct"/>
          </w:tcPr>
          <w:p w:rsidR="00E033CB" w:rsidRPr="00005520" w:rsidRDefault="00E033CB" w:rsidP="00E033CB">
            <w:pPr>
              <w:jc w:val="both"/>
              <w:rPr>
                <w:sz w:val="20"/>
                <w:szCs w:val="20"/>
                <w:lang w:val="fr-CA"/>
              </w:rPr>
            </w:pPr>
            <w:r w:rsidRPr="00005520">
              <w:rPr>
                <w:sz w:val="20"/>
                <w:szCs w:val="20"/>
                <w:lang w:val="fr-CA"/>
              </w:rPr>
              <w:t>Appel accueilli. Garde exclusive de l’enfant mineur confié à S.M. Déménagement en France de S.M. et de l’enfant mineur autorisé avec droits d’accès pour S.D.</w:t>
            </w:r>
          </w:p>
          <w:p w:rsidR="00E033CB" w:rsidRPr="00005520" w:rsidRDefault="00E033CB" w:rsidP="00E033CB">
            <w:pPr>
              <w:jc w:val="both"/>
              <w:rPr>
                <w:sz w:val="20"/>
                <w:szCs w:val="20"/>
                <w:lang w:val="fr-CA"/>
              </w:rPr>
            </w:pPr>
          </w:p>
        </w:tc>
      </w:tr>
      <w:tr w:rsidR="00E033CB" w:rsidRPr="00005520" w:rsidTr="0074616E">
        <w:tc>
          <w:tcPr>
            <w:tcW w:w="2427" w:type="pct"/>
            <w:gridSpan w:val="2"/>
          </w:tcPr>
          <w:p w:rsidR="00E033CB" w:rsidRPr="00005520" w:rsidRDefault="00E033CB" w:rsidP="00E033CB">
            <w:pPr>
              <w:jc w:val="both"/>
              <w:rPr>
                <w:sz w:val="20"/>
                <w:szCs w:val="20"/>
                <w:lang w:val="fr-CA"/>
              </w:rPr>
            </w:pPr>
            <w:r w:rsidRPr="00005520">
              <w:rPr>
                <w:sz w:val="20"/>
                <w:szCs w:val="20"/>
                <w:lang w:val="fr-CA"/>
              </w:rPr>
              <w:t>Le 6 novembre 2017</w:t>
            </w:r>
          </w:p>
          <w:p w:rsidR="00E033CB" w:rsidRPr="00005520" w:rsidRDefault="00E033CB" w:rsidP="00E033CB">
            <w:pPr>
              <w:jc w:val="both"/>
              <w:rPr>
                <w:sz w:val="20"/>
                <w:szCs w:val="20"/>
                <w:lang w:val="fr-CA"/>
              </w:rPr>
            </w:pPr>
            <w:r w:rsidRPr="00005520">
              <w:rPr>
                <w:sz w:val="20"/>
                <w:szCs w:val="20"/>
                <w:lang w:val="fr-CA"/>
              </w:rPr>
              <w:t>Cour suprême du Canada</w:t>
            </w:r>
          </w:p>
        </w:tc>
        <w:tc>
          <w:tcPr>
            <w:tcW w:w="243" w:type="pct"/>
          </w:tcPr>
          <w:p w:rsidR="00E033CB" w:rsidRPr="00005520" w:rsidRDefault="00E033CB" w:rsidP="00E033CB">
            <w:pPr>
              <w:jc w:val="both"/>
              <w:rPr>
                <w:sz w:val="20"/>
                <w:szCs w:val="20"/>
                <w:lang w:val="fr-CA"/>
              </w:rPr>
            </w:pPr>
          </w:p>
        </w:tc>
        <w:tc>
          <w:tcPr>
            <w:tcW w:w="2330" w:type="pct"/>
          </w:tcPr>
          <w:p w:rsidR="00E033CB" w:rsidRPr="00005520" w:rsidRDefault="00E033CB" w:rsidP="00E033CB">
            <w:pPr>
              <w:jc w:val="both"/>
              <w:rPr>
                <w:sz w:val="20"/>
                <w:szCs w:val="20"/>
              </w:rPr>
            </w:pPr>
            <w:r w:rsidRPr="00005520">
              <w:rPr>
                <w:sz w:val="20"/>
                <w:szCs w:val="20"/>
              </w:rPr>
              <w:t>Demande d’autorisation d’appel déposée.</w:t>
            </w:r>
          </w:p>
          <w:p w:rsidR="00E033CB" w:rsidRPr="00005520" w:rsidRDefault="00E033CB" w:rsidP="00E033CB">
            <w:pPr>
              <w:jc w:val="both"/>
              <w:rPr>
                <w:sz w:val="20"/>
                <w:szCs w:val="20"/>
              </w:rPr>
            </w:pPr>
          </w:p>
        </w:tc>
      </w:tr>
    </w:tbl>
    <w:p w:rsidR="00E033CB" w:rsidRPr="00005520" w:rsidRDefault="008D266B" w:rsidP="00E033CB">
      <w:pPr>
        <w:rPr>
          <w:sz w:val="20"/>
          <w:szCs w:val="20"/>
        </w:rPr>
      </w:pPr>
      <w:r>
        <w:rPr>
          <w:sz w:val="20"/>
          <w:szCs w:val="20"/>
        </w:rPr>
        <w:pict>
          <v:rect id="_x0000_i1054" style="width:2in;height:1pt" o:hrpct="0" o:hralign="center" o:hrstd="t" o:hrnoshade="t" o:hr="t" fillcolor="black [3213]" stroked="f"/>
        </w:pict>
      </w:r>
    </w:p>
    <w:p w:rsidR="00E033CB" w:rsidRPr="00005520" w:rsidRDefault="00E033CB" w:rsidP="00E033CB">
      <w:pPr>
        <w:jc w:val="both"/>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033CB" w:rsidRPr="00005520" w:rsidTr="0074616E">
        <w:tc>
          <w:tcPr>
            <w:tcW w:w="543" w:type="pct"/>
          </w:tcPr>
          <w:p w:rsidR="00E033CB" w:rsidRPr="00005520" w:rsidRDefault="00E033CB" w:rsidP="0074616E">
            <w:pPr>
              <w:rPr>
                <w:sz w:val="20"/>
                <w:szCs w:val="20"/>
              </w:rPr>
            </w:pPr>
            <w:r w:rsidRPr="00005520">
              <w:rPr>
                <w:rStyle w:val="SCCFileNumberChar"/>
                <w:sz w:val="20"/>
                <w:szCs w:val="20"/>
              </w:rPr>
              <w:t>37674</w:t>
            </w:r>
          </w:p>
        </w:tc>
        <w:tc>
          <w:tcPr>
            <w:tcW w:w="4457" w:type="pct"/>
            <w:gridSpan w:val="3"/>
          </w:tcPr>
          <w:p w:rsidR="00E033CB" w:rsidRPr="00005520" w:rsidRDefault="00E059D1" w:rsidP="00E033CB">
            <w:pPr>
              <w:jc w:val="both"/>
              <w:rPr>
                <w:sz w:val="20"/>
                <w:szCs w:val="20"/>
              </w:rPr>
            </w:pPr>
            <w:r w:rsidRPr="00E059D1">
              <w:rPr>
                <w:rFonts w:eastAsia="Calibri" w:cs="Times New Roman"/>
                <w:b/>
                <w:sz w:val="20"/>
                <w:szCs w:val="20"/>
                <w:lang w:val="en-US"/>
              </w:rPr>
              <w:t xml:space="preserve">Pembina County Water Resource District, City of Pembina, North Dakota, Township of Pembina, North Dakota, Township of Walhalla, North Dakota, City of Neche, North Dakota, Township of Neche, North Dakota, Township of Felson, North Dakota, Township of St. Joseph, North Dakota, Timothy L. Wilwand, Dennis K. Schaler, Richard Margerum and Verlinda Margerum v. Government of Manitoba and Rural Municipality of Rhineland </w:t>
            </w:r>
            <w:r w:rsidR="00E033CB" w:rsidRPr="00005520">
              <w:rPr>
                <w:sz w:val="20"/>
                <w:szCs w:val="20"/>
              </w:rPr>
              <w:t>(F</w:t>
            </w:r>
            <w:r>
              <w:rPr>
                <w:sz w:val="20"/>
                <w:szCs w:val="20"/>
              </w:rPr>
              <w:t>.</w:t>
            </w:r>
            <w:r w:rsidR="00E033CB" w:rsidRPr="00005520">
              <w:rPr>
                <w:sz w:val="20"/>
                <w:szCs w:val="20"/>
              </w:rPr>
              <w:t>C</w:t>
            </w:r>
            <w:r>
              <w:rPr>
                <w:sz w:val="20"/>
                <w:szCs w:val="20"/>
              </w:rPr>
              <w:t>.</w:t>
            </w:r>
            <w:r w:rsidR="00E033CB" w:rsidRPr="00005520">
              <w:rPr>
                <w:sz w:val="20"/>
                <w:szCs w:val="20"/>
              </w:rPr>
              <w:t>) (Civil) (By Leave)</w:t>
            </w:r>
          </w:p>
        </w:tc>
      </w:tr>
      <w:tr w:rsidR="00047CBB" w:rsidRPr="00005520" w:rsidTr="0074616E">
        <w:tc>
          <w:tcPr>
            <w:tcW w:w="543" w:type="pct"/>
          </w:tcPr>
          <w:p w:rsidR="00047CBB" w:rsidRPr="00005520" w:rsidRDefault="00047CBB" w:rsidP="0074616E">
            <w:pPr>
              <w:rPr>
                <w:rStyle w:val="SCCFileNumberChar"/>
                <w:sz w:val="20"/>
                <w:szCs w:val="20"/>
              </w:rPr>
            </w:pPr>
            <w:r>
              <w:rPr>
                <w:rStyle w:val="SCCFileNumberChar"/>
                <w:sz w:val="20"/>
                <w:szCs w:val="20"/>
              </w:rPr>
              <w:t>Coram:</w:t>
            </w:r>
          </w:p>
        </w:tc>
        <w:tc>
          <w:tcPr>
            <w:tcW w:w="4457" w:type="pct"/>
            <w:gridSpan w:val="3"/>
          </w:tcPr>
          <w:p w:rsidR="00047CBB" w:rsidRDefault="00E059D1" w:rsidP="00E033CB">
            <w:pPr>
              <w:pStyle w:val="SCCLsocParty"/>
              <w:jc w:val="both"/>
              <w:rPr>
                <w:sz w:val="20"/>
                <w:szCs w:val="20"/>
                <w:lang w:val="en-US"/>
              </w:rPr>
            </w:pPr>
            <w:r w:rsidRPr="00E059D1">
              <w:rPr>
                <w:sz w:val="20"/>
                <w:szCs w:val="20"/>
                <w:lang w:val="en-US"/>
              </w:rPr>
              <w:t>McLachlin C.J. and Abella, Moldaver, Karakatsanis, Wagner, Gascon, Côté, Brown and Rowe JJ.</w:t>
            </w:r>
          </w:p>
          <w:p w:rsidR="00E059D1" w:rsidRPr="00E059D1" w:rsidRDefault="00E059D1" w:rsidP="00E059D1">
            <w:pPr>
              <w:rPr>
                <w:lang w:val="en-US"/>
              </w:rPr>
            </w:pPr>
          </w:p>
        </w:tc>
      </w:tr>
      <w:tr w:rsidR="00047CBB" w:rsidRPr="00005520" w:rsidTr="00047CBB">
        <w:tc>
          <w:tcPr>
            <w:tcW w:w="5000" w:type="pct"/>
            <w:gridSpan w:val="4"/>
          </w:tcPr>
          <w:p w:rsidR="00047CBB" w:rsidRDefault="00E059D1" w:rsidP="00E033CB">
            <w:pPr>
              <w:pStyle w:val="SCCLsocParty"/>
              <w:jc w:val="both"/>
              <w:rPr>
                <w:sz w:val="20"/>
                <w:szCs w:val="20"/>
                <w:lang w:val="en-US"/>
              </w:rPr>
            </w:pPr>
            <w:r w:rsidRPr="00E059D1">
              <w:rPr>
                <w:sz w:val="20"/>
                <w:szCs w:val="20"/>
                <w:lang w:val="en-US"/>
              </w:rPr>
              <w:t>The application for leave to appeal from the judgment of the Federal Court of Appeal, Number A-198-16, 2017 FCA 92, dated May 3, 2017, is dismissed with costs.</w:t>
            </w:r>
          </w:p>
          <w:p w:rsidR="00E059D1" w:rsidRPr="00E059D1" w:rsidRDefault="00E059D1" w:rsidP="00E059D1">
            <w:pPr>
              <w:rPr>
                <w:lang w:val="en-US"/>
              </w:rPr>
            </w:pPr>
          </w:p>
        </w:tc>
      </w:tr>
      <w:tr w:rsidR="00E033CB" w:rsidRPr="00005520" w:rsidTr="0074616E">
        <w:tc>
          <w:tcPr>
            <w:tcW w:w="5000" w:type="pct"/>
            <w:gridSpan w:val="4"/>
          </w:tcPr>
          <w:p w:rsidR="00E033CB" w:rsidRPr="00005520" w:rsidRDefault="00E033CB" w:rsidP="00E033CB">
            <w:pPr>
              <w:jc w:val="both"/>
              <w:rPr>
                <w:sz w:val="20"/>
                <w:szCs w:val="20"/>
              </w:rPr>
            </w:pPr>
            <w:r w:rsidRPr="00005520">
              <w:rPr>
                <w:sz w:val="20"/>
                <w:szCs w:val="20"/>
              </w:rPr>
              <w:t xml:space="preserve">Courts – Federal court – Jurisdiction – - Judgments and order – Summary judgment – Legislation – Interpretation – Respondents challenging jurisdiction of Federal Court to resolve dispute concerning blockage of flow of water between </w:t>
            </w:r>
            <w:r w:rsidRPr="00005520">
              <w:rPr>
                <w:sz w:val="20"/>
                <w:szCs w:val="20"/>
              </w:rPr>
              <w:lastRenderedPageBreak/>
              <w:t xml:space="preserve">the United States into Canada – What is the proper interpretation and application of the </w:t>
            </w:r>
            <w:r w:rsidRPr="00005520">
              <w:rPr>
                <w:i/>
                <w:sz w:val="20"/>
                <w:szCs w:val="20"/>
              </w:rPr>
              <w:t>Boundary Waters Treaty</w:t>
            </w:r>
            <w:r w:rsidRPr="00005520">
              <w:rPr>
                <w:sz w:val="20"/>
                <w:szCs w:val="20"/>
              </w:rPr>
              <w:t xml:space="preserve"> and the </w:t>
            </w:r>
            <w:r w:rsidRPr="00005520">
              <w:rPr>
                <w:i/>
                <w:sz w:val="20"/>
                <w:szCs w:val="20"/>
              </w:rPr>
              <w:t>International Boundary Waters Treaty Act</w:t>
            </w:r>
            <w:r w:rsidRPr="00005520">
              <w:rPr>
                <w:sz w:val="20"/>
                <w:szCs w:val="20"/>
              </w:rPr>
              <w:t xml:space="preserve">? </w:t>
            </w:r>
          </w:p>
          <w:p w:rsidR="00E033CB" w:rsidRPr="00005520" w:rsidRDefault="00E033CB" w:rsidP="00E033CB">
            <w:pPr>
              <w:jc w:val="both"/>
              <w:rPr>
                <w:sz w:val="20"/>
                <w:szCs w:val="20"/>
              </w:rPr>
            </w:pPr>
          </w:p>
        </w:tc>
      </w:tr>
      <w:tr w:rsidR="00E033CB" w:rsidRPr="00005520" w:rsidTr="0074616E">
        <w:tc>
          <w:tcPr>
            <w:tcW w:w="5000" w:type="pct"/>
            <w:gridSpan w:val="4"/>
          </w:tcPr>
          <w:p w:rsidR="00E033CB" w:rsidRPr="00005520" w:rsidRDefault="00E033CB" w:rsidP="00E033CB">
            <w:pPr>
              <w:jc w:val="both"/>
              <w:rPr>
                <w:sz w:val="20"/>
                <w:szCs w:val="20"/>
                <w:lang w:val="en"/>
              </w:rPr>
            </w:pPr>
            <w:r w:rsidRPr="00005520">
              <w:rPr>
                <w:sz w:val="20"/>
                <w:szCs w:val="20"/>
              </w:rPr>
              <w:lastRenderedPageBreak/>
              <w:t xml:space="preserve">The applicants, collectively “North Dakota”, are </w:t>
            </w:r>
            <w:r w:rsidRPr="00005520">
              <w:rPr>
                <w:sz w:val="20"/>
                <w:szCs w:val="20"/>
                <w:lang w:val="en"/>
              </w:rPr>
              <w:t>American governmental entities and private land holders.</w:t>
            </w:r>
            <w:r w:rsidRPr="00005520">
              <w:rPr>
                <w:sz w:val="20"/>
                <w:szCs w:val="20"/>
              </w:rPr>
              <w:t xml:space="preserve"> The respondents, collectively “Manitoba” are political entities in Canada. </w:t>
            </w:r>
            <w:r w:rsidRPr="00005520">
              <w:rPr>
                <w:sz w:val="20"/>
                <w:szCs w:val="20"/>
                <w:lang w:val="en"/>
              </w:rPr>
              <w:t xml:space="preserve">North Dakota brought an action in Canada in the Federal Court, alleging that a Canadian road along the international boundary between Manitoba and North Dakota blocked flood waters that would otherwise flow north from the United States into Canada from doing so, thus causing flooding and injury to lands in North Dakota. In the relevant areas of southern Manitoba, there is a 99 foot wide road allowance running parallel to the international border. In or around 1940, a raised road was constructed within this allowance. The road functions as a dike blocking the flood waters of the Pembina River from crossing into Canada. After three weeks of trial, Manitoba sought to strike their amended statement of claim on the basis that the Federal Court lacked jurisdiction over the subject matter of the proceedings. In making their claim, North Dakota relied on the </w:t>
            </w:r>
            <w:hyperlink r:id="rId40" w:history="1">
              <w:r w:rsidRPr="00005520">
                <w:rPr>
                  <w:i/>
                  <w:iCs/>
                  <w:sz w:val="20"/>
                  <w:szCs w:val="20"/>
                  <w:lang w:val="en"/>
                </w:rPr>
                <w:t>International Boundary Waters Treaty Act</w:t>
              </w:r>
              <w:r w:rsidRPr="00005520">
                <w:rPr>
                  <w:sz w:val="20"/>
                  <w:szCs w:val="20"/>
                  <w:lang w:val="en"/>
                </w:rPr>
                <w:t>, R.S.C. 1985, c. I-17</w:t>
              </w:r>
            </w:hyperlink>
            <w:r w:rsidRPr="00005520">
              <w:rPr>
                <w:sz w:val="20"/>
                <w:szCs w:val="20"/>
                <w:lang w:val="en"/>
              </w:rPr>
              <w:t xml:space="preserve"> which enacted into Canadian domestic law the </w:t>
            </w:r>
            <w:r w:rsidRPr="00005520">
              <w:rPr>
                <w:i/>
                <w:iCs/>
                <w:sz w:val="20"/>
                <w:szCs w:val="20"/>
                <w:lang w:val="en"/>
              </w:rPr>
              <w:t xml:space="preserve">Treaty relating to Boundary Waters and Questions arising along the Boundary between Canada and the United States, signed at Washington, January 11, 1909 </w:t>
            </w:r>
            <w:r w:rsidRPr="00005520">
              <w:rPr>
                <w:sz w:val="20"/>
                <w:szCs w:val="20"/>
                <w:lang w:val="en"/>
              </w:rPr>
              <w:t xml:space="preserve">(the “Treaty”). The Treaty, </w:t>
            </w:r>
            <w:r w:rsidRPr="00005520">
              <w:rPr>
                <w:i/>
                <w:iCs/>
                <w:sz w:val="20"/>
                <w:szCs w:val="20"/>
                <w:lang w:val="en"/>
              </w:rPr>
              <w:t>inter alia</w:t>
            </w:r>
            <w:r w:rsidRPr="00005520">
              <w:rPr>
                <w:sz w:val="20"/>
                <w:szCs w:val="20"/>
                <w:lang w:val="en"/>
              </w:rPr>
              <w:t xml:space="preserve">, gave injured parties rights of recovery in certain circumstances for damage caused by cross-border waters. The Treaty was enacted in Canadian domestic law via the </w:t>
            </w:r>
            <w:hyperlink r:id="rId41" w:history="1">
              <w:r w:rsidRPr="00005520">
                <w:rPr>
                  <w:sz w:val="20"/>
                  <w:szCs w:val="20"/>
                  <w:lang w:val="en"/>
                </w:rPr>
                <w:t>Act</w:t>
              </w:r>
            </w:hyperlink>
            <w:r w:rsidRPr="00005520">
              <w:rPr>
                <w:sz w:val="20"/>
                <w:szCs w:val="20"/>
                <w:lang w:val="en"/>
              </w:rPr>
              <w:t xml:space="preserve">. North Dakota commenced an action against Manitoba in the Federal Court in 2004 seeking, </w:t>
            </w:r>
            <w:r w:rsidRPr="00005520">
              <w:rPr>
                <w:i/>
                <w:sz w:val="20"/>
                <w:szCs w:val="20"/>
                <w:lang w:val="en"/>
              </w:rPr>
              <w:t>inter alia</w:t>
            </w:r>
            <w:r w:rsidRPr="00005520">
              <w:rPr>
                <w:sz w:val="20"/>
                <w:szCs w:val="20"/>
                <w:lang w:val="en"/>
              </w:rPr>
              <w:t>, damages for injury to real property and associated losses and an injunction ordering Manitoba to remove the dike to allow for the natural flow of water across the boundary.</w:t>
            </w:r>
          </w:p>
        </w:tc>
      </w:tr>
      <w:tr w:rsidR="00E033CB" w:rsidRPr="00005520" w:rsidTr="0074616E">
        <w:tc>
          <w:tcPr>
            <w:tcW w:w="5000" w:type="pct"/>
            <w:gridSpan w:val="4"/>
          </w:tcPr>
          <w:p w:rsidR="00E033CB" w:rsidRPr="00005520" w:rsidRDefault="00E033CB" w:rsidP="00E033CB">
            <w:pPr>
              <w:jc w:val="both"/>
              <w:rPr>
                <w:sz w:val="20"/>
                <w:szCs w:val="20"/>
              </w:rPr>
            </w:pPr>
          </w:p>
        </w:tc>
      </w:tr>
      <w:tr w:rsidR="00E033CB" w:rsidRPr="00005520" w:rsidTr="0074616E">
        <w:tc>
          <w:tcPr>
            <w:tcW w:w="2427" w:type="pct"/>
            <w:gridSpan w:val="2"/>
          </w:tcPr>
          <w:p w:rsidR="00E033CB" w:rsidRPr="00005520" w:rsidRDefault="00E033CB" w:rsidP="00E033CB">
            <w:pPr>
              <w:jc w:val="both"/>
              <w:rPr>
                <w:sz w:val="20"/>
                <w:szCs w:val="20"/>
              </w:rPr>
            </w:pPr>
            <w:r w:rsidRPr="00005520">
              <w:rPr>
                <w:sz w:val="20"/>
                <w:szCs w:val="20"/>
              </w:rPr>
              <w:t>June 2, 2016</w:t>
            </w:r>
          </w:p>
          <w:p w:rsidR="00E033CB" w:rsidRPr="00005520" w:rsidRDefault="00E033CB" w:rsidP="00E033CB">
            <w:pPr>
              <w:jc w:val="both"/>
              <w:rPr>
                <w:sz w:val="20"/>
                <w:szCs w:val="20"/>
              </w:rPr>
            </w:pPr>
            <w:r w:rsidRPr="00005520">
              <w:rPr>
                <w:sz w:val="20"/>
                <w:szCs w:val="20"/>
              </w:rPr>
              <w:t>Federal Court</w:t>
            </w:r>
          </w:p>
          <w:p w:rsidR="00E033CB" w:rsidRPr="00005520" w:rsidRDefault="00E033CB" w:rsidP="00E033CB">
            <w:pPr>
              <w:jc w:val="both"/>
              <w:rPr>
                <w:sz w:val="20"/>
                <w:szCs w:val="20"/>
              </w:rPr>
            </w:pPr>
            <w:r w:rsidRPr="00005520">
              <w:rPr>
                <w:sz w:val="20"/>
                <w:szCs w:val="20"/>
              </w:rPr>
              <w:t>(Russell J.)</w:t>
            </w:r>
          </w:p>
          <w:p w:rsidR="00E033CB" w:rsidRPr="00005520" w:rsidRDefault="008D266B" w:rsidP="00E033CB">
            <w:pPr>
              <w:jc w:val="both"/>
              <w:rPr>
                <w:sz w:val="20"/>
                <w:szCs w:val="20"/>
              </w:rPr>
            </w:pPr>
            <w:hyperlink r:id="rId42" w:history="1">
              <w:r w:rsidR="00E033CB" w:rsidRPr="00005520">
                <w:rPr>
                  <w:rStyle w:val="Hyperlink"/>
                  <w:sz w:val="20"/>
                  <w:szCs w:val="20"/>
                </w:rPr>
                <w:t>2016 FC 618</w:t>
              </w:r>
            </w:hyperlink>
            <w:r w:rsidR="00E033CB" w:rsidRPr="00005520">
              <w:rPr>
                <w:sz w:val="20"/>
                <w:szCs w:val="20"/>
              </w:rPr>
              <w:t xml:space="preserve"> </w:t>
            </w:r>
          </w:p>
          <w:p w:rsidR="00E033CB" w:rsidRPr="00005520" w:rsidRDefault="00E033CB" w:rsidP="00E033CB">
            <w:pPr>
              <w:jc w:val="both"/>
              <w:rPr>
                <w:sz w:val="20"/>
                <w:szCs w:val="20"/>
              </w:rPr>
            </w:pPr>
          </w:p>
        </w:tc>
        <w:tc>
          <w:tcPr>
            <w:tcW w:w="243" w:type="pct"/>
          </w:tcPr>
          <w:p w:rsidR="00E033CB" w:rsidRPr="00005520" w:rsidRDefault="00E033CB" w:rsidP="00E033CB">
            <w:pPr>
              <w:jc w:val="both"/>
              <w:rPr>
                <w:sz w:val="20"/>
                <w:szCs w:val="20"/>
              </w:rPr>
            </w:pPr>
          </w:p>
        </w:tc>
        <w:tc>
          <w:tcPr>
            <w:tcW w:w="2330" w:type="pct"/>
          </w:tcPr>
          <w:p w:rsidR="00E033CB" w:rsidRPr="00005520" w:rsidRDefault="00E033CB" w:rsidP="00E033CB">
            <w:pPr>
              <w:jc w:val="both"/>
              <w:rPr>
                <w:sz w:val="20"/>
                <w:szCs w:val="20"/>
              </w:rPr>
            </w:pPr>
            <w:r w:rsidRPr="00005520">
              <w:rPr>
                <w:sz w:val="20"/>
                <w:szCs w:val="20"/>
              </w:rPr>
              <w:t>Respondent’s motion to strike applicants’ statement of claim granted; Federal Court ruling it had no jurisdiction to hear applicants’ action</w:t>
            </w:r>
          </w:p>
          <w:p w:rsidR="00E033CB" w:rsidRPr="00005520" w:rsidRDefault="00E033CB" w:rsidP="00E033CB">
            <w:pPr>
              <w:jc w:val="both"/>
              <w:rPr>
                <w:sz w:val="20"/>
                <w:szCs w:val="20"/>
              </w:rPr>
            </w:pPr>
          </w:p>
        </w:tc>
      </w:tr>
      <w:tr w:rsidR="00E033CB" w:rsidRPr="00005520" w:rsidTr="0074616E">
        <w:tc>
          <w:tcPr>
            <w:tcW w:w="2427" w:type="pct"/>
            <w:gridSpan w:val="2"/>
          </w:tcPr>
          <w:p w:rsidR="00E033CB" w:rsidRPr="00005520" w:rsidRDefault="00E033CB" w:rsidP="00E033CB">
            <w:pPr>
              <w:jc w:val="both"/>
              <w:rPr>
                <w:sz w:val="20"/>
                <w:szCs w:val="20"/>
              </w:rPr>
            </w:pPr>
            <w:r w:rsidRPr="00005520">
              <w:rPr>
                <w:sz w:val="20"/>
                <w:szCs w:val="20"/>
              </w:rPr>
              <w:t>May 3, 2017</w:t>
            </w:r>
          </w:p>
          <w:p w:rsidR="00E033CB" w:rsidRPr="00005520" w:rsidRDefault="00E033CB" w:rsidP="00E033CB">
            <w:pPr>
              <w:jc w:val="both"/>
              <w:rPr>
                <w:sz w:val="20"/>
                <w:szCs w:val="20"/>
              </w:rPr>
            </w:pPr>
            <w:r w:rsidRPr="00005520">
              <w:rPr>
                <w:sz w:val="20"/>
                <w:szCs w:val="20"/>
              </w:rPr>
              <w:t>Federal Court of Appeal</w:t>
            </w:r>
          </w:p>
          <w:p w:rsidR="00E033CB" w:rsidRPr="00005520" w:rsidRDefault="00E033CB" w:rsidP="00E033CB">
            <w:pPr>
              <w:jc w:val="both"/>
              <w:rPr>
                <w:sz w:val="20"/>
                <w:szCs w:val="20"/>
              </w:rPr>
            </w:pPr>
            <w:r w:rsidRPr="00005520">
              <w:rPr>
                <w:sz w:val="20"/>
                <w:szCs w:val="20"/>
              </w:rPr>
              <w:t>(Nadon, Rennie and De Montigny JJ.A.)</w:t>
            </w:r>
          </w:p>
          <w:p w:rsidR="00E033CB" w:rsidRPr="00005520" w:rsidRDefault="008D266B" w:rsidP="00E033CB">
            <w:pPr>
              <w:jc w:val="both"/>
              <w:rPr>
                <w:rStyle w:val="Hyperlink"/>
                <w:sz w:val="20"/>
                <w:szCs w:val="20"/>
              </w:rPr>
            </w:pPr>
            <w:hyperlink r:id="rId43" w:history="1">
              <w:r w:rsidR="00E033CB" w:rsidRPr="00005520">
                <w:rPr>
                  <w:rStyle w:val="Hyperlink"/>
                  <w:sz w:val="20"/>
                  <w:szCs w:val="20"/>
                </w:rPr>
                <w:t>2017 FCA 92</w:t>
              </w:r>
            </w:hyperlink>
          </w:p>
          <w:p w:rsidR="00E033CB" w:rsidRPr="00005520" w:rsidRDefault="00E033CB" w:rsidP="00E033CB">
            <w:pPr>
              <w:jc w:val="both"/>
              <w:rPr>
                <w:sz w:val="20"/>
                <w:szCs w:val="20"/>
                <w:lang w:val="fr-CA"/>
              </w:rPr>
            </w:pPr>
          </w:p>
        </w:tc>
        <w:tc>
          <w:tcPr>
            <w:tcW w:w="243" w:type="pct"/>
          </w:tcPr>
          <w:p w:rsidR="00E033CB" w:rsidRPr="00005520" w:rsidRDefault="00E033CB" w:rsidP="00E033CB">
            <w:pPr>
              <w:jc w:val="both"/>
              <w:rPr>
                <w:sz w:val="20"/>
                <w:szCs w:val="20"/>
                <w:lang w:val="fr-CA"/>
              </w:rPr>
            </w:pPr>
          </w:p>
        </w:tc>
        <w:tc>
          <w:tcPr>
            <w:tcW w:w="2330" w:type="pct"/>
          </w:tcPr>
          <w:p w:rsidR="00E033CB" w:rsidRPr="00005520" w:rsidRDefault="00E033CB" w:rsidP="00E033CB">
            <w:pPr>
              <w:jc w:val="both"/>
              <w:rPr>
                <w:sz w:val="20"/>
                <w:szCs w:val="20"/>
              </w:rPr>
            </w:pPr>
            <w:r w:rsidRPr="00005520">
              <w:rPr>
                <w:sz w:val="20"/>
                <w:szCs w:val="20"/>
              </w:rPr>
              <w:t>Applicants’ appeal dismissed</w:t>
            </w:r>
          </w:p>
          <w:p w:rsidR="00E033CB" w:rsidRPr="00005520" w:rsidRDefault="00E033CB" w:rsidP="00E033CB">
            <w:pPr>
              <w:jc w:val="both"/>
              <w:rPr>
                <w:sz w:val="20"/>
                <w:szCs w:val="20"/>
              </w:rPr>
            </w:pPr>
          </w:p>
        </w:tc>
      </w:tr>
      <w:tr w:rsidR="00E033CB" w:rsidRPr="00005520" w:rsidTr="0074616E">
        <w:tc>
          <w:tcPr>
            <w:tcW w:w="2427" w:type="pct"/>
            <w:gridSpan w:val="2"/>
          </w:tcPr>
          <w:p w:rsidR="00E033CB" w:rsidRPr="00005520" w:rsidRDefault="00E033CB" w:rsidP="00E033CB">
            <w:pPr>
              <w:jc w:val="both"/>
              <w:rPr>
                <w:sz w:val="20"/>
                <w:szCs w:val="20"/>
              </w:rPr>
            </w:pPr>
            <w:r w:rsidRPr="00005520">
              <w:rPr>
                <w:sz w:val="20"/>
                <w:szCs w:val="20"/>
              </w:rPr>
              <w:t>August 2, 2017</w:t>
            </w:r>
          </w:p>
          <w:p w:rsidR="00E033CB" w:rsidRPr="00005520" w:rsidRDefault="00E033CB" w:rsidP="00E033CB">
            <w:pPr>
              <w:jc w:val="both"/>
              <w:rPr>
                <w:sz w:val="20"/>
                <w:szCs w:val="20"/>
              </w:rPr>
            </w:pPr>
            <w:r w:rsidRPr="00005520">
              <w:rPr>
                <w:sz w:val="20"/>
                <w:szCs w:val="20"/>
              </w:rPr>
              <w:t>Supreme Court of Canada</w:t>
            </w:r>
          </w:p>
        </w:tc>
        <w:tc>
          <w:tcPr>
            <w:tcW w:w="243" w:type="pct"/>
          </w:tcPr>
          <w:p w:rsidR="00E033CB" w:rsidRPr="00005520" w:rsidRDefault="00E033CB" w:rsidP="00E033CB">
            <w:pPr>
              <w:jc w:val="both"/>
              <w:rPr>
                <w:sz w:val="20"/>
                <w:szCs w:val="20"/>
              </w:rPr>
            </w:pPr>
          </w:p>
        </w:tc>
        <w:tc>
          <w:tcPr>
            <w:tcW w:w="2330" w:type="pct"/>
          </w:tcPr>
          <w:p w:rsidR="00E033CB" w:rsidRPr="00005520" w:rsidRDefault="00E033CB" w:rsidP="00E033CB">
            <w:pPr>
              <w:jc w:val="both"/>
              <w:rPr>
                <w:sz w:val="20"/>
                <w:szCs w:val="20"/>
              </w:rPr>
            </w:pPr>
            <w:r w:rsidRPr="00005520">
              <w:rPr>
                <w:sz w:val="20"/>
                <w:szCs w:val="20"/>
              </w:rPr>
              <w:t>Application for leave to appeal filed</w:t>
            </w:r>
          </w:p>
          <w:p w:rsidR="00E033CB" w:rsidRPr="00005520" w:rsidRDefault="00E033CB" w:rsidP="00E033CB">
            <w:pPr>
              <w:jc w:val="both"/>
              <w:rPr>
                <w:sz w:val="20"/>
                <w:szCs w:val="20"/>
              </w:rPr>
            </w:pPr>
          </w:p>
        </w:tc>
      </w:tr>
    </w:tbl>
    <w:p w:rsidR="00E033CB" w:rsidRPr="00005520" w:rsidRDefault="008D266B" w:rsidP="00E033CB">
      <w:pPr>
        <w:rPr>
          <w:sz w:val="20"/>
          <w:szCs w:val="20"/>
        </w:rPr>
      </w:pPr>
      <w:r>
        <w:rPr>
          <w:sz w:val="20"/>
          <w:szCs w:val="20"/>
        </w:rPr>
        <w:pict>
          <v:rect id="_x0000_i1055" style="width:2in;height:1pt" o:hrpct="0" o:hralign="center" o:hrstd="t" o:hrnoshade="t" o:hr="t" fillcolor="black [3213]" stroked="f"/>
        </w:pict>
      </w:r>
    </w:p>
    <w:p w:rsidR="00E033CB" w:rsidRPr="00005520" w:rsidRDefault="00E033CB" w:rsidP="00E033CB">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033CB" w:rsidRPr="00005520" w:rsidTr="0074616E">
        <w:tc>
          <w:tcPr>
            <w:tcW w:w="543" w:type="pct"/>
          </w:tcPr>
          <w:p w:rsidR="00E033CB" w:rsidRPr="00005520" w:rsidRDefault="00E033CB" w:rsidP="0074616E">
            <w:pPr>
              <w:rPr>
                <w:sz w:val="20"/>
                <w:szCs w:val="20"/>
                <w:lang w:val="fr-CA"/>
              </w:rPr>
            </w:pPr>
            <w:r w:rsidRPr="00005520">
              <w:rPr>
                <w:rStyle w:val="SCCFileNumberChar"/>
                <w:sz w:val="20"/>
                <w:szCs w:val="20"/>
                <w:lang w:val="fr-CA"/>
              </w:rPr>
              <w:t>37674</w:t>
            </w:r>
          </w:p>
        </w:tc>
        <w:tc>
          <w:tcPr>
            <w:tcW w:w="4457" w:type="pct"/>
            <w:gridSpan w:val="3"/>
          </w:tcPr>
          <w:p w:rsidR="00E033CB" w:rsidRPr="00E059D1" w:rsidRDefault="00E059D1" w:rsidP="00E033CB">
            <w:pPr>
              <w:jc w:val="both"/>
              <w:rPr>
                <w:sz w:val="20"/>
                <w:szCs w:val="20"/>
                <w:lang w:val="en-US"/>
              </w:rPr>
            </w:pPr>
            <w:r w:rsidRPr="00E059D1">
              <w:rPr>
                <w:rFonts w:eastAsia="Calibri" w:cs="Times New Roman"/>
                <w:b/>
                <w:sz w:val="20"/>
                <w:szCs w:val="20"/>
                <w:lang w:val="en-US"/>
              </w:rPr>
              <w:t xml:space="preserve">Pembina County Water Resource District, City of Pembina, North Dakota, Township of Pembina, North Dakota, Township of Walhalla, North Dakota, City of Neche, North Dakota, Township of Neche, North Dakota, Township of Felson, North Dakota, Township of St. Joseph, North Dakota, Timothy L. Wilwand, Dennis K. Schaler, Richard Margerum et Verlinda Margerum c. Gouvernement de Manitoba et Rural Municipality of Rhineland </w:t>
            </w:r>
            <w:r w:rsidR="00E033CB" w:rsidRPr="00E059D1">
              <w:rPr>
                <w:sz w:val="20"/>
                <w:szCs w:val="20"/>
                <w:lang w:val="en-US"/>
              </w:rPr>
              <w:t>(C</w:t>
            </w:r>
            <w:r>
              <w:rPr>
                <w:sz w:val="20"/>
                <w:szCs w:val="20"/>
                <w:lang w:val="en-US"/>
              </w:rPr>
              <w:t>.</w:t>
            </w:r>
            <w:r w:rsidR="00E033CB" w:rsidRPr="00E059D1">
              <w:rPr>
                <w:sz w:val="20"/>
                <w:szCs w:val="20"/>
                <w:lang w:val="en-US"/>
              </w:rPr>
              <w:t>F</w:t>
            </w:r>
            <w:r>
              <w:rPr>
                <w:sz w:val="20"/>
                <w:szCs w:val="20"/>
                <w:lang w:val="en-US"/>
              </w:rPr>
              <w:t>.</w:t>
            </w:r>
            <w:r w:rsidR="00E033CB" w:rsidRPr="00E059D1">
              <w:rPr>
                <w:sz w:val="20"/>
                <w:szCs w:val="20"/>
                <w:lang w:val="en-US"/>
              </w:rPr>
              <w:t>) (Civile) (Sur autorisation)</w:t>
            </w:r>
          </w:p>
        </w:tc>
      </w:tr>
      <w:tr w:rsidR="00047CBB" w:rsidRPr="0096343C" w:rsidTr="0074616E">
        <w:tc>
          <w:tcPr>
            <w:tcW w:w="543" w:type="pct"/>
          </w:tcPr>
          <w:p w:rsidR="00047CBB" w:rsidRPr="00005520" w:rsidRDefault="00047CBB" w:rsidP="0074616E">
            <w:pPr>
              <w:rPr>
                <w:rStyle w:val="SCCFileNumberChar"/>
                <w:sz w:val="20"/>
                <w:szCs w:val="20"/>
                <w:lang w:val="fr-CA"/>
              </w:rPr>
            </w:pPr>
            <w:r>
              <w:rPr>
                <w:rStyle w:val="SCCFileNumberChar"/>
                <w:sz w:val="20"/>
                <w:szCs w:val="20"/>
                <w:lang w:val="fr-CA"/>
              </w:rPr>
              <w:t>Coram :</w:t>
            </w:r>
          </w:p>
        </w:tc>
        <w:tc>
          <w:tcPr>
            <w:tcW w:w="4457" w:type="pct"/>
            <w:gridSpan w:val="3"/>
          </w:tcPr>
          <w:p w:rsidR="00047CBB" w:rsidRDefault="00E059D1" w:rsidP="00E033CB">
            <w:pPr>
              <w:pStyle w:val="SCCLsocParty"/>
              <w:jc w:val="both"/>
              <w:rPr>
                <w:sz w:val="20"/>
                <w:szCs w:val="20"/>
              </w:rPr>
            </w:pPr>
            <w:r w:rsidRPr="00920DA9">
              <w:rPr>
                <w:sz w:val="20"/>
                <w:szCs w:val="20"/>
              </w:rPr>
              <w:t>La juge en chef McLachlin et les juges Abella, Moldaver, Karakatsanis, Wagner, Gascon, Côté, Brown et Rowe</w:t>
            </w:r>
          </w:p>
          <w:p w:rsidR="00E059D1" w:rsidRPr="00E059D1" w:rsidRDefault="00E059D1" w:rsidP="00E059D1">
            <w:pPr>
              <w:rPr>
                <w:lang w:val="fr-CA"/>
              </w:rPr>
            </w:pPr>
          </w:p>
        </w:tc>
      </w:tr>
      <w:tr w:rsidR="00047CBB" w:rsidRPr="0096343C" w:rsidTr="00047CBB">
        <w:tc>
          <w:tcPr>
            <w:tcW w:w="5000" w:type="pct"/>
            <w:gridSpan w:val="4"/>
          </w:tcPr>
          <w:p w:rsidR="00047CBB" w:rsidRDefault="00E059D1" w:rsidP="00E033CB">
            <w:pPr>
              <w:pStyle w:val="SCCLsocParty"/>
              <w:jc w:val="both"/>
              <w:rPr>
                <w:sz w:val="20"/>
                <w:szCs w:val="20"/>
              </w:rPr>
            </w:pPr>
            <w:r w:rsidRPr="00920DA9">
              <w:rPr>
                <w:sz w:val="20"/>
                <w:szCs w:val="20"/>
              </w:rPr>
              <w:t>La demande d’autorisation d’appel de l’arrêt de la Cour d’appel fédérale, numéro A-198-16, 2017 FCA 92, daté du 3 mai 2017, est rejetée avec dépens.</w:t>
            </w:r>
          </w:p>
          <w:p w:rsidR="00E059D1" w:rsidRPr="00E059D1" w:rsidRDefault="00E059D1" w:rsidP="00E059D1">
            <w:pPr>
              <w:rPr>
                <w:lang w:val="fr-CA"/>
              </w:rPr>
            </w:pPr>
          </w:p>
        </w:tc>
      </w:tr>
      <w:tr w:rsidR="00E033CB" w:rsidRPr="0096343C" w:rsidTr="0074616E">
        <w:tc>
          <w:tcPr>
            <w:tcW w:w="5000" w:type="pct"/>
            <w:gridSpan w:val="4"/>
          </w:tcPr>
          <w:p w:rsidR="00E033CB" w:rsidRPr="00005520" w:rsidRDefault="00E033CB" w:rsidP="00E033CB">
            <w:pPr>
              <w:jc w:val="both"/>
              <w:rPr>
                <w:sz w:val="20"/>
                <w:szCs w:val="20"/>
                <w:lang w:val="fr-CA"/>
              </w:rPr>
            </w:pPr>
            <w:r w:rsidRPr="00005520">
              <w:rPr>
                <w:sz w:val="20"/>
                <w:szCs w:val="20"/>
                <w:lang w:val="fr-CA"/>
              </w:rPr>
              <w:t xml:space="preserve">Tribunaux – Cour fédérale – Compétence – Jugements et ordonnances – Jugement sommaire – Législation – Interprétation – Les intimés contestent la compétence de la Cour fédérale pour régler un différend concernant le blocage de l’écoulement d’eaux des États-Unis vers le Canada – Comment faut-il interpréter et appliquer le </w:t>
            </w:r>
            <w:r w:rsidRPr="00005520">
              <w:rPr>
                <w:i/>
                <w:sz w:val="20"/>
                <w:szCs w:val="20"/>
                <w:lang w:val="fr-CA"/>
              </w:rPr>
              <w:t>Traité des eaux limitrophes</w:t>
            </w:r>
            <w:r w:rsidRPr="00005520">
              <w:rPr>
                <w:sz w:val="20"/>
                <w:szCs w:val="20"/>
                <w:lang w:val="fr-CA"/>
              </w:rPr>
              <w:t xml:space="preserve"> et la </w:t>
            </w:r>
            <w:r w:rsidRPr="00005520">
              <w:rPr>
                <w:i/>
                <w:sz w:val="20"/>
                <w:szCs w:val="20"/>
                <w:lang w:val="fr-CA"/>
              </w:rPr>
              <w:t>Loi sur le traité des eaux limitrophes internationales</w:t>
            </w:r>
            <w:r w:rsidRPr="00005520">
              <w:rPr>
                <w:sz w:val="20"/>
                <w:szCs w:val="20"/>
                <w:lang w:val="fr-CA"/>
              </w:rPr>
              <w:t xml:space="preserve">? </w:t>
            </w:r>
          </w:p>
          <w:p w:rsidR="00E033CB" w:rsidRPr="00005520" w:rsidRDefault="00E033CB" w:rsidP="00E033CB">
            <w:pPr>
              <w:jc w:val="both"/>
              <w:rPr>
                <w:sz w:val="20"/>
                <w:szCs w:val="20"/>
                <w:lang w:val="fr-CA"/>
              </w:rPr>
            </w:pPr>
          </w:p>
        </w:tc>
      </w:tr>
      <w:tr w:rsidR="00E033CB" w:rsidRPr="0096343C" w:rsidTr="0074616E">
        <w:tc>
          <w:tcPr>
            <w:tcW w:w="5000" w:type="pct"/>
            <w:gridSpan w:val="4"/>
          </w:tcPr>
          <w:p w:rsidR="00E033CB" w:rsidRPr="00005520" w:rsidRDefault="00E033CB" w:rsidP="00E033CB">
            <w:pPr>
              <w:jc w:val="both"/>
              <w:rPr>
                <w:sz w:val="20"/>
                <w:szCs w:val="20"/>
                <w:lang w:val="fr-CA"/>
              </w:rPr>
            </w:pPr>
            <w:r w:rsidRPr="00005520">
              <w:rPr>
                <w:sz w:val="20"/>
                <w:szCs w:val="20"/>
                <w:lang w:val="fr-CA"/>
              </w:rPr>
              <w:lastRenderedPageBreak/>
              <w:t xml:space="preserve">Les demandeurs, collectivement le « Dakota du Nord », sont des entités gouvernementales américaines et des propriétaires fonciers privés. Les intimés, collectivement le « Manitoba », sont des entités politiques au Canada. Le Dakota du Nord a intenté une action au Canada, en Cour fédérale, alléguant qu’une route canadienne longeant la frontière internationale entre le Manitoba et le Dakota du Nord bloquait des eaux de crue qui se seraient autrement écoulées vers le nord, des États-Unis au Canada, causant ainsi des inondations et des préjudices touchant des terrains au Dakota du Nord. Dans les zones pertinentes du sud du Manitoba, il existe une emprise large de 99 pieds qui est parallèle à la frontière internationale. Vers 1940, une route surélevée a été construite dans cette emprise. La route agit comme une digue qui bloque les eaux de crue de la rivière Pembina et les empêche de s’écouler au Canada. Au terme d’un procès de trois semaines, le Manitoba a demandé la radiation de la déclaration du Dakota du Nord, faisant valoir que la Cour fédérale n’était pas compétente à l’égard de l’objet de l’instance. Dans son action, le Dakota du Nord s’est appuyé sur la </w:t>
            </w:r>
            <w:hyperlink r:id="rId44" w:history="1">
              <w:r w:rsidRPr="00005520">
                <w:rPr>
                  <w:i/>
                  <w:iCs/>
                  <w:sz w:val="20"/>
                  <w:szCs w:val="20"/>
                  <w:lang w:val="fr-CA"/>
                </w:rPr>
                <w:t>Loi sur le traité des eaux limitrophes internationales</w:t>
              </w:r>
              <w:r w:rsidRPr="00005520">
                <w:rPr>
                  <w:sz w:val="20"/>
                  <w:szCs w:val="20"/>
                  <w:lang w:val="fr-CA"/>
                </w:rPr>
                <w:t>, L.R.C. 1985, ch. I-17</w:t>
              </w:r>
            </w:hyperlink>
            <w:r w:rsidRPr="00005520">
              <w:rPr>
                <w:sz w:val="20"/>
                <w:szCs w:val="20"/>
                <w:lang w:val="fr-CA"/>
              </w:rPr>
              <w:t xml:space="preserve"> qui incorporait dans le droit interne canadien le </w:t>
            </w:r>
            <w:r w:rsidRPr="00005520">
              <w:rPr>
                <w:i/>
                <w:iCs/>
                <w:sz w:val="20"/>
                <w:szCs w:val="20"/>
                <w:lang w:val="fr-CA"/>
              </w:rPr>
              <w:t xml:space="preserve">Traité relatif aux eaux limitrophes et aux questions originant le long de la frontière entre le Canada et les États-Unis, signé à Washington, 11 janvier 1909 </w:t>
            </w:r>
            <w:r w:rsidRPr="00005520">
              <w:rPr>
                <w:sz w:val="20"/>
                <w:szCs w:val="20"/>
                <w:lang w:val="fr-CA"/>
              </w:rPr>
              <w:t>(le « Traité »). Le Traité confère notamment aux parties lésées des droits de recouvrement dans certaines situations au titre du préjudice causé par les eaux transfrontalières. Le Traité a été adopté dans le droit interne canadien par la Loi. En 2004, le Dakota du Nord a intenté en Cour fédérale une action contre le Manitoba sollicitant notamment des dommages-intérêts pour le préjudice causé aux biens réels et pertes connexes et une injonction ordonnant au Manitoba d’enlever la digue pour permettre l’écoulement naturel de l’eau au-delà de la frontière.</w:t>
            </w:r>
          </w:p>
        </w:tc>
      </w:tr>
      <w:tr w:rsidR="00E033CB" w:rsidRPr="0096343C" w:rsidTr="0074616E">
        <w:tc>
          <w:tcPr>
            <w:tcW w:w="5000" w:type="pct"/>
            <w:gridSpan w:val="4"/>
          </w:tcPr>
          <w:p w:rsidR="00E033CB" w:rsidRPr="00005520" w:rsidRDefault="00E033CB" w:rsidP="00E033CB">
            <w:pPr>
              <w:jc w:val="both"/>
              <w:rPr>
                <w:sz w:val="20"/>
                <w:szCs w:val="20"/>
                <w:lang w:val="fr-CA"/>
              </w:rPr>
            </w:pPr>
          </w:p>
        </w:tc>
      </w:tr>
      <w:tr w:rsidR="00E033CB" w:rsidRPr="0096343C" w:rsidTr="0074616E">
        <w:tc>
          <w:tcPr>
            <w:tcW w:w="2427" w:type="pct"/>
            <w:gridSpan w:val="2"/>
          </w:tcPr>
          <w:p w:rsidR="00E033CB" w:rsidRPr="00005520" w:rsidRDefault="00E033CB" w:rsidP="00E033CB">
            <w:pPr>
              <w:jc w:val="both"/>
              <w:rPr>
                <w:sz w:val="20"/>
                <w:szCs w:val="20"/>
                <w:lang w:val="fr-CA"/>
              </w:rPr>
            </w:pPr>
            <w:r w:rsidRPr="00005520">
              <w:rPr>
                <w:sz w:val="20"/>
                <w:szCs w:val="20"/>
                <w:lang w:val="fr-CA"/>
              </w:rPr>
              <w:t>2 juin 2016</w:t>
            </w:r>
          </w:p>
          <w:p w:rsidR="00E033CB" w:rsidRPr="00005520" w:rsidRDefault="00E033CB" w:rsidP="00E033CB">
            <w:pPr>
              <w:jc w:val="both"/>
              <w:rPr>
                <w:sz w:val="20"/>
                <w:szCs w:val="20"/>
                <w:lang w:val="fr-CA"/>
              </w:rPr>
            </w:pPr>
            <w:r w:rsidRPr="00005520">
              <w:rPr>
                <w:sz w:val="20"/>
                <w:szCs w:val="20"/>
                <w:lang w:val="fr-CA"/>
              </w:rPr>
              <w:t>Cour fédérale</w:t>
            </w:r>
          </w:p>
          <w:p w:rsidR="00E033CB" w:rsidRPr="00005520" w:rsidRDefault="00E033CB" w:rsidP="00E033CB">
            <w:pPr>
              <w:jc w:val="both"/>
              <w:rPr>
                <w:sz w:val="20"/>
                <w:szCs w:val="20"/>
                <w:lang w:val="fr-CA"/>
              </w:rPr>
            </w:pPr>
            <w:r w:rsidRPr="00005520">
              <w:rPr>
                <w:sz w:val="20"/>
                <w:szCs w:val="20"/>
                <w:lang w:val="fr-CA"/>
              </w:rPr>
              <w:t>(Juge Russell)</w:t>
            </w:r>
          </w:p>
          <w:p w:rsidR="00E033CB" w:rsidRPr="00005520" w:rsidRDefault="008D266B" w:rsidP="00E033CB">
            <w:pPr>
              <w:jc w:val="both"/>
              <w:rPr>
                <w:sz w:val="20"/>
                <w:szCs w:val="20"/>
                <w:lang w:val="fr-CA"/>
              </w:rPr>
            </w:pPr>
            <w:hyperlink r:id="rId45" w:history="1">
              <w:r w:rsidR="00E033CB" w:rsidRPr="00005520">
                <w:rPr>
                  <w:rStyle w:val="Hyperlink"/>
                  <w:sz w:val="20"/>
                  <w:szCs w:val="20"/>
                  <w:lang w:val="fr-CA"/>
                </w:rPr>
                <w:t>2016 FC 618</w:t>
              </w:r>
            </w:hyperlink>
            <w:r w:rsidR="00E033CB" w:rsidRPr="00005520">
              <w:rPr>
                <w:sz w:val="20"/>
                <w:szCs w:val="20"/>
                <w:lang w:val="fr-CA"/>
              </w:rPr>
              <w:t xml:space="preserve"> </w:t>
            </w:r>
          </w:p>
          <w:p w:rsidR="00E033CB" w:rsidRPr="00005520" w:rsidRDefault="00E033CB" w:rsidP="00E033CB">
            <w:pPr>
              <w:jc w:val="both"/>
              <w:rPr>
                <w:sz w:val="20"/>
                <w:szCs w:val="20"/>
                <w:lang w:val="fr-CA"/>
              </w:rPr>
            </w:pPr>
          </w:p>
        </w:tc>
        <w:tc>
          <w:tcPr>
            <w:tcW w:w="243" w:type="pct"/>
          </w:tcPr>
          <w:p w:rsidR="00E033CB" w:rsidRPr="00005520" w:rsidRDefault="00E033CB" w:rsidP="00E033CB">
            <w:pPr>
              <w:jc w:val="both"/>
              <w:rPr>
                <w:sz w:val="20"/>
                <w:szCs w:val="20"/>
                <w:lang w:val="fr-CA"/>
              </w:rPr>
            </w:pPr>
          </w:p>
        </w:tc>
        <w:tc>
          <w:tcPr>
            <w:tcW w:w="2330" w:type="pct"/>
          </w:tcPr>
          <w:p w:rsidR="00E033CB" w:rsidRPr="00005520" w:rsidRDefault="00E033CB" w:rsidP="00E033CB">
            <w:pPr>
              <w:jc w:val="both"/>
              <w:rPr>
                <w:sz w:val="20"/>
                <w:szCs w:val="20"/>
                <w:lang w:val="fr-CA"/>
              </w:rPr>
            </w:pPr>
            <w:r w:rsidRPr="00005520">
              <w:rPr>
                <w:sz w:val="20"/>
                <w:szCs w:val="20"/>
                <w:lang w:val="fr-CA"/>
              </w:rPr>
              <w:t xml:space="preserve">Jugement accueillant la requête des intimés en radiation de la déclaration des demandeurs et statuant que la Cour fédérale n’a pas compétence pour instruire l’action des demandeurs </w:t>
            </w:r>
          </w:p>
          <w:p w:rsidR="00E033CB" w:rsidRPr="00005520" w:rsidRDefault="00E033CB" w:rsidP="00E033CB">
            <w:pPr>
              <w:jc w:val="both"/>
              <w:rPr>
                <w:sz w:val="20"/>
                <w:szCs w:val="20"/>
                <w:lang w:val="fr-CA"/>
              </w:rPr>
            </w:pPr>
          </w:p>
        </w:tc>
      </w:tr>
      <w:tr w:rsidR="00E033CB" w:rsidRPr="00005520" w:rsidTr="0074616E">
        <w:tc>
          <w:tcPr>
            <w:tcW w:w="2427" w:type="pct"/>
            <w:gridSpan w:val="2"/>
          </w:tcPr>
          <w:p w:rsidR="00E033CB" w:rsidRPr="00005520" w:rsidRDefault="00E033CB" w:rsidP="00E033CB">
            <w:pPr>
              <w:jc w:val="both"/>
              <w:rPr>
                <w:sz w:val="20"/>
                <w:szCs w:val="20"/>
                <w:lang w:val="fr-CA"/>
              </w:rPr>
            </w:pPr>
            <w:r w:rsidRPr="00005520">
              <w:rPr>
                <w:sz w:val="20"/>
                <w:szCs w:val="20"/>
                <w:lang w:val="fr-CA"/>
              </w:rPr>
              <w:t>3 mai 2017</w:t>
            </w:r>
          </w:p>
          <w:p w:rsidR="00E033CB" w:rsidRPr="00005520" w:rsidRDefault="00E033CB" w:rsidP="00E033CB">
            <w:pPr>
              <w:jc w:val="both"/>
              <w:rPr>
                <w:sz w:val="20"/>
                <w:szCs w:val="20"/>
                <w:lang w:val="fr-CA"/>
              </w:rPr>
            </w:pPr>
            <w:r w:rsidRPr="00005520">
              <w:rPr>
                <w:sz w:val="20"/>
                <w:szCs w:val="20"/>
                <w:lang w:val="fr-CA"/>
              </w:rPr>
              <w:t>Cour d’appel fédérale</w:t>
            </w:r>
          </w:p>
          <w:p w:rsidR="00E033CB" w:rsidRPr="00005520" w:rsidRDefault="00E033CB" w:rsidP="00E033CB">
            <w:pPr>
              <w:jc w:val="both"/>
              <w:rPr>
                <w:sz w:val="20"/>
                <w:szCs w:val="20"/>
                <w:lang w:val="fr-CA"/>
              </w:rPr>
            </w:pPr>
            <w:r w:rsidRPr="00005520">
              <w:rPr>
                <w:sz w:val="20"/>
                <w:szCs w:val="20"/>
                <w:lang w:val="fr-CA"/>
              </w:rPr>
              <w:t>(Juges Nadon, Rennie et De Montigny)</w:t>
            </w:r>
          </w:p>
          <w:p w:rsidR="00E033CB" w:rsidRPr="00005520" w:rsidRDefault="008D266B" w:rsidP="00E033CB">
            <w:pPr>
              <w:jc w:val="both"/>
              <w:rPr>
                <w:rStyle w:val="Hyperlink"/>
                <w:sz w:val="20"/>
                <w:szCs w:val="20"/>
                <w:lang w:val="fr-CA"/>
              </w:rPr>
            </w:pPr>
            <w:hyperlink r:id="rId46" w:history="1">
              <w:r w:rsidR="00E033CB" w:rsidRPr="00005520">
                <w:rPr>
                  <w:rStyle w:val="Hyperlink"/>
                  <w:sz w:val="20"/>
                  <w:szCs w:val="20"/>
                  <w:lang w:val="fr-CA"/>
                </w:rPr>
                <w:t>2017 FCA 92</w:t>
              </w:r>
            </w:hyperlink>
          </w:p>
          <w:p w:rsidR="00E033CB" w:rsidRPr="00005520" w:rsidRDefault="00E033CB" w:rsidP="00E033CB">
            <w:pPr>
              <w:jc w:val="both"/>
              <w:rPr>
                <w:sz w:val="20"/>
                <w:szCs w:val="20"/>
                <w:lang w:val="fr-CA"/>
              </w:rPr>
            </w:pPr>
          </w:p>
        </w:tc>
        <w:tc>
          <w:tcPr>
            <w:tcW w:w="243" w:type="pct"/>
          </w:tcPr>
          <w:p w:rsidR="00E033CB" w:rsidRPr="00005520" w:rsidRDefault="00E033CB" w:rsidP="00E033CB">
            <w:pPr>
              <w:jc w:val="both"/>
              <w:rPr>
                <w:sz w:val="20"/>
                <w:szCs w:val="20"/>
                <w:lang w:val="fr-CA"/>
              </w:rPr>
            </w:pPr>
          </w:p>
        </w:tc>
        <w:tc>
          <w:tcPr>
            <w:tcW w:w="2330" w:type="pct"/>
          </w:tcPr>
          <w:p w:rsidR="00E033CB" w:rsidRPr="00005520" w:rsidRDefault="00E033CB" w:rsidP="00E033CB">
            <w:pPr>
              <w:jc w:val="both"/>
              <w:rPr>
                <w:sz w:val="20"/>
                <w:szCs w:val="20"/>
                <w:lang w:val="fr-CA"/>
              </w:rPr>
            </w:pPr>
            <w:r w:rsidRPr="00005520">
              <w:rPr>
                <w:sz w:val="20"/>
                <w:szCs w:val="20"/>
                <w:lang w:val="fr-CA"/>
              </w:rPr>
              <w:t>Rejet de l’appel des demandeurs</w:t>
            </w:r>
          </w:p>
          <w:p w:rsidR="00E033CB" w:rsidRPr="00005520" w:rsidRDefault="00E033CB" w:rsidP="00E033CB">
            <w:pPr>
              <w:jc w:val="both"/>
              <w:rPr>
                <w:sz w:val="20"/>
                <w:szCs w:val="20"/>
                <w:lang w:val="fr-CA"/>
              </w:rPr>
            </w:pPr>
          </w:p>
        </w:tc>
      </w:tr>
      <w:tr w:rsidR="00E033CB" w:rsidRPr="0096343C" w:rsidTr="0074616E">
        <w:tc>
          <w:tcPr>
            <w:tcW w:w="2427" w:type="pct"/>
            <w:gridSpan w:val="2"/>
          </w:tcPr>
          <w:p w:rsidR="00E033CB" w:rsidRPr="00005520" w:rsidRDefault="00E033CB" w:rsidP="00E033CB">
            <w:pPr>
              <w:jc w:val="both"/>
              <w:rPr>
                <w:sz w:val="20"/>
                <w:szCs w:val="20"/>
                <w:lang w:val="fr-CA"/>
              </w:rPr>
            </w:pPr>
            <w:r w:rsidRPr="00005520">
              <w:rPr>
                <w:sz w:val="20"/>
                <w:szCs w:val="20"/>
                <w:lang w:val="fr-CA"/>
              </w:rPr>
              <w:t>2 août 2017</w:t>
            </w:r>
          </w:p>
          <w:p w:rsidR="00E033CB" w:rsidRPr="00005520" w:rsidRDefault="00E033CB" w:rsidP="00E033CB">
            <w:pPr>
              <w:jc w:val="both"/>
              <w:rPr>
                <w:sz w:val="20"/>
                <w:szCs w:val="20"/>
                <w:lang w:val="fr-CA"/>
              </w:rPr>
            </w:pPr>
            <w:r w:rsidRPr="00005520">
              <w:rPr>
                <w:sz w:val="20"/>
                <w:szCs w:val="20"/>
                <w:lang w:val="fr-CA"/>
              </w:rPr>
              <w:t>Cour suprême du Canada</w:t>
            </w:r>
          </w:p>
        </w:tc>
        <w:tc>
          <w:tcPr>
            <w:tcW w:w="243" w:type="pct"/>
          </w:tcPr>
          <w:p w:rsidR="00E033CB" w:rsidRPr="00005520" w:rsidRDefault="00E033CB" w:rsidP="00E033CB">
            <w:pPr>
              <w:jc w:val="both"/>
              <w:rPr>
                <w:sz w:val="20"/>
                <w:szCs w:val="20"/>
                <w:lang w:val="fr-CA"/>
              </w:rPr>
            </w:pPr>
          </w:p>
        </w:tc>
        <w:tc>
          <w:tcPr>
            <w:tcW w:w="2330" w:type="pct"/>
          </w:tcPr>
          <w:p w:rsidR="00E033CB" w:rsidRPr="00005520" w:rsidRDefault="00E033CB" w:rsidP="00E033CB">
            <w:pPr>
              <w:jc w:val="both"/>
              <w:rPr>
                <w:sz w:val="20"/>
                <w:szCs w:val="20"/>
                <w:lang w:val="fr-CA"/>
              </w:rPr>
            </w:pPr>
            <w:r w:rsidRPr="00005520">
              <w:rPr>
                <w:sz w:val="20"/>
                <w:szCs w:val="20"/>
                <w:lang w:val="fr-CA"/>
              </w:rPr>
              <w:t>Dépôt de la demande d’autorisation d’appel</w:t>
            </w:r>
          </w:p>
          <w:p w:rsidR="00E033CB" w:rsidRPr="00005520" w:rsidRDefault="00E033CB" w:rsidP="00E033CB">
            <w:pPr>
              <w:jc w:val="both"/>
              <w:rPr>
                <w:sz w:val="20"/>
                <w:szCs w:val="20"/>
                <w:lang w:val="fr-CA"/>
              </w:rPr>
            </w:pPr>
          </w:p>
        </w:tc>
      </w:tr>
    </w:tbl>
    <w:p w:rsidR="00E033CB" w:rsidRPr="00005520" w:rsidRDefault="008D266B" w:rsidP="00E033CB">
      <w:pPr>
        <w:rPr>
          <w:sz w:val="20"/>
          <w:szCs w:val="20"/>
          <w:lang w:val="fr-CA"/>
        </w:rPr>
      </w:pPr>
      <w:r>
        <w:rPr>
          <w:sz w:val="20"/>
          <w:szCs w:val="20"/>
        </w:rPr>
        <w:pict>
          <v:rect id="_x0000_i1056" style="width:2in;height:1pt" o:hrpct="0" o:hralign="center" o:hrstd="t" o:hrnoshade="t" o:hr="t" fillcolor="black [3213]" stroked="f"/>
        </w:pict>
      </w:r>
    </w:p>
    <w:p w:rsidR="00E033CB" w:rsidRPr="00005520" w:rsidRDefault="00E033CB" w:rsidP="00E033CB">
      <w:pPr>
        <w:jc w:val="both"/>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033CB" w:rsidRPr="00005520" w:rsidTr="0074616E">
        <w:tc>
          <w:tcPr>
            <w:tcW w:w="543" w:type="pct"/>
          </w:tcPr>
          <w:p w:rsidR="00E033CB" w:rsidRPr="00005520" w:rsidRDefault="00E033CB" w:rsidP="0074616E">
            <w:pPr>
              <w:rPr>
                <w:sz w:val="20"/>
                <w:szCs w:val="20"/>
              </w:rPr>
            </w:pPr>
            <w:r w:rsidRPr="00005520">
              <w:rPr>
                <w:rStyle w:val="SCCFileNumberChar"/>
                <w:sz w:val="20"/>
                <w:szCs w:val="20"/>
              </w:rPr>
              <w:t>37628</w:t>
            </w:r>
          </w:p>
        </w:tc>
        <w:tc>
          <w:tcPr>
            <w:tcW w:w="4457" w:type="pct"/>
            <w:gridSpan w:val="3"/>
          </w:tcPr>
          <w:p w:rsidR="00E033CB" w:rsidRPr="00005520" w:rsidRDefault="00EC059B" w:rsidP="0074616E">
            <w:pPr>
              <w:rPr>
                <w:sz w:val="20"/>
                <w:szCs w:val="20"/>
              </w:rPr>
            </w:pPr>
            <w:r w:rsidRPr="00EC059B">
              <w:rPr>
                <w:rFonts w:eastAsia="Calibri" w:cs="Times New Roman"/>
                <w:b/>
                <w:sz w:val="20"/>
                <w:szCs w:val="20"/>
                <w:lang w:val="en-US"/>
              </w:rPr>
              <w:t xml:space="preserve">ExxonMobil Canada Properties v. Hebron Project Employers’ Association Inc. and Resource Development Trades Council of Newfoundland and Labrador </w:t>
            </w:r>
            <w:r w:rsidR="00E033CB" w:rsidRPr="00005520">
              <w:rPr>
                <w:sz w:val="20"/>
                <w:szCs w:val="20"/>
              </w:rPr>
              <w:t>(N.L.) (Civil) (By Leave)</w:t>
            </w:r>
          </w:p>
        </w:tc>
      </w:tr>
      <w:tr w:rsidR="00047CBB" w:rsidRPr="00005520" w:rsidTr="0074616E">
        <w:tc>
          <w:tcPr>
            <w:tcW w:w="543" w:type="pct"/>
          </w:tcPr>
          <w:p w:rsidR="00047CBB" w:rsidRPr="00005520" w:rsidRDefault="00047CBB" w:rsidP="0074616E">
            <w:pPr>
              <w:rPr>
                <w:rStyle w:val="SCCFileNumberChar"/>
                <w:sz w:val="20"/>
                <w:szCs w:val="20"/>
              </w:rPr>
            </w:pPr>
            <w:r>
              <w:rPr>
                <w:rStyle w:val="SCCFileNumberChar"/>
                <w:sz w:val="20"/>
                <w:szCs w:val="20"/>
              </w:rPr>
              <w:t>Coram:</w:t>
            </w:r>
          </w:p>
        </w:tc>
        <w:tc>
          <w:tcPr>
            <w:tcW w:w="4457" w:type="pct"/>
            <w:gridSpan w:val="3"/>
          </w:tcPr>
          <w:p w:rsidR="00047CBB" w:rsidRDefault="00EC059B" w:rsidP="0074616E">
            <w:pPr>
              <w:pStyle w:val="SCCLsocParty"/>
              <w:jc w:val="both"/>
              <w:rPr>
                <w:sz w:val="20"/>
                <w:szCs w:val="20"/>
                <w:lang w:val="en-US"/>
              </w:rPr>
            </w:pPr>
            <w:r w:rsidRPr="00EC059B">
              <w:rPr>
                <w:sz w:val="20"/>
                <w:szCs w:val="20"/>
                <w:lang w:val="en-US"/>
              </w:rPr>
              <w:t>McLachlin C.J. and Abella, Moldaver, Karakatsanis, Wagner, Gascon, Côté and Brown JJ</w:t>
            </w:r>
          </w:p>
          <w:p w:rsidR="00EC059B" w:rsidRPr="00EC059B" w:rsidRDefault="00EC059B" w:rsidP="00EC059B">
            <w:pPr>
              <w:rPr>
                <w:lang w:val="en-US"/>
              </w:rPr>
            </w:pPr>
          </w:p>
        </w:tc>
      </w:tr>
      <w:tr w:rsidR="00047CBB" w:rsidRPr="00005520" w:rsidTr="00047CBB">
        <w:tc>
          <w:tcPr>
            <w:tcW w:w="5000" w:type="pct"/>
            <w:gridSpan w:val="4"/>
          </w:tcPr>
          <w:p w:rsidR="00047CBB" w:rsidRPr="00EC059B" w:rsidRDefault="00EC059B" w:rsidP="0074616E">
            <w:pPr>
              <w:pStyle w:val="SCCLsocParty"/>
              <w:jc w:val="both"/>
              <w:rPr>
                <w:sz w:val="20"/>
                <w:szCs w:val="20"/>
                <w:lang w:val="en-US"/>
              </w:rPr>
            </w:pPr>
            <w:r w:rsidRPr="00EC059B">
              <w:rPr>
                <w:sz w:val="20"/>
                <w:szCs w:val="20"/>
                <w:lang w:val="en-US"/>
              </w:rPr>
              <w:t>The application for leave to appeal from the judgment of the Supreme Court of Newfoundland and Labrador - Court of Appeal, Numbers 201401H0049 and 201401H0057, 2017 NLCA 28, dated April 27, 2017, is dismissed with costs.</w:t>
            </w:r>
          </w:p>
          <w:p w:rsidR="00EC059B" w:rsidRPr="00EC059B" w:rsidRDefault="00EC059B" w:rsidP="00EC059B">
            <w:pPr>
              <w:rPr>
                <w:lang w:val="en-US"/>
              </w:rPr>
            </w:pPr>
          </w:p>
        </w:tc>
      </w:tr>
      <w:tr w:rsidR="00E033CB" w:rsidRPr="00005520" w:rsidTr="0074616E">
        <w:tc>
          <w:tcPr>
            <w:tcW w:w="5000" w:type="pct"/>
            <w:gridSpan w:val="4"/>
          </w:tcPr>
          <w:p w:rsidR="00E033CB" w:rsidRPr="00005520" w:rsidRDefault="00E033CB" w:rsidP="00E033CB">
            <w:pPr>
              <w:jc w:val="both"/>
              <w:rPr>
                <w:sz w:val="20"/>
                <w:szCs w:val="20"/>
              </w:rPr>
            </w:pPr>
            <w:r w:rsidRPr="00005520">
              <w:rPr>
                <w:sz w:val="20"/>
                <w:szCs w:val="20"/>
              </w:rPr>
              <w:t>Labour relations — Collective agreements — Special project orders — Grievance — Arbitration award — Employees found not to have breached collective agreement — Third party owner’s right to deny employees access to site — When can a collective agreement be imposed upon a non-party — Whether a labour arbitrator can compel a non-party to act in the absence of voluntary consent — Whether policy, as assessed solely by the Court, played an inappropriate role in determining the legal boundaries of jurisdiction and privity of contract — Whether policy allows for an interruption or circumvention of common law rules, and well established jurisprudence.</w:t>
            </w:r>
          </w:p>
        </w:tc>
      </w:tr>
      <w:tr w:rsidR="00E033CB" w:rsidRPr="00005520" w:rsidTr="0074616E">
        <w:tc>
          <w:tcPr>
            <w:tcW w:w="5000" w:type="pct"/>
            <w:gridSpan w:val="4"/>
          </w:tcPr>
          <w:p w:rsidR="00E033CB" w:rsidRPr="00005520" w:rsidRDefault="00E033CB" w:rsidP="00E033CB">
            <w:pPr>
              <w:jc w:val="both"/>
              <w:rPr>
                <w:sz w:val="20"/>
                <w:szCs w:val="20"/>
              </w:rPr>
            </w:pPr>
          </w:p>
        </w:tc>
      </w:tr>
      <w:tr w:rsidR="00E033CB" w:rsidRPr="00005520" w:rsidTr="0074616E">
        <w:tc>
          <w:tcPr>
            <w:tcW w:w="5000" w:type="pct"/>
            <w:gridSpan w:val="4"/>
          </w:tcPr>
          <w:p w:rsidR="00E033CB" w:rsidRPr="00005520" w:rsidRDefault="00E033CB" w:rsidP="00E033CB">
            <w:pPr>
              <w:jc w:val="both"/>
              <w:rPr>
                <w:sz w:val="20"/>
                <w:szCs w:val="20"/>
              </w:rPr>
            </w:pPr>
            <w:r w:rsidRPr="00005520">
              <w:rPr>
                <w:sz w:val="20"/>
                <w:szCs w:val="20"/>
              </w:rPr>
              <w:t xml:space="preserve">ExxonMobil Canada Properties (“ExxonMobil”) leases the Hebron GBS platform at the Bull Arm Construction Site from a Crown agency. On that site, various policies prohibited the use or possession of alcohol, noncompliance with the </w:t>
            </w:r>
            <w:r w:rsidRPr="00005520">
              <w:rPr>
                <w:sz w:val="20"/>
                <w:szCs w:val="20"/>
              </w:rPr>
              <w:lastRenderedPageBreak/>
              <w:t>site substance abuse policy, and reporting for work with a concentration of alcohol of 0.04g/L or greater. Violation of the policies risked removal from the worksite and loss of access to the worksite. According to the Agreed Statement of Facts three employees of a contractor had returned to the site after drinking offsite on their day off. Their breath tests indicated the presence of alcohol in excess of 0.04g/L. ExxonMobil revoked their access to the site for violation of its Bull Arm Site Absolutes Policy. The three employees grieved, alleging wrongful termination from employment and wrongful denial of site access.</w:t>
            </w:r>
          </w:p>
          <w:p w:rsidR="00E033CB" w:rsidRPr="00005520" w:rsidRDefault="00E033CB" w:rsidP="00E033CB">
            <w:pPr>
              <w:jc w:val="both"/>
              <w:rPr>
                <w:sz w:val="20"/>
                <w:szCs w:val="20"/>
              </w:rPr>
            </w:pPr>
          </w:p>
          <w:p w:rsidR="00E033CB" w:rsidRPr="00005520" w:rsidRDefault="00E033CB" w:rsidP="00E033CB">
            <w:pPr>
              <w:jc w:val="both"/>
              <w:rPr>
                <w:sz w:val="20"/>
                <w:szCs w:val="20"/>
              </w:rPr>
            </w:pPr>
            <w:r w:rsidRPr="00005520">
              <w:rPr>
                <w:sz w:val="20"/>
                <w:szCs w:val="20"/>
              </w:rPr>
              <w:t>The arbitrator found that they had not reported for work with alcohol levels in excess of the prescribed amount, nor had they otherwise breached the collective agreement. He ordered their reinstatement. In so doing, he indicated that ExxonMobil, a third party to the collective agreement, was “bound” by his decision. Thompson J. granted ExxonMobil leave to intervene, but dismissed the HPEA’s application for judicial review. The Court of Appeal dismissed the appeal, Butler and Hoegg J.A., dissenting.</w:t>
            </w:r>
          </w:p>
          <w:p w:rsidR="00E033CB" w:rsidRPr="00005520" w:rsidRDefault="00E033CB" w:rsidP="00E033CB">
            <w:pPr>
              <w:jc w:val="both"/>
              <w:rPr>
                <w:sz w:val="20"/>
                <w:szCs w:val="20"/>
              </w:rPr>
            </w:pPr>
          </w:p>
        </w:tc>
      </w:tr>
      <w:tr w:rsidR="00E033CB" w:rsidRPr="00005520" w:rsidTr="0074616E">
        <w:tc>
          <w:tcPr>
            <w:tcW w:w="2427" w:type="pct"/>
            <w:gridSpan w:val="2"/>
          </w:tcPr>
          <w:p w:rsidR="00E033CB" w:rsidRPr="00005520" w:rsidRDefault="00E033CB" w:rsidP="0074616E">
            <w:pPr>
              <w:rPr>
                <w:sz w:val="20"/>
                <w:szCs w:val="20"/>
              </w:rPr>
            </w:pPr>
            <w:r w:rsidRPr="00005520">
              <w:rPr>
                <w:sz w:val="20"/>
                <w:szCs w:val="20"/>
              </w:rPr>
              <w:lastRenderedPageBreak/>
              <w:t>December 19, 2014</w:t>
            </w:r>
          </w:p>
          <w:p w:rsidR="00E033CB" w:rsidRPr="00005520" w:rsidRDefault="00E033CB" w:rsidP="0074616E">
            <w:pPr>
              <w:rPr>
                <w:sz w:val="20"/>
                <w:szCs w:val="20"/>
              </w:rPr>
            </w:pPr>
            <w:r w:rsidRPr="00005520">
              <w:rPr>
                <w:sz w:val="20"/>
                <w:szCs w:val="20"/>
              </w:rPr>
              <w:t>Supreme Court of Newfoundland &amp; Labrador</w:t>
            </w:r>
          </w:p>
          <w:p w:rsidR="00E033CB" w:rsidRPr="00005520" w:rsidRDefault="00E033CB" w:rsidP="0074616E">
            <w:pPr>
              <w:rPr>
                <w:sz w:val="20"/>
                <w:szCs w:val="20"/>
              </w:rPr>
            </w:pPr>
            <w:r w:rsidRPr="00005520">
              <w:rPr>
                <w:sz w:val="20"/>
                <w:szCs w:val="20"/>
              </w:rPr>
              <w:t>Trial Division</w:t>
            </w:r>
          </w:p>
          <w:p w:rsidR="00E033CB" w:rsidRPr="00005520" w:rsidRDefault="00E033CB" w:rsidP="0074616E">
            <w:pPr>
              <w:rPr>
                <w:sz w:val="20"/>
                <w:szCs w:val="20"/>
              </w:rPr>
            </w:pPr>
            <w:r w:rsidRPr="00005520">
              <w:rPr>
                <w:sz w:val="20"/>
                <w:szCs w:val="20"/>
              </w:rPr>
              <w:t>(Thompson J.)</w:t>
            </w:r>
          </w:p>
          <w:p w:rsidR="00E033CB" w:rsidRPr="00005520" w:rsidRDefault="008D266B" w:rsidP="0074616E">
            <w:pPr>
              <w:rPr>
                <w:sz w:val="20"/>
                <w:szCs w:val="20"/>
              </w:rPr>
            </w:pPr>
            <w:hyperlink r:id="rId47" w:history="1">
              <w:r w:rsidR="00E033CB" w:rsidRPr="00005520">
                <w:rPr>
                  <w:rStyle w:val="Hyperlink"/>
                  <w:sz w:val="20"/>
                  <w:szCs w:val="20"/>
                </w:rPr>
                <w:t>2014 NLTD(G) 163</w:t>
              </w:r>
            </w:hyperlink>
          </w:p>
          <w:p w:rsidR="00E033CB" w:rsidRPr="00005520" w:rsidRDefault="00E033CB" w:rsidP="0074616E">
            <w:pPr>
              <w:rPr>
                <w:sz w:val="20"/>
                <w:szCs w:val="20"/>
              </w:rPr>
            </w:pPr>
          </w:p>
        </w:tc>
        <w:tc>
          <w:tcPr>
            <w:tcW w:w="243" w:type="pct"/>
          </w:tcPr>
          <w:p w:rsidR="00E033CB" w:rsidRPr="00005520" w:rsidRDefault="00E033CB" w:rsidP="0074616E">
            <w:pPr>
              <w:rPr>
                <w:sz w:val="20"/>
                <w:szCs w:val="20"/>
              </w:rPr>
            </w:pPr>
          </w:p>
        </w:tc>
        <w:tc>
          <w:tcPr>
            <w:tcW w:w="2330" w:type="pct"/>
          </w:tcPr>
          <w:p w:rsidR="00E033CB" w:rsidRPr="00005520" w:rsidRDefault="00E033CB" w:rsidP="0074616E">
            <w:pPr>
              <w:rPr>
                <w:sz w:val="20"/>
                <w:szCs w:val="20"/>
              </w:rPr>
            </w:pPr>
            <w:r w:rsidRPr="00005520">
              <w:rPr>
                <w:sz w:val="20"/>
                <w:szCs w:val="20"/>
              </w:rPr>
              <w:t>Application for judicial review dismissed</w:t>
            </w:r>
          </w:p>
          <w:p w:rsidR="00E033CB" w:rsidRPr="00005520" w:rsidRDefault="00E033CB" w:rsidP="0074616E">
            <w:pPr>
              <w:rPr>
                <w:sz w:val="20"/>
                <w:szCs w:val="20"/>
              </w:rPr>
            </w:pPr>
          </w:p>
        </w:tc>
      </w:tr>
      <w:tr w:rsidR="00E033CB" w:rsidRPr="00005520" w:rsidTr="0074616E">
        <w:tc>
          <w:tcPr>
            <w:tcW w:w="2427" w:type="pct"/>
            <w:gridSpan w:val="2"/>
          </w:tcPr>
          <w:p w:rsidR="00E033CB" w:rsidRPr="00005520" w:rsidRDefault="00E033CB" w:rsidP="0074616E">
            <w:pPr>
              <w:rPr>
                <w:sz w:val="20"/>
                <w:szCs w:val="20"/>
              </w:rPr>
            </w:pPr>
            <w:r w:rsidRPr="00005520">
              <w:rPr>
                <w:sz w:val="20"/>
                <w:szCs w:val="20"/>
              </w:rPr>
              <w:t>April 27, 2017</w:t>
            </w:r>
          </w:p>
          <w:p w:rsidR="00E033CB" w:rsidRPr="00005520" w:rsidRDefault="00E033CB" w:rsidP="0074616E">
            <w:pPr>
              <w:rPr>
                <w:sz w:val="20"/>
                <w:szCs w:val="20"/>
              </w:rPr>
            </w:pPr>
            <w:r w:rsidRPr="00005520">
              <w:rPr>
                <w:sz w:val="20"/>
                <w:szCs w:val="20"/>
              </w:rPr>
              <w:t xml:space="preserve">Supreme Court of Newfoundland and Labrador </w:t>
            </w:r>
          </w:p>
          <w:p w:rsidR="00E033CB" w:rsidRPr="00005520" w:rsidRDefault="00E033CB" w:rsidP="0074616E">
            <w:pPr>
              <w:rPr>
                <w:sz w:val="20"/>
                <w:szCs w:val="20"/>
              </w:rPr>
            </w:pPr>
            <w:r w:rsidRPr="00005520">
              <w:rPr>
                <w:sz w:val="20"/>
                <w:szCs w:val="20"/>
              </w:rPr>
              <w:t>Court of Appeal</w:t>
            </w:r>
          </w:p>
          <w:p w:rsidR="00E033CB" w:rsidRPr="00005520" w:rsidRDefault="00E033CB" w:rsidP="0074616E">
            <w:pPr>
              <w:rPr>
                <w:sz w:val="20"/>
                <w:szCs w:val="20"/>
              </w:rPr>
            </w:pPr>
            <w:r w:rsidRPr="00005520">
              <w:rPr>
                <w:sz w:val="20"/>
                <w:szCs w:val="20"/>
              </w:rPr>
              <w:t>(Green C.J.N.L., Rowe and White JJ.A.; Hoegg J.A. and Butler J. (ex officio), dissenting)</w:t>
            </w:r>
            <w:hyperlink r:id="rId48" w:history="1">
              <w:r w:rsidRPr="00005520">
                <w:rPr>
                  <w:rStyle w:val="Hyperlink"/>
                  <w:sz w:val="20"/>
                  <w:szCs w:val="20"/>
                </w:rPr>
                <w:t>2017 NLCA 28</w:t>
              </w:r>
            </w:hyperlink>
          </w:p>
          <w:p w:rsidR="00E033CB" w:rsidRPr="00005520" w:rsidRDefault="00E033CB" w:rsidP="0074616E">
            <w:pPr>
              <w:rPr>
                <w:sz w:val="20"/>
                <w:szCs w:val="20"/>
              </w:rPr>
            </w:pPr>
          </w:p>
        </w:tc>
        <w:tc>
          <w:tcPr>
            <w:tcW w:w="243" w:type="pct"/>
          </w:tcPr>
          <w:p w:rsidR="00E033CB" w:rsidRPr="00005520" w:rsidRDefault="00E033CB" w:rsidP="0074616E">
            <w:pPr>
              <w:rPr>
                <w:sz w:val="20"/>
                <w:szCs w:val="20"/>
              </w:rPr>
            </w:pPr>
          </w:p>
        </w:tc>
        <w:tc>
          <w:tcPr>
            <w:tcW w:w="2330" w:type="pct"/>
          </w:tcPr>
          <w:p w:rsidR="00E033CB" w:rsidRPr="00005520" w:rsidRDefault="00E033CB" w:rsidP="0074616E">
            <w:pPr>
              <w:rPr>
                <w:sz w:val="20"/>
                <w:szCs w:val="20"/>
              </w:rPr>
            </w:pPr>
            <w:r w:rsidRPr="00005520">
              <w:rPr>
                <w:sz w:val="20"/>
                <w:szCs w:val="20"/>
              </w:rPr>
              <w:t>Appeal dismissed</w:t>
            </w:r>
          </w:p>
          <w:p w:rsidR="00E033CB" w:rsidRPr="00005520" w:rsidRDefault="00E033CB" w:rsidP="0074616E">
            <w:pPr>
              <w:rPr>
                <w:sz w:val="20"/>
                <w:szCs w:val="20"/>
              </w:rPr>
            </w:pPr>
          </w:p>
        </w:tc>
      </w:tr>
      <w:tr w:rsidR="00E033CB" w:rsidRPr="00005520" w:rsidTr="0074616E">
        <w:tc>
          <w:tcPr>
            <w:tcW w:w="2427" w:type="pct"/>
            <w:gridSpan w:val="2"/>
          </w:tcPr>
          <w:p w:rsidR="00E033CB" w:rsidRPr="00005520" w:rsidRDefault="00E033CB" w:rsidP="0074616E">
            <w:pPr>
              <w:rPr>
                <w:sz w:val="20"/>
                <w:szCs w:val="20"/>
              </w:rPr>
            </w:pPr>
            <w:r w:rsidRPr="00005520">
              <w:rPr>
                <w:sz w:val="20"/>
                <w:szCs w:val="20"/>
              </w:rPr>
              <w:t>June 23, 2017</w:t>
            </w:r>
          </w:p>
          <w:p w:rsidR="00E033CB" w:rsidRPr="00005520" w:rsidRDefault="00E033CB" w:rsidP="0074616E">
            <w:pPr>
              <w:rPr>
                <w:sz w:val="20"/>
                <w:szCs w:val="20"/>
              </w:rPr>
            </w:pPr>
            <w:r w:rsidRPr="00005520">
              <w:rPr>
                <w:sz w:val="20"/>
                <w:szCs w:val="20"/>
              </w:rPr>
              <w:t>Supreme Court of Canada</w:t>
            </w:r>
          </w:p>
        </w:tc>
        <w:tc>
          <w:tcPr>
            <w:tcW w:w="243" w:type="pct"/>
          </w:tcPr>
          <w:p w:rsidR="00E033CB" w:rsidRPr="00005520" w:rsidRDefault="00E033CB" w:rsidP="0074616E">
            <w:pPr>
              <w:rPr>
                <w:sz w:val="20"/>
                <w:szCs w:val="20"/>
              </w:rPr>
            </w:pPr>
          </w:p>
        </w:tc>
        <w:tc>
          <w:tcPr>
            <w:tcW w:w="2330" w:type="pct"/>
          </w:tcPr>
          <w:p w:rsidR="00E033CB" w:rsidRPr="00005520" w:rsidRDefault="00E033CB" w:rsidP="0074616E">
            <w:pPr>
              <w:rPr>
                <w:sz w:val="20"/>
                <w:szCs w:val="20"/>
              </w:rPr>
            </w:pPr>
            <w:r w:rsidRPr="00005520">
              <w:rPr>
                <w:sz w:val="20"/>
                <w:szCs w:val="20"/>
              </w:rPr>
              <w:t>Application for leave to appeal filed</w:t>
            </w:r>
          </w:p>
        </w:tc>
      </w:tr>
    </w:tbl>
    <w:p w:rsidR="00E033CB" w:rsidRPr="00005520" w:rsidRDefault="008D266B" w:rsidP="00E033CB">
      <w:pPr>
        <w:rPr>
          <w:sz w:val="20"/>
          <w:szCs w:val="20"/>
        </w:rPr>
      </w:pPr>
      <w:r>
        <w:rPr>
          <w:sz w:val="20"/>
          <w:szCs w:val="20"/>
        </w:rPr>
        <w:pict>
          <v:rect id="_x0000_i1057" style="width:2in;height:1pt" o:hrpct="0" o:hralign="center" o:hrstd="t" o:hrnoshade="t" o:hr="t" fillcolor="black [3213]" stroked="f"/>
        </w:pict>
      </w:r>
    </w:p>
    <w:p w:rsidR="00E033CB" w:rsidRPr="00005520" w:rsidRDefault="00E033CB" w:rsidP="00E033CB">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033CB" w:rsidRPr="00140A86" w:rsidTr="0074616E">
        <w:tc>
          <w:tcPr>
            <w:tcW w:w="543" w:type="pct"/>
          </w:tcPr>
          <w:p w:rsidR="00E033CB" w:rsidRPr="00005520" w:rsidRDefault="00E033CB" w:rsidP="0074616E">
            <w:pPr>
              <w:rPr>
                <w:sz w:val="20"/>
                <w:szCs w:val="20"/>
                <w:lang w:val="fr-CA"/>
              </w:rPr>
            </w:pPr>
            <w:r w:rsidRPr="00005520">
              <w:rPr>
                <w:rStyle w:val="SCCFileNumberChar"/>
                <w:sz w:val="20"/>
                <w:szCs w:val="20"/>
                <w:lang w:val="fr-CA"/>
              </w:rPr>
              <w:t>37628</w:t>
            </w:r>
          </w:p>
        </w:tc>
        <w:tc>
          <w:tcPr>
            <w:tcW w:w="4457" w:type="pct"/>
            <w:gridSpan w:val="3"/>
          </w:tcPr>
          <w:p w:rsidR="00E033CB" w:rsidRPr="00005520" w:rsidRDefault="00EC059B" w:rsidP="0074616E">
            <w:pPr>
              <w:rPr>
                <w:sz w:val="20"/>
                <w:szCs w:val="20"/>
                <w:lang w:val="fr-CA"/>
              </w:rPr>
            </w:pPr>
            <w:r w:rsidRPr="00EC059B">
              <w:rPr>
                <w:rFonts w:eastAsia="Calibri" w:cs="Times New Roman"/>
                <w:b/>
                <w:sz w:val="20"/>
                <w:szCs w:val="20"/>
                <w:lang w:val="en-US"/>
              </w:rPr>
              <w:t xml:space="preserve">ExxonMobil Canada Properties c. Hebron Project Employers’ Association Inc. et Resource Development Trades Council of Newfoundland and Labrador </w:t>
            </w:r>
            <w:r w:rsidR="00E033CB" w:rsidRPr="00EC059B">
              <w:rPr>
                <w:sz w:val="20"/>
                <w:szCs w:val="20"/>
                <w:lang w:val="en-US"/>
              </w:rPr>
              <w:t xml:space="preserve">(T-N.-L.) </w:t>
            </w:r>
            <w:r w:rsidR="00E033CB" w:rsidRPr="00005520">
              <w:rPr>
                <w:sz w:val="20"/>
                <w:szCs w:val="20"/>
                <w:lang w:val="fr-CA"/>
              </w:rPr>
              <w:t>(Civile) (Sur autorisation)</w:t>
            </w:r>
          </w:p>
        </w:tc>
      </w:tr>
      <w:tr w:rsidR="00047CBB" w:rsidRPr="0096343C" w:rsidTr="0074616E">
        <w:tc>
          <w:tcPr>
            <w:tcW w:w="543" w:type="pct"/>
          </w:tcPr>
          <w:p w:rsidR="00047CBB" w:rsidRPr="00005520" w:rsidRDefault="00047CBB" w:rsidP="0074616E">
            <w:pPr>
              <w:rPr>
                <w:rStyle w:val="SCCFileNumberChar"/>
                <w:sz w:val="20"/>
                <w:szCs w:val="20"/>
                <w:lang w:val="fr-CA"/>
              </w:rPr>
            </w:pPr>
            <w:r>
              <w:rPr>
                <w:rStyle w:val="SCCFileNumberChar"/>
                <w:sz w:val="20"/>
                <w:szCs w:val="20"/>
                <w:lang w:val="fr-CA"/>
              </w:rPr>
              <w:t>Coram :</w:t>
            </w:r>
          </w:p>
        </w:tc>
        <w:tc>
          <w:tcPr>
            <w:tcW w:w="4457" w:type="pct"/>
            <w:gridSpan w:val="3"/>
          </w:tcPr>
          <w:p w:rsidR="00047CBB" w:rsidRDefault="00EC059B" w:rsidP="0074616E">
            <w:pPr>
              <w:pStyle w:val="SCCLsocParty"/>
              <w:jc w:val="both"/>
              <w:rPr>
                <w:sz w:val="20"/>
                <w:szCs w:val="20"/>
              </w:rPr>
            </w:pPr>
            <w:r w:rsidRPr="00612E4E">
              <w:rPr>
                <w:sz w:val="20"/>
                <w:szCs w:val="20"/>
              </w:rPr>
              <w:t>La juge en chef McLachlin et les juges Abella, Moldaver, Karakatsanis, Wagner, Gascon, Côté et Brown</w:t>
            </w:r>
          </w:p>
          <w:p w:rsidR="00EC059B" w:rsidRPr="00EC059B" w:rsidRDefault="00EC059B" w:rsidP="00EC059B">
            <w:pPr>
              <w:rPr>
                <w:lang w:val="fr-CA"/>
              </w:rPr>
            </w:pPr>
          </w:p>
        </w:tc>
      </w:tr>
      <w:tr w:rsidR="00047CBB" w:rsidRPr="0096343C" w:rsidTr="00047CBB">
        <w:tc>
          <w:tcPr>
            <w:tcW w:w="5000" w:type="pct"/>
            <w:gridSpan w:val="4"/>
          </w:tcPr>
          <w:p w:rsidR="00047CBB" w:rsidRDefault="00EC059B" w:rsidP="0074616E">
            <w:pPr>
              <w:pStyle w:val="SCCLsocParty"/>
              <w:jc w:val="both"/>
              <w:rPr>
                <w:sz w:val="20"/>
                <w:szCs w:val="20"/>
              </w:rPr>
            </w:pPr>
            <w:r w:rsidRPr="00612E4E">
              <w:rPr>
                <w:sz w:val="20"/>
                <w:szCs w:val="20"/>
              </w:rPr>
              <w:t>La demande d’autorisation d’appel de l’arrêt de la Cour suprême de Terre-Neuve-et-Labrador - Cour d’appel, numéros 201401H0049 et 201401H0057, 2017 NLCA 28, daté du 27 avril 2017, est rejetée avec dépens.</w:t>
            </w:r>
          </w:p>
          <w:p w:rsidR="00EC059B" w:rsidRPr="00EC059B" w:rsidRDefault="00EC059B" w:rsidP="00EC059B">
            <w:pPr>
              <w:rPr>
                <w:lang w:val="fr-CA"/>
              </w:rPr>
            </w:pPr>
          </w:p>
        </w:tc>
      </w:tr>
      <w:tr w:rsidR="00E033CB" w:rsidRPr="0096343C" w:rsidTr="0074616E">
        <w:tc>
          <w:tcPr>
            <w:tcW w:w="5000" w:type="pct"/>
            <w:gridSpan w:val="4"/>
          </w:tcPr>
          <w:p w:rsidR="00E033CB" w:rsidRPr="00005520" w:rsidRDefault="00E033CB" w:rsidP="00E033CB">
            <w:pPr>
              <w:jc w:val="both"/>
              <w:rPr>
                <w:sz w:val="20"/>
                <w:szCs w:val="20"/>
                <w:lang w:val="fr-CA"/>
              </w:rPr>
            </w:pPr>
            <w:r w:rsidRPr="00005520">
              <w:rPr>
                <w:sz w:val="20"/>
                <w:szCs w:val="20"/>
                <w:lang w:val="fr-CA"/>
              </w:rPr>
              <w:t>Relations du travail — Conventions collectives — Décrets visant des projets spéciaux — Grief — Sentence arbitrale — L’arbitre a conclu que les employés n’avaient pas violé la convention collective — Droit du maître d’ouvrage tiers de refuser à des employés l’accès au chantier — Dans quelles situations une convention collective peut-elle être imposée à un tiers? — L’arbitre du travail peut-il contraindre des tiers à agir contre leur gré? — La politique, sur le seul fondement de l’appréciation du tribunal, a-t-elle joué un rôle indu dans la détermination des limites juridiques de la compétence et de la relativité contractuelle? — La politique permet-elle de suspendre ou d’éviter les règles de common law et la jurisprudence établie?</w:t>
            </w:r>
          </w:p>
        </w:tc>
      </w:tr>
      <w:tr w:rsidR="00E033CB" w:rsidRPr="0096343C" w:rsidTr="0074616E">
        <w:tc>
          <w:tcPr>
            <w:tcW w:w="5000" w:type="pct"/>
            <w:gridSpan w:val="4"/>
          </w:tcPr>
          <w:p w:rsidR="00E033CB" w:rsidRPr="00005520" w:rsidRDefault="00E033CB" w:rsidP="00E033CB">
            <w:pPr>
              <w:jc w:val="both"/>
              <w:rPr>
                <w:sz w:val="20"/>
                <w:szCs w:val="20"/>
                <w:lang w:val="fr-CA"/>
              </w:rPr>
            </w:pPr>
          </w:p>
        </w:tc>
      </w:tr>
      <w:tr w:rsidR="00E033CB" w:rsidRPr="0096343C" w:rsidTr="0074616E">
        <w:tc>
          <w:tcPr>
            <w:tcW w:w="5000" w:type="pct"/>
            <w:gridSpan w:val="4"/>
          </w:tcPr>
          <w:p w:rsidR="00E033CB" w:rsidRPr="00005520" w:rsidRDefault="00E033CB" w:rsidP="00E033CB">
            <w:pPr>
              <w:jc w:val="both"/>
              <w:rPr>
                <w:sz w:val="20"/>
                <w:szCs w:val="20"/>
                <w:lang w:val="fr-CA"/>
              </w:rPr>
            </w:pPr>
            <w:r w:rsidRPr="00005520">
              <w:rPr>
                <w:sz w:val="20"/>
                <w:szCs w:val="20"/>
                <w:lang w:val="fr-CA"/>
              </w:rPr>
              <w:t xml:space="preserve">ExxonMobil Canada Properties (« ExxonMobil ») loue d’un organisme de la Couronne la plateforme Hebron GBS au chantier de construction de Bull Arm. Sur ce chantier, diverses politiques interdisaient la consommation ou la possession d’alcool, la non-conformité à la politique du chantier sur l’abus d’alcool et d’autres drogues et le fait de se présenter au travail avec une alcoolémie égale ou supérieure à 0,04g/L. Les contrevenants à ces politiques risquaient l’expulsion du chantier et l’interdiction d’y avoir accès. Selon l’exposé conjoint des faits, trois employés d’un entrepreneur étaient revenus au chantier après avoir bu en dehors du chantier leur jour de congé. L’épreuve de dépistage qui leur a été </w:t>
            </w:r>
            <w:r w:rsidRPr="00005520">
              <w:rPr>
                <w:sz w:val="20"/>
                <w:szCs w:val="20"/>
                <w:lang w:val="fr-CA"/>
              </w:rPr>
              <w:lastRenderedPageBreak/>
              <w:t>administrée indiquait la présence d’alcool supérieure à 0,04g/L. ExxonMobil a révoqué leur accès au chantier pour violation de sa politique de tolérance zéro applicable au chantier de Bull Arm. Les trois employés ont déposé un grief, alléguant le congédiement injustifié et l’interdiction injustifiée d’accès au chantier.</w:t>
            </w:r>
          </w:p>
          <w:p w:rsidR="00E033CB" w:rsidRPr="00005520" w:rsidRDefault="00E033CB" w:rsidP="00E033CB">
            <w:pPr>
              <w:jc w:val="both"/>
              <w:rPr>
                <w:sz w:val="20"/>
                <w:szCs w:val="20"/>
                <w:lang w:val="fr-CA"/>
              </w:rPr>
            </w:pPr>
          </w:p>
          <w:p w:rsidR="00E033CB" w:rsidRPr="00005520" w:rsidRDefault="00E033CB" w:rsidP="00E033CB">
            <w:pPr>
              <w:jc w:val="both"/>
              <w:rPr>
                <w:sz w:val="20"/>
                <w:szCs w:val="20"/>
                <w:lang w:val="fr-CA"/>
              </w:rPr>
            </w:pPr>
            <w:r w:rsidRPr="00005520">
              <w:rPr>
                <w:sz w:val="20"/>
                <w:szCs w:val="20"/>
                <w:lang w:val="fr-CA"/>
              </w:rPr>
              <w:t>L’arbitre a conclu que les employés en cause ne s’étaient pas présentés au travail avec des alcoolémies supérieures au taux prescrit et qu’ils n’avaient pas par ailleurs violé la convention collective. L’arbitre a ordonné leur réintégration. Ce faisant, il a affirmé qu’ExxonMobil, un tiers à la convention collective, était [</w:t>
            </w:r>
            <w:r w:rsidRPr="00005520">
              <w:rPr>
                <w:smallCaps/>
                <w:sz w:val="20"/>
                <w:szCs w:val="20"/>
                <w:lang w:val="fr-CA"/>
              </w:rPr>
              <w:t>traduction</w:t>
            </w:r>
            <w:r w:rsidRPr="00005520">
              <w:rPr>
                <w:sz w:val="20"/>
                <w:szCs w:val="20"/>
                <w:lang w:val="fr-CA"/>
              </w:rPr>
              <w:t>] « liée » par sa décision. Le juge Thompson a accordé à ExxonMobil l’autorisation d’intervenir, mais il a rejeté la demande de contrôle judiciaire présentée par l’HPEA. La Cour d’appel a rejeté l’appel, les juges Butler et Hoegg étant dissidentes.</w:t>
            </w:r>
          </w:p>
          <w:p w:rsidR="00E033CB" w:rsidRPr="00005520" w:rsidRDefault="00E033CB" w:rsidP="00E033CB">
            <w:pPr>
              <w:jc w:val="both"/>
              <w:rPr>
                <w:sz w:val="20"/>
                <w:szCs w:val="20"/>
                <w:lang w:val="fr-CA"/>
              </w:rPr>
            </w:pPr>
          </w:p>
        </w:tc>
      </w:tr>
      <w:tr w:rsidR="00E033CB" w:rsidRPr="0096343C" w:rsidTr="0074616E">
        <w:tc>
          <w:tcPr>
            <w:tcW w:w="2427" w:type="pct"/>
            <w:gridSpan w:val="2"/>
          </w:tcPr>
          <w:p w:rsidR="00E033CB" w:rsidRPr="00005520" w:rsidRDefault="00E033CB" w:rsidP="0074616E">
            <w:pPr>
              <w:rPr>
                <w:sz w:val="20"/>
                <w:szCs w:val="20"/>
                <w:lang w:val="fr-CA"/>
              </w:rPr>
            </w:pPr>
            <w:r w:rsidRPr="00005520">
              <w:rPr>
                <w:sz w:val="20"/>
                <w:szCs w:val="20"/>
                <w:lang w:val="fr-CA"/>
              </w:rPr>
              <w:lastRenderedPageBreak/>
              <w:t>19 décembre 2014</w:t>
            </w:r>
          </w:p>
          <w:p w:rsidR="00E033CB" w:rsidRPr="00005520" w:rsidRDefault="00E033CB" w:rsidP="0074616E">
            <w:pPr>
              <w:rPr>
                <w:sz w:val="20"/>
                <w:szCs w:val="20"/>
                <w:lang w:val="fr-CA"/>
              </w:rPr>
            </w:pPr>
            <w:r w:rsidRPr="00005520">
              <w:rPr>
                <w:sz w:val="20"/>
                <w:szCs w:val="20"/>
                <w:lang w:val="fr-CA"/>
              </w:rPr>
              <w:t>Cour suprême de Terre-Neuve-et-Labrador</w:t>
            </w:r>
          </w:p>
          <w:p w:rsidR="00E033CB" w:rsidRPr="00005520" w:rsidRDefault="00E033CB" w:rsidP="0074616E">
            <w:pPr>
              <w:rPr>
                <w:sz w:val="20"/>
                <w:szCs w:val="20"/>
                <w:lang w:val="fr-CA"/>
              </w:rPr>
            </w:pPr>
            <w:r w:rsidRPr="00005520">
              <w:rPr>
                <w:sz w:val="20"/>
                <w:szCs w:val="20"/>
                <w:lang w:val="fr-CA"/>
              </w:rPr>
              <w:t>Section de première instance</w:t>
            </w:r>
          </w:p>
          <w:p w:rsidR="00E033CB" w:rsidRPr="00005520" w:rsidRDefault="00E033CB" w:rsidP="0074616E">
            <w:pPr>
              <w:rPr>
                <w:sz w:val="20"/>
                <w:szCs w:val="20"/>
                <w:lang w:val="fr-CA"/>
              </w:rPr>
            </w:pPr>
            <w:r w:rsidRPr="00005520">
              <w:rPr>
                <w:sz w:val="20"/>
                <w:szCs w:val="20"/>
                <w:lang w:val="fr-CA"/>
              </w:rPr>
              <w:t>(Juge Thompson)</w:t>
            </w:r>
          </w:p>
          <w:p w:rsidR="00E033CB" w:rsidRPr="00005520" w:rsidRDefault="008D266B" w:rsidP="0074616E">
            <w:pPr>
              <w:rPr>
                <w:sz w:val="20"/>
                <w:szCs w:val="20"/>
                <w:lang w:val="fr-CA"/>
              </w:rPr>
            </w:pPr>
            <w:hyperlink r:id="rId49" w:history="1">
              <w:r w:rsidR="00E033CB" w:rsidRPr="00005520">
                <w:rPr>
                  <w:rStyle w:val="Hyperlink"/>
                  <w:sz w:val="20"/>
                  <w:szCs w:val="20"/>
                  <w:lang w:val="fr-CA"/>
                </w:rPr>
                <w:t>2014 NLTD(G) 163</w:t>
              </w:r>
            </w:hyperlink>
          </w:p>
          <w:p w:rsidR="00E033CB" w:rsidRPr="00005520" w:rsidRDefault="00E033CB" w:rsidP="0074616E">
            <w:pPr>
              <w:rPr>
                <w:sz w:val="20"/>
                <w:szCs w:val="20"/>
                <w:lang w:val="fr-CA"/>
              </w:rPr>
            </w:pPr>
          </w:p>
        </w:tc>
        <w:tc>
          <w:tcPr>
            <w:tcW w:w="243" w:type="pct"/>
          </w:tcPr>
          <w:p w:rsidR="00E033CB" w:rsidRPr="00005520" w:rsidRDefault="00E033CB" w:rsidP="0074616E">
            <w:pPr>
              <w:rPr>
                <w:sz w:val="20"/>
                <w:szCs w:val="20"/>
                <w:lang w:val="fr-CA"/>
              </w:rPr>
            </w:pPr>
          </w:p>
        </w:tc>
        <w:tc>
          <w:tcPr>
            <w:tcW w:w="2330" w:type="pct"/>
          </w:tcPr>
          <w:p w:rsidR="00E033CB" w:rsidRPr="00005520" w:rsidRDefault="00E033CB" w:rsidP="0074616E">
            <w:pPr>
              <w:rPr>
                <w:sz w:val="20"/>
                <w:szCs w:val="20"/>
                <w:lang w:val="fr-CA"/>
              </w:rPr>
            </w:pPr>
            <w:r w:rsidRPr="00005520">
              <w:rPr>
                <w:sz w:val="20"/>
                <w:szCs w:val="20"/>
                <w:lang w:val="fr-CA"/>
              </w:rPr>
              <w:t>Rejet de la demande de contrôle judiciaire</w:t>
            </w:r>
          </w:p>
          <w:p w:rsidR="00E033CB" w:rsidRPr="00005520" w:rsidRDefault="00E033CB" w:rsidP="0074616E">
            <w:pPr>
              <w:rPr>
                <w:sz w:val="20"/>
                <w:szCs w:val="20"/>
                <w:lang w:val="fr-CA"/>
              </w:rPr>
            </w:pPr>
          </w:p>
        </w:tc>
      </w:tr>
      <w:tr w:rsidR="00E033CB" w:rsidRPr="00005520" w:rsidTr="0074616E">
        <w:tc>
          <w:tcPr>
            <w:tcW w:w="2427" w:type="pct"/>
            <w:gridSpan w:val="2"/>
          </w:tcPr>
          <w:p w:rsidR="00E033CB" w:rsidRPr="00005520" w:rsidRDefault="00E033CB" w:rsidP="0074616E">
            <w:pPr>
              <w:rPr>
                <w:sz w:val="20"/>
                <w:szCs w:val="20"/>
                <w:lang w:val="fr-CA"/>
              </w:rPr>
            </w:pPr>
            <w:r w:rsidRPr="00005520">
              <w:rPr>
                <w:sz w:val="20"/>
                <w:szCs w:val="20"/>
                <w:lang w:val="fr-CA"/>
              </w:rPr>
              <w:t>27 avril 2017</w:t>
            </w:r>
          </w:p>
          <w:p w:rsidR="00E033CB" w:rsidRPr="00005520" w:rsidRDefault="00E033CB" w:rsidP="0074616E">
            <w:pPr>
              <w:rPr>
                <w:sz w:val="20"/>
                <w:szCs w:val="20"/>
                <w:lang w:val="fr-CA"/>
              </w:rPr>
            </w:pPr>
            <w:r w:rsidRPr="00005520">
              <w:rPr>
                <w:sz w:val="20"/>
                <w:szCs w:val="20"/>
                <w:lang w:val="fr-CA"/>
              </w:rPr>
              <w:t>Cour suprême de Terre-Neuve-et-Labrador</w:t>
            </w:r>
          </w:p>
          <w:p w:rsidR="00E033CB" w:rsidRPr="00005520" w:rsidRDefault="00E033CB" w:rsidP="0074616E">
            <w:pPr>
              <w:rPr>
                <w:sz w:val="20"/>
                <w:szCs w:val="20"/>
                <w:lang w:val="fr-CA"/>
              </w:rPr>
            </w:pPr>
            <w:r w:rsidRPr="00005520">
              <w:rPr>
                <w:sz w:val="20"/>
                <w:szCs w:val="20"/>
                <w:lang w:val="fr-CA"/>
              </w:rPr>
              <w:t>Cour d’appel</w:t>
            </w:r>
          </w:p>
          <w:p w:rsidR="00E033CB" w:rsidRPr="00005520" w:rsidRDefault="00E033CB" w:rsidP="0074616E">
            <w:pPr>
              <w:rPr>
                <w:sz w:val="20"/>
                <w:szCs w:val="20"/>
                <w:lang w:val="fr-CA"/>
              </w:rPr>
            </w:pPr>
            <w:r w:rsidRPr="00005520">
              <w:rPr>
                <w:sz w:val="20"/>
                <w:szCs w:val="20"/>
                <w:lang w:val="fr-CA"/>
              </w:rPr>
              <w:t xml:space="preserve">(Juge en chef Green, juges Rowe et White, juges Hoegg et Butler (ex </w:t>
            </w:r>
            <w:proofErr w:type="spellStart"/>
            <w:r w:rsidRPr="00005520">
              <w:rPr>
                <w:sz w:val="20"/>
                <w:szCs w:val="20"/>
                <w:lang w:val="fr-CA"/>
              </w:rPr>
              <w:t>officio</w:t>
            </w:r>
            <w:proofErr w:type="spellEnd"/>
            <w:r w:rsidRPr="00005520">
              <w:rPr>
                <w:sz w:val="20"/>
                <w:szCs w:val="20"/>
                <w:lang w:val="fr-CA"/>
              </w:rPr>
              <w:t xml:space="preserve">), dissidentes) </w:t>
            </w:r>
            <w:hyperlink r:id="rId50" w:history="1">
              <w:r w:rsidRPr="00005520">
                <w:rPr>
                  <w:rStyle w:val="Hyperlink"/>
                  <w:sz w:val="20"/>
                  <w:szCs w:val="20"/>
                  <w:lang w:val="fr-CA"/>
                </w:rPr>
                <w:t>2017 NLCA 28</w:t>
              </w:r>
            </w:hyperlink>
          </w:p>
          <w:p w:rsidR="00E033CB" w:rsidRPr="00005520" w:rsidRDefault="00E033CB" w:rsidP="0074616E">
            <w:pPr>
              <w:rPr>
                <w:sz w:val="20"/>
                <w:szCs w:val="20"/>
                <w:lang w:val="fr-CA"/>
              </w:rPr>
            </w:pPr>
          </w:p>
        </w:tc>
        <w:tc>
          <w:tcPr>
            <w:tcW w:w="243" w:type="pct"/>
          </w:tcPr>
          <w:p w:rsidR="00E033CB" w:rsidRPr="00005520" w:rsidRDefault="00E033CB" w:rsidP="0074616E">
            <w:pPr>
              <w:rPr>
                <w:sz w:val="20"/>
                <w:szCs w:val="20"/>
                <w:lang w:val="fr-CA"/>
              </w:rPr>
            </w:pPr>
          </w:p>
        </w:tc>
        <w:tc>
          <w:tcPr>
            <w:tcW w:w="2330" w:type="pct"/>
          </w:tcPr>
          <w:p w:rsidR="00E033CB" w:rsidRPr="00005520" w:rsidRDefault="00E033CB" w:rsidP="0074616E">
            <w:pPr>
              <w:rPr>
                <w:sz w:val="20"/>
                <w:szCs w:val="20"/>
                <w:lang w:val="fr-CA"/>
              </w:rPr>
            </w:pPr>
            <w:r w:rsidRPr="00005520">
              <w:rPr>
                <w:sz w:val="20"/>
                <w:szCs w:val="20"/>
                <w:lang w:val="fr-CA"/>
              </w:rPr>
              <w:t>Rejet de l’appel</w:t>
            </w:r>
          </w:p>
          <w:p w:rsidR="00E033CB" w:rsidRPr="00005520" w:rsidRDefault="00E033CB" w:rsidP="0074616E">
            <w:pPr>
              <w:rPr>
                <w:sz w:val="20"/>
                <w:szCs w:val="20"/>
                <w:lang w:val="fr-CA"/>
              </w:rPr>
            </w:pPr>
          </w:p>
        </w:tc>
      </w:tr>
      <w:tr w:rsidR="00E033CB" w:rsidRPr="0096343C" w:rsidTr="0074616E">
        <w:tc>
          <w:tcPr>
            <w:tcW w:w="2427" w:type="pct"/>
            <w:gridSpan w:val="2"/>
          </w:tcPr>
          <w:p w:rsidR="00E033CB" w:rsidRPr="00005520" w:rsidRDefault="00E033CB" w:rsidP="0074616E">
            <w:pPr>
              <w:rPr>
                <w:sz w:val="20"/>
                <w:szCs w:val="20"/>
                <w:lang w:val="fr-CA"/>
              </w:rPr>
            </w:pPr>
            <w:r w:rsidRPr="00005520">
              <w:rPr>
                <w:sz w:val="20"/>
                <w:szCs w:val="20"/>
                <w:lang w:val="fr-CA"/>
              </w:rPr>
              <w:t>23 juin 2017</w:t>
            </w:r>
          </w:p>
          <w:p w:rsidR="00E033CB" w:rsidRPr="00005520" w:rsidRDefault="00E033CB" w:rsidP="0074616E">
            <w:pPr>
              <w:rPr>
                <w:sz w:val="20"/>
                <w:szCs w:val="20"/>
                <w:lang w:val="fr-CA"/>
              </w:rPr>
            </w:pPr>
            <w:r w:rsidRPr="00005520">
              <w:rPr>
                <w:sz w:val="20"/>
                <w:szCs w:val="20"/>
                <w:lang w:val="fr-CA"/>
              </w:rPr>
              <w:t>Cour suprême du Canada</w:t>
            </w:r>
          </w:p>
        </w:tc>
        <w:tc>
          <w:tcPr>
            <w:tcW w:w="243" w:type="pct"/>
          </w:tcPr>
          <w:p w:rsidR="00E033CB" w:rsidRPr="00005520" w:rsidRDefault="00E033CB" w:rsidP="0074616E">
            <w:pPr>
              <w:rPr>
                <w:sz w:val="20"/>
                <w:szCs w:val="20"/>
                <w:lang w:val="fr-CA"/>
              </w:rPr>
            </w:pPr>
          </w:p>
        </w:tc>
        <w:tc>
          <w:tcPr>
            <w:tcW w:w="2330" w:type="pct"/>
          </w:tcPr>
          <w:p w:rsidR="00E033CB" w:rsidRPr="00005520" w:rsidRDefault="00E033CB" w:rsidP="0074616E">
            <w:pPr>
              <w:rPr>
                <w:sz w:val="20"/>
                <w:szCs w:val="20"/>
                <w:lang w:val="fr-CA"/>
              </w:rPr>
            </w:pPr>
            <w:r w:rsidRPr="00005520">
              <w:rPr>
                <w:sz w:val="20"/>
                <w:szCs w:val="20"/>
                <w:lang w:val="fr-CA"/>
              </w:rPr>
              <w:t>Dépôt de la demande d’autorisation d’appel</w:t>
            </w:r>
          </w:p>
        </w:tc>
      </w:tr>
    </w:tbl>
    <w:p w:rsidR="00E033CB" w:rsidRPr="00005520" w:rsidRDefault="008D266B" w:rsidP="00E033CB">
      <w:pPr>
        <w:rPr>
          <w:sz w:val="20"/>
          <w:szCs w:val="20"/>
          <w:lang w:val="fr-CA"/>
        </w:rPr>
      </w:pPr>
      <w:r>
        <w:rPr>
          <w:sz w:val="20"/>
          <w:szCs w:val="20"/>
        </w:rPr>
        <w:pict>
          <v:rect id="_x0000_i1058" style="width:2in;height:1pt" o:hrpct="0" o:hralign="center" o:hrstd="t" o:hrnoshade="t" o:hr="t" fillcolor="black [3213]" stroked="f"/>
        </w:pict>
      </w:r>
    </w:p>
    <w:p w:rsidR="00E033CB" w:rsidRPr="00005520" w:rsidRDefault="00E033CB" w:rsidP="00E033CB">
      <w:pPr>
        <w:jc w:val="both"/>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033CB" w:rsidRPr="00005520" w:rsidTr="0074616E">
        <w:tc>
          <w:tcPr>
            <w:tcW w:w="543" w:type="pct"/>
          </w:tcPr>
          <w:p w:rsidR="00E033CB" w:rsidRPr="00005520" w:rsidRDefault="00E033CB" w:rsidP="0074616E">
            <w:pPr>
              <w:rPr>
                <w:sz w:val="20"/>
                <w:szCs w:val="20"/>
              </w:rPr>
            </w:pPr>
            <w:r w:rsidRPr="00005520">
              <w:rPr>
                <w:rStyle w:val="SCCFileNumberChar"/>
                <w:sz w:val="20"/>
                <w:szCs w:val="20"/>
              </w:rPr>
              <w:t>37653</w:t>
            </w:r>
          </w:p>
        </w:tc>
        <w:tc>
          <w:tcPr>
            <w:tcW w:w="4457" w:type="pct"/>
            <w:gridSpan w:val="3"/>
          </w:tcPr>
          <w:p w:rsidR="00E033CB" w:rsidRPr="00005520" w:rsidRDefault="00E033CB" w:rsidP="0074616E">
            <w:pPr>
              <w:pStyle w:val="SCCLsocParty"/>
              <w:jc w:val="both"/>
              <w:rPr>
                <w:b/>
                <w:sz w:val="20"/>
                <w:szCs w:val="20"/>
                <w:lang w:val="en-US"/>
              </w:rPr>
            </w:pPr>
            <w:r w:rsidRPr="00005520">
              <w:rPr>
                <w:b/>
                <w:sz w:val="20"/>
                <w:szCs w:val="20"/>
                <w:lang w:val="en-US"/>
              </w:rPr>
              <w:t>Gregory Roberts v. Midland Resources Holding Limited</w:t>
            </w:r>
          </w:p>
          <w:p w:rsidR="00E033CB" w:rsidRPr="00005520" w:rsidRDefault="00E033CB" w:rsidP="0074616E">
            <w:pPr>
              <w:rPr>
                <w:sz w:val="20"/>
                <w:szCs w:val="20"/>
              </w:rPr>
            </w:pPr>
            <w:r w:rsidRPr="00005520">
              <w:rPr>
                <w:sz w:val="20"/>
                <w:szCs w:val="20"/>
              </w:rPr>
              <w:t>(Ont.) (Civil) (By Leave)</w:t>
            </w:r>
          </w:p>
        </w:tc>
      </w:tr>
      <w:tr w:rsidR="00047CBB" w:rsidRPr="00005520" w:rsidTr="0074616E">
        <w:tc>
          <w:tcPr>
            <w:tcW w:w="543" w:type="pct"/>
          </w:tcPr>
          <w:p w:rsidR="00047CBB" w:rsidRPr="00005520" w:rsidRDefault="00047CBB" w:rsidP="0074616E">
            <w:pPr>
              <w:rPr>
                <w:rStyle w:val="SCCFileNumberChar"/>
                <w:sz w:val="20"/>
                <w:szCs w:val="20"/>
              </w:rPr>
            </w:pPr>
            <w:r>
              <w:rPr>
                <w:rStyle w:val="SCCFileNumberChar"/>
                <w:sz w:val="20"/>
                <w:szCs w:val="20"/>
              </w:rPr>
              <w:t>Coram:</w:t>
            </w:r>
          </w:p>
        </w:tc>
        <w:tc>
          <w:tcPr>
            <w:tcW w:w="4457" w:type="pct"/>
            <w:gridSpan w:val="3"/>
          </w:tcPr>
          <w:p w:rsidR="00047CBB" w:rsidRDefault="00EC059B" w:rsidP="0074616E">
            <w:pPr>
              <w:pStyle w:val="SCCLsocParty"/>
              <w:jc w:val="both"/>
              <w:rPr>
                <w:sz w:val="20"/>
                <w:szCs w:val="20"/>
                <w:lang w:val="en-US"/>
              </w:rPr>
            </w:pPr>
            <w:r w:rsidRPr="00EC059B">
              <w:rPr>
                <w:sz w:val="20"/>
                <w:szCs w:val="20"/>
                <w:lang w:val="en-US"/>
              </w:rPr>
              <w:t>McLachlin C.J. and Abella, Moldaver, Karakatsanis, Wagner, Gascon, Côté, Brown and Rowe JJ.</w:t>
            </w:r>
          </w:p>
          <w:p w:rsidR="00EC059B" w:rsidRPr="00EC059B" w:rsidRDefault="00EC059B" w:rsidP="00EC059B">
            <w:pPr>
              <w:rPr>
                <w:lang w:val="en-US"/>
              </w:rPr>
            </w:pPr>
          </w:p>
        </w:tc>
      </w:tr>
      <w:tr w:rsidR="00047CBB" w:rsidRPr="00005520" w:rsidTr="00047CBB">
        <w:tc>
          <w:tcPr>
            <w:tcW w:w="5000" w:type="pct"/>
            <w:gridSpan w:val="4"/>
          </w:tcPr>
          <w:p w:rsidR="00047CBB" w:rsidRDefault="00EC059B" w:rsidP="0074616E">
            <w:pPr>
              <w:pStyle w:val="SCCLsocParty"/>
              <w:jc w:val="both"/>
              <w:rPr>
                <w:sz w:val="20"/>
                <w:szCs w:val="20"/>
                <w:lang w:val="en-US"/>
              </w:rPr>
            </w:pPr>
            <w:r w:rsidRPr="00EC059B">
              <w:rPr>
                <w:sz w:val="20"/>
                <w:szCs w:val="20"/>
                <w:lang w:val="en-US"/>
              </w:rPr>
              <w:t>The application for leave to appeal from the judgment of the Court of Appeal for Ontario, Number C58544, 2017 ONCA 320, dated April 20, 2017, is dismissed with costs.</w:t>
            </w:r>
          </w:p>
          <w:p w:rsidR="00EC059B" w:rsidRPr="00EC059B" w:rsidRDefault="00EC059B" w:rsidP="00EC059B">
            <w:pPr>
              <w:rPr>
                <w:lang w:val="en-US"/>
              </w:rPr>
            </w:pPr>
          </w:p>
        </w:tc>
      </w:tr>
      <w:tr w:rsidR="00E033CB" w:rsidRPr="00005520" w:rsidTr="0074616E">
        <w:tc>
          <w:tcPr>
            <w:tcW w:w="5000" w:type="pct"/>
            <w:gridSpan w:val="4"/>
          </w:tcPr>
          <w:p w:rsidR="00E033CB" w:rsidRPr="00005520" w:rsidRDefault="00E033CB" w:rsidP="00E033CB">
            <w:pPr>
              <w:jc w:val="both"/>
              <w:rPr>
                <w:sz w:val="20"/>
                <w:szCs w:val="20"/>
              </w:rPr>
            </w:pPr>
            <w:r w:rsidRPr="00005520">
              <w:rPr>
                <w:sz w:val="20"/>
                <w:szCs w:val="20"/>
              </w:rPr>
              <w:t>Civil procedure – Pleadings – Applicant found liable for damages for fraudulent misrepresentation by omission – Applicant maintaining cause of action not pleaded – Whether it is appropriate and fair for lower courts to “stretch” claims made in statement of claim or by plaintiffs in closing trial submissions, to create new and unpleaded cause of action in reasons for decision and find liability on a judicially created cause of action</w:t>
            </w:r>
          </w:p>
        </w:tc>
      </w:tr>
      <w:tr w:rsidR="00E033CB" w:rsidRPr="00005520" w:rsidTr="0074616E">
        <w:tc>
          <w:tcPr>
            <w:tcW w:w="5000" w:type="pct"/>
            <w:gridSpan w:val="4"/>
          </w:tcPr>
          <w:p w:rsidR="00E033CB" w:rsidRPr="00005520" w:rsidRDefault="00E033CB" w:rsidP="00E033CB">
            <w:pPr>
              <w:pStyle w:val="SCCBanSummary"/>
              <w:rPr>
                <w:sz w:val="20"/>
                <w:szCs w:val="20"/>
              </w:rPr>
            </w:pPr>
          </w:p>
          <w:p w:rsidR="00E033CB" w:rsidRPr="00005520" w:rsidRDefault="00E033CB" w:rsidP="00E033CB">
            <w:pPr>
              <w:jc w:val="both"/>
              <w:rPr>
                <w:sz w:val="20"/>
                <w:szCs w:val="20"/>
              </w:rPr>
            </w:pPr>
            <w:r w:rsidRPr="00005520">
              <w:rPr>
                <w:sz w:val="20"/>
                <w:szCs w:val="20"/>
              </w:rPr>
              <w:t>In 2006, Mr. Roberts was one of a group of shareholders involved in two successive corporate ventures to acquire undervalued oil and gas companies in Russia with a view to consolidating them and taking the new venture public. Initially, the venture was carried on through Magellan Energy Limited that turned out to be a sham public corporation promoted by fraudsters. Its shareholders fell into two groups. The first consisted of two wealthy business partners and their company, Midland Resources Holding Limited (collectively, “Midland”) who later became the plaintiffs to the action. Midland was induced by the second group of shareholders that included the fraudsters, Mr. Roberts and a company owned by one of the fraudsters, BDW Holdings Ltd. into investing $50 million into Magellan. The fraudsters accomplished this by representing that BDW had invested all or a portion of $70 million in the Magellan project. BDW, however, was also a sham company and its shareholders were aware that Midland would not have made its investment without being assured that another $70 million was being advanced by BDW to Magellan. After Midland advanced its $50 million, it suffered substantial losses. The Midland shareholders commenced an action against the BDW shareholders.</w:t>
            </w:r>
          </w:p>
        </w:tc>
      </w:tr>
      <w:tr w:rsidR="00E033CB" w:rsidRPr="00005520" w:rsidTr="0074616E">
        <w:tc>
          <w:tcPr>
            <w:tcW w:w="5000" w:type="pct"/>
            <w:gridSpan w:val="4"/>
          </w:tcPr>
          <w:p w:rsidR="00E033CB" w:rsidRPr="00005520" w:rsidRDefault="00E033CB" w:rsidP="00E033CB">
            <w:pPr>
              <w:jc w:val="both"/>
              <w:rPr>
                <w:sz w:val="20"/>
                <w:szCs w:val="20"/>
              </w:rPr>
            </w:pPr>
          </w:p>
        </w:tc>
      </w:tr>
      <w:tr w:rsidR="00E033CB" w:rsidRPr="00005520" w:rsidTr="0074616E">
        <w:tc>
          <w:tcPr>
            <w:tcW w:w="2427" w:type="pct"/>
            <w:gridSpan w:val="2"/>
          </w:tcPr>
          <w:p w:rsidR="00E033CB" w:rsidRPr="00005520" w:rsidRDefault="00E033CB" w:rsidP="00E033CB">
            <w:pPr>
              <w:jc w:val="both"/>
              <w:rPr>
                <w:sz w:val="20"/>
                <w:szCs w:val="20"/>
              </w:rPr>
            </w:pPr>
            <w:r w:rsidRPr="00005520">
              <w:rPr>
                <w:sz w:val="20"/>
                <w:szCs w:val="20"/>
              </w:rPr>
              <w:t>February 19, 2014</w:t>
            </w:r>
          </w:p>
          <w:p w:rsidR="00E033CB" w:rsidRPr="00005520" w:rsidRDefault="00E033CB" w:rsidP="00E033CB">
            <w:pPr>
              <w:jc w:val="both"/>
              <w:rPr>
                <w:sz w:val="20"/>
                <w:szCs w:val="20"/>
              </w:rPr>
            </w:pPr>
            <w:r w:rsidRPr="00005520">
              <w:rPr>
                <w:sz w:val="20"/>
                <w:szCs w:val="20"/>
              </w:rPr>
              <w:t>Ontario Superior Court of Justice</w:t>
            </w:r>
          </w:p>
          <w:p w:rsidR="00E033CB" w:rsidRPr="00005520" w:rsidRDefault="00E033CB" w:rsidP="00E033CB">
            <w:pPr>
              <w:jc w:val="both"/>
              <w:rPr>
                <w:sz w:val="20"/>
                <w:szCs w:val="20"/>
              </w:rPr>
            </w:pPr>
            <w:r w:rsidRPr="00005520">
              <w:rPr>
                <w:sz w:val="20"/>
                <w:szCs w:val="20"/>
              </w:rPr>
              <w:t>(Sanderson J.)</w:t>
            </w:r>
          </w:p>
          <w:p w:rsidR="00E033CB" w:rsidRPr="00005520" w:rsidRDefault="008D266B" w:rsidP="00E033CB">
            <w:pPr>
              <w:jc w:val="both"/>
              <w:rPr>
                <w:sz w:val="20"/>
                <w:szCs w:val="20"/>
              </w:rPr>
            </w:pPr>
            <w:hyperlink r:id="rId51" w:history="1">
              <w:r w:rsidR="00E033CB" w:rsidRPr="00005520">
                <w:rPr>
                  <w:rStyle w:val="Hyperlink"/>
                  <w:sz w:val="20"/>
                  <w:szCs w:val="20"/>
                </w:rPr>
                <w:t>2014 ONSC 997</w:t>
              </w:r>
            </w:hyperlink>
            <w:r w:rsidR="00E033CB" w:rsidRPr="00005520">
              <w:rPr>
                <w:sz w:val="20"/>
                <w:szCs w:val="20"/>
              </w:rPr>
              <w:t xml:space="preserve"> </w:t>
            </w:r>
          </w:p>
          <w:p w:rsidR="00E033CB" w:rsidRPr="00005520" w:rsidRDefault="00E033CB" w:rsidP="00E033CB">
            <w:pPr>
              <w:jc w:val="both"/>
              <w:rPr>
                <w:sz w:val="20"/>
                <w:szCs w:val="20"/>
              </w:rPr>
            </w:pPr>
          </w:p>
        </w:tc>
        <w:tc>
          <w:tcPr>
            <w:tcW w:w="243" w:type="pct"/>
          </w:tcPr>
          <w:p w:rsidR="00E033CB" w:rsidRPr="00005520" w:rsidRDefault="00E033CB" w:rsidP="00E033CB">
            <w:pPr>
              <w:jc w:val="both"/>
              <w:rPr>
                <w:sz w:val="20"/>
                <w:szCs w:val="20"/>
              </w:rPr>
            </w:pPr>
          </w:p>
        </w:tc>
        <w:tc>
          <w:tcPr>
            <w:tcW w:w="2330" w:type="pct"/>
          </w:tcPr>
          <w:p w:rsidR="00E033CB" w:rsidRPr="00005520" w:rsidRDefault="00E033CB" w:rsidP="00E033CB">
            <w:pPr>
              <w:jc w:val="both"/>
              <w:rPr>
                <w:sz w:val="20"/>
                <w:szCs w:val="20"/>
              </w:rPr>
            </w:pPr>
            <w:r w:rsidRPr="00005520">
              <w:rPr>
                <w:sz w:val="20"/>
                <w:szCs w:val="20"/>
              </w:rPr>
              <w:t>Applicant found liable in damages to respondent in amount of US$59,559,512.97 for breach of fiduciary duty, deceit and unlawful conspiracy; Applicant’s counter-claim dismissed</w:t>
            </w:r>
          </w:p>
          <w:p w:rsidR="00E033CB" w:rsidRPr="00005520" w:rsidRDefault="00E033CB" w:rsidP="00E033CB">
            <w:pPr>
              <w:jc w:val="both"/>
              <w:rPr>
                <w:sz w:val="20"/>
                <w:szCs w:val="20"/>
              </w:rPr>
            </w:pPr>
          </w:p>
        </w:tc>
      </w:tr>
      <w:tr w:rsidR="00E033CB" w:rsidRPr="00005520" w:rsidTr="0074616E">
        <w:tc>
          <w:tcPr>
            <w:tcW w:w="2427" w:type="pct"/>
            <w:gridSpan w:val="2"/>
          </w:tcPr>
          <w:p w:rsidR="00E033CB" w:rsidRPr="00005520" w:rsidRDefault="00E033CB" w:rsidP="00E033CB">
            <w:pPr>
              <w:jc w:val="both"/>
              <w:rPr>
                <w:sz w:val="20"/>
                <w:szCs w:val="20"/>
              </w:rPr>
            </w:pPr>
            <w:r w:rsidRPr="00005520">
              <w:rPr>
                <w:sz w:val="20"/>
                <w:szCs w:val="20"/>
              </w:rPr>
              <w:t>April 20, 2017</w:t>
            </w:r>
          </w:p>
          <w:p w:rsidR="00E033CB" w:rsidRPr="00005520" w:rsidRDefault="00E033CB" w:rsidP="00E033CB">
            <w:pPr>
              <w:jc w:val="both"/>
              <w:rPr>
                <w:sz w:val="20"/>
                <w:szCs w:val="20"/>
              </w:rPr>
            </w:pPr>
            <w:r w:rsidRPr="00005520">
              <w:rPr>
                <w:sz w:val="20"/>
                <w:szCs w:val="20"/>
              </w:rPr>
              <w:t>Court of Appeal for Ontario</w:t>
            </w:r>
          </w:p>
          <w:p w:rsidR="00E033CB" w:rsidRPr="00005520" w:rsidRDefault="00E033CB" w:rsidP="00E033CB">
            <w:pPr>
              <w:jc w:val="both"/>
              <w:rPr>
                <w:sz w:val="20"/>
                <w:szCs w:val="20"/>
              </w:rPr>
            </w:pPr>
            <w:r w:rsidRPr="00005520">
              <w:rPr>
                <w:sz w:val="20"/>
                <w:szCs w:val="20"/>
              </w:rPr>
              <w:t>(Doherty, Brown and Roberts JJ.A.)</w:t>
            </w:r>
          </w:p>
          <w:p w:rsidR="00E033CB" w:rsidRPr="00005520" w:rsidRDefault="008D266B" w:rsidP="00E033CB">
            <w:pPr>
              <w:jc w:val="both"/>
              <w:rPr>
                <w:sz w:val="20"/>
                <w:szCs w:val="20"/>
              </w:rPr>
            </w:pPr>
            <w:hyperlink r:id="rId52" w:history="1">
              <w:r w:rsidR="00E033CB" w:rsidRPr="00005520">
                <w:rPr>
                  <w:rStyle w:val="Hyperlink"/>
                  <w:sz w:val="20"/>
                  <w:szCs w:val="20"/>
                </w:rPr>
                <w:t>2017 ONCA 320</w:t>
              </w:r>
            </w:hyperlink>
          </w:p>
          <w:p w:rsidR="00E033CB" w:rsidRPr="00005520" w:rsidRDefault="00E033CB" w:rsidP="00E033CB">
            <w:pPr>
              <w:jc w:val="both"/>
              <w:rPr>
                <w:sz w:val="20"/>
                <w:szCs w:val="20"/>
              </w:rPr>
            </w:pPr>
          </w:p>
        </w:tc>
        <w:tc>
          <w:tcPr>
            <w:tcW w:w="243" w:type="pct"/>
          </w:tcPr>
          <w:p w:rsidR="00E033CB" w:rsidRPr="00005520" w:rsidRDefault="00E033CB" w:rsidP="00E033CB">
            <w:pPr>
              <w:jc w:val="both"/>
              <w:rPr>
                <w:sz w:val="20"/>
                <w:szCs w:val="20"/>
              </w:rPr>
            </w:pPr>
          </w:p>
        </w:tc>
        <w:tc>
          <w:tcPr>
            <w:tcW w:w="2330" w:type="pct"/>
          </w:tcPr>
          <w:p w:rsidR="00E033CB" w:rsidRPr="00005520" w:rsidRDefault="00E033CB" w:rsidP="00E033CB">
            <w:pPr>
              <w:jc w:val="both"/>
              <w:rPr>
                <w:sz w:val="20"/>
                <w:szCs w:val="20"/>
              </w:rPr>
            </w:pPr>
            <w:r w:rsidRPr="00005520">
              <w:rPr>
                <w:sz w:val="20"/>
                <w:szCs w:val="20"/>
              </w:rPr>
              <w:t>Applicant’s appeal allowed in part; Damages against applicant reduced to US$8,309,570.66 for fraudulent misrepresentation by omission</w:t>
            </w:r>
          </w:p>
          <w:p w:rsidR="00E033CB" w:rsidRPr="00005520" w:rsidRDefault="00E033CB" w:rsidP="00E033CB">
            <w:pPr>
              <w:jc w:val="both"/>
              <w:rPr>
                <w:sz w:val="20"/>
                <w:szCs w:val="20"/>
              </w:rPr>
            </w:pPr>
          </w:p>
        </w:tc>
      </w:tr>
      <w:tr w:rsidR="00E033CB" w:rsidRPr="00005520" w:rsidTr="0074616E">
        <w:tc>
          <w:tcPr>
            <w:tcW w:w="2427" w:type="pct"/>
            <w:gridSpan w:val="2"/>
          </w:tcPr>
          <w:p w:rsidR="00E033CB" w:rsidRPr="00005520" w:rsidRDefault="00E033CB" w:rsidP="00E033CB">
            <w:pPr>
              <w:jc w:val="both"/>
              <w:rPr>
                <w:sz w:val="20"/>
                <w:szCs w:val="20"/>
              </w:rPr>
            </w:pPr>
            <w:r w:rsidRPr="00005520">
              <w:rPr>
                <w:sz w:val="20"/>
                <w:szCs w:val="20"/>
              </w:rPr>
              <w:t>June 16, 2017</w:t>
            </w:r>
          </w:p>
          <w:p w:rsidR="00E033CB" w:rsidRPr="00005520" w:rsidRDefault="00E033CB" w:rsidP="00E033CB">
            <w:pPr>
              <w:jc w:val="both"/>
              <w:rPr>
                <w:sz w:val="20"/>
                <w:szCs w:val="20"/>
              </w:rPr>
            </w:pPr>
            <w:r w:rsidRPr="00005520">
              <w:rPr>
                <w:sz w:val="20"/>
                <w:szCs w:val="20"/>
              </w:rPr>
              <w:t>Supreme Court of Canada</w:t>
            </w:r>
          </w:p>
        </w:tc>
        <w:tc>
          <w:tcPr>
            <w:tcW w:w="243" w:type="pct"/>
          </w:tcPr>
          <w:p w:rsidR="00E033CB" w:rsidRPr="00005520" w:rsidRDefault="00E033CB" w:rsidP="00E033CB">
            <w:pPr>
              <w:jc w:val="both"/>
              <w:rPr>
                <w:sz w:val="20"/>
                <w:szCs w:val="20"/>
              </w:rPr>
            </w:pPr>
          </w:p>
        </w:tc>
        <w:tc>
          <w:tcPr>
            <w:tcW w:w="2330" w:type="pct"/>
          </w:tcPr>
          <w:p w:rsidR="00E033CB" w:rsidRPr="00005520" w:rsidRDefault="00E033CB" w:rsidP="00E033CB">
            <w:pPr>
              <w:jc w:val="both"/>
              <w:rPr>
                <w:sz w:val="20"/>
                <w:szCs w:val="20"/>
              </w:rPr>
            </w:pPr>
            <w:r w:rsidRPr="00005520">
              <w:rPr>
                <w:sz w:val="20"/>
                <w:szCs w:val="20"/>
              </w:rPr>
              <w:t>Application for leave to appeal filed</w:t>
            </w:r>
          </w:p>
          <w:p w:rsidR="00E033CB" w:rsidRPr="00005520" w:rsidRDefault="00E033CB" w:rsidP="00E033CB">
            <w:pPr>
              <w:jc w:val="both"/>
              <w:rPr>
                <w:sz w:val="20"/>
                <w:szCs w:val="20"/>
              </w:rPr>
            </w:pPr>
          </w:p>
        </w:tc>
      </w:tr>
    </w:tbl>
    <w:p w:rsidR="00E033CB" w:rsidRPr="00005520" w:rsidRDefault="008D266B" w:rsidP="00E033CB">
      <w:pPr>
        <w:rPr>
          <w:sz w:val="20"/>
          <w:szCs w:val="20"/>
        </w:rPr>
      </w:pPr>
      <w:r>
        <w:rPr>
          <w:sz w:val="20"/>
          <w:szCs w:val="20"/>
        </w:rPr>
        <w:pict>
          <v:rect id="_x0000_i1059" style="width:2in;height:1pt" o:hrpct="0" o:hralign="center" o:hrstd="t" o:hrnoshade="t" o:hr="t" fillcolor="black [3213]" stroked="f"/>
        </w:pict>
      </w:r>
    </w:p>
    <w:p w:rsidR="00E033CB" w:rsidRPr="00005520" w:rsidRDefault="00E033CB" w:rsidP="00E033CB">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033CB" w:rsidRPr="00005520" w:rsidTr="0074616E">
        <w:tc>
          <w:tcPr>
            <w:tcW w:w="543" w:type="pct"/>
          </w:tcPr>
          <w:p w:rsidR="00E033CB" w:rsidRPr="00005520" w:rsidRDefault="00E033CB" w:rsidP="0074616E">
            <w:pPr>
              <w:rPr>
                <w:sz w:val="20"/>
                <w:szCs w:val="20"/>
                <w:lang w:val="fr-CA"/>
              </w:rPr>
            </w:pPr>
            <w:r w:rsidRPr="00005520">
              <w:rPr>
                <w:rStyle w:val="SCCFileNumberChar"/>
                <w:sz w:val="20"/>
                <w:szCs w:val="20"/>
                <w:lang w:val="fr-CA"/>
              </w:rPr>
              <w:t>37653</w:t>
            </w:r>
          </w:p>
        </w:tc>
        <w:tc>
          <w:tcPr>
            <w:tcW w:w="4457" w:type="pct"/>
            <w:gridSpan w:val="3"/>
          </w:tcPr>
          <w:p w:rsidR="00E033CB" w:rsidRPr="00005520" w:rsidRDefault="00E033CB" w:rsidP="0074616E">
            <w:pPr>
              <w:pStyle w:val="SCCLsocParty"/>
              <w:jc w:val="both"/>
              <w:rPr>
                <w:b/>
                <w:sz w:val="20"/>
                <w:szCs w:val="20"/>
                <w:lang w:val="en-US"/>
              </w:rPr>
            </w:pPr>
            <w:r w:rsidRPr="00005520">
              <w:rPr>
                <w:b/>
                <w:sz w:val="20"/>
                <w:szCs w:val="20"/>
                <w:lang w:val="en-US"/>
              </w:rPr>
              <w:t>Gregory Roberts c. Midland Resources Holding Limited</w:t>
            </w:r>
          </w:p>
          <w:p w:rsidR="00E033CB" w:rsidRPr="00005520" w:rsidRDefault="00E033CB" w:rsidP="0074616E">
            <w:pPr>
              <w:rPr>
                <w:sz w:val="20"/>
                <w:szCs w:val="20"/>
                <w:lang w:val="fr-CA"/>
              </w:rPr>
            </w:pPr>
            <w:r w:rsidRPr="00005520">
              <w:rPr>
                <w:sz w:val="20"/>
                <w:szCs w:val="20"/>
                <w:lang w:val="fr-CA"/>
              </w:rPr>
              <w:t>(Ont.) (Civile) (Sur autorisation)</w:t>
            </w:r>
          </w:p>
        </w:tc>
      </w:tr>
      <w:tr w:rsidR="00047CBB" w:rsidRPr="0096343C" w:rsidTr="0074616E">
        <w:tc>
          <w:tcPr>
            <w:tcW w:w="543" w:type="pct"/>
          </w:tcPr>
          <w:p w:rsidR="00047CBB" w:rsidRPr="00005520" w:rsidRDefault="00047CBB" w:rsidP="0074616E">
            <w:pPr>
              <w:rPr>
                <w:rStyle w:val="SCCFileNumberChar"/>
                <w:sz w:val="20"/>
                <w:szCs w:val="20"/>
                <w:lang w:val="fr-CA"/>
              </w:rPr>
            </w:pPr>
            <w:r>
              <w:rPr>
                <w:rStyle w:val="SCCFileNumberChar"/>
                <w:sz w:val="20"/>
                <w:szCs w:val="20"/>
                <w:lang w:val="fr-CA"/>
              </w:rPr>
              <w:t>Coram :</w:t>
            </w:r>
          </w:p>
        </w:tc>
        <w:tc>
          <w:tcPr>
            <w:tcW w:w="4457" w:type="pct"/>
            <w:gridSpan w:val="3"/>
          </w:tcPr>
          <w:p w:rsidR="00047CBB" w:rsidRDefault="00EC059B" w:rsidP="0074616E">
            <w:pPr>
              <w:pStyle w:val="SCCLsocParty"/>
              <w:jc w:val="both"/>
              <w:rPr>
                <w:sz w:val="20"/>
                <w:szCs w:val="20"/>
              </w:rPr>
            </w:pPr>
            <w:r w:rsidRPr="00255D76">
              <w:rPr>
                <w:sz w:val="20"/>
                <w:szCs w:val="20"/>
              </w:rPr>
              <w:t>La juge en chef McLachlin et les juges Abella, Moldaver, Karakatsanis, Wagner, Gascon, Côté, Brown et Rowe</w:t>
            </w:r>
          </w:p>
          <w:p w:rsidR="00EC059B" w:rsidRPr="00EC059B" w:rsidRDefault="00EC059B" w:rsidP="00EC059B">
            <w:pPr>
              <w:rPr>
                <w:lang w:val="fr-CA"/>
              </w:rPr>
            </w:pPr>
          </w:p>
        </w:tc>
      </w:tr>
      <w:tr w:rsidR="00047CBB" w:rsidRPr="0096343C" w:rsidTr="00047CBB">
        <w:tc>
          <w:tcPr>
            <w:tcW w:w="5000" w:type="pct"/>
            <w:gridSpan w:val="4"/>
          </w:tcPr>
          <w:p w:rsidR="00047CBB" w:rsidRDefault="00EC059B" w:rsidP="0074616E">
            <w:pPr>
              <w:pStyle w:val="SCCLsocParty"/>
              <w:jc w:val="both"/>
              <w:rPr>
                <w:sz w:val="20"/>
                <w:szCs w:val="20"/>
              </w:rPr>
            </w:pPr>
            <w:r w:rsidRPr="00255D76">
              <w:rPr>
                <w:sz w:val="20"/>
                <w:szCs w:val="20"/>
              </w:rPr>
              <w:t>La demande d’autorisation d’appel de l’arrêt de la Cour d’appel de l’Ontario, numéro C58544, 2017 ONCA 320, daté du 20 avril 2017, est rejetée avec dépens.</w:t>
            </w:r>
          </w:p>
          <w:p w:rsidR="00EC059B" w:rsidRPr="00EC059B" w:rsidRDefault="00EC059B" w:rsidP="00EC059B">
            <w:pPr>
              <w:rPr>
                <w:lang w:val="fr-CA"/>
              </w:rPr>
            </w:pPr>
          </w:p>
        </w:tc>
      </w:tr>
      <w:tr w:rsidR="00E033CB" w:rsidRPr="0096343C" w:rsidTr="0074616E">
        <w:tc>
          <w:tcPr>
            <w:tcW w:w="5000" w:type="pct"/>
            <w:gridSpan w:val="4"/>
          </w:tcPr>
          <w:p w:rsidR="00E033CB" w:rsidRPr="00005520" w:rsidRDefault="00E033CB" w:rsidP="00E033CB">
            <w:pPr>
              <w:jc w:val="both"/>
              <w:rPr>
                <w:sz w:val="20"/>
                <w:szCs w:val="20"/>
                <w:lang w:val="fr-CA"/>
              </w:rPr>
            </w:pPr>
            <w:r w:rsidRPr="00005520">
              <w:rPr>
                <w:sz w:val="20"/>
                <w:szCs w:val="20"/>
                <w:lang w:val="fr-CA"/>
              </w:rPr>
              <w:t xml:space="preserve">Procédure civile – Actes de procédure – Le demandeur a été condamné à des dommages-intérêts pour représentation inexacte frauduleuse par omission – Le demandeur fait valoir que la cause d’action n’a pas été plaidée – Est-il approprié et juste que les juridictions inférieures « étoffent » les allégations faites dans une déclaration ou par les demandeurs dans leur plaidoirie finale en première instance afin de créer une cause d’action nouvelle et non plaidée dans les motifs du jugement et de conclure à la responsabilité fondée sur une cause d’action créée par le tribunal? </w:t>
            </w:r>
          </w:p>
        </w:tc>
      </w:tr>
      <w:tr w:rsidR="00E033CB" w:rsidRPr="0096343C" w:rsidTr="0074616E">
        <w:tc>
          <w:tcPr>
            <w:tcW w:w="5000" w:type="pct"/>
            <w:gridSpan w:val="4"/>
          </w:tcPr>
          <w:p w:rsidR="00E033CB" w:rsidRPr="00005520" w:rsidRDefault="00E033CB" w:rsidP="00E033CB">
            <w:pPr>
              <w:pStyle w:val="SCCBanSummary"/>
              <w:rPr>
                <w:sz w:val="20"/>
                <w:szCs w:val="20"/>
                <w:lang w:val="fr-CA"/>
              </w:rPr>
            </w:pPr>
          </w:p>
          <w:p w:rsidR="00E033CB" w:rsidRPr="00005520" w:rsidRDefault="00E033CB" w:rsidP="00E033CB">
            <w:pPr>
              <w:jc w:val="both"/>
              <w:rPr>
                <w:sz w:val="20"/>
                <w:szCs w:val="20"/>
                <w:lang w:val="fr-CA"/>
              </w:rPr>
            </w:pPr>
            <w:r w:rsidRPr="00005520">
              <w:rPr>
                <w:sz w:val="20"/>
                <w:szCs w:val="20"/>
                <w:lang w:val="fr-CA"/>
              </w:rPr>
              <w:t>En 2006, M. Roberts faisait partie d’un groupe d’actionnaires qui ont pris part à deux opérations commerciales successives pour acquérir des sociétés pétrolières et gazières sous-évaluées en Russie dans le but de les consolider et de faire un appel public à l’épargne relativement à la nouvelle entreprise. Initialement, l’entreprise a été exploitée par Magellan Energy Limited qui s’est révélée être une société ouverte fictive dont la promotion était assurée par des fraudeurs. Ses actionnaires se divisaient en deux groupes. Le premier groupe était composé de deux associés en affaires fortunés et leur société, Midland Resources Holding Limited (collectivement, « Midland ») qui se sont par la suite portés demandeurs en première instance. Midland a été incitée par le deuxième groupe d’actionnaires, qui comprenait les fraudeurs, M. Roberts et une société appartenant à un des fraudeurs, BDW Holdings Ltd. à investir 50 millions de dollars dans Magellan. Les fraudeurs y sont parvenus en déclarant que BDW avait investi 70 millions de dollars, ou une partie de cette somme, dans le projet Magellan. Toutefois, BDW était elle aussi une société fictive et ses actionnaires savaient que Midland n’aurait pas fait cet investissement sans l’assurance que BDW avançait un autre 70 millions de dollars à Magellan. Après que Midland a avancé la somme de 50 millions de dollars, elle a subi des pertes considérables. Les actionnaires de Midland ont introduit une action contre les actionnaires de BDW.</w:t>
            </w:r>
          </w:p>
        </w:tc>
      </w:tr>
      <w:tr w:rsidR="00E033CB" w:rsidRPr="0096343C" w:rsidTr="0074616E">
        <w:tc>
          <w:tcPr>
            <w:tcW w:w="5000" w:type="pct"/>
            <w:gridSpan w:val="4"/>
          </w:tcPr>
          <w:p w:rsidR="00E033CB" w:rsidRPr="00005520" w:rsidRDefault="00E033CB" w:rsidP="00E033CB">
            <w:pPr>
              <w:jc w:val="both"/>
              <w:rPr>
                <w:sz w:val="20"/>
                <w:szCs w:val="20"/>
                <w:lang w:val="fr-CA"/>
              </w:rPr>
            </w:pPr>
          </w:p>
        </w:tc>
      </w:tr>
      <w:tr w:rsidR="00E033CB" w:rsidRPr="0096343C" w:rsidTr="0074616E">
        <w:tc>
          <w:tcPr>
            <w:tcW w:w="2427" w:type="pct"/>
            <w:gridSpan w:val="2"/>
          </w:tcPr>
          <w:p w:rsidR="00E033CB" w:rsidRPr="00005520" w:rsidRDefault="00E033CB" w:rsidP="0074616E">
            <w:pPr>
              <w:rPr>
                <w:sz w:val="20"/>
                <w:szCs w:val="20"/>
                <w:lang w:val="fr-CA"/>
              </w:rPr>
            </w:pPr>
            <w:r w:rsidRPr="00005520">
              <w:rPr>
                <w:sz w:val="20"/>
                <w:szCs w:val="20"/>
                <w:lang w:val="fr-CA"/>
              </w:rPr>
              <w:t>19 février 2014</w:t>
            </w:r>
          </w:p>
          <w:p w:rsidR="00E033CB" w:rsidRPr="00005520" w:rsidRDefault="00E033CB" w:rsidP="0074616E">
            <w:pPr>
              <w:rPr>
                <w:sz w:val="20"/>
                <w:szCs w:val="20"/>
                <w:lang w:val="fr-CA"/>
              </w:rPr>
            </w:pPr>
            <w:r w:rsidRPr="00005520">
              <w:rPr>
                <w:sz w:val="20"/>
                <w:szCs w:val="20"/>
                <w:lang w:val="fr-CA"/>
              </w:rPr>
              <w:t>Cour supérieure de justice de l’Ontario</w:t>
            </w:r>
          </w:p>
          <w:p w:rsidR="00E033CB" w:rsidRPr="00005520" w:rsidRDefault="00E033CB" w:rsidP="0074616E">
            <w:pPr>
              <w:rPr>
                <w:sz w:val="20"/>
                <w:szCs w:val="20"/>
                <w:lang w:val="fr-CA"/>
              </w:rPr>
            </w:pPr>
            <w:r w:rsidRPr="00005520">
              <w:rPr>
                <w:sz w:val="20"/>
                <w:szCs w:val="20"/>
                <w:lang w:val="fr-CA"/>
              </w:rPr>
              <w:t>(Juge Sanderson)</w:t>
            </w:r>
          </w:p>
          <w:p w:rsidR="00E033CB" w:rsidRPr="00005520" w:rsidRDefault="008D266B" w:rsidP="0074616E">
            <w:pPr>
              <w:rPr>
                <w:sz w:val="20"/>
                <w:szCs w:val="20"/>
                <w:lang w:val="fr-CA"/>
              </w:rPr>
            </w:pPr>
            <w:hyperlink r:id="rId53" w:history="1">
              <w:r w:rsidR="00E033CB" w:rsidRPr="00005520">
                <w:rPr>
                  <w:rStyle w:val="Hyperlink"/>
                  <w:sz w:val="20"/>
                  <w:szCs w:val="20"/>
                  <w:lang w:val="fr-CA"/>
                </w:rPr>
                <w:t>2014 ONSC 997</w:t>
              </w:r>
            </w:hyperlink>
            <w:r w:rsidR="00E033CB" w:rsidRPr="00005520">
              <w:rPr>
                <w:sz w:val="20"/>
                <w:szCs w:val="20"/>
                <w:lang w:val="fr-CA"/>
              </w:rPr>
              <w:t xml:space="preserve"> </w:t>
            </w:r>
          </w:p>
          <w:p w:rsidR="00E033CB" w:rsidRPr="00005520" w:rsidRDefault="00E033CB" w:rsidP="0074616E">
            <w:pPr>
              <w:rPr>
                <w:sz w:val="20"/>
                <w:szCs w:val="20"/>
                <w:lang w:val="fr-CA"/>
              </w:rPr>
            </w:pPr>
          </w:p>
        </w:tc>
        <w:tc>
          <w:tcPr>
            <w:tcW w:w="243" w:type="pct"/>
          </w:tcPr>
          <w:p w:rsidR="00E033CB" w:rsidRPr="00005520" w:rsidRDefault="00E033CB" w:rsidP="0074616E">
            <w:pPr>
              <w:rPr>
                <w:sz w:val="20"/>
                <w:szCs w:val="20"/>
                <w:lang w:val="fr-CA"/>
              </w:rPr>
            </w:pPr>
          </w:p>
        </w:tc>
        <w:tc>
          <w:tcPr>
            <w:tcW w:w="2330" w:type="pct"/>
          </w:tcPr>
          <w:p w:rsidR="00E033CB" w:rsidRPr="00005520" w:rsidRDefault="00E033CB" w:rsidP="00E033CB">
            <w:pPr>
              <w:jc w:val="both"/>
              <w:rPr>
                <w:sz w:val="20"/>
                <w:szCs w:val="20"/>
                <w:lang w:val="fr-CA"/>
              </w:rPr>
            </w:pPr>
            <w:r w:rsidRPr="00005520">
              <w:rPr>
                <w:sz w:val="20"/>
                <w:szCs w:val="20"/>
                <w:lang w:val="fr-CA"/>
              </w:rPr>
              <w:t>Jugement condamnant le demandeur à des dommages-intérêts de 59 559 512,97 $US en faveur de l’intimée pour manquement à l’obligation fiduciaire, dol et complot illicite; rejet de la demande reconventionnelle du demandeur</w:t>
            </w:r>
          </w:p>
          <w:p w:rsidR="00E033CB" w:rsidRPr="00005520" w:rsidRDefault="00E033CB" w:rsidP="00E033CB">
            <w:pPr>
              <w:jc w:val="both"/>
              <w:rPr>
                <w:sz w:val="20"/>
                <w:szCs w:val="20"/>
                <w:lang w:val="fr-CA"/>
              </w:rPr>
            </w:pPr>
          </w:p>
        </w:tc>
      </w:tr>
      <w:tr w:rsidR="00E033CB" w:rsidRPr="0096343C" w:rsidTr="0074616E">
        <w:tc>
          <w:tcPr>
            <w:tcW w:w="2427" w:type="pct"/>
            <w:gridSpan w:val="2"/>
          </w:tcPr>
          <w:p w:rsidR="00E033CB" w:rsidRPr="00005520" w:rsidRDefault="00E033CB" w:rsidP="0074616E">
            <w:pPr>
              <w:rPr>
                <w:sz w:val="20"/>
                <w:szCs w:val="20"/>
                <w:lang w:val="fr-CA"/>
              </w:rPr>
            </w:pPr>
            <w:r w:rsidRPr="00005520">
              <w:rPr>
                <w:sz w:val="20"/>
                <w:szCs w:val="20"/>
                <w:lang w:val="fr-CA"/>
              </w:rPr>
              <w:lastRenderedPageBreak/>
              <w:t>20 avril 2017</w:t>
            </w:r>
          </w:p>
          <w:p w:rsidR="00E033CB" w:rsidRPr="00005520" w:rsidRDefault="00E033CB" w:rsidP="0074616E">
            <w:pPr>
              <w:rPr>
                <w:sz w:val="20"/>
                <w:szCs w:val="20"/>
                <w:lang w:val="fr-CA"/>
              </w:rPr>
            </w:pPr>
            <w:r w:rsidRPr="00005520">
              <w:rPr>
                <w:sz w:val="20"/>
                <w:szCs w:val="20"/>
                <w:lang w:val="fr-CA"/>
              </w:rPr>
              <w:t>Cour d’appel de l’Ontario</w:t>
            </w:r>
          </w:p>
          <w:p w:rsidR="00E033CB" w:rsidRPr="00005520" w:rsidRDefault="00E033CB" w:rsidP="0074616E">
            <w:pPr>
              <w:rPr>
                <w:sz w:val="20"/>
                <w:szCs w:val="20"/>
                <w:lang w:val="fr-CA"/>
              </w:rPr>
            </w:pPr>
            <w:r w:rsidRPr="00005520">
              <w:rPr>
                <w:sz w:val="20"/>
                <w:szCs w:val="20"/>
                <w:lang w:val="fr-CA"/>
              </w:rPr>
              <w:t>(Juges Doherty, Brown et Roberts)</w:t>
            </w:r>
          </w:p>
          <w:p w:rsidR="00E033CB" w:rsidRPr="00005520" w:rsidRDefault="008D266B" w:rsidP="0074616E">
            <w:pPr>
              <w:rPr>
                <w:sz w:val="20"/>
                <w:szCs w:val="20"/>
                <w:lang w:val="fr-CA"/>
              </w:rPr>
            </w:pPr>
            <w:hyperlink r:id="rId54" w:history="1">
              <w:r w:rsidR="00E033CB" w:rsidRPr="00005520">
                <w:rPr>
                  <w:rStyle w:val="Hyperlink"/>
                  <w:sz w:val="20"/>
                  <w:szCs w:val="20"/>
                  <w:lang w:val="fr-CA"/>
                </w:rPr>
                <w:t>2017 ONCA 320</w:t>
              </w:r>
            </w:hyperlink>
          </w:p>
          <w:p w:rsidR="00E033CB" w:rsidRPr="00005520" w:rsidRDefault="00E033CB" w:rsidP="0074616E">
            <w:pPr>
              <w:rPr>
                <w:sz w:val="20"/>
                <w:szCs w:val="20"/>
                <w:lang w:val="fr-CA"/>
              </w:rPr>
            </w:pPr>
          </w:p>
        </w:tc>
        <w:tc>
          <w:tcPr>
            <w:tcW w:w="243" w:type="pct"/>
          </w:tcPr>
          <w:p w:rsidR="00E033CB" w:rsidRPr="00005520" w:rsidRDefault="00E033CB" w:rsidP="0074616E">
            <w:pPr>
              <w:rPr>
                <w:sz w:val="20"/>
                <w:szCs w:val="20"/>
                <w:lang w:val="fr-CA"/>
              </w:rPr>
            </w:pPr>
          </w:p>
        </w:tc>
        <w:tc>
          <w:tcPr>
            <w:tcW w:w="2330" w:type="pct"/>
          </w:tcPr>
          <w:p w:rsidR="00E033CB" w:rsidRPr="00005520" w:rsidRDefault="00E033CB" w:rsidP="00E033CB">
            <w:pPr>
              <w:jc w:val="both"/>
              <w:rPr>
                <w:sz w:val="20"/>
                <w:szCs w:val="20"/>
                <w:lang w:val="fr-CA"/>
              </w:rPr>
            </w:pPr>
            <w:r w:rsidRPr="00005520">
              <w:rPr>
                <w:sz w:val="20"/>
                <w:szCs w:val="20"/>
                <w:lang w:val="fr-CA"/>
              </w:rPr>
              <w:t>Arrêt accueillant en partie l’appel du demandeur et réduisant les dommages-intérêts auxquels le demandeur est condamné à 8 309 570,66 $US pour représentation inexacte frauduleuse par omission</w:t>
            </w:r>
          </w:p>
          <w:p w:rsidR="00E033CB" w:rsidRPr="00005520" w:rsidRDefault="00E033CB" w:rsidP="00E033CB">
            <w:pPr>
              <w:jc w:val="both"/>
              <w:rPr>
                <w:sz w:val="20"/>
                <w:szCs w:val="20"/>
                <w:lang w:val="fr-CA"/>
              </w:rPr>
            </w:pPr>
          </w:p>
        </w:tc>
      </w:tr>
      <w:tr w:rsidR="00E033CB" w:rsidRPr="0096343C" w:rsidTr="0074616E">
        <w:tc>
          <w:tcPr>
            <w:tcW w:w="2427" w:type="pct"/>
            <w:gridSpan w:val="2"/>
          </w:tcPr>
          <w:p w:rsidR="00E033CB" w:rsidRPr="00005520" w:rsidRDefault="00E033CB" w:rsidP="0074616E">
            <w:pPr>
              <w:rPr>
                <w:sz w:val="20"/>
                <w:szCs w:val="20"/>
                <w:lang w:val="fr-CA"/>
              </w:rPr>
            </w:pPr>
            <w:r w:rsidRPr="00005520">
              <w:rPr>
                <w:sz w:val="20"/>
                <w:szCs w:val="20"/>
                <w:lang w:val="fr-CA"/>
              </w:rPr>
              <w:t>16 juin 2017</w:t>
            </w:r>
          </w:p>
          <w:p w:rsidR="00E033CB" w:rsidRPr="00005520" w:rsidRDefault="00E033CB" w:rsidP="0074616E">
            <w:pPr>
              <w:rPr>
                <w:sz w:val="20"/>
                <w:szCs w:val="20"/>
                <w:lang w:val="fr-CA"/>
              </w:rPr>
            </w:pPr>
            <w:r w:rsidRPr="00005520">
              <w:rPr>
                <w:sz w:val="20"/>
                <w:szCs w:val="20"/>
                <w:lang w:val="fr-CA"/>
              </w:rPr>
              <w:t>Cour suprême du Canada</w:t>
            </w:r>
          </w:p>
        </w:tc>
        <w:tc>
          <w:tcPr>
            <w:tcW w:w="243" w:type="pct"/>
          </w:tcPr>
          <w:p w:rsidR="00E033CB" w:rsidRPr="00005520" w:rsidRDefault="00E033CB" w:rsidP="0074616E">
            <w:pPr>
              <w:rPr>
                <w:sz w:val="20"/>
                <w:szCs w:val="20"/>
                <w:lang w:val="fr-CA"/>
              </w:rPr>
            </w:pPr>
          </w:p>
        </w:tc>
        <w:tc>
          <w:tcPr>
            <w:tcW w:w="2330" w:type="pct"/>
          </w:tcPr>
          <w:p w:rsidR="00E033CB" w:rsidRPr="00005520" w:rsidRDefault="00E033CB" w:rsidP="00E033CB">
            <w:pPr>
              <w:jc w:val="both"/>
              <w:rPr>
                <w:sz w:val="20"/>
                <w:szCs w:val="20"/>
                <w:lang w:val="fr-CA"/>
              </w:rPr>
            </w:pPr>
            <w:r w:rsidRPr="00005520">
              <w:rPr>
                <w:sz w:val="20"/>
                <w:szCs w:val="20"/>
                <w:lang w:val="fr-CA"/>
              </w:rPr>
              <w:t>Dépôt de la demande d’autorisation d’appel</w:t>
            </w:r>
          </w:p>
          <w:p w:rsidR="00E033CB" w:rsidRPr="00005520" w:rsidRDefault="00E033CB" w:rsidP="00E033CB">
            <w:pPr>
              <w:jc w:val="both"/>
              <w:rPr>
                <w:sz w:val="20"/>
                <w:szCs w:val="20"/>
                <w:lang w:val="fr-CA"/>
              </w:rPr>
            </w:pPr>
          </w:p>
        </w:tc>
      </w:tr>
    </w:tbl>
    <w:p w:rsidR="00E033CB" w:rsidRPr="00005520" w:rsidRDefault="008D266B" w:rsidP="00E033CB">
      <w:pPr>
        <w:rPr>
          <w:sz w:val="20"/>
          <w:szCs w:val="20"/>
          <w:lang w:val="fr-CA"/>
        </w:rPr>
      </w:pPr>
      <w:r>
        <w:rPr>
          <w:sz w:val="20"/>
          <w:szCs w:val="20"/>
        </w:rPr>
        <w:pict>
          <v:rect id="_x0000_i1060" style="width:2in;height:1pt" o:hrpct="0" o:hralign="center" o:hrstd="t" o:hrnoshade="t" o:hr="t" fillcolor="black [3213]" stroked="f"/>
        </w:pict>
      </w:r>
    </w:p>
    <w:p w:rsidR="00E033CB" w:rsidRPr="00005520" w:rsidRDefault="00E033CB" w:rsidP="00E033CB">
      <w:pPr>
        <w:jc w:val="both"/>
        <w:rPr>
          <w:sz w:val="20"/>
          <w:szCs w:val="20"/>
          <w:lang w:val="fr-CA"/>
        </w:rPr>
      </w:pPr>
    </w:p>
    <w:tbl>
      <w:tblPr>
        <w:tblW w:w="4959" w:type="pct"/>
        <w:tblLayout w:type="fixed"/>
        <w:tblCellMar>
          <w:left w:w="0" w:type="dxa"/>
          <w:bottom w:w="99" w:type="dxa"/>
          <w:right w:w="0" w:type="dxa"/>
        </w:tblCellMar>
        <w:tblLook w:val="04A0" w:firstRow="1" w:lastRow="0" w:firstColumn="1" w:lastColumn="0" w:noHBand="0" w:noVBand="1"/>
      </w:tblPr>
      <w:tblGrid>
        <w:gridCol w:w="1035"/>
        <w:gridCol w:w="3520"/>
        <w:gridCol w:w="513"/>
        <w:gridCol w:w="4472"/>
      </w:tblGrid>
      <w:tr w:rsidR="00E033CB" w:rsidRPr="00005520" w:rsidTr="00E033CB">
        <w:tc>
          <w:tcPr>
            <w:tcW w:w="542" w:type="pct"/>
          </w:tcPr>
          <w:p w:rsidR="00E033CB" w:rsidRPr="00005520" w:rsidRDefault="00E033CB" w:rsidP="0074616E">
            <w:pPr>
              <w:rPr>
                <w:sz w:val="20"/>
                <w:szCs w:val="20"/>
              </w:rPr>
            </w:pPr>
            <w:r w:rsidRPr="00005520">
              <w:rPr>
                <w:rStyle w:val="SCCFileNumberChar"/>
                <w:sz w:val="20"/>
                <w:szCs w:val="20"/>
              </w:rPr>
              <w:t>37698</w:t>
            </w:r>
          </w:p>
        </w:tc>
        <w:tc>
          <w:tcPr>
            <w:tcW w:w="4458" w:type="pct"/>
            <w:gridSpan w:val="3"/>
          </w:tcPr>
          <w:p w:rsidR="00E033CB" w:rsidRPr="00005520" w:rsidRDefault="00E033CB" w:rsidP="00E033CB">
            <w:pPr>
              <w:pStyle w:val="SCCLsocParty"/>
              <w:jc w:val="both"/>
              <w:rPr>
                <w:b/>
                <w:sz w:val="20"/>
                <w:szCs w:val="20"/>
                <w:lang w:val="en-US"/>
              </w:rPr>
            </w:pPr>
            <w:r w:rsidRPr="00005520">
              <w:rPr>
                <w:b/>
                <w:sz w:val="20"/>
                <w:szCs w:val="20"/>
                <w:lang w:val="en-US"/>
              </w:rPr>
              <w:t>Fadil Usanovic v. Penncorp Life Insurance Company also carrying on business as La Capitale Financial Security Insurance Company</w:t>
            </w:r>
          </w:p>
          <w:p w:rsidR="00E033CB" w:rsidRPr="00005520" w:rsidRDefault="00E033CB" w:rsidP="00E033CB">
            <w:pPr>
              <w:jc w:val="both"/>
              <w:rPr>
                <w:sz w:val="20"/>
                <w:szCs w:val="20"/>
              </w:rPr>
            </w:pPr>
            <w:r w:rsidRPr="00005520">
              <w:rPr>
                <w:sz w:val="20"/>
                <w:szCs w:val="20"/>
              </w:rPr>
              <w:t>(Ont.) (Civil) (By Leave)</w:t>
            </w:r>
          </w:p>
        </w:tc>
      </w:tr>
      <w:tr w:rsidR="00047CBB" w:rsidRPr="00005520" w:rsidTr="00E033CB">
        <w:tc>
          <w:tcPr>
            <w:tcW w:w="542" w:type="pct"/>
          </w:tcPr>
          <w:p w:rsidR="00047CBB" w:rsidRPr="00005520" w:rsidRDefault="00047CBB" w:rsidP="0074616E">
            <w:pPr>
              <w:rPr>
                <w:rStyle w:val="SCCFileNumberChar"/>
                <w:sz w:val="20"/>
                <w:szCs w:val="20"/>
              </w:rPr>
            </w:pPr>
            <w:r>
              <w:rPr>
                <w:rStyle w:val="SCCFileNumberChar"/>
                <w:sz w:val="20"/>
                <w:szCs w:val="20"/>
              </w:rPr>
              <w:t>Coram:</w:t>
            </w:r>
          </w:p>
        </w:tc>
        <w:tc>
          <w:tcPr>
            <w:tcW w:w="4458" w:type="pct"/>
            <w:gridSpan w:val="3"/>
          </w:tcPr>
          <w:p w:rsidR="00047CBB" w:rsidRDefault="00EC059B" w:rsidP="00E033CB">
            <w:pPr>
              <w:pStyle w:val="SCCLsocParty"/>
              <w:jc w:val="both"/>
              <w:rPr>
                <w:sz w:val="20"/>
                <w:szCs w:val="20"/>
                <w:lang w:val="en-US"/>
              </w:rPr>
            </w:pPr>
            <w:r w:rsidRPr="00EC059B">
              <w:rPr>
                <w:sz w:val="20"/>
                <w:szCs w:val="20"/>
                <w:lang w:val="en-US"/>
              </w:rPr>
              <w:t>McLachlin C.J. and Abella, Moldaver, Karakatsanis, Wagner, Gascon, Côté, Brown and Rowe JJ.</w:t>
            </w:r>
          </w:p>
          <w:p w:rsidR="00EC059B" w:rsidRPr="00EC059B" w:rsidRDefault="00EC059B" w:rsidP="00EC059B">
            <w:pPr>
              <w:rPr>
                <w:lang w:val="en-US"/>
              </w:rPr>
            </w:pPr>
          </w:p>
        </w:tc>
      </w:tr>
      <w:tr w:rsidR="00047CBB" w:rsidRPr="00005520" w:rsidTr="00047CBB">
        <w:tc>
          <w:tcPr>
            <w:tcW w:w="5000" w:type="pct"/>
            <w:gridSpan w:val="4"/>
          </w:tcPr>
          <w:p w:rsidR="00047CBB" w:rsidRDefault="00EC059B" w:rsidP="00E033CB">
            <w:pPr>
              <w:pStyle w:val="SCCLsocParty"/>
              <w:jc w:val="both"/>
              <w:rPr>
                <w:sz w:val="20"/>
                <w:szCs w:val="20"/>
                <w:lang w:val="en-US"/>
              </w:rPr>
            </w:pPr>
            <w:r w:rsidRPr="00EC059B">
              <w:rPr>
                <w:sz w:val="20"/>
                <w:szCs w:val="20"/>
                <w:lang w:val="en-US"/>
              </w:rPr>
              <w:t>The application for leave to appeal from the judgment of the Court of Appeal for Ontario, Number C62558, 2017 ONCA 395, dated May 18, 2017, is dismissed with costs.</w:t>
            </w:r>
          </w:p>
          <w:p w:rsidR="00EC059B" w:rsidRPr="00EC059B" w:rsidRDefault="00EC059B" w:rsidP="00EC059B">
            <w:pPr>
              <w:rPr>
                <w:lang w:val="en-US"/>
              </w:rPr>
            </w:pPr>
          </w:p>
        </w:tc>
      </w:tr>
      <w:tr w:rsidR="00E033CB" w:rsidRPr="00005520" w:rsidTr="00E033CB">
        <w:tc>
          <w:tcPr>
            <w:tcW w:w="5000" w:type="pct"/>
            <w:gridSpan w:val="4"/>
          </w:tcPr>
          <w:p w:rsidR="00E033CB" w:rsidRPr="00005520" w:rsidRDefault="00E033CB" w:rsidP="00E033CB">
            <w:pPr>
              <w:jc w:val="both"/>
              <w:rPr>
                <w:sz w:val="20"/>
                <w:szCs w:val="20"/>
              </w:rPr>
            </w:pPr>
            <w:r w:rsidRPr="00005520">
              <w:rPr>
                <w:sz w:val="20"/>
                <w:szCs w:val="20"/>
              </w:rPr>
              <w:t>Insurance – Disability insurance – Limitation period – Considering the duty of good faith which insurers owe to insureds, whether there is an obligation on the part of insurers to advise insureds of the limitation period in a consumer disability policy when terminating payment of benefits.</w:t>
            </w:r>
          </w:p>
        </w:tc>
      </w:tr>
      <w:tr w:rsidR="00E033CB" w:rsidRPr="00005520" w:rsidTr="00E033CB">
        <w:tc>
          <w:tcPr>
            <w:tcW w:w="5000" w:type="pct"/>
            <w:gridSpan w:val="4"/>
          </w:tcPr>
          <w:p w:rsidR="00E033CB" w:rsidRPr="00005520" w:rsidRDefault="00E033CB" w:rsidP="00E033CB">
            <w:pPr>
              <w:jc w:val="both"/>
              <w:rPr>
                <w:sz w:val="20"/>
                <w:szCs w:val="20"/>
              </w:rPr>
            </w:pPr>
          </w:p>
          <w:p w:rsidR="00E033CB" w:rsidRPr="00005520" w:rsidRDefault="00E033CB" w:rsidP="00E033CB">
            <w:pPr>
              <w:jc w:val="both"/>
              <w:rPr>
                <w:sz w:val="20"/>
                <w:szCs w:val="20"/>
              </w:rPr>
            </w:pPr>
            <w:r w:rsidRPr="00005520">
              <w:rPr>
                <w:sz w:val="20"/>
                <w:szCs w:val="20"/>
              </w:rPr>
              <w:t>Fadil Usanovic bought an insurance policy from the insurer, Penncorp Life Insurance Company. The policy insured him against disability arising from accidents and from sickness. In September 2007, Mr. Usanovic fell from a roof while working and suffered serious injuries. He received disability benefits until November 2011, when Penncorp terminated its payments because he no longer had a “total disability”, as defined by the policy. On January 12, 2012, Penncorp’s lawyer wrote to Mr. Usanovic explaining that he was not entitled to receive further benefits unless he was unable to engage in any and every occupation for which he was reasonably fit by reason of his education, training and experience. The letter added that if Mr. Usanovic disagreed with this decision he could submit, within sixty days, additional medical records in support of his claim. He provided no new medical records in response. In early 2015, Mr. Usanovic consulted counsel, who told him that there was a two-year limitation period applicable for bringing an action. He alleged that, had the insurance company told him about the limitation period when it denied his claim, he would have brought an action earlier. He commenced the action in April 2015, more than two years after the termination of his benefits and receipt of the letter from the Penncorp’s lawyer. Penncorp brought a motion for summary judgment on that basis.</w:t>
            </w:r>
          </w:p>
          <w:p w:rsidR="00E033CB" w:rsidRPr="00005520" w:rsidRDefault="00E033CB" w:rsidP="00E033CB">
            <w:pPr>
              <w:jc w:val="both"/>
              <w:rPr>
                <w:sz w:val="20"/>
                <w:szCs w:val="20"/>
              </w:rPr>
            </w:pPr>
          </w:p>
        </w:tc>
      </w:tr>
      <w:tr w:rsidR="00E033CB" w:rsidRPr="00005520" w:rsidTr="00E033CB">
        <w:tc>
          <w:tcPr>
            <w:tcW w:w="5000" w:type="pct"/>
            <w:gridSpan w:val="4"/>
          </w:tcPr>
          <w:p w:rsidR="00E033CB" w:rsidRPr="00005520" w:rsidRDefault="00E033CB" w:rsidP="00E033CB">
            <w:pPr>
              <w:jc w:val="both"/>
              <w:rPr>
                <w:sz w:val="20"/>
                <w:szCs w:val="20"/>
              </w:rPr>
            </w:pPr>
            <w:r w:rsidRPr="00005520">
              <w:rPr>
                <w:sz w:val="20"/>
                <w:szCs w:val="20"/>
              </w:rPr>
              <w:t>The Ontario Superior Court of Justice granted the insurer’s motion for summary judgment, dismissing the action against the insurer because it was time barred. The Ontario Court of Appeal dismissed Mr. Usanovic’s appeal.</w:t>
            </w:r>
          </w:p>
          <w:p w:rsidR="00E033CB" w:rsidRPr="00005520" w:rsidRDefault="00E033CB" w:rsidP="00E033CB">
            <w:pPr>
              <w:jc w:val="both"/>
              <w:rPr>
                <w:sz w:val="20"/>
                <w:szCs w:val="20"/>
              </w:rPr>
            </w:pPr>
          </w:p>
        </w:tc>
      </w:tr>
      <w:tr w:rsidR="00E033CB" w:rsidRPr="00005520" w:rsidTr="00E033CB">
        <w:tblPrEx>
          <w:tblCellMar>
            <w:bottom w:w="0" w:type="dxa"/>
          </w:tblCellMar>
        </w:tblPrEx>
        <w:tc>
          <w:tcPr>
            <w:tcW w:w="2387" w:type="pct"/>
            <w:gridSpan w:val="2"/>
          </w:tcPr>
          <w:p w:rsidR="00E033CB" w:rsidRPr="00005520" w:rsidRDefault="00E033CB" w:rsidP="0074616E">
            <w:pPr>
              <w:rPr>
                <w:sz w:val="20"/>
                <w:szCs w:val="20"/>
              </w:rPr>
            </w:pPr>
            <w:r w:rsidRPr="00005520">
              <w:rPr>
                <w:sz w:val="20"/>
                <w:szCs w:val="20"/>
              </w:rPr>
              <w:t>July 15, 2016</w:t>
            </w:r>
          </w:p>
          <w:p w:rsidR="00E033CB" w:rsidRPr="00005520" w:rsidRDefault="00E033CB" w:rsidP="0074616E">
            <w:pPr>
              <w:rPr>
                <w:sz w:val="20"/>
                <w:szCs w:val="20"/>
              </w:rPr>
            </w:pPr>
            <w:r w:rsidRPr="00005520">
              <w:rPr>
                <w:sz w:val="20"/>
                <w:szCs w:val="20"/>
              </w:rPr>
              <w:t>Ontario Superior Court of Justice</w:t>
            </w:r>
          </w:p>
          <w:p w:rsidR="00E033CB" w:rsidRPr="00005520" w:rsidRDefault="00E033CB" w:rsidP="0074616E">
            <w:pPr>
              <w:rPr>
                <w:sz w:val="20"/>
                <w:szCs w:val="20"/>
              </w:rPr>
            </w:pPr>
            <w:r w:rsidRPr="00005520">
              <w:rPr>
                <w:sz w:val="20"/>
                <w:szCs w:val="20"/>
              </w:rPr>
              <w:t>(Broad J.)</w:t>
            </w:r>
          </w:p>
          <w:p w:rsidR="00E033CB" w:rsidRPr="00005520" w:rsidRDefault="008D266B" w:rsidP="0074616E">
            <w:pPr>
              <w:rPr>
                <w:sz w:val="20"/>
                <w:szCs w:val="20"/>
              </w:rPr>
            </w:pPr>
            <w:hyperlink r:id="rId55" w:history="1">
              <w:r w:rsidR="00E033CB" w:rsidRPr="00005520">
                <w:rPr>
                  <w:rStyle w:val="Hyperlink"/>
                  <w:sz w:val="20"/>
                  <w:szCs w:val="20"/>
                </w:rPr>
                <w:t>2016 ONSC 4624</w:t>
              </w:r>
            </w:hyperlink>
          </w:p>
          <w:p w:rsidR="00E033CB" w:rsidRPr="00005520" w:rsidRDefault="00E033CB" w:rsidP="0074616E">
            <w:pPr>
              <w:rPr>
                <w:sz w:val="20"/>
                <w:szCs w:val="20"/>
              </w:rPr>
            </w:pPr>
          </w:p>
        </w:tc>
        <w:tc>
          <w:tcPr>
            <w:tcW w:w="269" w:type="pct"/>
          </w:tcPr>
          <w:p w:rsidR="00E033CB" w:rsidRPr="00005520" w:rsidRDefault="00E033CB" w:rsidP="0074616E">
            <w:pPr>
              <w:rPr>
                <w:sz w:val="20"/>
                <w:szCs w:val="20"/>
              </w:rPr>
            </w:pPr>
          </w:p>
        </w:tc>
        <w:tc>
          <w:tcPr>
            <w:tcW w:w="2344" w:type="pct"/>
          </w:tcPr>
          <w:p w:rsidR="00E033CB" w:rsidRPr="00005520" w:rsidRDefault="00E033CB" w:rsidP="00E033CB">
            <w:pPr>
              <w:jc w:val="both"/>
              <w:rPr>
                <w:sz w:val="20"/>
                <w:szCs w:val="20"/>
              </w:rPr>
            </w:pPr>
            <w:r w:rsidRPr="00005520">
              <w:rPr>
                <w:sz w:val="20"/>
                <w:szCs w:val="20"/>
              </w:rPr>
              <w:t>Respondent’s motion for summary judgment, granted; applicant’s action dismissed.</w:t>
            </w:r>
          </w:p>
          <w:p w:rsidR="00E033CB" w:rsidRPr="00005520" w:rsidRDefault="00E033CB" w:rsidP="00E033CB">
            <w:pPr>
              <w:jc w:val="both"/>
              <w:rPr>
                <w:sz w:val="20"/>
                <w:szCs w:val="20"/>
              </w:rPr>
            </w:pPr>
          </w:p>
        </w:tc>
      </w:tr>
      <w:tr w:rsidR="00E033CB" w:rsidRPr="00005520" w:rsidTr="00E033CB">
        <w:tblPrEx>
          <w:tblCellMar>
            <w:bottom w:w="0" w:type="dxa"/>
          </w:tblCellMar>
        </w:tblPrEx>
        <w:tc>
          <w:tcPr>
            <w:tcW w:w="2387" w:type="pct"/>
            <w:gridSpan w:val="2"/>
          </w:tcPr>
          <w:p w:rsidR="00E033CB" w:rsidRPr="00005520" w:rsidRDefault="00E033CB" w:rsidP="0074616E">
            <w:pPr>
              <w:rPr>
                <w:sz w:val="20"/>
                <w:szCs w:val="20"/>
              </w:rPr>
            </w:pPr>
            <w:r w:rsidRPr="00005520">
              <w:rPr>
                <w:sz w:val="20"/>
                <w:szCs w:val="20"/>
              </w:rPr>
              <w:t>May 18, 2017</w:t>
            </w:r>
          </w:p>
          <w:p w:rsidR="00E033CB" w:rsidRPr="00005520" w:rsidRDefault="00E033CB" w:rsidP="0074616E">
            <w:pPr>
              <w:rPr>
                <w:sz w:val="20"/>
                <w:szCs w:val="20"/>
              </w:rPr>
            </w:pPr>
            <w:r w:rsidRPr="00005520">
              <w:rPr>
                <w:sz w:val="20"/>
                <w:szCs w:val="20"/>
              </w:rPr>
              <w:t>Court of Appeal for Ontario</w:t>
            </w:r>
          </w:p>
          <w:p w:rsidR="00E033CB" w:rsidRPr="00005520" w:rsidRDefault="00E033CB" w:rsidP="0074616E">
            <w:pPr>
              <w:rPr>
                <w:sz w:val="20"/>
                <w:szCs w:val="20"/>
              </w:rPr>
            </w:pPr>
            <w:r w:rsidRPr="00005520">
              <w:rPr>
                <w:sz w:val="20"/>
                <w:szCs w:val="20"/>
              </w:rPr>
              <w:t>(Strathy C.J.O., Laskin and Trotter JJ.A.)</w:t>
            </w:r>
          </w:p>
          <w:p w:rsidR="00E033CB" w:rsidRPr="00005520" w:rsidRDefault="008D266B" w:rsidP="0074616E">
            <w:pPr>
              <w:rPr>
                <w:sz w:val="20"/>
                <w:szCs w:val="20"/>
              </w:rPr>
            </w:pPr>
            <w:hyperlink r:id="rId56" w:history="1">
              <w:r w:rsidR="00E033CB" w:rsidRPr="00005520">
                <w:rPr>
                  <w:rStyle w:val="Hyperlink"/>
                  <w:sz w:val="20"/>
                  <w:szCs w:val="20"/>
                </w:rPr>
                <w:t>2017 ONCA 395</w:t>
              </w:r>
            </w:hyperlink>
            <w:r w:rsidR="00E033CB" w:rsidRPr="00005520">
              <w:rPr>
                <w:sz w:val="20"/>
                <w:szCs w:val="20"/>
              </w:rPr>
              <w:t xml:space="preserve"> </w:t>
            </w:r>
          </w:p>
          <w:p w:rsidR="00E033CB" w:rsidRPr="00005520" w:rsidRDefault="00E033CB" w:rsidP="0074616E">
            <w:pPr>
              <w:rPr>
                <w:sz w:val="20"/>
                <w:szCs w:val="20"/>
              </w:rPr>
            </w:pPr>
          </w:p>
        </w:tc>
        <w:tc>
          <w:tcPr>
            <w:tcW w:w="269" w:type="pct"/>
          </w:tcPr>
          <w:p w:rsidR="00E033CB" w:rsidRPr="00005520" w:rsidRDefault="00E033CB" w:rsidP="0074616E">
            <w:pPr>
              <w:rPr>
                <w:sz w:val="20"/>
                <w:szCs w:val="20"/>
              </w:rPr>
            </w:pPr>
          </w:p>
        </w:tc>
        <w:tc>
          <w:tcPr>
            <w:tcW w:w="2344" w:type="pct"/>
          </w:tcPr>
          <w:p w:rsidR="00E033CB" w:rsidRPr="00005520" w:rsidRDefault="00E033CB" w:rsidP="00E033CB">
            <w:pPr>
              <w:jc w:val="both"/>
              <w:rPr>
                <w:sz w:val="20"/>
                <w:szCs w:val="20"/>
              </w:rPr>
            </w:pPr>
            <w:r w:rsidRPr="00005520">
              <w:rPr>
                <w:sz w:val="20"/>
                <w:szCs w:val="20"/>
              </w:rPr>
              <w:t>Applicant’s appeal, dismissed.</w:t>
            </w:r>
          </w:p>
          <w:p w:rsidR="00E033CB" w:rsidRPr="00005520" w:rsidRDefault="00E033CB" w:rsidP="00E033CB">
            <w:pPr>
              <w:jc w:val="both"/>
              <w:rPr>
                <w:sz w:val="20"/>
                <w:szCs w:val="20"/>
              </w:rPr>
            </w:pPr>
          </w:p>
        </w:tc>
      </w:tr>
      <w:tr w:rsidR="00E033CB" w:rsidRPr="00005520" w:rsidTr="00E033CB">
        <w:tblPrEx>
          <w:tblCellMar>
            <w:bottom w:w="0" w:type="dxa"/>
          </w:tblCellMar>
        </w:tblPrEx>
        <w:tc>
          <w:tcPr>
            <w:tcW w:w="2387" w:type="pct"/>
            <w:gridSpan w:val="2"/>
          </w:tcPr>
          <w:p w:rsidR="00E033CB" w:rsidRPr="00005520" w:rsidRDefault="00E033CB" w:rsidP="0074616E">
            <w:pPr>
              <w:rPr>
                <w:sz w:val="20"/>
                <w:szCs w:val="20"/>
              </w:rPr>
            </w:pPr>
            <w:r w:rsidRPr="00005520">
              <w:rPr>
                <w:sz w:val="20"/>
                <w:szCs w:val="20"/>
              </w:rPr>
              <w:t>August 15, 2017</w:t>
            </w:r>
          </w:p>
          <w:p w:rsidR="00E033CB" w:rsidRPr="00005520" w:rsidRDefault="00E033CB" w:rsidP="0074616E">
            <w:pPr>
              <w:rPr>
                <w:sz w:val="20"/>
                <w:szCs w:val="20"/>
              </w:rPr>
            </w:pPr>
            <w:r w:rsidRPr="00005520">
              <w:rPr>
                <w:sz w:val="20"/>
                <w:szCs w:val="20"/>
              </w:rPr>
              <w:t>Supreme Court of Canada</w:t>
            </w:r>
          </w:p>
        </w:tc>
        <w:tc>
          <w:tcPr>
            <w:tcW w:w="269" w:type="pct"/>
          </w:tcPr>
          <w:p w:rsidR="00E033CB" w:rsidRPr="00005520" w:rsidRDefault="00E033CB" w:rsidP="0074616E">
            <w:pPr>
              <w:rPr>
                <w:sz w:val="20"/>
                <w:szCs w:val="20"/>
              </w:rPr>
            </w:pPr>
          </w:p>
        </w:tc>
        <w:tc>
          <w:tcPr>
            <w:tcW w:w="2344" w:type="pct"/>
          </w:tcPr>
          <w:p w:rsidR="00E033CB" w:rsidRPr="00005520" w:rsidRDefault="00E033CB" w:rsidP="00E033CB">
            <w:pPr>
              <w:jc w:val="both"/>
              <w:rPr>
                <w:sz w:val="20"/>
                <w:szCs w:val="20"/>
              </w:rPr>
            </w:pPr>
            <w:r w:rsidRPr="00005520">
              <w:rPr>
                <w:sz w:val="20"/>
                <w:szCs w:val="20"/>
              </w:rPr>
              <w:t>Application for leave to appeal, filed.</w:t>
            </w:r>
          </w:p>
        </w:tc>
      </w:tr>
    </w:tbl>
    <w:p w:rsidR="00E033CB" w:rsidRPr="00005520" w:rsidRDefault="008D266B" w:rsidP="00E033CB">
      <w:pPr>
        <w:rPr>
          <w:sz w:val="20"/>
          <w:szCs w:val="20"/>
        </w:rPr>
      </w:pPr>
      <w:r>
        <w:rPr>
          <w:sz w:val="20"/>
          <w:szCs w:val="20"/>
        </w:rPr>
        <w:pict>
          <v:rect id="_x0000_i1061" style="width:2in;height:1pt" o:hrpct="0" o:hralign="center" o:hrstd="t" o:hrnoshade="t" o:hr="t" fillcolor="black [3213]" stroked="f"/>
        </w:pict>
      </w:r>
    </w:p>
    <w:p w:rsidR="00E033CB" w:rsidRPr="00005520" w:rsidRDefault="00E033CB" w:rsidP="00E033CB">
      <w:pPr>
        <w:rPr>
          <w:sz w:val="20"/>
          <w:szCs w:val="20"/>
        </w:rPr>
      </w:pPr>
    </w:p>
    <w:tbl>
      <w:tblPr>
        <w:tblW w:w="4959" w:type="pct"/>
        <w:tblLayout w:type="fixed"/>
        <w:tblCellMar>
          <w:left w:w="0" w:type="dxa"/>
          <w:bottom w:w="99" w:type="dxa"/>
          <w:right w:w="0" w:type="dxa"/>
        </w:tblCellMar>
        <w:tblLook w:val="04A0" w:firstRow="1" w:lastRow="0" w:firstColumn="1" w:lastColumn="0" w:noHBand="0" w:noVBand="1"/>
      </w:tblPr>
      <w:tblGrid>
        <w:gridCol w:w="1035"/>
        <w:gridCol w:w="3518"/>
        <w:gridCol w:w="513"/>
        <w:gridCol w:w="4474"/>
      </w:tblGrid>
      <w:tr w:rsidR="00E033CB" w:rsidRPr="00005520" w:rsidTr="00E033CB">
        <w:tc>
          <w:tcPr>
            <w:tcW w:w="542" w:type="pct"/>
            <w:shd w:val="clear" w:color="auto" w:fill="auto"/>
          </w:tcPr>
          <w:p w:rsidR="00E033CB" w:rsidRPr="00005520" w:rsidRDefault="00E033CB" w:rsidP="0074616E">
            <w:pPr>
              <w:rPr>
                <w:sz w:val="20"/>
                <w:szCs w:val="20"/>
                <w:lang w:val="fr-CA"/>
              </w:rPr>
            </w:pPr>
            <w:r w:rsidRPr="00005520">
              <w:rPr>
                <w:rStyle w:val="SCCFileNumberChar"/>
                <w:sz w:val="20"/>
                <w:szCs w:val="20"/>
                <w:lang w:val="fr-CA"/>
              </w:rPr>
              <w:lastRenderedPageBreak/>
              <w:t>37698</w:t>
            </w:r>
          </w:p>
        </w:tc>
        <w:tc>
          <w:tcPr>
            <w:tcW w:w="4458" w:type="pct"/>
            <w:gridSpan w:val="3"/>
            <w:shd w:val="clear" w:color="auto" w:fill="auto"/>
          </w:tcPr>
          <w:p w:rsidR="00E033CB" w:rsidRPr="00005520" w:rsidRDefault="00E033CB" w:rsidP="0074616E">
            <w:pPr>
              <w:pStyle w:val="SCCLsocParty"/>
              <w:jc w:val="both"/>
              <w:rPr>
                <w:b/>
                <w:sz w:val="20"/>
                <w:szCs w:val="20"/>
              </w:rPr>
            </w:pPr>
            <w:r w:rsidRPr="00005520">
              <w:rPr>
                <w:b/>
                <w:sz w:val="20"/>
                <w:szCs w:val="20"/>
              </w:rPr>
              <w:t xml:space="preserve">Fadil Usanovic c. </w:t>
            </w:r>
            <w:r w:rsidR="005A5E8D">
              <w:rPr>
                <w:b/>
                <w:sz w:val="20"/>
                <w:szCs w:val="20"/>
              </w:rPr>
              <w:t>Penncorp Life Insurance,</w:t>
            </w:r>
            <w:r w:rsidRPr="00005520">
              <w:rPr>
                <w:b/>
                <w:sz w:val="20"/>
                <w:szCs w:val="20"/>
              </w:rPr>
              <w:t xml:space="preserve"> faisant affaire aussi sous la dénomination sociale La Capitale </w:t>
            </w:r>
            <w:r w:rsidR="005A5E8D">
              <w:rPr>
                <w:b/>
                <w:sz w:val="20"/>
                <w:szCs w:val="20"/>
              </w:rPr>
              <w:t>Financial Security Insurance Company</w:t>
            </w:r>
            <w:r w:rsidRPr="00005520">
              <w:rPr>
                <w:b/>
                <w:sz w:val="20"/>
                <w:szCs w:val="20"/>
              </w:rPr>
              <w:t xml:space="preserve"> </w:t>
            </w:r>
          </w:p>
          <w:p w:rsidR="00E033CB" w:rsidRPr="00005520" w:rsidRDefault="00E033CB" w:rsidP="0074616E">
            <w:pPr>
              <w:rPr>
                <w:sz w:val="20"/>
                <w:szCs w:val="20"/>
                <w:lang w:val="fr-CA"/>
              </w:rPr>
            </w:pPr>
            <w:r w:rsidRPr="00005520">
              <w:rPr>
                <w:sz w:val="20"/>
                <w:szCs w:val="20"/>
                <w:lang w:val="fr-CA"/>
              </w:rPr>
              <w:t>(Ont.) (Civile) (Sur autorisation)</w:t>
            </w:r>
          </w:p>
        </w:tc>
      </w:tr>
      <w:tr w:rsidR="00047CBB" w:rsidRPr="0096343C" w:rsidTr="00E033CB">
        <w:tc>
          <w:tcPr>
            <w:tcW w:w="542" w:type="pct"/>
            <w:shd w:val="clear" w:color="auto" w:fill="auto"/>
          </w:tcPr>
          <w:p w:rsidR="00047CBB" w:rsidRPr="00005520" w:rsidRDefault="00047CBB" w:rsidP="0074616E">
            <w:pPr>
              <w:rPr>
                <w:rStyle w:val="SCCFileNumberChar"/>
                <w:sz w:val="20"/>
                <w:szCs w:val="20"/>
                <w:lang w:val="fr-CA"/>
              </w:rPr>
            </w:pPr>
            <w:r>
              <w:rPr>
                <w:rStyle w:val="SCCFileNumberChar"/>
                <w:sz w:val="20"/>
                <w:szCs w:val="20"/>
                <w:lang w:val="fr-CA"/>
              </w:rPr>
              <w:t>Coram :</w:t>
            </w:r>
          </w:p>
        </w:tc>
        <w:tc>
          <w:tcPr>
            <w:tcW w:w="4458" w:type="pct"/>
            <w:gridSpan w:val="3"/>
            <w:shd w:val="clear" w:color="auto" w:fill="auto"/>
          </w:tcPr>
          <w:p w:rsidR="00047CBB" w:rsidRDefault="00EA1155" w:rsidP="0074616E">
            <w:pPr>
              <w:pStyle w:val="SCCLsocParty"/>
              <w:jc w:val="both"/>
              <w:rPr>
                <w:sz w:val="20"/>
                <w:szCs w:val="20"/>
              </w:rPr>
            </w:pPr>
            <w:r w:rsidRPr="005174DB">
              <w:rPr>
                <w:sz w:val="20"/>
                <w:szCs w:val="20"/>
              </w:rPr>
              <w:t>La juge en chef McLachlin et les juges Abella, Moldaver, Karakatsanis, Wagner, Gascon, Côté, Brown et Rowe</w:t>
            </w:r>
          </w:p>
          <w:p w:rsidR="00EA1155" w:rsidRPr="00EA1155" w:rsidRDefault="00EA1155" w:rsidP="00EA1155">
            <w:pPr>
              <w:rPr>
                <w:lang w:val="fr-CA"/>
              </w:rPr>
            </w:pPr>
          </w:p>
        </w:tc>
      </w:tr>
      <w:tr w:rsidR="00047CBB" w:rsidRPr="0096343C" w:rsidTr="00047CBB">
        <w:tc>
          <w:tcPr>
            <w:tcW w:w="5000" w:type="pct"/>
            <w:gridSpan w:val="4"/>
            <w:shd w:val="clear" w:color="auto" w:fill="auto"/>
          </w:tcPr>
          <w:p w:rsidR="00047CBB" w:rsidRDefault="00EA1155" w:rsidP="0074616E">
            <w:pPr>
              <w:pStyle w:val="SCCLsocParty"/>
              <w:jc w:val="both"/>
              <w:rPr>
                <w:sz w:val="20"/>
                <w:szCs w:val="20"/>
              </w:rPr>
            </w:pPr>
            <w:r w:rsidRPr="005174DB">
              <w:rPr>
                <w:sz w:val="20"/>
                <w:szCs w:val="20"/>
              </w:rPr>
              <w:t>La demande d’autorisation d’appel de l’arrêt de la Cour d’appel de l’Ontario, numéro C62558, 2017 ONCA 395, daté du 18 mai 2017, est rejeté avec dépens.</w:t>
            </w:r>
          </w:p>
          <w:p w:rsidR="00EA1155" w:rsidRPr="00EA1155" w:rsidRDefault="00EA1155" w:rsidP="00EA1155">
            <w:pPr>
              <w:rPr>
                <w:lang w:val="fr-CA"/>
              </w:rPr>
            </w:pPr>
          </w:p>
        </w:tc>
      </w:tr>
      <w:tr w:rsidR="00E033CB" w:rsidRPr="0096343C" w:rsidTr="00E033CB">
        <w:tc>
          <w:tcPr>
            <w:tcW w:w="5000" w:type="pct"/>
            <w:gridSpan w:val="4"/>
          </w:tcPr>
          <w:p w:rsidR="00E033CB" w:rsidRPr="00005520" w:rsidRDefault="00E033CB" w:rsidP="00E033CB">
            <w:pPr>
              <w:jc w:val="both"/>
              <w:rPr>
                <w:sz w:val="20"/>
                <w:szCs w:val="20"/>
                <w:lang w:val="fr-CA"/>
              </w:rPr>
            </w:pPr>
            <w:r w:rsidRPr="00005520">
              <w:rPr>
                <w:sz w:val="20"/>
                <w:szCs w:val="20"/>
                <w:lang w:val="fr-CA"/>
              </w:rPr>
              <w:t>Assurance – Assurance-invalidité – Délai de prescription – Vu l’obligation de bonne foi que les assureurs ont envers les assurés, les assureurs ont-ils l’obligation d’informer les assurés du délai de prescription dans un contrat d’assurance-invalidité de consommation lorsqu’ils cessent de verser des prestations?</w:t>
            </w:r>
          </w:p>
        </w:tc>
      </w:tr>
      <w:tr w:rsidR="00E033CB" w:rsidRPr="0096343C" w:rsidTr="00E033CB">
        <w:tc>
          <w:tcPr>
            <w:tcW w:w="5000" w:type="pct"/>
            <w:gridSpan w:val="4"/>
          </w:tcPr>
          <w:p w:rsidR="00E033CB" w:rsidRPr="00005520" w:rsidRDefault="00E033CB" w:rsidP="00E033CB">
            <w:pPr>
              <w:jc w:val="both"/>
              <w:rPr>
                <w:sz w:val="20"/>
                <w:szCs w:val="20"/>
                <w:lang w:val="fr-CA"/>
              </w:rPr>
            </w:pPr>
          </w:p>
          <w:p w:rsidR="00E033CB" w:rsidRPr="00005520" w:rsidRDefault="00E033CB" w:rsidP="00E033CB">
            <w:pPr>
              <w:jc w:val="both"/>
              <w:rPr>
                <w:sz w:val="20"/>
                <w:szCs w:val="20"/>
                <w:lang w:val="fr-CA"/>
              </w:rPr>
            </w:pPr>
            <w:r w:rsidRPr="00005520">
              <w:rPr>
                <w:sz w:val="20"/>
                <w:szCs w:val="20"/>
                <w:lang w:val="fr-CA"/>
              </w:rPr>
              <w:t>Fadil Usanovic a souscrit un contrat d’assurance de l’assureur, la Compagnie d’Assurance-Vie Penncorp. Le contrat l’assurait contre l’invalidité découlant d’accidents et de maladies. En septembre 2007, M. Usanovic est tombé d’un toit pendant qu’il travaillait et il a subi de graves blessures. Il a reçu des prestations d’invalidité jusqu’en novembre 2011, lorsque Penncorp a cessé de lui verser des prestations, puisqu’il ne souffrait plus d’[</w:t>
            </w:r>
            <w:r w:rsidRPr="00005520">
              <w:rPr>
                <w:smallCaps/>
                <w:sz w:val="20"/>
                <w:szCs w:val="20"/>
                <w:lang w:val="fr-CA"/>
              </w:rPr>
              <w:t>traduction</w:t>
            </w:r>
            <w:r w:rsidRPr="00005520">
              <w:rPr>
                <w:sz w:val="20"/>
                <w:szCs w:val="20"/>
                <w:lang w:val="fr-CA"/>
              </w:rPr>
              <w:t>] « invalidité totale », au sens du contrat. Le 12 janvier 2012, l’avocat de Penncorp a écrit à M. Usanovic, lui expliquant qu’il n’avait pas le droit de recevoir d’autres prestations à moins d’être incapable d’exercer tout travail qu’il était raisonnablement apte à exercer eu égard à sa scolarité, à sa formation et à son expérience. Dans cette lettre, l’avocat ajoutait que si M. Usanovic était en désaccord avec cette décision, il lui était loisible de présenter, dans les soixante jours, des pièces justificatives médicales supplémentaires au soutien de sa demande d’indemnisation. Monsieur Usanovic n’a pas présenté de pièces justificatives médicales supplémentaires en réponse. Au début de 2015, M. Usanovic a consulté un avocat qui lui a dit que l’introduction d’une action était l’objet d’un délai de prescription de deux ans. Selon M. Usanovic, si la compagnie d’assurance lui avait parlé du délai de prescription au moment de refuser sa demande d’indemnité, il aurait intenté une action avant. Il a intenté l’action en avril 2015, plus de deux ans après la cessation de ses prestations et la réception de la lettre de l’avocat de Penncorp. Penncorp a présenté une motion en vue d’obtenir un jugement sommaire sur ce fondement.</w:t>
            </w:r>
          </w:p>
          <w:p w:rsidR="00E033CB" w:rsidRPr="00005520" w:rsidRDefault="00E033CB" w:rsidP="00E033CB">
            <w:pPr>
              <w:jc w:val="both"/>
              <w:rPr>
                <w:sz w:val="20"/>
                <w:szCs w:val="20"/>
                <w:lang w:val="fr-CA"/>
              </w:rPr>
            </w:pPr>
          </w:p>
        </w:tc>
      </w:tr>
      <w:tr w:rsidR="00E033CB" w:rsidRPr="0096343C" w:rsidTr="00E033CB">
        <w:tc>
          <w:tcPr>
            <w:tcW w:w="5000" w:type="pct"/>
            <w:gridSpan w:val="4"/>
          </w:tcPr>
          <w:p w:rsidR="00E033CB" w:rsidRPr="00005520" w:rsidRDefault="00E033CB" w:rsidP="00E033CB">
            <w:pPr>
              <w:jc w:val="both"/>
              <w:rPr>
                <w:sz w:val="20"/>
                <w:szCs w:val="20"/>
                <w:lang w:val="fr-CA"/>
              </w:rPr>
            </w:pPr>
            <w:r w:rsidRPr="00005520">
              <w:rPr>
                <w:sz w:val="20"/>
                <w:szCs w:val="20"/>
                <w:lang w:val="fr-CA"/>
              </w:rPr>
              <w:t>La Cour supérieure de justice de l’Ontario a accueilli la motion de l’assureur en vue d’obtenir un jugement sommaire, rejetant l’action contre l’assureur pour cause de prescription. La Cour d’appel de l’Ontario a rejeté l’appel de M. Usanovic.</w:t>
            </w:r>
          </w:p>
          <w:p w:rsidR="00E033CB" w:rsidRPr="00005520" w:rsidRDefault="00E033CB" w:rsidP="00E033CB">
            <w:pPr>
              <w:jc w:val="both"/>
              <w:rPr>
                <w:sz w:val="20"/>
                <w:szCs w:val="20"/>
                <w:lang w:val="fr-CA"/>
              </w:rPr>
            </w:pPr>
          </w:p>
        </w:tc>
      </w:tr>
      <w:tr w:rsidR="00E033CB" w:rsidRPr="0096343C" w:rsidTr="00047CBB">
        <w:tblPrEx>
          <w:tblCellMar>
            <w:bottom w:w="0" w:type="dxa"/>
          </w:tblCellMar>
        </w:tblPrEx>
        <w:tc>
          <w:tcPr>
            <w:tcW w:w="2386" w:type="pct"/>
            <w:gridSpan w:val="2"/>
          </w:tcPr>
          <w:p w:rsidR="00E033CB" w:rsidRPr="00005520" w:rsidRDefault="00E033CB" w:rsidP="00E033CB">
            <w:pPr>
              <w:jc w:val="both"/>
              <w:rPr>
                <w:sz w:val="20"/>
                <w:szCs w:val="20"/>
                <w:lang w:val="fr-CA"/>
              </w:rPr>
            </w:pPr>
            <w:r w:rsidRPr="00005520">
              <w:rPr>
                <w:sz w:val="20"/>
                <w:szCs w:val="20"/>
                <w:lang w:val="fr-CA"/>
              </w:rPr>
              <w:t>15 juillet 2016</w:t>
            </w:r>
          </w:p>
          <w:p w:rsidR="00E033CB" w:rsidRPr="00005520" w:rsidRDefault="00E033CB" w:rsidP="00E033CB">
            <w:pPr>
              <w:jc w:val="both"/>
              <w:rPr>
                <w:sz w:val="20"/>
                <w:szCs w:val="20"/>
                <w:lang w:val="fr-CA"/>
              </w:rPr>
            </w:pPr>
            <w:r w:rsidRPr="00005520">
              <w:rPr>
                <w:sz w:val="20"/>
                <w:szCs w:val="20"/>
                <w:lang w:val="fr-CA"/>
              </w:rPr>
              <w:t>Cour supérieure justice de l’Ontario</w:t>
            </w:r>
          </w:p>
          <w:p w:rsidR="00E033CB" w:rsidRPr="00005520" w:rsidRDefault="00E033CB" w:rsidP="00E033CB">
            <w:pPr>
              <w:jc w:val="both"/>
              <w:rPr>
                <w:sz w:val="20"/>
                <w:szCs w:val="20"/>
                <w:lang w:val="fr-CA"/>
              </w:rPr>
            </w:pPr>
            <w:r w:rsidRPr="00005520">
              <w:rPr>
                <w:sz w:val="20"/>
                <w:szCs w:val="20"/>
                <w:lang w:val="fr-CA"/>
              </w:rPr>
              <w:t>(Juge Broad)</w:t>
            </w:r>
          </w:p>
          <w:p w:rsidR="00E033CB" w:rsidRPr="00005520" w:rsidRDefault="008D266B" w:rsidP="00E033CB">
            <w:pPr>
              <w:jc w:val="both"/>
              <w:rPr>
                <w:sz w:val="20"/>
                <w:szCs w:val="20"/>
                <w:lang w:val="fr-CA"/>
              </w:rPr>
            </w:pPr>
            <w:hyperlink r:id="rId57" w:history="1">
              <w:r w:rsidR="00E033CB" w:rsidRPr="00005520">
                <w:rPr>
                  <w:rStyle w:val="Hyperlink"/>
                  <w:sz w:val="20"/>
                  <w:szCs w:val="20"/>
                  <w:lang w:val="fr-CA"/>
                </w:rPr>
                <w:t>2016 ONSC 4624</w:t>
              </w:r>
            </w:hyperlink>
          </w:p>
          <w:p w:rsidR="00E033CB" w:rsidRPr="00005520" w:rsidRDefault="00E033CB" w:rsidP="00E033CB">
            <w:pPr>
              <w:jc w:val="both"/>
              <w:rPr>
                <w:sz w:val="20"/>
                <w:szCs w:val="20"/>
                <w:lang w:val="fr-CA"/>
              </w:rPr>
            </w:pPr>
          </w:p>
        </w:tc>
        <w:tc>
          <w:tcPr>
            <w:tcW w:w="269" w:type="pct"/>
          </w:tcPr>
          <w:p w:rsidR="00E033CB" w:rsidRPr="00005520" w:rsidRDefault="00E033CB" w:rsidP="00E033CB">
            <w:pPr>
              <w:jc w:val="both"/>
              <w:rPr>
                <w:sz w:val="20"/>
                <w:szCs w:val="20"/>
                <w:lang w:val="fr-CA"/>
              </w:rPr>
            </w:pPr>
          </w:p>
        </w:tc>
        <w:tc>
          <w:tcPr>
            <w:tcW w:w="2345" w:type="pct"/>
          </w:tcPr>
          <w:p w:rsidR="00E033CB" w:rsidRPr="00005520" w:rsidRDefault="00E033CB" w:rsidP="00E033CB">
            <w:pPr>
              <w:jc w:val="both"/>
              <w:rPr>
                <w:sz w:val="20"/>
                <w:szCs w:val="20"/>
                <w:lang w:val="fr-CA"/>
              </w:rPr>
            </w:pPr>
            <w:r w:rsidRPr="00005520">
              <w:rPr>
                <w:sz w:val="20"/>
                <w:szCs w:val="20"/>
                <w:lang w:val="fr-CA"/>
              </w:rPr>
              <w:t>Jugement accueillant la motion de l’intimée en vue d’obtenir un jugement sommaire et rejetant l’action du demandeur</w:t>
            </w:r>
          </w:p>
          <w:p w:rsidR="00E033CB" w:rsidRPr="00005520" w:rsidRDefault="00E033CB" w:rsidP="00E033CB">
            <w:pPr>
              <w:jc w:val="both"/>
              <w:rPr>
                <w:sz w:val="20"/>
                <w:szCs w:val="20"/>
                <w:lang w:val="fr-CA"/>
              </w:rPr>
            </w:pPr>
          </w:p>
        </w:tc>
      </w:tr>
      <w:tr w:rsidR="00E033CB" w:rsidRPr="0096343C" w:rsidTr="00047CBB">
        <w:tblPrEx>
          <w:tblCellMar>
            <w:bottom w:w="0" w:type="dxa"/>
          </w:tblCellMar>
        </w:tblPrEx>
        <w:tc>
          <w:tcPr>
            <w:tcW w:w="2386" w:type="pct"/>
            <w:gridSpan w:val="2"/>
          </w:tcPr>
          <w:p w:rsidR="00E033CB" w:rsidRPr="00005520" w:rsidRDefault="00E033CB" w:rsidP="00E033CB">
            <w:pPr>
              <w:jc w:val="both"/>
              <w:rPr>
                <w:sz w:val="20"/>
                <w:szCs w:val="20"/>
                <w:lang w:val="fr-CA"/>
              </w:rPr>
            </w:pPr>
            <w:r w:rsidRPr="00005520">
              <w:rPr>
                <w:sz w:val="20"/>
                <w:szCs w:val="20"/>
                <w:lang w:val="fr-CA"/>
              </w:rPr>
              <w:t>18 mai 2017</w:t>
            </w:r>
          </w:p>
          <w:p w:rsidR="00E033CB" w:rsidRPr="00005520" w:rsidRDefault="00E033CB" w:rsidP="00E033CB">
            <w:pPr>
              <w:jc w:val="both"/>
              <w:rPr>
                <w:sz w:val="20"/>
                <w:szCs w:val="20"/>
                <w:lang w:val="fr-CA"/>
              </w:rPr>
            </w:pPr>
            <w:r w:rsidRPr="00005520">
              <w:rPr>
                <w:sz w:val="20"/>
                <w:szCs w:val="20"/>
                <w:lang w:val="fr-CA"/>
              </w:rPr>
              <w:t>Cour d’appel de l’Ontario</w:t>
            </w:r>
          </w:p>
          <w:p w:rsidR="00E033CB" w:rsidRPr="00005520" w:rsidRDefault="00E033CB" w:rsidP="00E033CB">
            <w:pPr>
              <w:jc w:val="both"/>
              <w:rPr>
                <w:sz w:val="20"/>
                <w:szCs w:val="20"/>
                <w:lang w:val="fr-CA"/>
              </w:rPr>
            </w:pPr>
            <w:r w:rsidRPr="00005520">
              <w:rPr>
                <w:sz w:val="20"/>
                <w:szCs w:val="20"/>
                <w:lang w:val="fr-CA"/>
              </w:rPr>
              <w:t>(Juge en chef Strathy, juges Laskin et Trotter)</w:t>
            </w:r>
          </w:p>
          <w:p w:rsidR="00E033CB" w:rsidRPr="00005520" w:rsidRDefault="008D266B" w:rsidP="00E033CB">
            <w:pPr>
              <w:jc w:val="both"/>
              <w:rPr>
                <w:sz w:val="20"/>
                <w:szCs w:val="20"/>
                <w:lang w:val="fr-CA"/>
              </w:rPr>
            </w:pPr>
            <w:hyperlink r:id="rId58" w:history="1">
              <w:r w:rsidR="00E033CB" w:rsidRPr="00005520">
                <w:rPr>
                  <w:rStyle w:val="Hyperlink"/>
                  <w:sz w:val="20"/>
                  <w:szCs w:val="20"/>
                  <w:lang w:val="fr-CA"/>
                </w:rPr>
                <w:t>2017 ONCA 395</w:t>
              </w:r>
            </w:hyperlink>
            <w:r w:rsidR="00E033CB" w:rsidRPr="00005520">
              <w:rPr>
                <w:sz w:val="20"/>
                <w:szCs w:val="20"/>
                <w:lang w:val="fr-CA"/>
              </w:rPr>
              <w:t xml:space="preserve"> </w:t>
            </w:r>
          </w:p>
          <w:p w:rsidR="00E033CB" w:rsidRPr="00005520" w:rsidRDefault="00E033CB" w:rsidP="00E033CB">
            <w:pPr>
              <w:jc w:val="both"/>
              <w:rPr>
                <w:sz w:val="20"/>
                <w:szCs w:val="20"/>
                <w:lang w:val="fr-CA"/>
              </w:rPr>
            </w:pPr>
          </w:p>
        </w:tc>
        <w:tc>
          <w:tcPr>
            <w:tcW w:w="269" w:type="pct"/>
          </w:tcPr>
          <w:p w:rsidR="00E033CB" w:rsidRPr="00005520" w:rsidRDefault="00E033CB" w:rsidP="00E033CB">
            <w:pPr>
              <w:jc w:val="both"/>
              <w:rPr>
                <w:sz w:val="20"/>
                <w:szCs w:val="20"/>
                <w:lang w:val="fr-CA"/>
              </w:rPr>
            </w:pPr>
          </w:p>
        </w:tc>
        <w:tc>
          <w:tcPr>
            <w:tcW w:w="2345" w:type="pct"/>
          </w:tcPr>
          <w:p w:rsidR="00E033CB" w:rsidRPr="00005520" w:rsidRDefault="00E033CB" w:rsidP="00E033CB">
            <w:pPr>
              <w:jc w:val="both"/>
              <w:rPr>
                <w:sz w:val="20"/>
                <w:szCs w:val="20"/>
                <w:lang w:val="fr-CA"/>
              </w:rPr>
            </w:pPr>
            <w:r w:rsidRPr="00005520">
              <w:rPr>
                <w:sz w:val="20"/>
                <w:szCs w:val="20"/>
                <w:lang w:val="fr-CA"/>
              </w:rPr>
              <w:t>Rejet de l’appel du demandeur.</w:t>
            </w:r>
          </w:p>
          <w:p w:rsidR="00E033CB" w:rsidRPr="00005520" w:rsidRDefault="00E033CB" w:rsidP="00E033CB">
            <w:pPr>
              <w:jc w:val="both"/>
              <w:rPr>
                <w:sz w:val="20"/>
                <w:szCs w:val="20"/>
                <w:lang w:val="fr-CA"/>
              </w:rPr>
            </w:pPr>
          </w:p>
        </w:tc>
      </w:tr>
      <w:tr w:rsidR="00E033CB" w:rsidRPr="0096343C" w:rsidTr="00047CBB">
        <w:tblPrEx>
          <w:tblCellMar>
            <w:bottom w:w="0" w:type="dxa"/>
          </w:tblCellMar>
        </w:tblPrEx>
        <w:tc>
          <w:tcPr>
            <w:tcW w:w="2386" w:type="pct"/>
            <w:gridSpan w:val="2"/>
          </w:tcPr>
          <w:p w:rsidR="00E033CB" w:rsidRPr="00005520" w:rsidRDefault="00E033CB" w:rsidP="0074616E">
            <w:pPr>
              <w:rPr>
                <w:sz w:val="20"/>
                <w:szCs w:val="20"/>
                <w:lang w:val="fr-CA"/>
              </w:rPr>
            </w:pPr>
            <w:r w:rsidRPr="00005520">
              <w:rPr>
                <w:sz w:val="20"/>
                <w:szCs w:val="20"/>
                <w:lang w:val="fr-CA"/>
              </w:rPr>
              <w:t>15 août 2017</w:t>
            </w:r>
          </w:p>
          <w:p w:rsidR="00E033CB" w:rsidRPr="00005520" w:rsidRDefault="00E033CB" w:rsidP="0074616E">
            <w:pPr>
              <w:rPr>
                <w:sz w:val="20"/>
                <w:szCs w:val="20"/>
                <w:lang w:val="fr-CA"/>
              </w:rPr>
            </w:pPr>
            <w:r w:rsidRPr="00005520">
              <w:rPr>
                <w:sz w:val="20"/>
                <w:szCs w:val="20"/>
                <w:lang w:val="fr-CA"/>
              </w:rPr>
              <w:t>Cour suprême du Canada</w:t>
            </w:r>
          </w:p>
        </w:tc>
        <w:tc>
          <w:tcPr>
            <w:tcW w:w="269" w:type="pct"/>
          </w:tcPr>
          <w:p w:rsidR="00E033CB" w:rsidRPr="00005520" w:rsidRDefault="00E033CB" w:rsidP="0074616E">
            <w:pPr>
              <w:rPr>
                <w:sz w:val="20"/>
                <w:szCs w:val="20"/>
                <w:lang w:val="fr-CA"/>
              </w:rPr>
            </w:pPr>
          </w:p>
        </w:tc>
        <w:tc>
          <w:tcPr>
            <w:tcW w:w="2345" w:type="pct"/>
          </w:tcPr>
          <w:p w:rsidR="00E033CB" w:rsidRPr="00005520" w:rsidRDefault="00E033CB" w:rsidP="0074616E">
            <w:pPr>
              <w:rPr>
                <w:sz w:val="20"/>
                <w:szCs w:val="20"/>
                <w:lang w:val="fr-CA"/>
              </w:rPr>
            </w:pPr>
            <w:r w:rsidRPr="00005520">
              <w:rPr>
                <w:sz w:val="20"/>
                <w:szCs w:val="20"/>
                <w:lang w:val="fr-CA"/>
              </w:rPr>
              <w:t>Dépôt de la demande d’autorisation d’appel.</w:t>
            </w:r>
          </w:p>
        </w:tc>
      </w:tr>
    </w:tbl>
    <w:p w:rsidR="00E8544A" w:rsidRPr="00E033CB" w:rsidRDefault="00E8544A" w:rsidP="00E8544A">
      <w:pPr>
        <w:jc w:val="both"/>
        <w:rPr>
          <w:sz w:val="20"/>
          <w:lang w:val="fr-CA"/>
        </w:rPr>
      </w:pPr>
    </w:p>
    <w:p w:rsidR="00E8544A" w:rsidRPr="009D287C" w:rsidRDefault="008D266B" w:rsidP="00E8544A">
      <w:pPr>
        <w:jc w:val="both"/>
        <w:rPr>
          <w:sz w:val="20"/>
          <w:lang w:val="fr-CA"/>
        </w:rPr>
      </w:pPr>
      <w:r>
        <w:rPr>
          <w:sz w:val="20"/>
          <w:szCs w:val="20"/>
        </w:rPr>
        <w:pict>
          <v:rect id="_x0000_i1062" style="width:2in;height:1pt" o:hrpct="0" o:hralign="center" o:hrstd="t" o:hrnoshade="t" o:hr="t" fillcolor="black" stroked="f"/>
        </w:pict>
      </w:r>
    </w:p>
    <w:p w:rsidR="00E8544A" w:rsidRPr="009D287C" w:rsidRDefault="00E8544A" w:rsidP="00E8544A">
      <w:pPr>
        <w:ind w:left="360" w:hanging="360"/>
        <w:jc w:val="both"/>
        <w:rPr>
          <w:sz w:val="20"/>
          <w:lang w:val="fr-CA" w:eastAsia="en-CA"/>
        </w:rPr>
      </w:pPr>
    </w:p>
    <w:p w:rsidR="00E8544A" w:rsidRDefault="00E8544A" w:rsidP="000E2959">
      <w:pPr>
        <w:rPr>
          <w:sz w:val="20"/>
          <w:szCs w:val="20"/>
        </w:rPr>
      </w:pPr>
    </w:p>
    <w:p w:rsidR="008D292F" w:rsidRPr="00C50A5C" w:rsidRDefault="008D292F" w:rsidP="008D292F">
      <w:pPr>
        <w:rPr>
          <w:sz w:val="20"/>
          <w:szCs w:val="20"/>
          <w:lang w:val="fr-CA"/>
        </w:rPr>
      </w:pP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59"/>
          <w:headerReference w:type="default" r:id="rId60"/>
          <w:footerReference w:type="even" r:id="rId61"/>
          <w:footerReference w:type="default" r:id="rId62"/>
          <w:headerReference w:type="first" r:id="rId63"/>
          <w:footerReference w:type="first" r:id="rId64"/>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F6EEC" w:rsidRPr="0096343C" w:rsidTr="0085476B">
        <w:tc>
          <w:tcPr>
            <w:tcW w:w="4200" w:type="dxa"/>
            <w:tcMar>
              <w:left w:w="0" w:type="dxa"/>
              <w:right w:w="0" w:type="dxa"/>
            </w:tcMar>
          </w:tcPr>
          <w:p w:rsidR="00FF6EEC" w:rsidRPr="00C1697B" w:rsidRDefault="00FF6EEC" w:rsidP="0085476B">
            <w:pPr>
              <w:keepNext/>
              <w:keepLines/>
              <w:tabs>
                <w:tab w:val="left" w:pos="-1440"/>
                <w:tab w:val="left" w:pos="-720"/>
              </w:tabs>
              <w:rPr>
                <w:b/>
                <w:szCs w:val="24"/>
              </w:rPr>
            </w:pPr>
            <w:r w:rsidRPr="00C1697B">
              <w:rPr>
                <w:b/>
                <w:szCs w:val="24"/>
              </w:rPr>
              <w:lastRenderedPageBreak/>
              <w:t>PRONOUNCEMENTS OF APPEALS</w:t>
            </w:r>
            <w:r w:rsidR="0085476B">
              <w:rPr>
                <w:b/>
                <w:szCs w:val="24"/>
              </w:rPr>
              <w:t xml:space="preserve"> </w:t>
            </w:r>
            <w:r w:rsidRPr="00C1697B">
              <w:rPr>
                <w:b/>
                <w:szCs w:val="24"/>
              </w:rPr>
              <w:t>RESERVED</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C1697B">
              <w:rPr>
                <w:b/>
                <w:szCs w:val="24"/>
              </w:rPr>
              <w:t>Reasons for judgment are available</w:t>
            </w:r>
          </w:p>
        </w:tc>
        <w:tc>
          <w:tcPr>
            <w:tcW w:w="1200" w:type="dxa"/>
            <w:tcMar>
              <w:left w:w="0" w:type="dxa"/>
              <w:right w:w="0" w:type="dxa"/>
            </w:tcMar>
          </w:tcPr>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C1697B" w:rsidRDefault="00FF6EEC" w:rsidP="00FF6EEC">
            <w:pPr>
              <w:keepNext/>
              <w:keepLines/>
              <w:tabs>
                <w:tab w:val="left" w:pos="-1440"/>
                <w:tab w:val="left" w:pos="-720"/>
              </w:tabs>
              <w:rPr>
                <w:b/>
                <w:szCs w:val="24"/>
                <w:lang w:val="fr-CA"/>
              </w:rPr>
            </w:pPr>
            <w:r w:rsidRPr="00C1697B">
              <w:rPr>
                <w:b/>
                <w:szCs w:val="24"/>
                <w:lang w:val="fr-CA"/>
              </w:rPr>
              <w:t>JUGEMENTS RENDUS SUR LES APPELS EN DÉLIBÉRÉ</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C1697B"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1697B">
              <w:rPr>
                <w:b/>
                <w:szCs w:val="24"/>
                <w:lang w:val="fr-CA"/>
              </w:rPr>
              <w:t>Les motifs de jugement sont disponibles</w:t>
            </w:r>
          </w:p>
        </w:tc>
      </w:tr>
    </w:tbl>
    <w:p w:rsidR="00FF6EEC" w:rsidRPr="003B3977" w:rsidRDefault="00FF6EEC" w:rsidP="00FF6EEC">
      <w:pPr>
        <w:rPr>
          <w:b/>
          <w:sz w:val="20"/>
          <w:szCs w:val="20"/>
          <w:lang w:val="fr-CA"/>
        </w:rPr>
      </w:pPr>
    </w:p>
    <w:p w:rsidR="0052229C" w:rsidRPr="007B5AF9" w:rsidRDefault="007B5AF9" w:rsidP="0052229C">
      <w:pPr>
        <w:rPr>
          <w:b/>
          <w:sz w:val="20"/>
          <w:szCs w:val="20"/>
          <w:lang w:val="en-US"/>
        </w:rPr>
      </w:pPr>
      <w:r>
        <w:rPr>
          <w:b/>
          <w:sz w:val="20"/>
          <w:szCs w:val="20"/>
          <w:lang w:val="en-US"/>
        </w:rPr>
        <w:t>DECEMBER 20</w:t>
      </w:r>
      <w:r w:rsidR="0052229C" w:rsidRPr="007B5AF9">
        <w:rPr>
          <w:b/>
          <w:sz w:val="20"/>
          <w:szCs w:val="20"/>
          <w:lang w:val="en-US"/>
        </w:rPr>
        <w:t>, 201</w:t>
      </w:r>
      <w:r w:rsidR="0056248C" w:rsidRPr="007B5AF9">
        <w:rPr>
          <w:b/>
          <w:sz w:val="20"/>
          <w:szCs w:val="20"/>
          <w:lang w:val="en-US"/>
        </w:rPr>
        <w:t>7</w:t>
      </w:r>
      <w:r w:rsidR="0052229C" w:rsidRPr="007B5AF9">
        <w:rPr>
          <w:b/>
          <w:sz w:val="20"/>
          <w:szCs w:val="20"/>
          <w:lang w:val="en-US"/>
        </w:rPr>
        <w:t xml:space="preserve"> / LE </w:t>
      </w:r>
      <w:r>
        <w:rPr>
          <w:b/>
          <w:sz w:val="20"/>
          <w:szCs w:val="20"/>
          <w:lang w:val="en-US"/>
        </w:rPr>
        <w:t>20 DÉCEMBRE</w:t>
      </w:r>
      <w:r w:rsidR="0052229C" w:rsidRPr="007B5AF9">
        <w:rPr>
          <w:b/>
          <w:sz w:val="20"/>
          <w:szCs w:val="20"/>
          <w:lang w:val="en-US"/>
        </w:rPr>
        <w:t xml:space="preserve"> 201</w:t>
      </w:r>
      <w:r w:rsidR="0056248C" w:rsidRPr="007B5AF9">
        <w:rPr>
          <w:b/>
          <w:sz w:val="20"/>
          <w:szCs w:val="20"/>
          <w:lang w:val="en-US"/>
        </w:rPr>
        <w:t>7</w:t>
      </w:r>
    </w:p>
    <w:p w:rsidR="0052229C" w:rsidRPr="007B5AF9" w:rsidRDefault="0052229C" w:rsidP="0052229C">
      <w:pPr>
        <w:rPr>
          <w:sz w:val="20"/>
          <w:szCs w:val="20"/>
          <w:lang w:val="en-US"/>
        </w:rPr>
      </w:pPr>
    </w:p>
    <w:p w:rsidR="007B5AF9" w:rsidRPr="001F7568" w:rsidRDefault="007B5AF9" w:rsidP="007B5AF9">
      <w:pPr>
        <w:ind w:left="1440" w:hanging="1440"/>
        <w:jc w:val="both"/>
        <w:rPr>
          <w:sz w:val="20"/>
          <w:szCs w:val="20"/>
        </w:rPr>
      </w:pPr>
      <w:r w:rsidRPr="001F7568">
        <w:rPr>
          <w:b/>
          <w:sz w:val="20"/>
          <w:szCs w:val="20"/>
        </w:rPr>
        <w:fldChar w:fldCharType="begin"/>
      </w:r>
      <w:r w:rsidRPr="001F7568">
        <w:rPr>
          <w:b/>
          <w:sz w:val="20"/>
          <w:szCs w:val="20"/>
        </w:rPr>
        <w:instrText xml:space="preserve"> SEQ CHAPTER \h \r 1</w:instrText>
      </w:r>
      <w:r w:rsidRPr="001F7568">
        <w:rPr>
          <w:b/>
          <w:sz w:val="20"/>
          <w:szCs w:val="20"/>
        </w:rPr>
        <w:fldChar w:fldCharType="end"/>
      </w:r>
      <w:r w:rsidRPr="001F7568">
        <w:rPr>
          <w:b/>
          <w:sz w:val="20"/>
          <w:szCs w:val="20"/>
        </w:rPr>
        <w:t>36875</w:t>
      </w:r>
      <w:r w:rsidRPr="001F7568">
        <w:rPr>
          <w:color w:val="FF0000"/>
          <w:sz w:val="20"/>
          <w:szCs w:val="20"/>
        </w:rPr>
        <w:tab/>
      </w:r>
      <w:r w:rsidRPr="001F7568">
        <w:rPr>
          <w:b/>
          <w:iCs/>
          <w:sz w:val="20"/>
          <w:szCs w:val="20"/>
          <w:u w:val="single"/>
        </w:rPr>
        <w:t>Deloitte &amp; Touche (now continued as Deloitte LLP) v. Livent Inc., through its special receiver and manager Roman Doroniuk – and – Canadian Coalition for Good Governance and Chartered Professional Accountants of Canada</w:t>
      </w:r>
      <w:r w:rsidRPr="001F7568">
        <w:rPr>
          <w:iCs/>
          <w:sz w:val="20"/>
          <w:szCs w:val="20"/>
        </w:rPr>
        <w:t xml:space="preserve"> (Ont.)</w:t>
      </w:r>
    </w:p>
    <w:p w:rsidR="007B5AF9" w:rsidRPr="001F7568" w:rsidRDefault="007B5AF9" w:rsidP="007B5AF9">
      <w:pPr>
        <w:tabs>
          <w:tab w:val="left" w:pos="1440"/>
          <w:tab w:val="left" w:pos="2160"/>
          <w:tab w:val="left" w:pos="2880"/>
          <w:tab w:val="left" w:pos="3600"/>
          <w:tab w:val="left" w:pos="4320"/>
          <w:tab w:val="left" w:pos="5040"/>
          <w:tab w:val="left" w:pos="5760"/>
          <w:tab w:val="left" w:pos="6480"/>
          <w:tab w:val="left" w:pos="7200"/>
        </w:tabs>
        <w:ind w:left="1440"/>
        <w:jc w:val="both"/>
        <w:rPr>
          <w:sz w:val="20"/>
          <w:szCs w:val="20"/>
        </w:rPr>
      </w:pPr>
      <w:r w:rsidRPr="001F7568">
        <w:rPr>
          <w:b/>
          <w:sz w:val="20"/>
          <w:szCs w:val="20"/>
        </w:rPr>
        <w:t>2017 SCC 63 / 2017 CSC 63</w:t>
      </w:r>
    </w:p>
    <w:p w:rsidR="007B5AF9" w:rsidRPr="001F7568" w:rsidRDefault="007B5AF9" w:rsidP="007B5AF9">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szCs w:val="20"/>
        </w:rPr>
      </w:pPr>
    </w:p>
    <w:p w:rsidR="007B5AF9" w:rsidRPr="001F7568" w:rsidRDefault="007B5AF9" w:rsidP="007B5AF9">
      <w:pPr>
        <w:ind w:left="1440" w:hanging="1440"/>
        <w:jc w:val="both"/>
        <w:rPr>
          <w:sz w:val="20"/>
          <w:szCs w:val="20"/>
        </w:rPr>
      </w:pPr>
      <w:r w:rsidRPr="001F7568">
        <w:rPr>
          <w:sz w:val="20"/>
          <w:szCs w:val="20"/>
        </w:rPr>
        <w:t>Coram:</w:t>
      </w:r>
      <w:r w:rsidRPr="001F7568">
        <w:rPr>
          <w:sz w:val="20"/>
          <w:szCs w:val="20"/>
        </w:rPr>
        <w:tab/>
      </w:r>
      <w:r w:rsidRPr="001F7568">
        <w:rPr>
          <w:sz w:val="20"/>
          <w:szCs w:val="20"/>
          <w:u w:val="single"/>
        </w:rPr>
        <w:t>McLachlin C.J. and Karakatsanis, Wagner, Gascon, Côté, Brown and Rowe JJ.</w:t>
      </w:r>
    </w:p>
    <w:p w:rsidR="007B5AF9" w:rsidRPr="001F7568" w:rsidRDefault="007B5AF9" w:rsidP="007B5AF9">
      <w:pPr>
        <w:jc w:val="both"/>
        <w:rPr>
          <w:sz w:val="20"/>
          <w:szCs w:val="20"/>
        </w:rPr>
      </w:pPr>
    </w:p>
    <w:p w:rsidR="007B5AF9" w:rsidRPr="001F7568" w:rsidRDefault="007B5AF9" w:rsidP="007B5AF9">
      <w:pPr>
        <w:jc w:val="both"/>
        <w:rPr>
          <w:sz w:val="20"/>
          <w:szCs w:val="20"/>
        </w:rPr>
      </w:pPr>
      <w:r w:rsidRPr="001F7568">
        <w:rPr>
          <w:sz w:val="20"/>
          <w:szCs w:val="20"/>
        </w:rPr>
        <w:t xml:space="preserve">The appeal from the judgment of the Court of Appeal for Ontario, Number C58659, 2016 ONCA 11, dated January 8, 2016, heard on February 15, 2017, is allowed in part. The amount of the trial award is reduced from $84,750,000 to $40,425,000. Livent Inc. shall have its costs throughout. </w:t>
      </w:r>
    </w:p>
    <w:p w:rsidR="007B5AF9" w:rsidRPr="001F7568" w:rsidRDefault="007B5AF9" w:rsidP="007B5AF9">
      <w:pPr>
        <w:jc w:val="both"/>
        <w:rPr>
          <w:sz w:val="20"/>
          <w:szCs w:val="20"/>
          <w:lang w:val="fr-CA"/>
        </w:rPr>
      </w:pPr>
      <w:r w:rsidRPr="001F7568">
        <w:rPr>
          <w:sz w:val="20"/>
          <w:szCs w:val="20"/>
        </w:rPr>
        <w:t xml:space="preserve">McLachlin C.J. and Wagner and Côté JJ.  </w:t>
      </w:r>
      <w:r w:rsidRPr="001F7568">
        <w:rPr>
          <w:sz w:val="20"/>
          <w:szCs w:val="20"/>
          <w:lang w:val="fr-CA"/>
        </w:rPr>
        <w:t>dissent in part.</w:t>
      </w:r>
    </w:p>
    <w:p w:rsidR="007B5AF9" w:rsidRPr="001F7568" w:rsidRDefault="007B5AF9" w:rsidP="007B5AF9">
      <w:pPr>
        <w:jc w:val="both"/>
        <w:rPr>
          <w:sz w:val="20"/>
          <w:szCs w:val="20"/>
          <w:lang w:val="fr-CA"/>
        </w:rPr>
      </w:pPr>
    </w:p>
    <w:p w:rsidR="007B5AF9" w:rsidRPr="001F7568" w:rsidRDefault="007B5AF9" w:rsidP="007B5AF9">
      <w:pPr>
        <w:jc w:val="both"/>
        <w:rPr>
          <w:sz w:val="20"/>
          <w:szCs w:val="20"/>
          <w:lang w:val="fr-CA"/>
        </w:rPr>
      </w:pPr>
      <w:r w:rsidRPr="001F7568">
        <w:rPr>
          <w:sz w:val="20"/>
          <w:szCs w:val="20"/>
          <w:lang w:val="fr-CA"/>
        </w:rPr>
        <w:t>L’appel interjeté contre l’arrêt de la Cour d’appel de l’Ontario, numéro C58659, 2016 ONCA 11, daté du 8 janvier 2016, entendu le 15 février 2017, est accueilli en partie. La somme de 84 750 000 dollars accordée en première instance est réduite à 40 425 000 dollars. Livent Inc. a droit à ses dépens dans toutes les cours. La juge en chef McLachlin et les juges Wagner et Côté sont dissidents en partie.</w:t>
      </w:r>
    </w:p>
    <w:p w:rsidR="006B5FC0" w:rsidRPr="007B5AF9" w:rsidRDefault="006B5FC0" w:rsidP="0052229C">
      <w:pPr>
        <w:spacing w:line="0" w:lineRule="atLeast"/>
        <w:rPr>
          <w:sz w:val="20"/>
          <w:szCs w:val="20"/>
          <w:lang w:val="fr-CA"/>
        </w:rPr>
      </w:pPr>
    </w:p>
    <w:p w:rsidR="0052229C" w:rsidRPr="006B5FC0" w:rsidRDefault="008D266B" w:rsidP="0052229C">
      <w:pPr>
        <w:spacing w:line="0" w:lineRule="atLeast"/>
        <w:rPr>
          <w:sz w:val="20"/>
          <w:szCs w:val="20"/>
        </w:rPr>
      </w:pPr>
      <w:r>
        <w:rPr>
          <w:sz w:val="20"/>
          <w:szCs w:val="20"/>
        </w:rPr>
        <w:pict>
          <v:rect id="_x0000_i1065" style="width:144.3pt;height:1pt" o:hrpct="300" o:hralign="center" o:hrstd="t" o:hrnoshade="t" o:hr="t" fillcolor="black [3213]" stroked="f"/>
        </w:pict>
      </w:r>
    </w:p>
    <w:p w:rsidR="0052229C" w:rsidRPr="006B5FC0" w:rsidRDefault="0052229C" w:rsidP="0052229C">
      <w:pPr>
        <w:spacing w:line="0" w:lineRule="atLeast"/>
        <w:rPr>
          <w:sz w:val="20"/>
          <w:szCs w:val="20"/>
        </w:rPr>
      </w:pPr>
    </w:p>
    <w:p w:rsidR="0052229C" w:rsidRPr="00A84883" w:rsidRDefault="007B5AF9" w:rsidP="0052229C">
      <w:pPr>
        <w:rPr>
          <w:b/>
          <w:sz w:val="20"/>
          <w:szCs w:val="20"/>
        </w:rPr>
      </w:pPr>
      <w:r>
        <w:rPr>
          <w:b/>
          <w:sz w:val="20"/>
          <w:szCs w:val="20"/>
        </w:rPr>
        <w:t>DECEMBER 21</w:t>
      </w:r>
      <w:r w:rsidR="0052229C" w:rsidRPr="00A84883">
        <w:rPr>
          <w:b/>
          <w:sz w:val="20"/>
          <w:szCs w:val="20"/>
        </w:rPr>
        <w:t>, 201</w:t>
      </w:r>
      <w:r>
        <w:rPr>
          <w:b/>
          <w:sz w:val="20"/>
          <w:szCs w:val="20"/>
        </w:rPr>
        <w:t>7</w:t>
      </w:r>
      <w:r w:rsidR="0052229C" w:rsidRPr="00A84883">
        <w:rPr>
          <w:b/>
          <w:sz w:val="20"/>
          <w:szCs w:val="20"/>
        </w:rPr>
        <w:t xml:space="preserve"> / LE </w:t>
      </w:r>
      <w:r>
        <w:rPr>
          <w:b/>
          <w:sz w:val="20"/>
          <w:szCs w:val="20"/>
        </w:rPr>
        <w:t>21 DÉCEMBRE</w:t>
      </w:r>
      <w:r w:rsidR="0052229C" w:rsidRPr="00A84883">
        <w:rPr>
          <w:b/>
          <w:sz w:val="20"/>
          <w:szCs w:val="20"/>
        </w:rPr>
        <w:t xml:space="preserve"> 201</w:t>
      </w:r>
      <w:r>
        <w:rPr>
          <w:b/>
          <w:sz w:val="20"/>
          <w:szCs w:val="20"/>
        </w:rPr>
        <w:t>7</w:t>
      </w:r>
    </w:p>
    <w:p w:rsidR="0052229C" w:rsidRPr="006B5FC0" w:rsidRDefault="0052229C" w:rsidP="0052229C">
      <w:pPr>
        <w:spacing w:line="0" w:lineRule="atLeast"/>
        <w:rPr>
          <w:rFonts w:cs="Times New Roman"/>
          <w:sz w:val="20"/>
          <w:szCs w:val="20"/>
        </w:rPr>
      </w:pPr>
    </w:p>
    <w:p w:rsidR="007B5AF9" w:rsidRPr="006907C4" w:rsidRDefault="007B5AF9" w:rsidP="007B5AF9">
      <w:pPr>
        <w:ind w:left="1440" w:hanging="1440"/>
        <w:jc w:val="both"/>
        <w:rPr>
          <w:sz w:val="20"/>
        </w:rPr>
      </w:pPr>
      <w:r w:rsidRPr="006907C4">
        <w:rPr>
          <w:b/>
          <w:sz w:val="20"/>
        </w:rPr>
        <w:fldChar w:fldCharType="begin"/>
      </w:r>
      <w:r w:rsidRPr="006907C4">
        <w:rPr>
          <w:b/>
          <w:sz w:val="20"/>
        </w:rPr>
        <w:instrText xml:space="preserve"> SEQ CHAPTER \h \r 1</w:instrText>
      </w:r>
      <w:r w:rsidRPr="006907C4">
        <w:rPr>
          <w:b/>
          <w:sz w:val="20"/>
        </w:rPr>
        <w:fldChar w:fldCharType="end"/>
      </w:r>
      <w:r w:rsidRPr="006907C4">
        <w:rPr>
          <w:b/>
          <w:sz w:val="20"/>
        </w:rPr>
        <w:t>37168</w:t>
      </w:r>
      <w:r w:rsidRPr="006907C4">
        <w:rPr>
          <w:color w:val="FF0000"/>
          <w:sz w:val="20"/>
        </w:rPr>
        <w:tab/>
      </w:r>
      <w:r w:rsidRPr="006907C4">
        <w:rPr>
          <w:b/>
          <w:sz w:val="20"/>
          <w:u w:val="single"/>
        </w:rPr>
        <w:t>Donald Joseph Boutilier v. Her Majesty the Queen – and - Attorney General of Canada, Attorney General of Ontario, Attorney General of Saskatchewan, Attorney General of Alberta, Criminal Lawyers’ Association of Ontario, Aboriginal Legal Services Inc. and Yukon Legal Services Society</w:t>
      </w:r>
      <w:r w:rsidRPr="006907C4">
        <w:rPr>
          <w:sz w:val="20"/>
        </w:rPr>
        <w:t xml:space="preserve"> </w:t>
      </w:r>
      <w:r w:rsidRPr="006907C4">
        <w:rPr>
          <w:iCs/>
          <w:sz w:val="20"/>
        </w:rPr>
        <w:t>(B.C.)</w:t>
      </w:r>
    </w:p>
    <w:p w:rsidR="007B5AF9" w:rsidRPr="006907C4" w:rsidRDefault="007B5AF9" w:rsidP="007B5AF9">
      <w:pPr>
        <w:tabs>
          <w:tab w:val="left" w:pos="1440"/>
          <w:tab w:val="left" w:pos="2160"/>
          <w:tab w:val="left" w:pos="2880"/>
          <w:tab w:val="left" w:pos="3600"/>
          <w:tab w:val="left" w:pos="4320"/>
          <w:tab w:val="left" w:pos="5040"/>
          <w:tab w:val="left" w:pos="5760"/>
          <w:tab w:val="left" w:pos="6480"/>
          <w:tab w:val="left" w:pos="7200"/>
        </w:tabs>
        <w:ind w:left="1440"/>
        <w:jc w:val="both"/>
        <w:rPr>
          <w:sz w:val="20"/>
        </w:rPr>
      </w:pPr>
      <w:r w:rsidRPr="006907C4">
        <w:rPr>
          <w:b/>
          <w:sz w:val="20"/>
        </w:rPr>
        <w:t>2017 SCC 64 / 2017 CSC 64</w:t>
      </w:r>
    </w:p>
    <w:p w:rsidR="007B5AF9" w:rsidRPr="006907C4" w:rsidRDefault="007B5AF9" w:rsidP="007B5AF9">
      <w:pPr>
        <w:ind w:left="1440" w:hanging="1440"/>
        <w:jc w:val="both"/>
        <w:rPr>
          <w:sz w:val="20"/>
        </w:rPr>
      </w:pPr>
    </w:p>
    <w:p w:rsidR="007B5AF9" w:rsidRPr="006907C4" w:rsidRDefault="007B5AF9" w:rsidP="007B5AF9">
      <w:pPr>
        <w:ind w:left="1440" w:hanging="1440"/>
        <w:rPr>
          <w:sz w:val="20"/>
        </w:rPr>
      </w:pPr>
      <w:r w:rsidRPr="006907C4">
        <w:rPr>
          <w:sz w:val="20"/>
        </w:rPr>
        <w:t>Coram:</w:t>
      </w:r>
      <w:r w:rsidRPr="006907C4">
        <w:rPr>
          <w:sz w:val="20"/>
        </w:rPr>
        <w:tab/>
      </w:r>
      <w:r w:rsidRPr="006907C4">
        <w:rPr>
          <w:sz w:val="20"/>
          <w:u w:val="single"/>
        </w:rPr>
        <w:t>McLachlin C.J. and Abella, Moldaver, Karakatsanis, Wagner, Gascon, Côté, Brown and Rowe JJ.</w:t>
      </w:r>
    </w:p>
    <w:p w:rsidR="007B5AF9" w:rsidRPr="006907C4" w:rsidRDefault="007B5AF9" w:rsidP="007B5AF9">
      <w:pPr>
        <w:jc w:val="both"/>
        <w:rPr>
          <w:sz w:val="20"/>
        </w:rPr>
      </w:pPr>
    </w:p>
    <w:p w:rsidR="007B5AF9" w:rsidRPr="006907C4" w:rsidRDefault="007B5AF9" w:rsidP="007B5AF9">
      <w:pPr>
        <w:jc w:val="both"/>
        <w:rPr>
          <w:sz w:val="20"/>
          <w:lang w:val="fr-CA"/>
        </w:rPr>
      </w:pPr>
      <w:r w:rsidRPr="006907C4">
        <w:rPr>
          <w:sz w:val="20"/>
        </w:rPr>
        <w:t xml:space="preserve">The appeal from the judgment of the Court of Appeal for British Columbia (Vancouver), Numbers CA42891 and CA42893, 2016 BCCA 235, dated June 2, 2016, heard on May 23, 2017, is  dismissed. Sections 753(1) and 753(4.1) of the </w:t>
      </w:r>
      <w:r w:rsidRPr="006907C4">
        <w:rPr>
          <w:i/>
          <w:sz w:val="20"/>
        </w:rPr>
        <w:t>Criminal Code</w:t>
      </w:r>
      <w:r w:rsidRPr="006907C4">
        <w:rPr>
          <w:sz w:val="20"/>
        </w:rPr>
        <w:t xml:space="preserve">, R.S.C. 1985, c. C-46, are constitutional. The sentencing judge did not err by sentencing the appellant to an indeterminate period of detention. </w:t>
      </w:r>
      <w:r w:rsidRPr="006907C4">
        <w:rPr>
          <w:sz w:val="20"/>
          <w:lang w:val="fr-CA"/>
        </w:rPr>
        <w:t>Karakatsanis J. dissents in part.</w:t>
      </w:r>
    </w:p>
    <w:p w:rsidR="007B5AF9" w:rsidRPr="006907C4" w:rsidRDefault="007B5AF9" w:rsidP="007B5AF9">
      <w:pPr>
        <w:jc w:val="both"/>
        <w:rPr>
          <w:sz w:val="20"/>
          <w:lang w:val="fr-CA"/>
        </w:rPr>
      </w:pPr>
    </w:p>
    <w:p w:rsidR="007B5AF9" w:rsidRPr="006907C4" w:rsidRDefault="007B5AF9" w:rsidP="007B5AF9">
      <w:pPr>
        <w:jc w:val="both"/>
        <w:rPr>
          <w:sz w:val="20"/>
          <w:lang w:val="fr-CA"/>
        </w:rPr>
      </w:pPr>
      <w:r w:rsidRPr="006907C4">
        <w:rPr>
          <w:sz w:val="20"/>
          <w:lang w:val="fr-CA"/>
        </w:rPr>
        <w:t xml:space="preserve">L’appel interjeté contre l’arrêt de la Cour d’appel de la Colombie-Britannique (Vancouver), numéros CA42891 et CA42893, 2016 BCCA 235, daté du 2 juin 2016, entendu le 23 mai 2017, est rejeté. Les paragraphes 753(1) et 753(4.1) du </w:t>
      </w:r>
      <w:r w:rsidRPr="006907C4">
        <w:rPr>
          <w:i/>
          <w:sz w:val="20"/>
          <w:lang w:val="fr-CA"/>
        </w:rPr>
        <w:t>Code criminel</w:t>
      </w:r>
      <w:r w:rsidRPr="006907C4">
        <w:rPr>
          <w:sz w:val="20"/>
          <w:lang w:val="fr-CA"/>
        </w:rPr>
        <w:t>, L.R.C. 1985, c. C-46, sont constitutionnels. Le juge de la peine n’a pas fait erreur en condamnant l’appelant à une peine de détention pour une période indéterminée. La juge Karakatsanis est dissidente en partie.</w:t>
      </w:r>
    </w:p>
    <w:p w:rsidR="00D004FC" w:rsidRPr="006B5FC0" w:rsidRDefault="00D004FC" w:rsidP="00D004FC">
      <w:pPr>
        <w:spacing w:line="0" w:lineRule="atLeast"/>
        <w:rPr>
          <w:rFonts w:cs="Times New Roman"/>
          <w:sz w:val="20"/>
          <w:szCs w:val="20"/>
          <w:lang w:val="fr-CA"/>
        </w:rPr>
      </w:pPr>
    </w:p>
    <w:p w:rsidR="00D004FC" w:rsidRDefault="008D266B" w:rsidP="00D004FC">
      <w:pPr>
        <w:jc w:val="both"/>
        <w:rPr>
          <w:rFonts w:cs="Times New Roman"/>
          <w:b/>
          <w:sz w:val="20"/>
          <w:szCs w:val="20"/>
        </w:rPr>
      </w:pPr>
      <w:r>
        <w:rPr>
          <w:rFonts w:cs="Times New Roman"/>
          <w:sz w:val="20"/>
          <w:szCs w:val="20"/>
        </w:rPr>
        <w:pict>
          <v:rect id="_x0000_i1066" style="width:144.3pt;height:1pt" o:hrpct="300" o:hralign="center" o:hrstd="t" o:hrnoshade="t" o:hr="t" fillcolor="black [3213]" stroked="f"/>
        </w:pict>
      </w:r>
    </w:p>
    <w:p w:rsidR="00D004FC" w:rsidRPr="00C00175" w:rsidRDefault="00D004FC" w:rsidP="00D004FC">
      <w:pPr>
        <w:jc w:val="both"/>
        <w:rPr>
          <w:rFonts w:cs="Times New Roman"/>
          <w:sz w:val="20"/>
          <w:szCs w:val="20"/>
        </w:rPr>
      </w:pPr>
    </w:p>
    <w:p w:rsidR="00D004FC" w:rsidRPr="006C5F7A" w:rsidRDefault="00D004FC"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732DB7" w:rsidRPr="00C50A5C" w:rsidRDefault="00732DB7" w:rsidP="00732DB7">
      <w:pPr>
        <w:widowControl w:val="0"/>
        <w:rPr>
          <w:sz w:val="20"/>
          <w:szCs w:val="20"/>
        </w:rPr>
      </w:pPr>
    </w:p>
    <w:p w:rsidR="00697C62" w:rsidRPr="00C50A5C" w:rsidRDefault="00697C62" w:rsidP="00732DB7">
      <w:pPr>
        <w:widowControl w:val="0"/>
        <w:rPr>
          <w:sz w:val="20"/>
          <w:szCs w:val="20"/>
        </w:rPr>
        <w:sectPr w:rsidR="00697C62" w:rsidRPr="00C50A5C" w:rsidSect="00782AE4">
          <w:headerReference w:type="even" r:id="rId65"/>
          <w:headerReference w:type="default" r:id="rId66"/>
          <w:footerReference w:type="even" r:id="rId67"/>
          <w:footerReference w:type="default" r:id="rId68"/>
          <w:headerReference w:type="first" r:id="rId69"/>
          <w:footerReference w:type="first" r:id="rId70"/>
          <w:pgSz w:w="12240" w:h="15840"/>
          <w:pgMar w:top="720" w:right="965" w:bottom="1080" w:left="1656" w:header="720" w:footer="960" w:gutter="0"/>
          <w:cols w:space="720"/>
          <w:titlePg/>
          <w:docGrid w:linePitch="326"/>
        </w:sectPr>
      </w:pPr>
    </w:p>
    <w:tbl>
      <w:tblPr>
        <w:tblW w:w="948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782AE4" w:rsidRPr="00C1697B" w:rsidTr="0085476B">
        <w:tc>
          <w:tcPr>
            <w:tcW w:w="4200" w:type="dxa"/>
            <w:tcMar>
              <w:left w:w="0" w:type="dxa"/>
              <w:right w:w="0" w:type="dxa"/>
            </w:tcMar>
          </w:tcPr>
          <w:p w:rsidR="00782AE4" w:rsidRPr="00C1697B" w:rsidRDefault="00782AE4" w:rsidP="00782AE4">
            <w:pPr>
              <w:keepNext/>
              <w:keepLines/>
              <w:jc w:val="both"/>
              <w:rPr>
                <w:b/>
                <w:szCs w:val="24"/>
              </w:rPr>
            </w:pPr>
            <w:r w:rsidRPr="00C1697B">
              <w:rPr>
                <w:b/>
                <w:szCs w:val="24"/>
              </w:rPr>
              <w:lastRenderedPageBreak/>
              <w:t>HEADNOTES OF RECENT</w:t>
            </w:r>
          </w:p>
          <w:p w:rsidR="00782AE4" w:rsidRPr="00C1697B" w:rsidRDefault="00782AE4" w:rsidP="00782AE4">
            <w:pPr>
              <w:keepNext/>
              <w:keepLines/>
              <w:jc w:val="both"/>
              <w:rPr>
                <w:b/>
                <w:szCs w:val="24"/>
              </w:rPr>
            </w:pPr>
            <w:r w:rsidRPr="00C1697B">
              <w:rPr>
                <w:b/>
                <w:szCs w:val="24"/>
              </w:rPr>
              <w:t>JUDGMENTS</w:t>
            </w:r>
          </w:p>
        </w:tc>
        <w:tc>
          <w:tcPr>
            <w:tcW w:w="1200" w:type="dxa"/>
            <w:tcMar>
              <w:left w:w="0" w:type="dxa"/>
              <w:right w:w="0" w:type="dxa"/>
            </w:tcMar>
          </w:tcPr>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tc>
        <w:tc>
          <w:tcPr>
            <w:tcW w:w="4080" w:type="dxa"/>
            <w:tcMar>
              <w:left w:w="0" w:type="dxa"/>
              <w:right w:w="0" w:type="dxa"/>
            </w:tcMar>
          </w:tcPr>
          <w:p w:rsidR="00782AE4" w:rsidRPr="00C1697B" w:rsidRDefault="00782AE4" w:rsidP="00782AE4">
            <w:pPr>
              <w:keepNext/>
              <w:keepLines/>
              <w:rPr>
                <w:b/>
                <w:szCs w:val="24"/>
              </w:rPr>
            </w:pPr>
            <w:r w:rsidRPr="00C1697B">
              <w:rPr>
                <w:b/>
                <w:szCs w:val="24"/>
              </w:rPr>
              <w:t>SOMMAIRES DE JUGEMENTS RÉCENTS</w:t>
            </w:r>
          </w:p>
        </w:tc>
      </w:tr>
    </w:tbl>
    <w:p w:rsidR="003B3977" w:rsidRPr="003B3977" w:rsidRDefault="003B3977" w:rsidP="005C6840">
      <w:pPr>
        <w:rPr>
          <w:rFonts w:cs="Times New Roman"/>
          <w:i/>
          <w:sz w:val="20"/>
          <w:szCs w:val="20"/>
        </w:rPr>
      </w:pPr>
    </w:p>
    <w:p w:rsidR="0052229C" w:rsidRPr="00A53023" w:rsidRDefault="00A53023" w:rsidP="0052229C">
      <w:pPr>
        <w:ind w:left="1440" w:hanging="1440"/>
        <w:jc w:val="both"/>
        <w:rPr>
          <w:sz w:val="20"/>
          <w:szCs w:val="20"/>
          <w:lang w:val="en-US"/>
        </w:rPr>
      </w:pPr>
      <w:r w:rsidRPr="00A53023">
        <w:rPr>
          <w:rFonts w:eastAsia="Calibri"/>
          <w:i/>
          <w:sz w:val="20"/>
          <w:szCs w:val="20"/>
          <w:lang w:val="en-US"/>
        </w:rPr>
        <w:t xml:space="preserve">Deloitte &amp; Touche (now continued as Deloitte LLP) v. Livent Inc. </w:t>
      </w:r>
      <w:r w:rsidR="0052229C" w:rsidRPr="00A53023">
        <w:rPr>
          <w:sz w:val="20"/>
          <w:szCs w:val="20"/>
          <w:lang w:val="en-US"/>
        </w:rPr>
        <w:t>(</w:t>
      </w:r>
      <w:r w:rsidRPr="00A53023">
        <w:rPr>
          <w:sz w:val="20"/>
          <w:szCs w:val="20"/>
          <w:lang w:val="en-US"/>
        </w:rPr>
        <w:t>Ont.</w:t>
      </w:r>
      <w:r w:rsidR="0052229C" w:rsidRPr="00A53023">
        <w:rPr>
          <w:sz w:val="20"/>
          <w:szCs w:val="20"/>
          <w:lang w:val="en-US"/>
        </w:rPr>
        <w:t>) (</w:t>
      </w:r>
      <w:hyperlink r:id="rId71" w:history="1">
        <w:r w:rsidR="0052229C" w:rsidRPr="00A53023">
          <w:rPr>
            <w:rStyle w:val="Hyperlink"/>
            <w:sz w:val="20"/>
            <w:szCs w:val="20"/>
            <w:lang w:val="en-US"/>
          </w:rPr>
          <w:t>3</w:t>
        </w:r>
        <w:r w:rsidRPr="00A53023">
          <w:rPr>
            <w:rStyle w:val="Hyperlink"/>
            <w:sz w:val="20"/>
            <w:szCs w:val="20"/>
            <w:lang w:val="en-US"/>
          </w:rPr>
          <w:t>6875</w:t>
        </w:r>
      </w:hyperlink>
      <w:r w:rsidR="0052229C" w:rsidRPr="00A53023">
        <w:rPr>
          <w:sz w:val="20"/>
          <w:szCs w:val="20"/>
          <w:lang w:val="en-US"/>
        </w:rPr>
        <w:t>)</w:t>
      </w:r>
    </w:p>
    <w:p w:rsidR="00A53023" w:rsidRPr="00A53023" w:rsidRDefault="0052229C" w:rsidP="0052229C">
      <w:pPr>
        <w:jc w:val="both"/>
        <w:rPr>
          <w:rStyle w:val="SCCRespondentForIndexChar"/>
          <w:rFonts w:eastAsiaTheme="minorHAnsi"/>
          <w:sz w:val="20"/>
          <w:lang w:val="en-US"/>
        </w:rPr>
      </w:pPr>
      <w:r w:rsidRPr="00A53023">
        <w:rPr>
          <w:b/>
          <w:sz w:val="20"/>
          <w:szCs w:val="20"/>
          <w:lang w:val="en-US"/>
        </w:rPr>
        <w:t xml:space="preserve">Indexed as:  </w:t>
      </w:r>
      <w:r w:rsidR="00A53023" w:rsidRPr="00A53023">
        <w:rPr>
          <w:rStyle w:val="SCCAppellantForIndexChar"/>
          <w:rFonts w:eastAsiaTheme="minorHAnsi"/>
          <w:sz w:val="20"/>
          <w:lang w:val="en-US"/>
        </w:rPr>
        <w:t>Deloitte &amp; Touche</w:t>
      </w:r>
      <w:r w:rsidR="00A53023" w:rsidRPr="00A53023">
        <w:rPr>
          <w:b/>
          <w:sz w:val="20"/>
          <w:szCs w:val="20"/>
        </w:rPr>
        <w:t xml:space="preserve"> </w:t>
      </w:r>
      <w:r w:rsidR="00A53023" w:rsidRPr="00A53023">
        <w:rPr>
          <w:b/>
          <w:i/>
          <w:sz w:val="20"/>
          <w:szCs w:val="20"/>
        </w:rPr>
        <w:t>v.</w:t>
      </w:r>
      <w:r w:rsidR="00A53023" w:rsidRPr="00A53023">
        <w:rPr>
          <w:b/>
          <w:sz w:val="20"/>
          <w:szCs w:val="20"/>
        </w:rPr>
        <w:t xml:space="preserve"> </w:t>
      </w:r>
      <w:r w:rsidR="00A53023" w:rsidRPr="00A53023">
        <w:rPr>
          <w:rStyle w:val="SCCRespondentForIndexChar"/>
          <w:rFonts w:eastAsiaTheme="minorHAnsi"/>
          <w:sz w:val="20"/>
        </w:rPr>
        <w:t xml:space="preserve">Livent Inc. (Receiver of) </w:t>
      </w:r>
      <w:r w:rsidRPr="00A53023">
        <w:rPr>
          <w:rStyle w:val="SCCRespondentForIndexChar"/>
          <w:rFonts w:eastAsiaTheme="minorHAnsi"/>
          <w:sz w:val="20"/>
          <w:lang w:val="en-US"/>
        </w:rPr>
        <w:t xml:space="preserve">/ </w:t>
      </w:r>
    </w:p>
    <w:p w:rsidR="0052229C" w:rsidRPr="0096343C" w:rsidRDefault="0052229C" w:rsidP="0052229C">
      <w:pPr>
        <w:jc w:val="both"/>
        <w:rPr>
          <w:b/>
          <w:sz w:val="20"/>
          <w:szCs w:val="20"/>
          <w:lang w:val="fr-CA"/>
        </w:rPr>
      </w:pPr>
      <w:r w:rsidRPr="00A53023">
        <w:rPr>
          <w:b/>
          <w:sz w:val="20"/>
          <w:szCs w:val="20"/>
          <w:lang w:val="fr-CA"/>
        </w:rPr>
        <w:t>Répertorié : </w:t>
      </w:r>
      <w:r w:rsidR="00A53023" w:rsidRPr="00A53023">
        <w:rPr>
          <w:rStyle w:val="SCCAppellantForIndexChar"/>
          <w:rFonts w:eastAsiaTheme="minorHAnsi"/>
          <w:sz w:val="20"/>
        </w:rPr>
        <w:t>Deloitte &amp; Touche</w:t>
      </w:r>
      <w:r w:rsidR="00A53023" w:rsidRPr="00A53023">
        <w:rPr>
          <w:b/>
          <w:sz w:val="20"/>
          <w:szCs w:val="20"/>
          <w:lang w:val="fr-CA"/>
        </w:rPr>
        <w:t xml:space="preserve"> </w:t>
      </w:r>
      <w:r w:rsidR="00A53023" w:rsidRPr="00A53023">
        <w:rPr>
          <w:b/>
          <w:i/>
          <w:sz w:val="20"/>
          <w:szCs w:val="20"/>
          <w:lang w:val="fr-CA"/>
        </w:rPr>
        <w:t>c.</w:t>
      </w:r>
      <w:r w:rsidR="00A53023" w:rsidRPr="00A53023">
        <w:rPr>
          <w:b/>
          <w:sz w:val="20"/>
          <w:szCs w:val="20"/>
          <w:lang w:val="fr-CA"/>
        </w:rPr>
        <w:t xml:space="preserve"> </w:t>
      </w:r>
      <w:r w:rsidR="00A53023" w:rsidRPr="00A53023">
        <w:rPr>
          <w:rStyle w:val="SCCRespondentForIndexChar"/>
          <w:rFonts w:eastAsiaTheme="minorHAnsi"/>
          <w:sz w:val="20"/>
          <w:lang w:val="fr-CA"/>
        </w:rPr>
        <w:t xml:space="preserve">Livent Inc. </w:t>
      </w:r>
      <w:r w:rsidR="00A53023" w:rsidRPr="0096343C">
        <w:rPr>
          <w:rStyle w:val="SCCRespondentForIndexChar"/>
          <w:rFonts w:eastAsiaTheme="minorHAnsi"/>
          <w:sz w:val="20"/>
          <w:lang w:val="fr-CA"/>
        </w:rPr>
        <w:t>(Séquestre de)</w:t>
      </w:r>
    </w:p>
    <w:p w:rsidR="0052229C" w:rsidRPr="00A53023" w:rsidRDefault="0052229C" w:rsidP="0052229C">
      <w:pPr>
        <w:pStyle w:val="SCCSystemYear"/>
        <w:jc w:val="both"/>
        <w:rPr>
          <w:sz w:val="20"/>
        </w:rPr>
      </w:pPr>
      <w:proofErr w:type="spellStart"/>
      <w:r w:rsidRPr="00A53023">
        <w:rPr>
          <w:sz w:val="20"/>
        </w:rPr>
        <w:t>Neutral</w:t>
      </w:r>
      <w:proofErr w:type="spellEnd"/>
      <w:r w:rsidRPr="00A53023">
        <w:rPr>
          <w:sz w:val="20"/>
        </w:rPr>
        <w:t xml:space="preserve"> citation</w:t>
      </w:r>
      <w:proofErr w:type="gramStart"/>
      <w:r w:rsidRPr="00A53023">
        <w:rPr>
          <w:sz w:val="20"/>
        </w:rPr>
        <w:t xml:space="preserve">:  </w:t>
      </w:r>
      <w:r w:rsidR="0030050B" w:rsidRPr="00A53023">
        <w:rPr>
          <w:sz w:val="20"/>
        </w:rPr>
        <w:t>201</w:t>
      </w:r>
      <w:r w:rsidR="0056248C" w:rsidRPr="00A53023">
        <w:rPr>
          <w:sz w:val="20"/>
        </w:rPr>
        <w:t>7</w:t>
      </w:r>
      <w:proofErr w:type="gramEnd"/>
      <w:r w:rsidRPr="00A53023">
        <w:rPr>
          <w:sz w:val="20"/>
        </w:rPr>
        <w:t xml:space="preserve"> SCC </w:t>
      </w:r>
      <w:r w:rsidR="00A53023" w:rsidRPr="00A53023">
        <w:rPr>
          <w:sz w:val="20"/>
        </w:rPr>
        <w:t>63</w:t>
      </w:r>
      <w:r w:rsidRPr="00A53023">
        <w:rPr>
          <w:sz w:val="20"/>
        </w:rPr>
        <w:t xml:space="preserve"> / Référence neutre : </w:t>
      </w:r>
      <w:r w:rsidR="0030050B" w:rsidRPr="00A53023">
        <w:rPr>
          <w:sz w:val="20"/>
        </w:rPr>
        <w:t>201</w:t>
      </w:r>
      <w:r w:rsidR="0056248C" w:rsidRPr="00A53023">
        <w:rPr>
          <w:sz w:val="20"/>
        </w:rPr>
        <w:t>7</w:t>
      </w:r>
      <w:r w:rsidRPr="00A53023">
        <w:rPr>
          <w:sz w:val="20"/>
        </w:rPr>
        <w:t xml:space="preserve"> CSC </w:t>
      </w:r>
      <w:r w:rsidR="00A53023" w:rsidRPr="00A53023">
        <w:rPr>
          <w:sz w:val="20"/>
        </w:rPr>
        <w:t>63</w:t>
      </w:r>
    </w:p>
    <w:p w:rsidR="0052229C" w:rsidRPr="00A53023" w:rsidRDefault="0052229C" w:rsidP="0052229C">
      <w:pPr>
        <w:rPr>
          <w:rFonts w:cs="Times New Roman"/>
          <w:sz w:val="20"/>
          <w:szCs w:val="20"/>
          <w:lang w:val="fr-CA"/>
        </w:rPr>
      </w:pPr>
      <w:r w:rsidRPr="00A53023">
        <w:rPr>
          <w:rFonts w:cs="Times New Roman"/>
          <w:sz w:val="20"/>
          <w:szCs w:val="20"/>
          <w:lang w:val="fr-CA"/>
        </w:rPr>
        <w:t xml:space="preserve">Hearing:  </w:t>
      </w:r>
      <w:r w:rsidR="00A53023" w:rsidRPr="00A53023">
        <w:rPr>
          <w:rFonts w:cs="Times New Roman"/>
          <w:sz w:val="20"/>
          <w:szCs w:val="20"/>
          <w:lang w:val="fr-CA"/>
        </w:rPr>
        <w:t>February 15</w:t>
      </w:r>
      <w:r w:rsidRPr="00A53023">
        <w:rPr>
          <w:rFonts w:cs="Times New Roman"/>
          <w:sz w:val="20"/>
          <w:szCs w:val="20"/>
          <w:lang w:val="fr-CA"/>
        </w:rPr>
        <w:t>, 201</w:t>
      </w:r>
      <w:r w:rsidR="00A53023" w:rsidRPr="00A53023">
        <w:rPr>
          <w:rFonts w:cs="Times New Roman"/>
          <w:sz w:val="20"/>
          <w:szCs w:val="20"/>
          <w:lang w:val="fr-CA"/>
        </w:rPr>
        <w:t>7</w:t>
      </w:r>
      <w:r w:rsidRPr="00A53023">
        <w:rPr>
          <w:rFonts w:cs="Times New Roman"/>
          <w:sz w:val="20"/>
          <w:szCs w:val="20"/>
          <w:lang w:val="fr-CA"/>
        </w:rPr>
        <w:t xml:space="preserve"> / Judgment:  </w:t>
      </w:r>
      <w:r w:rsidR="00A53023" w:rsidRPr="00A53023">
        <w:rPr>
          <w:rFonts w:cs="Times New Roman"/>
          <w:sz w:val="20"/>
          <w:szCs w:val="20"/>
          <w:lang w:val="fr-CA"/>
        </w:rPr>
        <w:t>December 20</w:t>
      </w:r>
      <w:r w:rsidRPr="00A53023">
        <w:rPr>
          <w:rFonts w:cs="Times New Roman"/>
          <w:sz w:val="20"/>
          <w:szCs w:val="20"/>
          <w:lang w:val="fr-CA"/>
        </w:rPr>
        <w:t xml:space="preserve">, </w:t>
      </w:r>
      <w:r w:rsidR="0056248C" w:rsidRPr="00A53023">
        <w:rPr>
          <w:rFonts w:cs="Times New Roman"/>
          <w:sz w:val="20"/>
          <w:szCs w:val="20"/>
          <w:lang w:val="fr-CA"/>
        </w:rPr>
        <w:t>2017</w:t>
      </w:r>
    </w:p>
    <w:p w:rsidR="0052229C" w:rsidRPr="003B3977" w:rsidRDefault="0052229C" w:rsidP="0052229C">
      <w:pPr>
        <w:rPr>
          <w:rFonts w:cs="Times New Roman"/>
          <w:sz w:val="20"/>
          <w:szCs w:val="20"/>
          <w:lang w:val="fr-CA"/>
        </w:rPr>
      </w:pPr>
      <w:r w:rsidRPr="00A53023">
        <w:rPr>
          <w:rFonts w:cs="Times New Roman"/>
          <w:sz w:val="20"/>
          <w:szCs w:val="20"/>
          <w:lang w:val="fr-CA"/>
        </w:rPr>
        <w:t xml:space="preserve">Audition : Le </w:t>
      </w:r>
      <w:r w:rsidR="00A53023" w:rsidRPr="00A53023">
        <w:rPr>
          <w:rFonts w:cs="Times New Roman"/>
          <w:sz w:val="20"/>
          <w:szCs w:val="20"/>
          <w:lang w:val="fr-CA"/>
        </w:rPr>
        <w:t>15 février</w:t>
      </w:r>
      <w:r w:rsidRPr="00A53023">
        <w:rPr>
          <w:rFonts w:cs="Times New Roman"/>
          <w:sz w:val="20"/>
          <w:szCs w:val="20"/>
          <w:lang w:val="fr-CA"/>
        </w:rPr>
        <w:t xml:space="preserve"> 201</w:t>
      </w:r>
      <w:r w:rsidR="00A53023" w:rsidRPr="00A53023">
        <w:rPr>
          <w:rFonts w:cs="Times New Roman"/>
          <w:sz w:val="20"/>
          <w:szCs w:val="20"/>
          <w:lang w:val="fr-CA"/>
        </w:rPr>
        <w:t>7</w:t>
      </w:r>
      <w:r w:rsidRPr="00A53023">
        <w:rPr>
          <w:rFonts w:cs="Times New Roman"/>
          <w:sz w:val="20"/>
          <w:szCs w:val="20"/>
          <w:lang w:val="fr-CA"/>
        </w:rPr>
        <w:t xml:space="preserve"> / Jugement : Le </w:t>
      </w:r>
      <w:r w:rsidR="00A53023" w:rsidRPr="00A53023">
        <w:rPr>
          <w:rFonts w:cs="Times New Roman"/>
          <w:sz w:val="20"/>
          <w:szCs w:val="20"/>
          <w:lang w:val="fr-CA"/>
        </w:rPr>
        <w:t>20 décembre</w:t>
      </w:r>
      <w:r w:rsidRPr="00A53023">
        <w:rPr>
          <w:rFonts w:cs="Times New Roman"/>
          <w:sz w:val="20"/>
          <w:szCs w:val="20"/>
          <w:lang w:val="fr-CA"/>
        </w:rPr>
        <w:t xml:space="preserve"> </w:t>
      </w:r>
      <w:r w:rsidR="0030050B" w:rsidRPr="00A53023">
        <w:rPr>
          <w:rFonts w:cs="Times New Roman"/>
          <w:sz w:val="20"/>
          <w:szCs w:val="20"/>
          <w:lang w:val="fr-CA"/>
        </w:rPr>
        <w:t>201</w:t>
      </w:r>
      <w:r w:rsidR="0056248C" w:rsidRPr="00A53023">
        <w:rPr>
          <w:rFonts w:cs="Times New Roman"/>
          <w:sz w:val="20"/>
          <w:szCs w:val="20"/>
          <w:lang w:val="fr-CA"/>
        </w:rPr>
        <w:t>7</w:t>
      </w:r>
    </w:p>
    <w:p w:rsidR="005C6840" w:rsidRPr="003B3977" w:rsidRDefault="008D266B" w:rsidP="005C6840">
      <w:pPr>
        <w:rPr>
          <w:rFonts w:cs="Times New Roman"/>
          <w:sz w:val="20"/>
          <w:szCs w:val="20"/>
          <w:lang w:val="fr-CA"/>
        </w:rPr>
      </w:pPr>
      <w:r>
        <w:rPr>
          <w:rFonts w:cs="Times New Roman"/>
          <w:i/>
          <w:sz w:val="20"/>
          <w:szCs w:val="20"/>
        </w:rPr>
        <w:pict>
          <v:rect id="_x0000_i1069" style="width:480.95pt;height:1pt" o:hralign="center" o:hrstd="t" o:hrnoshade="t" o:hr="t" fillcolor="black [3213]" stroked="f"/>
        </w:pict>
      </w:r>
    </w:p>
    <w:p w:rsidR="005C6840" w:rsidRDefault="005C6840" w:rsidP="005C6840">
      <w:pPr>
        <w:rPr>
          <w:rFonts w:cs="Times New Roman"/>
          <w:sz w:val="20"/>
          <w:szCs w:val="20"/>
          <w:lang w:val="fr-CA"/>
        </w:rPr>
      </w:pPr>
    </w:p>
    <w:p w:rsidR="00CD451A" w:rsidRDefault="00CD451A" w:rsidP="00CD451A">
      <w:pPr>
        <w:jc w:val="both"/>
        <w:rPr>
          <w:sz w:val="20"/>
        </w:rPr>
      </w:pPr>
      <w:r w:rsidRPr="007A03EF">
        <w:rPr>
          <w:sz w:val="20"/>
          <w:szCs w:val="20"/>
        </w:rPr>
        <w:t>Present: McLachlin C.J. and Karakatsanis, Wagner, Gascon, Côté, Brown and Rowe JJ.</w:t>
      </w:r>
    </w:p>
    <w:p w:rsidR="00CD451A" w:rsidRPr="007A03EF" w:rsidRDefault="00CD451A" w:rsidP="00CD451A">
      <w:pPr>
        <w:jc w:val="both"/>
        <w:rPr>
          <w:sz w:val="20"/>
          <w:szCs w:val="20"/>
        </w:rPr>
      </w:pPr>
    </w:p>
    <w:p w:rsidR="00CD451A" w:rsidRDefault="00CD451A" w:rsidP="00CD451A">
      <w:pPr>
        <w:pStyle w:val="SCCLowerCourtNameLowercase"/>
        <w:spacing w:line="240" w:lineRule="auto"/>
        <w:rPr>
          <w:sz w:val="20"/>
        </w:rPr>
      </w:pPr>
      <w:r w:rsidRPr="007A03EF">
        <w:rPr>
          <w:sz w:val="20"/>
        </w:rPr>
        <w:t>on appeal from the court of appeal for ontario</w:t>
      </w:r>
    </w:p>
    <w:p w:rsidR="00CD451A" w:rsidRPr="00C10908" w:rsidRDefault="00CD451A" w:rsidP="00CD451A">
      <w:pPr>
        <w:pStyle w:val="SCCNormalDoubleSpacing"/>
        <w:spacing w:line="240" w:lineRule="auto"/>
      </w:pPr>
    </w:p>
    <w:p w:rsidR="00CD451A" w:rsidRDefault="00CD451A" w:rsidP="00CD451A">
      <w:pPr>
        <w:pStyle w:val="SCCNormalDoubleSpacing"/>
        <w:spacing w:line="240" w:lineRule="auto"/>
        <w:rPr>
          <w:i/>
          <w:sz w:val="20"/>
        </w:rPr>
      </w:pPr>
      <w:r w:rsidRPr="007A03EF">
        <w:rPr>
          <w:sz w:val="20"/>
        </w:rPr>
        <w:tab/>
      </w:r>
      <w:r w:rsidRPr="007A03EF">
        <w:rPr>
          <w:i/>
          <w:sz w:val="20"/>
        </w:rPr>
        <w:t>Torts — Duty of care — Negligence — Negligent misrepresentation — Auditor failing to discover fraud by company’s directors and company incurring losses</w:t>
      </w:r>
      <w:r w:rsidRPr="007A03EF">
        <w:rPr>
          <w:sz w:val="20"/>
        </w:rPr>
        <w:t xml:space="preserve"> — </w:t>
      </w:r>
      <w:r w:rsidRPr="007A03EF">
        <w:rPr>
          <w:i/>
          <w:sz w:val="20"/>
        </w:rPr>
        <w:t>Proper application of analytical framework for establishing tort liability in cases of negligent misrepresentation or performance of service by auditor —</w:t>
      </w:r>
      <w:r w:rsidRPr="007A03EF">
        <w:rPr>
          <w:sz w:val="20"/>
        </w:rPr>
        <w:t xml:space="preserve"> </w:t>
      </w:r>
      <w:r w:rsidRPr="007A03EF">
        <w:rPr>
          <w:i/>
          <w:sz w:val="20"/>
        </w:rPr>
        <w:t>Whether auditor breaching duty of care and therefore liable for company’s losses — Appropriate date from which to calculate quantum of damages.</w:t>
      </w:r>
    </w:p>
    <w:p w:rsidR="00CD451A" w:rsidRPr="007A03EF" w:rsidRDefault="00CD451A" w:rsidP="00CD451A">
      <w:pPr>
        <w:pStyle w:val="SCCNormalDoubleSpacing"/>
        <w:spacing w:line="240" w:lineRule="auto"/>
        <w:rPr>
          <w:i/>
          <w:sz w:val="20"/>
        </w:rPr>
      </w:pPr>
    </w:p>
    <w:p w:rsidR="00CD451A" w:rsidRDefault="00CD451A" w:rsidP="00CD451A">
      <w:pPr>
        <w:pStyle w:val="SCCNormalDoubleSpacing"/>
        <w:spacing w:line="240" w:lineRule="auto"/>
        <w:rPr>
          <w:sz w:val="20"/>
        </w:rPr>
      </w:pPr>
      <w:r w:rsidRPr="007A03EF">
        <w:rPr>
          <w:sz w:val="20"/>
        </w:rPr>
        <w:tab/>
        <w:t>Livent produced and staged performances in theatres that it owned in Canada and the U.S., with its shares listed on Canadian and U.S. stock exchanges. To enhance Livent’s success, its directors manipulated the company’s financial records. Deloitte was Livent’s auditor. Deloitte never uncovered the fraud. In August 1997, however, Deloitte identified irregularities in the reporting of profit from an asset sale. Deloitte did not resign. Instead, for the purpose of helping Livent to solicit investment, Deloitte helped prepare, and approved, a press release issued in September 1997, which misrepresented the basis for the reporting of the profit. In October 1997, Deloitte provided a comfort letter for a public offering. It also prepared Livent’s 1997 audit, which it finalized in April 1998. New equity investors later discovered the fraud. A subsequent investigation and re</w:t>
      </w:r>
      <w:r w:rsidRPr="007A03EF">
        <w:rPr>
          <w:sz w:val="20"/>
        </w:rPr>
        <w:noBreakHyphen/>
        <w:t>audit resulted in restated financial reports. Livent filed for insolvency protection in November 1998. It sold its assets and went into receivership in 1999. Livent sued Deloitte later in tort and contract.</w:t>
      </w:r>
    </w:p>
    <w:p w:rsidR="00CD451A" w:rsidRPr="007A03EF" w:rsidRDefault="00CD451A" w:rsidP="00CD451A">
      <w:pPr>
        <w:pStyle w:val="SCCNormalDoubleSpacing"/>
        <w:spacing w:line="240" w:lineRule="auto"/>
        <w:rPr>
          <w:sz w:val="20"/>
        </w:rPr>
      </w:pPr>
    </w:p>
    <w:p w:rsidR="00CD451A" w:rsidRDefault="00CD451A" w:rsidP="00CD451A">
      <w:pPr>
        <w:pStyle w:val="SCCNormalDoubleSpacing"/>
        <w:spacing w:line="240" w:lineRule="auto"/>
        <w:rPr>
          <w:sz w:val="20"/>
        </w:rPr>
      </w:pPr>
      <w:r w:rsidRPr="007A03EF">
        <w:rPr>
          <w:sz w:val="20"/>
        </w:rPr>
        <w:tab/>
      </w:r>
      <w:r w:rsidRPr="007A03EF">
        <w:rPr>
          <w:sz w:val="20"/>
          <w:lang w:val="en-US"/>
        </w:rPr>
        <w:t xml:space="preserve">The trial judge held that Deloitte owed a duty of care to provide accurate information to Livent’s shareholders. He held that Deloitte failed to meet the standard of care under this duty, either when it failed to discover the fraud and act on that discovery in August 1997, or when it signed off on Livent’s 1997 financial statements in April 1998. The trial judge held that the measure of damages was the difference between Livent’s value on the date on which Deloitte should have resigned and Livent’s value at the time of insolvency. He reduced this by 25 percent to account for contingencies or trading losses, which he held were too remote to make Deloitte liable. The trial judge consequently awarded damages to Livent for breach of its duty of care, and alternatively for breach of contract, in the amount of $84,750,000. </w:t>
      </w:r>
      <w:r w:rsidRPr="007A03EF">
        <w:rPr>
          <w:sz w:val="20"/>
        </w:rPr>
        <w:t>The Court of Appeal upheld the trial judge’s award and dismissed Deloitte’s appeal and Livent’s cross</w:t>
      </w:r>
      <w:r w:rsidRPr="007A03EF">
        <w:rPr>
          <w:sz w:val="20"/>
        </w:rPr>
        <w:noBreakHyphen/>
        <w:t>appeal.</w:t>
      </w:r>
    </w:p>
    <w:p w:rsidR="00CD451A" w:rsidRPr="007A03EF" w:rsidRDefault="00CD451A" w:rsidP="00CD451A">
      <w:pPr>
        <w:pStyle w:val="SCCNormalDoubleSpacing"/>
        <w:spacing w:line="240" w:lineRule="auto"/>
        <w:rPr>
          <w:sz w:val="20"/>
        </w:rPr>
      </w:pPr>
    </w:p>
    <w:p w:rsidR="00CD451A" w:rsidRDefault="00CD451A" w:rsidP="00CD451A">
      <w:pPr>
        <w:pStyle w:val="SCCNormalDoubleSpacing"/>
        <w:spacing w:line="240" w:lineRule="auto"/>
        <w:rPr>
          <w:sz w:val="20"/>
        </w:rPr>
      </w:pPr>
      <w:r w:rsidRPr="007A03EF">
        <w:rPr>
          <w:sz w:val="20"/>
        </w:rPr>
        <w:tab/>
      </w:r>
      <w:r w:rsidRPr="007A03EF">
        <w:rPr>
          <w:i/>
          <w:sz w:val="20"/>
        </w:rPr>
        <w:t>Held</w:t>
      </w:r>
      <w:r w:rsidRPr="007A03EF">
        <w:rPr>
          <w:sz w:val="20"/>
        </w:rPr>
        <w:t xml:space="preserve"> (McLachlin C.J. and Wagner and Côté JJ. dissenting in part): The appeal should be allowed in part. </w:t>
      </w:r>
    </w:p>
    <w:p w:rsidR="00CD451A" w:rsidRPr="007A03EF" w:rsidRDefault="00CD451A" w:rsidP="00CD451A">
      <w:pPr>
        <w:pStyle w:val="SCCNormalDoubleSpacing"/>
        <w:spacing w:line="240" w:lineRule="auto"/>
        <w:rPr>
          <w:sz w:val="20"/>
        </w:rPr>
      </w:pPr>
    </w:p>
    <w:p w:rsidR="00CD451A" w:rsidRDefault="00CD451A" w:rsidP="00CD451A">
      <w:pPr>
        <w:pStyle w:val="SCCNormalDoubleSpacing"/>
        <w:spacing w:line="240" w:lineRule="auto"/>
        <w:rPr>
          <w:sz w:val="20"/>
          <w:lang w:val="en"/>
        </w:rPr>
      </w:pPr>
      <w:r w:rsidRPr="007A03EF">
        <w:rPr>
          <w:i/>
          <w:sz w:val="20"/>
        </w:rPr>
        <w:tab/>
        <w:t>Per</w:t>
      </w:r>
      <w:r w:rsidRPr="007A03EF">
        <w:rPr>
          <w:sz w:val="20"/>
        </w:rPr>
        <w:t xml:space="preserve"> </w:t>
      </w:r>
      <w:r w:rsidRPr="00CD451A">
        <w:rPr>
          <w:rStyle w:val="SCCCoramChar"/>
          <w:sz w:val="20"/>
          <w:szCs w:val="20"/>
          <w:lang w:val="en-US"/>
        </w:rPr>
        <w:t xml:space="preserve">Karakatsanis, </w:t>
      </w:r>
      <w:r w:rsidRPr="00CD451A">
        <w:rPr>
          <w:rStyle w:val="SCCCoramChar"/>
          <w:b/>
          <w:sz w:val="20"/>
          <w:szCs w:val="20"/>
          <w:lang w:val="en-US"/>
        </w:rPr>
        <w:t>Gascon</w:t>
      </w:r>
      <w:r w:rsidRPr="00CD451A">
        <w:rPr>
          <w:rStyle w:val="SCCCoramChar"/>
          <w:sz w:val="20"/>
          <w:szCs w:val="20"/>
          <w:lang w:val="en-US"/>
        </w:rPr>
        <w:t>,</w:t>
      </w:r>
      <w:r w:rsidRPr="00CD451A">
        <w:rPr>
          <w:rStyle w:val="SCCCoramChar"/>
          <w:b/>
          <w:sz w:val="20"/>
          <w:szCs w:val="20"/>
          <w:lang w:val="en-US"/>
        </w:rPr>
        <w:t xml:space="preserve"> Brown</w:t>
      </w:r>
      <w:r w:rsidRPr="00CD451A">
        <w:rPr>
          <w:rStyle w:val="SCCCoramChar"/>
          <w:sz w:val="20"/>
          <w:szCs w:val="20"/>
          <w:lang w:val="en-US"/>
        </w:rPr>
        <w:t xml:space="preserve"> and Rowe JJ.: The general framework </w:t>
      </w:r>
      <w:r w:rsidRPr="007A03EF">
        <w:rPr>
          <w:sz w:val="20"/>
        </w:rPr>
        <w:t>set out in</w:t>
      </w:r>
      <w:r w:rsidRPr="007A03EF">
        <w:rPr>
          <w:i/>
          <w:sz w:val="20"/>
        </w:rPr>
        <w:t xml:space="preserve"> Anns v. London Borough of Merton</w:t>
      </w:r>
      <w:r w:rsidRPr="007A03EF">
        <w:rPr>
          <w:sz w:val="20"/>
        </w:rPr>
        <w:t xml:space="preserve">, [1977] 2 All E.R. 492 (H.L.), and later refined in </w:t>
      </w:r>
      <w:r w:rsidRPr="007A03EF">
        <w:rPr>
          <w:i/>
          <w:sz w:val="20"/>
        </w:rPr>
        <w:t>Cooper v. Hobart</w:t>
      </w:r>
      <w:r w:rsidRPr="007A03EF">
        <w:rPr>
          <w:sz w:val="20"/>
        </w:rPr>
        <w:t xml:space="preserve">, 2001 SCC 79, [2001] 3 S.C.R. 537, </w:t>
      </w:r>
      <w:r w:rsidRPr="00CD451A">
        <w:rPr>
          <w:rStyle w:val="SCCCoramChar"/>
          <w:sz w:val="20"/>
          <w:szCs w:val="20"/>
          <w:lang w:val="en-US"/>
        </w:rPr>
        <w:t>applies in cases of pure economic loss arising from an auditor’s negligent misrepresentation or performance of a service</w:t>
      </w:r>
      <w:r w:rsidRPr="007A03EF">
        <w:rPr>
          <w:sz w:val="20"/>
          <w:lang w:val="en-US"/>
        </w:rPr>
        <w:t xml:space="preserve">. </w:t>
      </w:r>
      <w:r w:rsidRPr="007A03EF">
        <w:rPr>
          <w:sz w:val="20"/>
        </w:rPr>
        <w:t xml:space="preserve">Comprising two stages, the </w:t>
      </w:r>
      <w:r w:rsidRPr="007A03EF">
        <w:rPr>
          <w:i/>
          <w:sz w:val="20"/>
        </w:rPr>
        <w:t>Anns/Cooper</w:t>
      </w:r>
      <w:r w:rsidRPr="007A03EF">
        <w:rPr>
          <w:sz w:val="20"/>
        </w:rPr>
        <w:t xml:space="preserve"> framework asks whether a </w:t>
      </w:r>
      <w:r w:rsidRPr="007A03EF">
        <w:rPr>
          <w:i/>
          <w:sz w:val="20"/>
        </w:rPr>
        <w:t xml:space="preserve">prima facie </w:t>
      </w:r>
      <w:r w:rsidRPr="007A03EF">
        <w:rPr>
          <w:sz w:val="20"/>
        </w:rPr>
        <w:t xml:space="preserve">duty of care exists between the parties, and if so, whether there are any residual policy considerations that may negate the imposition of a duty of care. At the first stage, a </w:t>
      </w:r>
      <w:r w:rsidRPr="007A03EF">
        <w:rPr>
          <w:i/>
          <w:sz w:val="20"/>
        </w:rPr>
        <w:t xml:space="preserve">prima facie </w:t>
      </w:r>
      <w:r w:rsidRPr="007A03EF">
        <w:rPr>
          <w:sz w:val="20"/>
        </w:rPr>
        <w:t xml:space="preserve">duty of care is recognized where proximity and reasonable foreseeability of injury are established. </w:t>
      </w:r>
      <w:r w:rsidRPr="007A03EF">
        <w:rPr>
          <w:rFonts w:eastAsiaTheme="minorHAnsi"/>
          <w:sz w:val="20"/>
        </w:rPr>
        <w:t xml:space="preserve">When assessing proximity, </w:t>
      </w:r>
      <w:r w:rsidRPr="007A03EF">
        <w:rPr>
          <w:sz w:val="20"/>
          <w:lang w:val="en"/>
        </w:rPr>
        <w:t xml:space="preserve">if a relationship falls within a previously established category, or is analogous to one, then the requisite close and direct relationship is shown. If a risk of reasonably foreseeable injury can also be shown, the first stage of the </w:t>
      </w:r>
      <w:r w:rsidRPr="007A03EF">
        <w:rPr>
          <w:i/>
          <w:sz w:val="20"/>
          <w:lang w:val="en"/>
        </w:rPr>
        <w:t>Anns/Cooper</w:t>
      </w:r>
      <w:r w:rsidRPr="007A03EF">
        <w:rPr>
          <w:sz w:val="20"/>
          <w:lang w:val="en"/>
        </w:rPr>
        <w:t xml:space="preserve"> framework is complete and a duty of care may be identified. In such circumstances, the second stage of the framework will seldom be engaged because any residual policy considerations will have already been taken into account when the proximate relationship was first identified. </w:t>
      </w:r>
    </w:p>
    <w:p w:rsidR="00CD451A" w:rsidRPr="007A03EF" w:rsidRDefault="00CD451A" w:rsidP="00CD451A">
      <w:pPr>
        <w:pStyle w:val="SCCNormalDoubleSpacing"/>
        <w:spacing w:line="240" w:lineRule="auto"/>
        <w:rPr>
          <w:rFonts w:eastAsiaTheme="minorHAnsi"/>
          <w:sz w:val="20"/>
        </w:rPr>
      </w:pPr>
    </w:p>
    <w:p w:rsidR="00CD451A" w:rsidRDefault="00CD451A" w:rsidP="00CD451A">
      <w:pPr>
        <w:pStyle w:val="SCCNormalDoubleSpacing"/>
        <w:spacing w:line="240" w:lineRule="auto"/>
        <w:rPr>
          <w:sz w:val="20"/>
          <w:lang w:val="en"/>
        </w:rPr>
      </w:pPr>
      <w:r w:rsidRPr="007A03EF">
        <w:rPr>
          <w:sz w:val="20"/>
          <w:lang w:val="en"/>
        </w:rPr>
        <w:tab/>
        <w:t xml:space="preserve">Where an established proximate relationship cannot be found, courts must undertake a full proximity analysis. To determine whether the close and direct relationship exists, courts must examine all relevant factors arising from the relationship. In cases of pure economic loss arising from negligent misrepresentation or performance of a service, two </w:t>
      </w:r>
      <w:r w:rsidRPr="007A03EF">
        <w:rPr>
          <w:sz w:val="20"/>
          <w:lang w:val="en"/>
        </w:rPr>
        <w:lastRenderedPageBreak/>
        <w:t>factors are determinative in the proximity analysis: the defendant’s undertaking and the plaintiff’s reliance. Where the defendant undertakes to provide a representation or service in circumstances that invite the plaintiff’s reasonable reliance, the defendant becomes obligated to take reasonable care and the plaintiff has a right to rely on the defendant’s undertaking. These</w:t>
      </w:r>
      <w:r w:rsidRPr="007A03EF">
        <w:rPr>
          <w:sz w:val="20"/>
        </w:rPr>
        <w:t xml:space="preserve"> </w:t>
      </w:r>
      <w:r w:rsidRPr="007A03EF">
        <w:rPr>
          <w:sz w:val="20"/>
          <w:lang w:val="en"/>
        </w:rPr>
        <w:t>corollary rights and obligations create a relationship of proximity. Any reliance on the part of the plaintiff, which falls outside of the scope of the defendant’s undertaking</w:t>
      </w:r>
      <w:r w:rsidRPr="007A03EF">
        <w:rPr>
          <w:sz w:val="20"/>
        </w:rPr>
        <w:t>,</w:t>
      </w:r>
      <w:r w:rsidRPr="007A03EF">
        <w:rPr>
          <w:sz w:val="20"/>
          <w:lang w:val="en"/>
        </w:rPr>
        <w:t xml:space="preserve"> necessarily falls outside the scope of the proximate relationship and, therefore, of the defendant’s duty of care. This properly limits liability on the basis that the defendant cannot be liable for a risk of injury against which he did not undertake to protect. </w:t>
      </w:r>
    </w:p>
    <w:p w:rsidR="00CD451A" w:rsidRPr="007A03EF" w:rsidRDefault="00CD451A" w:rsidP="00CD451A">
      <w:pPr>
        <w:pStyle w:val="SCCNormalDoubleSpacing"/>
        <w:spacing w:line="240" w:lineRule="auto"/>
        <w:rPr>
          <w:sz w:val="20"/>
          <w:lang w:val="en"/>
        </w:rPr>
      </w:pPr>
    </w:p>
    <w:p w:rsidR="00CD451A" w:rsidRDefault="00CD451A" w:rsidP="00CD451A">
      <w:pPr>
        <w:pStyle w:val="SCCNormalDoubleSpacing"/>
        <w:spacing w:line="240" w:lineRule="auto"/>
        <w:rPr>
          <w:sz w:val="20"/>
        </w:rPr>
      </w:pPr>
      <w:r w:rsidRPr="007A03EF">
        <w:rPr>
          <w:rFonts w:eastAsiaTheme="minorEastAsia"/>
          <w:sz w:val="20"/>
          <w:lang w:val="en" w:eastAsia="en-US"/>
        </w:rPr>
        <w:tab/>
      </w:r>
      <w:r w:rsidRPr="007A03EF">
        <w:rPr>
          <w:sz w:val="20"/>
        </w:rPr>
        <w:t xml:space="preserve">As for assessing reasonable foreseeability in the </w:t>
      </w:r>
      <w:r w:rsidRPr="007A03EF">
        <w:rPr>
          <w:i/>
          <w:sz w:val="20"/>
        </w:rPr>
        <w:t>prima facie</w:t>
      </w:r>
      <w:r w:rsidRPr="007A03EF">
        <w:rPr>
          <w:sz w:val="20"/>
        </w:rPr>
        <w:t xml:space="preserve"> duty of care analysis, this </w:t>
      </w:r>
      <w:r w:rsidRPr="007A03EF">
        <w:rPr>
          <w:sz w:val="20"/>
          <w:lang w:val="en"/>
        </w:rPr>
        <w:t>entails asking</w:t>
      </w:r>
      <w:r w:rsidRPr="007A03EF">
        <w:rPr>
          <w:sz w:val="20"/>
        </w:rPr>
        <w:t xml:space="preserve"> whether an injury to the plaintiff was a reasonably foreseeable consequence of the defendant’s negligence. Reasonable foreseeability concerns the likelihood of injury arising from the defendant’s negligence. In cases of negligent misrepresentation or performance of a service, the proximate relationship informs the foreseeability inquiry. The purpose underlying the undertaking and the corresponding reliance limits the type of injury that could be reasonably foreseen to result from the defendant’s negligence. An injury to the plaintiff will be reasonably foreseeable if the defendant should have reasonably foreseen that the plaintiff would rely on his or her representation and such reliance would, in the particular circumstances of the case, be reasonable. Both the reasonableness and the reasonable foreseeability of the plaintiff’s reliance will be determined by the relationship of proximity between the parties.</w:t>
      </w:r>
    </w:p>
    <w:p w:rsidR="00CD451A" w:rsidRPr="007A03EF" w:rsidRDefault="00CD451A" w:rsidP="00CD451A">
      <w:pPr>
        <w:pStyle w:val="SCCNormalDoubleSpacing"/>
        <w:spacing w:line="240" w:lineRule="auto"/>
        <w:rPr>
          <w:sz w:val="20"/>
          <w:lang w:val="en"/>
        </w:rPr>
      </w:pPr>
    </w:p>
    <w:p w:rsidR="00CD451A" w:rsidRDefault="00CD451A" w:rsidP="00CD451A">
      <w:pPr>
        <w:pStyle w:val="SCCNormalDoubleSpacing"/>
        <w:spacing w:line="240" w:lineRule="auto"/>
        <w:rPr>
          <w:sz w:val="20"/>
        </w:rPr>
      </w:pPr>
      <w:r w:rsidRPr="007A03EF">
        <w:rPr>
          <w:rFonts w:eastAsiaTheme="minorEastAsia"/>
          <w:sz w:val="20"/>
          <w:lang w:val="en" w:eastAsia="en-US"/>
        </w:rPr>
        <w:tab/>
      </w:r>
      <w:r w:rsidRPr="007A03EF">
        <w:rPr>
          <w:sz w:val="20"/>
        </w:rPr>
        <w:t xml:space="preserve">At the second stage of the </w:t>
      </w:r>
      <w:r w:rsidRPr="007A03EF">
        <w:rPr>
          <w:i/>
          <w:sz w:val="20"/>
        </w:rPr>
        <w:t xml:space="preserve">Anns/Cooper </w:t>
      </w:r>
      <w:r w:rsidRPr="007A03EF">
        <w:rPr>
          <w:sz w:val="20"/>
        </w:rPr>
        <w:t xml:space="preserve">framework, the question is whether there are residual policy considerations outside the relationship of the parties that may negate the imposition of a duty of care. This stage is not concerned with the relationship between the parties, but with the effect of recognizing a duty of care on other legal obligations, the legal system and society more generally. Factors to be considered include whether the law already provides a remedy, the spectre of unlimited liability to an unlimited class and whether there are other reasons of broad policy that suggest that the duty of care should not be recognized. The place within the </w:t>
      </w:r>
      <w:r w:rsidRPr="007A03EF">
        <w:rPr>
          <w:i/>
          <w:sz w:val="20"/>
        </w:rPr>
        <w:t>Anns/Cooper</w:t>
      </w:r>
      <w:r w:rsidRPr="007A03EF">
        <w:rPr>
          <w:sz w:val="20"/>
        </w:rPr>
        <w:t xml:space="preserve"> framework of this policy inquiry is significant. It follows the proximity and foreseeability inquiries. The policy inquiry assesses whether, despite the proximate relationship between the parties and the reasonably foreseeable quality of the plaintiff’s injury, the defendant should nonetheless be insulated from liability. That it would limit liability in the face of findings of both proximity and reasonable foreseeability makes plain how narrowly it should be relied upon.</w:t>
      </w:r>
    </w:p>
    <w:p w:rsidR="00CD451A" w:rsidRPr="007A03EF" w:rsidRDefault="00CD451A" w:rsidP="00CD451A">
      <w:pPr>
        <w:pStyle w:val="SCCNormalDoubleSpacing"/>
        <w:spacing w:line="240" w:lineRule="auto"/>
        <w:rPr>
          <w:sz w:val="20"/>
        </w:rPr>
      </w:pPr>
    </w:p>
    <w:p w:rsidR="00CD451A" w:rsidRDefault="00CD451A" w:rsidP="00CD451A">
      <w:pPr>
        <w:pStyle w:val="SCCNormalDoubleSpacing"/>
        <w:spacing w:line="240" w:lineRule="auto"/>
        <w:rPr>
          <w:sz w:val="20"/>
        </w:rPr>
      </w:pPr>
      <w:r w:rsidRPr="007A03EF">
        <w:rPr>
          <w:sz w:val="20"/>
        </w:rPr>
        <w:tab/>
        <w:t xml:space="preserve">No proximate relationship has previously been established as between an auditor and its client for the purposes of soliciting investment. This case therefore requires a full proximity analysis. From August to October 1997, the services which Deloitte provided to Livent — particularly its ongoing assistance in relation to the press release and the provision of the comfort letter — were undertaken for the purpose of helping Livent to solicit investment. Given this undertaking, Livent was entitled to rely upon Deloitte to carry out these services with reasonable care. It follows that a relationship of proximity arose but only in respect of the content of Deloitte’s undertaking. Losses outside the scope of this undertaking are not recoverable from Deloitte. With respect to the press release and the comfort letter, Deloitte never undertook to assist Livent’s shareholders in overseeing management; it cannot therefore be held liable for failing to take reasonable care to assist such oversight. Given that Livent had no right to rely on Deloitte’s representations for a purpose other than that for which Deloitte undertook to act, Livent’s reliance was neither reasonable nor reasonably foreseeable. Consequently, the increase in Livent’s losses or liquidation deficit, which arose from that reliance, was not a reasonably foreseeable injury. Because no </w:t>
      </w:r>
      <w:r w:rsidRPr="007A03EF">
        <w:rPr>
          <w:i/>
          <w:sz w:val="20"/>
        </w:rPr>
        <w:t>prima facie</w:t>
      </w:r>
      <w:r w:rsidRPr="007A03EF">
        <w:rPr>
          <w:sz w:val="20"/>
        </w:rPr>
        <w:t xml:space="preserve"> duty of care arose, there is no need to consider residual policy considerations. </w:t>
      </w:r>
    </w:p>
    <w:p w:rsidR="00CD451A" w:rsidRPr="007A03EF" w:rsidRDefault="00CD451A" w:rsidP="00CD451A">
      <w:pPr>
        <w:pStyle w:val="SCCNormalDoubleSpacing"/>
        <w:spacing w:line="240" w:lineRule="auto"/>
        <w:rPr>
          <w:sz w:val="20"/>
        </w:rPr>
      </w:pPr>
    </w:p>
    <w:p w:rsidR="00CD451A" w:rsidRPr="00CD451A" w:rsidRDefault="00CD451A" w:rsidP="00CD451A">
      <w:pPr>
        <w:pStyle w:val="SCCNormalDoubleSpacing"/>
        <w:spacing w:line="240" w:lineRule="auto"/>
        <w:rPr>
          <w:rStyle w:val="SCCCoramChar"/>
          <w:sz w:val="20"/>
          <w:szCs w:val="20"/>
          <w:lang w:val="en-US"/>
        </w:rPr>
      </w:pPr>
      <w:r w:rsidRPr="007A03EF">
        <w:rPr>
          <w:sz w:val="20"/>
        </w:rPr>
        <w:tab/>
      </w:r>
      <w:r w:rsidRPr="007A03EF">
        <w:rPr>
          <w:rFonts w:eastAsiaTheme="minorHAnsi"/>
          <w:sz w:val="20"/>
        </w:rPr>
        <w:t>However, the Court has already recognized that a duty is owed by an auditor in preparing a statutory audit</w:t>
      </w:r>
      <w:r w:rsidRPr="007A03EF" w:rsidDel="00976387">
        <w:rPr>
          <w:rFonts w:eastAsiaTheme="minorHAnsi"/>
          <w:sz w:val="20"/>
        </w:rPr>
        <w:t xml:space="preserve"> </w:t>
      </w:r>
      <w:r w:rsidRPr="007A03EF">
        <w:rPr>
          <w:rFonts w:eastAsiaTheme="minorHAnsi"/>
          <w:sz w:val="20"/>
        </w:rPr>
        <w:t>and</w:t>
      </w:r>
      <w:r w:rsidRPr="007A03EF">
        <w:rPr>
          <w:sz w:val="20"/>
        </w:rPr>
        <w:t xml:space="preserve"> </w:t>
      </w:r>
      <w:r w:rsidRPr="007A03EF">
        <w:rPr>
          <w:rFonts w:eastAsiaTheme="minorHAnsi"/>
          <w:sz w:val="20"/>
        </w:rPr>
        <w:t xml:space="preserve">that a claim by a corporation for losses resulting from a negligent statutory audit could succeed. </w:t>
      </w:r>
      <w:r w:rsidRPr="007A03EF">
        <w:rPr>
          <w:sz w:val="20"/>
        </w:rPr>
        <w:t xml:space="preserve">A </w:t>
      </w:r>
      <w:r w:rsidRPr="007A03EF">
        <w:rPr>
          <w:rFonts w:eastAsiaTheme="minorHAnsi"/>
          <w:sz w:val="20"/>
        </w:rPr>
        <w:t xml:space="preserve">statutory audit is prepared to allow shareholders to collectively </w:t>
      </w:r>
      <w:r w:rsidRPr="007A03EF">
        <w:rPr>
          <w:sz w:val="20"/>
        </w:rPr>
        <w:t xml:space="preserve">supervise management and to take decisions with respect to the </w:t>
      </w:r>
      <w:r w:rsidRPr="007A03EF">
        <w:rPr>
          <w:rFonts w:eastAsiaTheme="minorHAnsi"/>
          <w:sz w:val="20"/>
        </w:rPr>
        <w:t xml:space="preserve">overall </w:t>
      </w:r>
      <w:r w:rsidRPr="007A03EF">
        <w:rPr>
          <w:sz w:val="20"/>
        </w:rPr>
        <w:t xml:space="preserve">administration of the corporation. This describes precisely the function which Livent’s shareholders were unable to discharge by reason of Deloitte’s negligent 1997 audit. </w:t>
      </w:r>
      <w:r w:rsidRPr="007A03EF">
        <w:rPr>
          <w:sz w:val="20"/>
          <w:lang w:val="en"/>
        </w:rPr>
        <w:t xml:space="preserve">Deloitte did not alter the purpose for which it undertook to provide the 1997 audit or disclaim liability in relation to that purpose. </w:t>
      </w:r>
      <w:r w:rsidRPr="007A03EF">
        <w:rPr>
          <w:sz w:val="20"/>
        </w:rPr>
        <w:t xml:space="preserve">Therefore, proximity is established in relation to the statutory audit, on the basis of the previously recognized proximate relationship. In addition, the type of injury Livent suffered was a reasonably foreseeable consequence of Deloitte’s negligence. Through the 1997 audit, Deloitte undertook to assist Livent’s shareholders in </w:t>
      </w:r>
      <w:r w:rsidRPr="007A03EF">
        <w:rPr>
          <w:sz w:val="20"/>
          <w:lang w:val="en"/>
        </w:rPr>
        <w:t>scrutinizing management conduct</w:t>
      </w:r>
      <w:r w:rsidRPr="007A03EF">
        <w:rPr>
          <w:sz w:val="20"/>
        </w:rPr>
        <w:t xml:space="preserve">. By negligently conducting the audit, and impairing Livent’s shareholders’ ability to oversee management, Deloitte exposed Livent to reasonably foreseeable risks, including losses that would have been avoided with a proper audit. Because proximity is based on a previously recognized category, there is no need to consider residual policy considerations. Deloitte owed Livent a duty of care, which it breached. </w:t>
      </w:r>
      <w:r w:rsidRPr="00CD451A">
        <w:rPr>
          <w:rStyle w:val="SCCCoramChar"/>
          <w:sz w:val="20"/>
          <w:szCs w:val="20"/>
          <w:lang w:val="en-US"/>
        </w:rPr>
        <w:t xml:space="preserve">Deloitte </w:t>
      </w:r>
      <w:r w:rsidRPr="00CD451A">
        <w:rPr>
          <w:rStyle w:val="SCCCoramChar"/>
          <w:sz w:val="20"/>
          <w:szCs w:val="20"/>
          <w:lang w:val="en-US"/>
        </w:rPr>
        <w:lastRenderedPageBreak/>
        <w:t xml:space="preserve">cannot rely on either the defence of illegality or of contributory fault, because the fraudulent acts of Livent’s directors cannot be attributed to the corporation. </w:t>
      </w:r>
    </w:p>
    <w:p w:rsidR="00CD451A" w:rsidRPr="007A03EF" w:rsidRDefault="00CD451A" w:rsidP="00CD451A">
      <w:pPr>
        <w:pStyle w:val="SCCNormalDoubleSpacing"/>
        <w:spacing w:line="240" w:lineRule="auto"/>
        <w:rPr>
          <w:sz w:val="20"/>
        </w:rPr>
      </w:pPr>
    </w:p>
    <w:p w:rsidR="00CD451A" w:rsidRDefault="00CD451A" w:rsidP="00CD451A">
      <w:pPr>
        <w:pStyle w:val="SCCNormalDoubleSpacing"/>
        <w:spacing w:line="240" w:lineRule="auto"/>
        <w:rPr>
          <w:sz w:val="20"/>
        </w:rPr>
      </w:pPr>
      <w:r w:rsidRPr="007A03EF">
        <w:rPr>
          <w:sz w:val="20"/>
        </w:rPr>
        <w:tab/>
        <w:t>Remoteness is not a bar to Livent’s recovery. Remoteness examines whether the harm is too unrelated to the wrongful conduct to hold the defendant fairly liable. It overlaps conceptually with the reasonable foreseeability analysis but the duty of care analysis is concerned with the type of injury that is reasonably foreseeable as flowing from the defendant’s conduct</w:t>
      </w:r>
      <w:r w:rsidRPr="007A03EF">
        <w:rPr>
          <w:sz w:val="20"/>
          <w:lang w:val="en-US"/>
        </w:rPr>
        <w:t>,</w:t>
      </w:r>
      <w:r w:rsidRPr="007A03EF">
        <w:rPr>
          <w:sz w:val="20"/>
        </w:rPr>
        <w:t xml:space="preserve"> whereas the remoteness analysis is concerned with the actual injury suffered by the plaintiff. However, the loss here — stemming from Deloitte’s failure to fulfill the specific undertaking it made to Livent in relation to the 1997 audit — was reasonably foreseeable. </w:t>
      </w:r>
    </w:p>
    <w:p w:rsidR="00CD451A" w:rsidRPr="00CD451A" w:rsidRDefault="00CD451A" w:rsidP="00CD451A">
      <w:pPr>
        <w:pStyle w:val="SCCNormalDoubleSpacing"/>
        <w:spacing w:line="240" w:lineRule="auto"/>
        <w:rPr>
          <w:rStyle w:val="SCCCoramChar"/>
          <w:sz w:val="20"/>
          <w:szCs w:val="20"/>
          <w:lang w:val="en-US"/>
        </w:rPr>
      </w:pPr>
    </w:p>
    <w:p w:rsidR="00CD451A" w:rsidRPr="00CD451A" w:rsidRDefault="00CD451A" w:rsidP="00CD451A">
      <w:pPr>
        <w:pStyle w:val="SCCNormalDoubleSpacing"/>
        <w:spacing w:line="240" w:lineRule="auto"/>
        <w:rPr>
          <w:rStyle w:val="SCCCoramChar"/>
          <w:sz w:val="20"/>
          <w:szCs w:val="20"/>
          <w:lang w:val="en-US"/>
        </w:rPr>
      </w:pPr>
      <w:r w:rsidRPr="00CD451A">
        <w:rPr>
          <w:rStyle w:val="SCCCoramChar"/>
          <w:sz w:val="20"/>
          <w:szCs w:val="20"/>
          <w:lang w:val="en-US"/>
        </w:rPr>
        <w:tab/>
        <w:t>The trial judge assessed Livent’s damages following the 1997 audit at $53.9 million. Applying the trial judge’s 25 percent contingency reduction to this amount results in a final damages assessment of $40,425,000. This is the amount for which Deloitte is liable.</w:t>
      </w:r>
      <w:r w:rsidRPr="00CD451A" w:rsidDel="00C92570">
        <w:rPr>
          <w:rStyle w:val="SCCCoramChar"/>
          <w:sz w:val="20"/>
          <w:szCs w:val="20"/>
          <w:lang w:val="en-US"/>
        </w:rPr>
        <w:t xml:space="preserve"> </w:t>
      </w:r>
      <w:r w:rsidRPr="00CD451A">
        <w:rPr>
          <w:rStyle w:val="SCCCoramChar"/>
          <w:sz w:val="20"/>
          <w:szCs w:val="20"/>
          <w:lang w:val="en-US"/>
        </w:rPr>
        <w:t>At trial, Livent conceded that its losses for negligent performance of a service or breach of contract would be identical. Therefore, the same quantum of liability applies for Deloitte’s concurrent claim in breach of contract.</w:t>
      </w:r>
      <w:r w:rsidRPr="00CD451A" w:rsidDel="0078099A">
        <w:rPr>
          <w:rStyle w:val="SCCCoramChar"/>
          <w:sz w:val="20"/>
          <w:szCs w:val="20"/>
          <w:lang w:val="en-US"/>
        </w:rPr>
        <w:t xml:space="preserve"> </w:t>
      </w:r>
    </w:p>
    <w:p w:rsidR="00CD451A" w:rsidRPr="00CD451A" w:rsidRDefault="00CD451A" w:rsidP="00CD451A">
      <w:pPr>
        <w:pStyle w:val="SCCNormalDoubleSpacing"/>
        <w:spacing w:line="240" w:lineRule="auto"/>
        <w:rPr>
          <w:rStyle w:val="SCCCoramChar"/>
          <w:sz w:val="20"/>
          <w:szCs w:val="20"/>
          <w:lang w:val="en-US"/>
        </w:rPr>
      </w:pPr>
    </w:p>
    <w:p w:rsidR="00CD451A" w:rsidRDefault="00CD451A" w:rsidP="00CD451A">
      <w:pPr>
        <w:pStyle w:val="SCCNormalDoubleSpacing"/>
        <w:spacing w:line="240" w:lineRule="auto"/>
        <w:rPr>
          <w:sz w:val="20"/>
        </w:rPr>
      </w:pPr>
      <w:r w:rsidRPr="007A03EF">
        <w:rPr>
          <w:i/>
          <w:sz w:val="20"/>
        </w:rPr>
        <w:tab/>
        <w:t>Per</w:t>
      </w:r>
      <w:r w:rsidRPr="007A03EF">
        <w:rPr>
          <w:sz w:val="20"/>
        </w:rPr>
        <w:t xml:space="preserve"> </w:t>
      </w:r>
      <w:r w:rsidRPr="007A03EF">
        <w:rPr>
          <w:b/>
          <w:sz w:val="20"/>
        </w:rPr>
        <w:t>McLachlin </w:t>
      </w:r>
      <w:r w:rsidRPr="007A03EF">
        <w:rPr>
          <w:sz w:val="20"/>
        </w:rPr>
        <w:t xml:space="preserve">C.J. and Wagner and Côté JJ. (dissenting in part): Deloitte owed a duty of care to Livent, which it breached when it failed to discover and expose Livent’s fraud in the </w:t>
      </w:r>
      <w:r w:rsidRPr="00CD451A">
        <w:rPr>
          <w:rStyle w:val="SCCCoramChar"/>
          <w:sz w:val="20"/>
          <w:szCs w:val="20"/>
          <w:lang w:val="en-US"/>
        </w:rPr>
        <w:t>audited</w:t>
      </w:r>
      <w:r w:rsidRPr="007A03EF">
        <w:rPr>
          <w:sz w:val="20"/>
        </w:rPr>
        <w:t xml:space="preserve"> statements. However, Deloitte is not liable for the loss that befell Livent. The claim in tort must be dismissed. The result is the same with respect to Livent’s action in contract.</w:t>
      </w:r>
    </w:p>
    <w:p w:rsidR="00CD451A" w:rsidRPr="007A03EF" w:rsidRDefault="00CD451A" w:rsidP="00CD451A">
      <w:pPr>
        <w:pStyle w:val="SCCNormalDoubleSpacing"/>
        <w:spacing w:line="240" w:lineRule="auto"/>
        <w:rPr>
          <w:sz w:val="20"/>
        </w:rPr>
      </w:pPr>
    </w:p>
    <w:p w:rsidR="00CD451A" w:rsidRDefault="00CD451A" w:rsidP="00CD451A">
      <w:pPr>
        <w:pStyle w:val="SCCNormalDoubleSpacing"/>
        <w:spacing w:line="240" w:lineRule="auto"/>
        <w:rPr>
          <w:sz w:val="20"/>
        </w:rPr>
      </w:pPr>
      <w:r w:rsidRPr="007A03EF">
        <w:rPr>
          <w:sz w:val="20"/>
        </w:rPr>
        <w:tab/>
        <w:t>Courts have provided two doctrinal approaches for limiting recovery of pure economic loss flowing from negligent misstatement. The first is to hold that the scope of the duty of care of the advice</w:t>
      </w:r>
      <w:r w:rsidRPr="007A03EF">
        <w:rPr>
          <w:sz w:val="20"/>
        </w:rPr>
        <w:noBreakHyphen/>
        <w:t>giver does not cover the loss claimed. The second is to hold that the loss is too remote from the negligent act and thus was not legally caused by that act. Both inquiries invoke similar considerations and arrive at the same point. The remoteness inquiry looks at the wrongdoing and its proximity to the loss claimed. The factors to be considered are not closed. The advice</w:t>
      </w:r>
      <w:r w:rsidRPr="007A03EF">
        <w:rPr>
          <w:sz w:val="20"/>
        </w:rPr>
        <w:noBreakHyphen/>
        <w:t xml:space="preserve">giver’s knowledge of the claimant’s circumstances, the reasonable expectations arising from the relationship, and the presence of intervening factors that led to the loss may figure in the analysis. The scope of the duty of care inquiry looks to the relationship between the defendant’s advice and the plaintiff’s loss. It asks if that relationship was proximate. In cases of economic loss, it inquires into the purpose for which the advice was given and asks whether a reasonable person would have expected, or foreseen, that negligent advice would lead to the loss in question by virtue of the plaintiff’s reliance on the advice. </w:t>
      </w:r>
    </w:p>
    <w:p w:rsidR="00CD451A" w:rsidRPr="007A03EF" w:rsidRDefault="00CD451A" w:rsidP="00CD451A">
      <w:pPr>
        <w:pStyle w:val="SCCNormalDoubleSpacing"/>
        <w:spacing w:line="240" w:lineRule="auto"/>
        <w:rPr>
          <w:sz w:val="20"/>
        </w:rPr>
      </w:pPr>
    </w:p>
    <w:p w:rsidR="00CD451A" w:rsidRDefault="00CD451A" w:rsidP="00CD451A">
      <w:pPr>
        <w:pStyle w:val="SCCNormalDoubleSpacing"/>
        <w:spacing w:line="240" w:lineRule="auto"/>
        <w:rPr>
          <w:sz w:val="20"/>
        </w:rPr>
      </w:pPr>
      <w:r w:rsidRPr="007A03EF">
        <w:rPr>
          <w:sz w:val="20"/>
        </w:rPr>
        <w:tab/>
        <w:t>The duty of care inquiry leads to the two</w:t>
      </w:r>
      <w:r w:rsidRPr="007A03EF">
        <w:rPr>
          <w:sz w:val="20"/>
        </w:rPr>
        <w:noBreakHyphen/>
        <w:t>part test set out in</w:t>
      </w:r>
      <w:r w:rsidRPr="007A03EF">
        <w:rPr>
          <w:i/>
          <w:sz w:val="20"/>
        </w:rPr>
        <w:t xml:space="preserve"> Anns v. London Borough of Merton</w:t>
      </w:r>
      <w:r w:rsidRPr="007A03EF">
        <w:rPr>
          <w:sz w:val="20"/>
        </w:rPr>
        <w:t>, [1977] 2 All E.R. 492 (H.L.). The first part of the test asks whether there is proximity, or a sufficiently close relationship, between the parties. It focuses on the connection between the defendant’s undertaking or statement and the loss claimed. The purpose for which the statement was made is pivotal, and is a matter of fact to be determined on the evidence adduced at trial. </w:t>
      </w:r>
    </w:p>
    <w:p w:rsidR="00CD451A" w:rsidRPr="007A03EF" w:rsidRDefault="00CD451A" w:rsidP="00CD451A">
      <w:pPr>
        <w:pStyle w:val="SCCNormalDoubleSpacing"/>
        <w:spacing w:line="240" w:lineRule="auto"/>
        <w:rPr>
          <w:sz w:val="20"/>
        </w:rPr>
      </w:pPr>
    </w:p>
    <w:p w:rsidR="00CD451A" w:rsidRDefault="00CD451A" w:rsidP="00CD451A">
      <w:pPr>
        <w:pStyle w:val="SCCNormalDoubleSpacing"/>
        <w:spacing w:line="240" w:lineRule="auto"/>
        <w:rPr>
          <w:sz w:val="20"/>
        </w:rPr>
      </w:pPr>
      <w:r w:rsidRPr="007A03EF">
        <w:rPr>
          <w:sz w:val="20"/>
        </w:rPr>
        <w:tab/>
        <w:t xml:space="preserve">In this case, three purposes of Livent’s audit statements are discernable: (1) to report accurately on Livent’s finances and provide it with audit opinions on which it could rely for the purpose of attracting investment; (2) to uncover errors or wrongdoing for the purpose of enabling Livent itself to correct or otherwise respond to the misfeasance; and (3) to provide audit reports on which Livent’s shareholders could rely to supervise Livent’s management. The scope of Deloitte’s duty of care is defined solely by these purposes. </w:t>
      </w:r>
    </w:p>
    <w:p w:rsidR="00CD451A" w:rsidRPr="007A03EF" w:rsidRDefault="00CD451A" w:rsidP="00CD451A">
      <w:pPr>
        <w:pStyle w:val="SCCNormalDoubleSpacing"/>
        <w:spacing w:line="240" w:lineRule="auto"/>
        <w:rPr>
          <w:sz w:val="20"/>
        </w:rPr>
      </w:pPr>
    </w:p>
    <w:p w:rsidR="00CD451A" w:rsidRDefault="00CD451A" w:rsidP="00CD451A">
      <w:pPr>
        <w:pStyle w:val="SCCNormalDoubleSpacing"/>
        <w:spacing w:line="240" w:lineRule="auto"/>
        <w:rPr>
          <w:sz w:val="20"/>
        </w:rPr>
      </w:pPr>
      <w:r w:rsidRPr="007A03EF">
        <w:rPr>
          <w:sz w:val="20"/>
        </w:rPr>
        <w:tab/>
        <w:t>Deloitte’s wrongful act did not deprive Livent of the ability to attract investment capital. In fact, Livent attracted a great deal of capital on the strength of Deloitte’s statements. Likewise, Deloitte’s wrongful act did not prevent Livent from detecting misfeasance in the company’s management, which Livent would have corrected had it known. Finally, Livent did not prove that Deloitte’s wrongdoing prevented its shareholders from exercising supervision in a manner that would have ended the company’s loss</w:t>
      </w:r>
      <w:r w:rsidRPr="007A03EF">
        <w:rPr>
          <w:sz w:val="20"/>
        </w:rPr>
        <w:noBreakHyphen/>
        <w:t>creating activities at an earlier date. The trial judge did not find that Livent’s shareholders relied on Deloitte’s negligent audit statements, or that had they received and relied on accurate statements, they would have acted in a way that would have prevented Livent from carrying on business and diminishing its assets in the period between the issuance of the relevant statements and Livent’s insolvency. Crucially, the trial judge did not ask whether the shareholders had in fact relied on the audits and he did not ask whether, if they had relied, this reliance prevented them from taking steps to alter course. Finally, he did not ask whether these actions, had they been taken, would have prevented the losses that Livent built up during the seven</w:t>
      </w:r>
      <w:r w:rsidRPr="007A03EF">
        <w:rPr>
          <w:sz w:val="20"/>
        </w:rPr>
        <w:noBreakHyphen/>
        <w:t xml:space="preserve">month period in question. If the trial judge had asked these </w:t>
      </w:r>
      <w:r w:rsidRPr="007A03EF">
        <w:rPr>
          <w:sz w:val="20"/>
        </w:rPr>
        <w:lastRenderedPageBreak/>
        <w:t xml:space="preserve">questions, he would have been obliged to answer them in the negative, since Livent offered no proof to support affirmative answers. As a result, the factual basis for establishing loss on the basis of shareholder supervision was entirely lacking. </w:t>
      </w:r>
    </w:p>
    <w:p w:rsidR="00CD451A" w:rsidRPr="007A03EF" w:rsidRDefault="00CD451A" w:rsidP="00CD451A">
      <w:pPr>
        <w:pStyle w:val="SCCNormalDoubleSpacing"/>
        <w:spacing w:line="240" w:lineRule="auto"/>
        <w:rPr>
          <w:sz w:val="20"/>
        </w:rPr>
      </w:pPr>
    </w:p>
    <w:p w:rsidR="00CD451A" w:rsidRDefault="00CD451A" w:rsidP="00CD451A">
      <w:pPr>
        <w:pStyle w:val="SCCNormalDoubleSpacing"/>
        <w:spacing w:line="240" w:lineRule="auto"/>
        <w:rPr>
          <w:sz w:val="20"/>
        </w:rPr>
      </w:pPr>
      <w:r w:rsidRPr="007A03EF">
        <w:rPr>
          <w:sz w:val="20"/>
        </w:rPr>
        <w:tab/>
        <w:t xml:space="preserve">The majority suggests that, had Deloitte provided sound audit reports, Livent’s shareholders and management may have made decisions that would have limited the company’s losses. While this may be true, it is not enough to rely on unproven assertions to define the scope of the duty of care and to subsequently demonstrate causation. The majority’s approach suggests that an auditor will generally become the underwriter for any losses suffered by a client following a negligent audit report. This, notwithstanding subsequent decisions — reliant or capricious — made by the client’s shareholders. However, reliance cannot be presumed; it must be proved. </w:t>
      </w:r>
    </w:p>
    <w:p w:rsidR="00CD451A" w:rsidRPr="007A03EF" w:rsidRDefault="00CD451A" w:rsidP="00CD451A">
      <w:pPr>
        <w:pStyle w:val="SCCNormalDoubleSpacing"/>
        <w:spacing w:line="240" w:lineRule="auto"/>
        <w:rPr>
          <w:sz w:val="20"/>
        </w:rPr>
      </w:pPr>
    </w:p>
    <w:p w:rsidR="00CD451A" w:rsidRDefault="00CD451A" w:rsidP="00CD451A">
      <w:pPr>
        <w:pStyle w:val="SCCNormalDoubleSpacing"/>
        <w:spacing w:line="240" w:lineRule="auto"/>
        <w:rPr>
          <w:sz w:val="20"/>
        </w:rPr>
      </w:pPr>
      <w:r w:rsidRPr="007A03EF">
        <w:rPr>
          <w:sz w:val="20"/>
        </w:rPr>
        <w:tab/>
        <w:t xml:space="preserve">Because the loss at issue has not been shown to fall within the scope of Deloitte’s duty of care, the first step of the </w:t>
      </w:r>
      <w:r w:rsidRPr="007A03EF">
        <w:rPr>
          <w:i/>
          <w:sz w:val="20"/>
        </w:rPr>
        <w:t>Anns</w:t>
      </w:r>
      <w:r w:rsidRPr="007A03EF">
        <w:rPr>
          <w:sz w:val="20"/>
        </w:rPr>
        <w:t xml:space="preserve"> test is not established. It is therefore unnecessary to go on to ask whether </w:t>
      </w:r>
      <w:r w:rsidRPr="007A03EF">
        <w:rPr>
          <w:i/>
          <w:sz w:val="20"/>
        </w:rPr>
        <w:t>prima facie</w:t>
      </w:r>
      <w:r w:rsidRPr="007A03EF">
        <w:rPr>
          <w:sz w:val="20"/>
        </w:rPr>
        <w:t xml:space="preserve"> liability is negated by policy considerations unrelated to the relationship between the parties. However, were it necessary to do so, the policy considerations of unfair allocation of loss and indeterminacy would preclude imposing liability on Deloitte.</w:t>
      </w:r>
      <w:r w:rsidRPr="007A03EF" w:rsidDel="000D4D0C">
        <w:rPr>
          <w:sz w:val="20"/>
        </w:rPr>
        <w:t xml:space="preserve"> </w:t>
      </w:r>
    </w:p>
    <w:p w:rsidR="00CD451A" w:rsidRPr="007A03EF" w:rsidRDefault="00CD451A" w:rsidP="00CD451A">
      <w:pPr>
        <w:pStyle w:val="SCCNormalDoubleSpacing"/>
        <w:spacing w:line="240" w:lineRule="auto"/>
        <w:rPr>
          <w:sz w:val="20"/>
        </w:rPr>
      </w:pPr>
    </w:p>
    <w:p w:rsidR="00CD451A" w:rsidRDefault="00CD451A" w:rsidP="00CD451A">
      <w:pPr>
        <w:pStyle w:val="SCCNormalDoubleSpacing"/>
        <w:spacing w:line="240" w:lineRule="auto"/>
        <w:rPr>
          <w:sz w:val="20"/>
        </w:rPr>
      </w:pPr>
      <w:r w:rsidRPr="007A03EF">
        <w:rPr>
          <w:sz w:val="20"/>
        </w:rPr>
        <w:tab/>
        <w:t>APPEAL from a judgment of the Ontario Court of Appeal (Strathy C.J. and Blair and Lauwers JJ.A.), 2016 ONCA 11, 128 O.R. (3d) 225, 393 D.L.R. (4th) 1, 342 O.A.C. 201, 52 B.L.R. (5th) 225, 31 C.B.R. (6th) 205, 24 C.C.L.T. (4th) 177, [2016] O.J. No. 51 (QL), 2016 CarswellOnt 122 (WL Can.), affirming a decision of Gans J., 2014 ONSC 2176, 11 C.B.R. (6th) 12, 10 C.C.L.T. (4th) 182, 26 B.L.R. (5th) 15, [2014] O.J. No. 1635 (QL), 2014 CarswellOnt 4365 (WL Can.). Appeal allowed in part, McLachlin C.J. and Wagner and Côté JJ. dissenting in part.</w:t>
      </w:r>
    </w:p>
    <w:p w:rsidR="00CD451A" w:rsidRPr="007A03EF" w:rsidRDefault="00CD451A" w:rsidP="00CD451A">
      <w:pPr>
        <w:pStyle w:val="SCCNormalDoubleSpacing"/>
        <w:spacing w:line="240" w:lineRule="auto"/>
        <w:rPr>
          <w:sz w:val="20"/>
        </w:rPr>
      </w:pPr>
    </w:p>
    <w:p w:rsidR="00CD451A" w:rsidRDefault="00CD451A" w:rsidP="00CD451A">
      <w:pPr>
        <w:pStyle w:val="SCCNormalDoubleSpacing"/>
        <w:spacing w:line="240" w:lineRule="auto"/>
        <w:rPr>
          <w:rStyle w:val="SCCCounselPartyRoleChar"/>
          <w:sz w:val="20"/>
        </w:rPr>
      </w:pPr>
      <w:r w:rsidRPr="007A03EF">
        <w:rPr>
          <w:rStyle w:val="SCCCounselNameChar"/>
          <w:sz w:val="20"/>
        </w:rPr>
        <w:tab/>
        <w:t>Peter H. Griffin</w:t>
      </w:r>
      <w:r w:rsidRPr="00CD451A">
        <w:rPr>
          <w:rStyle w:val="SCCCounselSeparatorChar"/>
          <w:rFonts w:eastAsia="Calibri"/>
          <w:sz w:val="20"/>
          <w:lang w:val="en-US"/>
        </w:rPr>
        <w:t xml:space="preserve">, </w:t>
      </w:r>
      <w:r w:rsidRPr="007A03EF">
        <w:rPr>
          <w:rStyle w:val="SCCCounselNameChar"/>
          <w:sz w:val="20"/>
        </w:rPr>
        <w:t>Matthew Fleming, Scott Rollwagen</w:t>
      </w:r>
      <w:r w:rsidRPr="00CD451A">
        <w:rPr>
          <w:rStyle w:val="SCCCounselSeparatorChar"/>
          <w:rFonts w:eastAsia="Calibri"/>
          <w:sz w:val="20"/>
          <w:lang w:val="en-US"/>
        </w:rPr>
        <w:t xml:space="preserve"> and </w:t>
      </w:r>
      <w:r w:rsidRPr="007A03EF">
        <w:rPr>
          <w:rStyle w:val="SCCCounselNameChar"/>
          <w:sz w:val="20"/>
        </w:rPr>
        <w:t>Nina Bombier</w:t>
      </w:r>
      <w:r w:rsidRPr="007A03EF">
        <w:rPr>
          <w:rStyle w:val="SCCCounselPartyRoleChar"/>
          <w:sz w:val="20"/>
        </w:rPr>
        <w:t>, for the appellant.</w:t>
      </w:r>
    </w:p>
    <w:p w:rsidR="00CD451A" w:rsidRPr="007A03EF" w:rsidRDefault="00CD451A" w:rsidP="00CD451A">
      <w:pPr>
        <w:pStyle w:val="SCCNormalDoubleSpacing"/>
        <w:spacing w:line="240" w:lineRule="auto"/>
        <w:rPr>
          <w:sz w:val="20"/>
        </w:rPr>
      </w:pPr>
    </w:p>
    <w:p w:rsidR="00CD451A" w:rsidRDefault="00CD451A" w:rsidP="00CD451A">
      <w:pPr>
        <w:pStyle w:val="SCCNormalDoubleSpacing"/>
        <w:spacing w:line="240" w:lineRule="auto"/>
        <w:rPr>
          <w:rStyle w:val="SCCCounselPartyRoleChar"/>
          <w:sz w:val="20"/>
        </w:rPr>
      </w:pPr>
      <w:r w:rsidRPr="007A03EF">
        <w:rPr>
          <w:rStyle w:val="SCCCounselNameChar"/>
          <w:sz w:val="20"/>
        </w:rPr>
        <w:tab/>
        <w:t>Peter F. C. Howard</w:t>
      </w:r>
      <w:r w:rsidRPr="00CD451A">
        <w:rPr>
          <w:rStyle w:val="SCCCounselSeparatorChar"/>
          <w:rFonts w:eastAsia="Calibri"/>
          <w:sz w:val="20"/>
          <w:lang w:val="en-US"/>
        </w:rPr>
        <w:t xml:space="preserve">, </w:t>
      </w:r>
      <w:r w:rsidRPr="007A03EF">
        <w:rPr>
          <w:rStyle w:val="SCCCounselNameChar"/>
          <w:sz w:val="20"/>
        </w:rPr>
        <w:t xml:space="preserve">Patrick O’Kelly, Nicholas McHaffie </w:t>
      </w:r>
      <w:r w:rsidRPr="00CD451A">
        <w:rPr>
          <w:rStyle w:val="SCCCounselSeparatorChar"/>
          <w:rFonts w:eastAsia="Calibri"/>
          <w:sz w:val="20"/>
          <w:lang w:val="en-US"/>
        </w:rPr>
        <w:t>and</w:t>
      </w:r>
      <w:r w:rsidRPr="007A03EF">
        <w:rPr>
          <w:rStyle w:val="SCCCounselNameChar"/>
          <w:sz w:val="20"/>
        </w:rPr>
        <w:t xml:space="preserve"> Aaron Kreaden</w:t>
      </w:r>
      <w:r w:rsidRPr="007A03EF">
        <w:rPr>
          <w:rStyle w:val="SCCCounselPartyRoleChar"/>
          <w:sz w:val="20"/>
        </w:rPr>
        <w:t>, for the respondent.</w:t>
      </w:r>
    </w:p>
    <w:p w:rsidR="00CD451A" w:rsidRPr="007A03EF" w:rsidRDefault="00CD451A" w:rsidP="00CD451A">
      <w:pPr>
        <w:pStyle w:val="SCCNormalDoubleSpacing"/>
        <w:spacing w:line="240" w:lineRule="auto"/>
        <w:rPr>
          <w:sz w:val="20"/>
        </w:rPr>
      </w:pPr>
    </w:p>
    <w:p w:rsidR="00CD451A" w:rsidRDefault="00CD451A" w:rsidP="00CD451A">
      <w:pPr>
        <w:pStyle w:val="SCCNormalDoubleSpacing"/>
        <w:spacing w:line="240" w:lineRule="auto"/>
        <w:rPr>
          <w:rStyle w:val="SCCCounselPartyRoleChar"/>
          <w:sz w:val="20"/>
        </w:rPr>
      </w:pPr>
      <w:r w:rsidRPr="007A03EF">
        <w:rPr>
          <w:rStyle w:val="SCCCounselNameChar"/>
          <w:sz w:val="20"/>
        </w:rPr>
        <w:tab/>
        <w:t>Markus Koehnen</w:t>
      </w:r>
      <w:r w:rsidRPr="00CD451A">
        <w:rPr>
          <w:rStyle w:val="SCCCounselSeparatorChar"/>
          <w:rFonts w:eastAsia="Calibri"/>
          <w:sz w:val="20"/>
          <w:lang w:val="en-US"/>
        </w:rPr>
        <w:t xml:space="preserve">, </w:t>
      </w:r>
      <w:r w:rsidRPr="007A03EF">
        <w:rPr>
          <w:rStyle w:val="SCCCounselNameChar"/>
          <w:sz w:val="20"/>
        </w:rPr>
        <w:t>David Kent</w:t>
      </w:r>
      <w:r w:rsidRPr="00CD451A">
        <w:rPr>
          <w:rStyle w:val="SCCCounselSeparatorChar"/>
          <w:rFonts w:eastAsia="Calibri"/>
          <w:sz w:val="20"/>
          <w:lang w:val="en-US"/>
        </w:rPr>
        <w:t xml:space="preserve"> and </w:t>
      </w:r>
      <w:r w:rsidRPr="007A03EF">
        <w:rPr>
          <w:rStyle w:val="SCCCounselNameChar"/>
          <w:sz w:val="20"/>
        </w:rPr>
        <w:t>Jeffrey Levine</w:t>
      </w:r>
      <w:r w:rsidRPr="007A03EF">
        <w:rPr>
          <w:rStyle w:val="SCCCounselPartyRoleChar"/>
          <w:sz w:val="20"/>
        </w:rPr>
        <w:t>, for the intervener the Canadian Coalition for Good Governance.</w:t>
      </w:r>
    </w:p>
    <w:p w:rsidR="00CD451A" w:rsidRPr="007A03EF" w:rsidRDefault="00CD451A" w:rsidP="00CD451A">
      <w:pPr>
        <w:pStyle w:val="SCCNormalDoubleSpacing"/>
        <w:spacing w:line="240" w:lineRule="auto"/>
        <w:rPr>
          <w:sz w:val="20"/>
        </w:rPr>
      </w:pPr>
    </w:p>
    <w:p w:rsidR="00CD451A" w:rsidRPr="007A03EF" w:rsidRDefault="00CD451A" w:rsidP="00CD451A">
      <w:pPr>
        <w:pStyle w:val="SCCNormalDoubleSpacing"/>
        <w:spacing w:line="240" w:lineRule="auto"/>
        <w:rPr>
          <w:sz w:val="20"/>
        </w:rPr>
      </w:pPr>
      <w:r w:rsidRPr="007A03EF">
        <w:rPr>
          <w:rStyle w:val="SCCCounselNameChar"/>
          <w:sz w:val="20"/>
        </w:rPr>
        <w:tab/>
        <w:t>Guy J. Pratte, Nadia Effendi</w:t>
      </w:r>
      <w:r w:rsidRPr="00CD451A">
        <w:rPr>
          <w:rStyle w:val="SCCCounselSeparatorChar"/>
          <w:rFonts w:eastAsia="Calibri"/>
          <w:sz w:val="20"/>
          <w:lang w:val="en-US"/>
        </w:rPr>
        <w:t xml:space="preserve"> and </w:t>
      </w:r>
      <w:r w:rsidRPr="007A03EF">
        <w:rPr>
          <w:rStyle w:val="SCCCounselNameChar"/>
          <w:sz w:val="20"/>
        </w:rPr>
        <w:t>Duncan A. W. Ault</w:t>
      </w:r>
      <w:r w:rsidRPr="007A03EF">
        <w:rPr>
          <w:rStyle w:val="SCCCounselPartyRoleChar"/>
          <w:sz w:val="20"/>
        </w:rPr>
        <w:t>, for the intervener Chartered Professional Accountants of Canada.</w:t>
      </w:r>
    </w:p>
    <w:p w:rsidR="00CD451A" w:rsidRDefault="00CD451A" w:rsidP="00CD451A">
      <w:pPr>
        <w:pStyle w:val="SCCNormalDoubleSpacing"/>
        <w:spacing w:line="240" w:lineRule="auto"/>
        <w:rPr>
          <w:sz w:val="20"/>
        </w:rPr>
      </w:pPr>
    </w:p>
    <w:p w:rsidR="00A056EE" w:rsidRPr="00432B1A" w:rsidRDefault="00CD451A" w:rsidP="005C6840">
      <w:pPr>
        <w:rPr>
          <w:rFonts w:cs="Times New Roman"/>
          <w:sz w:val="20"/>
          <w:szCs w:val="20"/>
          <w:lang w:val="fr-CA"/>
        </w:rPr>
      </w:pPr>
      <w:r w:rsidRPr="00432B1A">
        <w:rPr>
          <w:rFonts w:cs="Times New Roman"/>
          <w:sz w:val="20"/>
          <w:szCs w:val="20"/>
          <w:lang w:val="fr-CA"/>
        </w:rPr>
        <w:t>__________________</w:t>
      </w:r>
    </w:p>
    <w:p w:rsidR="00A056EE" w:rsidRPr="00432B1A" w:rsidRDefault="00A056EE" w:rsidP="005C6840">
      <w:pPr>
        <w:rPr>
          <w:rFonts w:cs="Times New Roman"/>
          <w:sz w:val="20"/>
          <w:szCs w:val="20"/>
          <w:lang w:val="fr-CA"/>
        </w:rPr>
      </w:pPr>
    </w:p>
    <w:p w:rsidR="00432B1A" w:rsidRPr="00C75BA4" w:rsidRDefault="00432B1A" w:rsidP="00432B1A">
      <w:pPr>
        <w:jc w:val="both"/>
        <w:rPr>
          <w:sz w:val="20"/>
          <w:szCs w:val="20"/>
          <w:lang w:val="fr-CA"/>
        </w:rPr>
      </w:pPr>
      <w:r w:rsidRPr="00C75BA4">
        <w:rPr>
          <w:sz w:val="20"/>
          <w:szCs w:val="20"/>
          <w:lang w:val="fr-CA"/>
        </w:rPr>
        <w:t>Présents : La juge en chef McLachlin et les juges Karakatsanis, Wagner, Gascon, Côté, Brown et Rowe.</w:t>
      </w:r>
    </w:p>
    <w:p w:rsidR="00432B1A" w:rsidRDefault="00432B1A" w:rsidP="00432B1A">
      <w:pPr>
        <w:pStyle w:val="SCCNormalDoubleSpacing"/>
        <w:spacing w:line="240" w:lineRule="auto"/>
        <w:rPr>
          <w:sz w:val="20"/>
          <w:lang w:val="fr-CA"/>
        </w:rPr>
      </w:pPr>
    </w:p>
    <w:p w:rsidR="00432B1A" w:rsidRDefault="00432B1A" w:rsidP="00432B1A">
      <w:pPr>
        <w:pStyle w:val="SCCNormalDoubleSpacing"/>
        <w:spacing w:line="240" w:lineRule="auto"/>
        <w:rPr>
          <w:i/>
          <w:noProof/>
          <w:sz w:val="20"/>
          <w:lang w:val="fr-CA"/>
        </w:rPr>
      </w:pPr>
      <w:r w:rsidRPr="00C75BA4">
        <w:rPr>
          <w:sz w:val="20"/>
          <w:lang w:val="fr-CA"/>
        </w:rPr>
        <w:tab/>
      </w:r>
      <w:r w:rsidRPr="00C75BA4">
        <w:rPr>
          <w:i/>
          <w:sz w:val="20"/>
          <w:lang w:val="fr-CA"/>
        </w:rPr>
        <w:t xml:space="preserve">Responsabilité délictuelle — Obligation de diligence — Négligence </w:t>
      </w:r>
      <w:r w:rsidRPr="00C75BA4">
        <w:rPr>
          <w:i/>
          <w:noProof/>
          <w:sz w:val="20"/>
          <w:lang w:val="fr-CA"/>
        </w:rPr>
        <w:t>— Déclaration inexacte faite par négligence — Défaut du vérificateur de découvrir la fraude des administrateurs d’une société et pertes subies par la société — Application correcte du cadre d’analyse permettant d’établir la responsabilité délictuelle dans les cas de déclaration inexacte faite par négligence ou de prestation négligente d’un service par un vérificateur — Le vérificateur a</w:t>
      </w:r>
      <w:r w:rsidRPr="00C75BA4">
        <w:rPr>
          <w:i/>
          <w:noProof/>
          <w:sz w:val="20"/>
          <w:lang w:val="fr-CA"/>
        </w:rPr>
        <w:noBreakHyphen/>
        <w:t>t</w:t>
      </w:r>
      <w:r w:rsidRPr="00C75BA4">
        <w:rPr>
          <w:i/>
          <w:noProof/>
          <w:sz w:val="20"/>
          <w:lang w:val="fr-CA"/>
        </w:rPr>
        <w:noBreakHyphen/>
        <w:t>il manqué à l’obligation de diligence et est</w:t>
      </w:r>
      <w:r w:rsidRPr="00C75BA4">
        <w:rPr>
          <w:i/>
          <w:noProof/>
          <w:sz w:val="20"/>
          <w:lang w:val="fr-CA"/>
        </w:rPr>
        <w:noBreakHyphen/>
        <w:t>il en conséquence responsable des pertes de la société? — Date à compter de laquelle il convient de calculer le montant des dommages</w:t>
      </w:r>
      <w:r w:rsidRPr="00C75BA4">
        <w:rPr>
          <w:i/>
          <w:noProof/>
          <w:sz w:val="20"/>
          <w:lang w:val="fr-CA"/>
        </w:rPr>
        <w:noBreakHyphen/>
        <w:t>intérêts.</w:t>
      </w:r>
    </w:p>
    <w:p w:rsidR="00432B1A" w:rsidRPr="00C75BA4" w:rsidRDefault="00432B1A" w:rsidP="00432B1A">
      <w:pPr>
        <w:pStyle w:val="SCCNormalDoubleSpacing"/>
        <w:spacing w:line="240" w:lineRule="auto"/>
        <w:rPr>
          <w:i/>
          <w:sz w:val="20"/>
          <w:lang w:val="fr-CA"/>
        </w:rPr>
      </w:pPr>
    </w:p>
    <w:p w:rsidR="00432B1A" w:rsidRDefault="00432B1A" w:rsidP="00432B1A">
      <w:pPr>
        <w:pStyle w:val="SCCNormalDoubleSpacing"/>
        <w:spacing w:line="240" w:lineRule="auto"/>
        <w:rPr>
          <w:noProof/>
          <w:sz w:val="20"/>
          <w:lang w:val="fr-CA"/>
        </w:rPr>
      </w:pPr>
      <w:r w:rsidRPr="00C75BA4">
        <w:rPr>
          <w:sz w:val="20"/>
          <w:lang w:val="fr-CA"/>
        </w:rPr>
        <w:tab/>
        <w:t>Livent a produit et présenté des spectacles dans les théâtres qu’elle possédait au Canada et aux États</w:t>
      </w:r>
      <w:r w:rsidRPr="00C75BA4">
        <w:rPr>
          <w:sz w:val="20"/>
          <w:lang w:val="fr-CA"/>
        </w:rPr>
        <w:noBreakHyphen/>
        <w:t xml:space="preserve">Unis, et ses actions étaient cotées à la bourse dans ces deux pays. Afin d’accroître le succès de Livent, ses administrateurs ont </w:t>
      </w:r>
      <w:r w:rsidRPr="00C75BA4">
        <w:rPr>
          <w:noProof/>
          <w:sz w:val="20"/>
          <w:lang w:val="fr-CA"/>
        </w:rPr>
        <w:t xml:space="preserve">manipulé les documents financiers de l’entreprise. Deloitte était le vérificateur de Livent; elle n’a jamais découvert la fraude. En août 1997 cependant, Deloitte a découvert des irrégularités dans la comptabilisation des profits de la vente d’un actif. Deloitte n’a pas démissionné. Afin d’aider Livent à solliciter des investissements, Deloitte l’a plutôt aidée à préparer, et elle a approuvé, un communiqué de presse publié en septembre 1997 qui présentait de façon inexacte la comptabilisation des profits. En octobre 1997, Deloitte a fourni une lettre de confort pour un appel public à l’épargne. Elle a également préparé le rapport du vérificateur pour l’exercice 1997 de Livent, rapport qu’elle a finalisé en avril 1998. De nouveaux investisseurs ont plus tard découvert la fraude. Une enquête et une nouvelle vérification ultérieures ont donné lieu à des états financiers modifiés. En novembre 1998, Livent a demandé la protection contre l’insolvabilité. Elle a vendu ses éléments d’actif et a été mise sous séquestre en 1999. Livent a plus tard poursuivi Deloitte en responsabilité délictuelle et en responsabilité contractuelle. </w:t>
      </w:r>
    </w:p>
    <w:p w:rsidR="00432B1A" w:rsidRPr="00C75BA4" w:rsidRDefault="00432B1A" w:rsidP="00432B1A">
      <w:pPr>
        <w:pStyle w:val="SCCNormalDoubleSpacing"/>
        <w:spacing w:line="240" w:lineRule="auto"/>
        <w:rPr>
          <w:noProof/>
          <w:sz w:val="20"/>
          <w:lang w:val="fr-CA"/>
        </w:rPr>
      </w:pPr>
    </w:p>
    <w:p w:rsidR="00432B1A" w:rsidRDefault="00432B1A" w:rsidP="00432B1A">
      <w:pPr>
        <w:pStyle w:val="SCCNormalDoubleSpacing"/>
        <w:spacing w:line="240" w:lineRule="auto"/>
        <w:rPr>
          <w:noProof/>
          <w:sz w:val="20"/>
          <w:lang w:val="fr-CA"/>
        </w:rPr>
      </w:pPr>
      <w:r w:rsidRPr="00C75BA4">
        <w:rPr>
          <w:noProof/>
          <w:sz w:val="20"/>
          <w:lang w:val="fr-CA"/>
        </w:rPr>
        <w:lastRenderedPageBreak/>
        <w:tab/>
        <w:t xml:space="preserve">Le juge de première instance a conclu que Deloitte avait une obligation de diligence </w:t>
      </w:r>
      <w:r w:rsidRPr="00C75BA4">
        <w:rPr>
          <w:bCs/>
          <w:noProof/>
          <w:sz w:val="20"/>
          <w:lang w:val="fr-CA"/>
        </w:rPr>
        <w:t xml:space="preserve">pour fournir des renseignements exacts aux actionnaires de Livent. </w:t>
      </w:r>
      <w:r w:rsidRPr="00C75BA4">
        <w:rPr>
          <w:noProof/>
          <w:sz w:val="20"/>
          <w:lang w:val="fr-CA"/>
        </w:rPr>
        <w:t xml:space="preserve">Il </w:t>
      </w:r>
      <w:r w:rsidRPr="00C75BA4">
        <w:rPr>
          <w:bCs/>
          <w:noProof/>
          <w:sz w:val="20"/>
          <w:lang w:val="fr-CA"/>
        </w:rPr>
        <w:t>a conclu que Deloitte n’avait pas respecté la norme de diligence applicable en vertu de cette obligation, soit en août 1997, lorsqu’elle n’a pas découvert la fraude et n’a pas pris les mesures que cette découverte rendait nécessaires, ou en avril 1998, lorsqu’elle a approuvé les états financiers de 1997 de Livent. Le juge de première instance a conclu que le montant des dommages</w:t>
      </w:r>
      <w:r w:rsidRPr="00C75BA4">
        <w:rPr>
          <w:bCs/>
          <w:noProof/>
          <w:sz w:val="20"/>
          <w:lang w:val="fr-CA"/>
        </w:rPr>
        <w:noBreakHyphen/>
        <w:t xml:space="preserve">intérêts équivalait à l’écart entre la valeur de Livent à la date à laquelle Deloitte aurait dû démissionner et la valeur de Livent au moment de la faillite. Il a retranché 25 pour cent de ce montant pour tenir compte des imprévus ou des </w:t>
      </w:r>
      <w:r w:rsidRPr="00C75BA4">
        <w:rPr>
          <w:sz w:val="20"/>
          <w:lang w:val="fr-CA"/>
        </w:rPr>
        <w:t xml:space="preserve">pertes commerciales </w:t>
      </w:r>
      <w:r w:rsidRPr="00C75BA4">
        <w:rPr>
          <w:bCs/>
          <w:noProof/>
          <w:sz w:val="20"/>
          <w:lang w:val="fr-CA"/>
        </w:rPr>
        <w:t>qui, selon lui, étaient trop éloignées pour que Deloitte puisse en être tenue responsable. En conséquence, le juge de première instance a accordé à Livent des dommages</w:t>
      </w:r>
      <w:r w:rsidRPr="00C75BA4">
        <w:rPr>
          <w:bCs/>
          <w:noProof/>
          <w:sz w:val="20"/>
          <w:lang w:val="fr-CA"/>
        </w:rPr>
        <w:noBreakHyphen/>
        <w:t xml:space="preserve">intérêts s’élevant à 84 750 000 dollars pour manquement à son obligation de diligence ou, autrement, pour violation de contrat. </w:t>
      </w:r>
      <w:r w:rsidRPr="00C75BA4">
        <w:rPr>
          <w:noProof/>
          <w:sz w:val="20"/>
          <w:lang w:val="fr-CA"/>
        </w:rPr>
        <w:t>La Cour d’appel a confirmé la décision du juge de première instance et a rejeté l’appel de Deloitte et l’appel incident de Livent.</w:t>
      </w:r>
    </w:p>
    <w:p w:rsidR="00432B1A" w:rsidRPr="00C75BA4" w:rsidRDefault="00432B1A" w:rsidP="00432B1A">
      <w:pPr>
        <w:pStyle w:val="SCCNormalDoubleSpacing"/>
        <w:spacing w:line="240" w:lineRule="auto"/>
        <w:rPr>
          <w:sz w:val="20"/>
          <w:lang w:val="fr-CA"/>
        </w:rPr>
      </w:pPr>
    </w:p>
    <w:p w:rsidR="00432B1A" w:rsidRDefault="00432B1A" w:rsidP="00432B1A">
      <w:pPr>
        <w:pStyle w:val="SCCNormalDoubleSpacing"/>
        <w:spacing w:line="240" w:lineRule="auto"/>
        <w:rPr>
          <w:sz w:val="20"/>
          <w:lang w:val="fr-CA"/>
        </w:rPr>
      </w:pPr>
      <w:r w:rsidRPr="00C75BA4">
        <w:rPr>
          <w:sz w:val="20"/>
          <w:lang w:val="fr-CA"/>
        </w:rPr>
        <w:tab/>
      </w:r>
      <w:r w:rsidRPr="00C75BA4">
        <w:rPr>
          <w:i/>
          <w:sz w:val="20"/>
          <w:lang w:val="fr-CA"/>
        </w:rPr>
        <w:t>Arrêt</w:t>
      </w:r>
      <w:r w:rsidRPr="00C75BA4">
        <w:rPr>
          <w:sz w:val="20"/>
          <w:lang w:val="fr-CA"/>
        </w:rPr>
        <w:t xml:space="preserve"> (la juge en chef McLachlin et les juges Wagner et Côté sont dissidents en partie) : Le pourvoi est accueilli en partie.</w:t>
      </w:r>
    </w:p>
    <w:p w:rsidR="00432B1A" w:rsidRPr="00C75BA4" w:rsidRDefault="00432B1A" w:rsidP="00432B1A">
      <w:pPr>
        <w:pStyle w:val="SCCNormalDoubleSpacing"/>
        <w:spacing w:line="240" w:lineRule="auto"/>
        <w:rPr>
          <w:sz w:val="20"/>
          <w:lang w:val="fr-CA"/>
        </w:rPr>
      </w:pPr>
    </w:p>
    <w:p w:rsidR="00432B1A" w:rsidRDefault="00432B1A" w:rsidP="00432B1A">
      <w:pPr>
        <w:pStyle w:val="SCCNormalDoubleSpacing"/>
        <w:spacing w:line="240" w:lineRule="auto"/>
        <w:rPr>
          <w:noProof/>
          <w:sz w:val="20"/>
          <w:lang w:val="fr-CA"/>
        </w:rPr>
      </w:pPr>
      <w:r w:rsidRPr="00C75BA4">
        <w:rPr>
          <w:sz w:val="20"/>
          <w:lang w:val="fr-CA"/>
        </w:rPr>
        <w:tab/>
      </w:r>
      <w:r w:rsidRPr="00C75BA4">
        <w:rPr>
          <w:i/>
          <w:sz w:val="20"/>
          <w:lang w:val="fr-CA"/>
        </w:rPr>
        <w:t>Les</w:t>
      </w:r>
      <w:r w:rsidRPr="00C75BA4">
        <w:rPr>
          <w:sz w:val="20"/>
          <w:lang w:val="fr-CA"/>
        </w:rPr>
        <w:t xml:space="preserve"> juges Karakatsanis, </w:t>
      </w:r>
      <w:r w:rsidRPr="00C75BA4">
        <w:rPr>
          <w:b/>
          <w:sz w:val="20"/>
          <w:lang w:val="fr-CA"/>
        </w:rPr>
        <w:t>Gascon</w:t>
      </w:r>
      <w:r w:rsidRPr="00C75BA4">
        <w:rPr>
          <w:sz w:val="20"/>
          <w:lang w:val="fr-CA"/>
        </w:rPr>
        <w:t xml:space="preserve">, </w:t>
      </w:r>
      <w:r w:rsidRPr="00C75BA4">
        <w:rPr>
          <w:b/>
          <w:sz w:val="20"/>
          <w:lang w:val="fr-CA"/>
        </w:rPr>
        <w:t>Brown</w:t>
      </w:r>
      <w:r w:rsidRPr="00C75BA4">
        <w:rPr>
          <w:sz w:val="20"/>
          <w:lang w:val="fr-CA"/>
        </w:rPr>
        <w:t xml:space="preserve"> et Rowe : </w:t>
      </w:r>
      <w:r w:rsidRPr="00C75BA4">
        <w:rPr>
          <w:noProof/>
          <w:sz w:val="20"/>
          <w:lang w:val="fr-CA"/>
        </w:rPr>
        <w:t xml:space="preserve">Le cadre général d’analyse établi dans l’arrêt </w:t>
      </w:r>
      <w:r w:rsidRPr="00C75BA4">
        <w:rPr>
          <w:i/>
          <w:sz w:val="20"/>
          <w:lang w:val="fr-CA"/>
        </w:rPr>
        <w:t>Anns c. London Borough of Merton</w:t>
      </w:r>
      <w:r w:rsidRPr="00C75BA4">
        <w:rPr>
          <w:sz w:val="20"/>
          <w:lang w:val="fr-CA"/>
        </w:rPr>
        <w:t>, [1997] 2 All E.R. 492</w:t>
      </w:r>
      <w:r w:rsidRPr="00C75BA4">
        <w:rPr>
          <w:noProof/>
          <w:sz w:val="20"/>
          <w:lang w:val="fr-CA"/>
        </w:rPr>
        <w:t xml:space="preserve"> (H.L.) et précisé plus tard dans </w:t>
      </w:r>
      <w:r w:rsidRPr="00C75BA4">
        <w:rPr>
          <w:i/>
          <w:noProof/>
          <w:sz w:val="20"/>
          <w:lang w:val="fr-CA"/>
        </w:rPr>
        <w:t>Cooper c. Hobart</w:t>
      </w:r>
      <w:r w:rsidRPr="00C75BA4">
        <w:rPr>
          <w:noProof/>
          <w:sz w:val="20"/>
          <w:lang w:val="fr-CA"/>
        </w:rPr>
        <w:t xml:space="preserve">, 2001 CSC 79, [2001] 3 R.C.S. 537, s’applique dans le cas d’une perte purement économique découlant d’une déclaration inexacte faite par négligence ou de la prestation négligente d’un service par un vérificateur. Le cadre d’analyse à deux volets des arrêts </w:t>
      </w:r>
      <w:r w:rsidRPr="00C75BA4">
        <w:rPr>
          <w:i/>
          <w:noProof/>
          <w:sz w:val="20"/>
          <w:lang w:val="fr-CA"/>
        </w:rPr>
        <w:t>Anns</w:t>
      </w:r>
      <w:r w:rsidRPr="00C75BA4">
        <w:rPr>
          <w:noProof/>
          <w:sz w:val="20"/>
          <w:lang w:val="fr-CA"/>
        </w:rPr>
        <w:t xml:space="preserve"> et </w:t>
      </w:r>
      <w:r w:rsidRPr="00C75BA4">
        <w:rPr>
          <w:i/>
          <w:noProof/>
          <w:sz w:val="20"/>
          <w:lang w:val="fr-CA"/>
        </w:rPr>
        <w:t>Cooper</w:t>
      </w:r>
      <w:r w:rsidRPr="00C75BA4">
        <w:rPr>
          <w:noProof/>
          <w:sz w:val="20"/>
          <w:lang w:val="fr-CA"/>
        </w:rPr>
        <w:t xml:space="preserve"> pose les questions de savoir s’il existe une obligation de diligence </w:t>
      </w:r>
      <w:r w:rsidRPr="00C75BA4">
        <w:rPr>
          <w:i/>
          <w:noProof/>
          <w:sz w:val="20"/>
          <w:lang w:val="fr-CA"/>
        </w:rPr>
        <w:t xml:space="preserve">prima facie </w:t>
      </w:r>
      <w:r w:rsidRPr="00C75BA4">
        <w:rPr>
          <w:noProof/>
          <w:sz w:val="20"/>
          <w:lang w:val="fr-CA"/>
        </w:rPr>
        <w:t xml:space="preserve">entre les parties, et si, dans l’affirmative, des considérations de politique résiduelles sont susceptibles d’écarter l’imposition d’une obligation de diligence. Au premier volet de l’analyse, il existe une obligation de diligence </w:t>
      </w:r>
      <w:r w:rsidRPr="00C75BA4">
        <w:rPr>
          <w:i/>
          <w:noProof/>
          <w:sz w:val="20"/>
          <w:lang w:val="fr-CA"/>
        </w:rPr>
        <w:t>prima facie</w:t>
      </w:r>
      <w:r w:rsidRPr="00C75BA4">
        <w:rPr>
          <w:noProof/>
          <w:sz w:val="20"/>
          <w:lang w:val="fr-CA"/>
        </w:rPr>
        <w:t xml:space="preserve"> lorsque le lien de proximité et la prévisibilité raisonnable d’un préjudice sont établis. Au moment de l’examen du lien de proximité, si un rapport relève d’une catégorie déjà établie, ou s’il s’agit d’un rapport analogue, l’existence du lien étroit et direct requis est établie. Sil est également possible d’établir l’existence d’un risque de préjudice raisonnablement prévisible, il est satisfait au premier volet du cadre d’analyse des arrêts </w:t>
      </w:r>
      <w:r w:rsidRPr="00C75BA4">
        <w:rPr>
          <w:i/>
          <w:noProof/>
          <w:sz w:val="20"/>
          <w:lang w:val="fr-CA"/>
        </w:rPr>
        <w:t xml:space="preserve">Anns </w:t>
      </w:r>
      <w:r w:rsidRPr="00C75BA4">
        <w:rPr>
          <w:noProof/>
          <w:sz w:val="20"/>
          <w:lang w:val="fr-CA"/>
        </w:rPr>
        <w:t>et</w:t>
      </w:r>
      <w:r w:rsidRPr="00C75BA4">
        <w:rPr>
          <w:i/>
          <w:noProof/>
          <w:sz w:val="20"/>
          <w:lang w:val="fr-CA"/>
        </w:rPr>
        <w:t xml:space="preserve"> Cooper</w:t>
      </w:r>
      <w:r w:rsidRPr="00C75BA4">
        <w:rPr>
          <w:noProof/>
          <w:sz w:val="20"/>
          <w:lang w:val="fr-CA"/>
        </w:rPr>
        <w:t xml:space="preserve"> et il est possible d’affirmer l’existence d’une obligation de diligence. Dans de telles circonstances, le deuxième volet du cadre d’analyse entrera rarement en jeu parce que les considérations de politique résiduelles auront déjà été prises en compte lorsque l’existence du lien de proximité a été reconnue.</w:t>
      </w:r>
    </w:p>
    <w:p w:rsidR="00432B1A" w:rsidRPr="00C75BA4" w:rsidRDefault="00432B1A" w:rsidP="00432B1A">
      <w:pPr>
        <w:pStyle w:val="SCCNormalDoubleSpacing"/>
        <w:spacing w:line="240" w:lineRule="auto"/>
        <w:rPr>
          <w:noProof/>
          <w:sz w:val="20"/>
          <w:lang w:val="fr-CA"/>
        </w:rPr>
      </w:pPr>
    </w:p>
    <w:p w:rsidR="00432B1A" w:rsidRDefault="00432B1A" w:rsidP="00432B1A">
      <w:pPr>
        <w:pStyle w:val="SCCNormalDoubleSpacing"/>
        <w:spacing w:line="240" w:lineRule="auto"/>
        <w:rPr>
          <w:noProof/>
          <w:sz w:val="20"/>
          <w:lang w:val="fr-CA"/>
        </w:rPr>
      </w:pPr>
      <w:r w:rsidRPr="00C75BA4">
        <w:rPr>
          <w:noProof/>
          <w:sz w:val="20"/>
          <w:lang w:val="fr-CA"/>
        </w:rPr>
        <w:tab/>
        <w:t>Lorsqu’ils ne peuvent conclure à l’existence d’un lien de proximité établi, les tribunaux doivent procéder à une analyse exhaustive à cet égard. Pour déterminer si le lien étroit et direct existe, les tribunaux doivent examiner tous les facteurs pertinents découlant du lien existant entre le demandeur et le défendeur. Dans le cas d’une perte purement économique attribuable à une déclaration inexacte faite par négligence ou à la prestation négligente d’un service, deux facteurs jouent un rôle déterminant dans l’analyse du lien de proximité : l’engagement pris par le défendeur et le fait pour le demandeur de s’y fier. Lorsqu’il s’engage à fournir une déclaration ou un service dans des circonstances qui invitent à la confiance raisonnable du demandeur, le défendeur est tenu d’agir avec diligence raisonnable, et le demandeur a le droit de se fier à l’engagement pris par le défendeur. Ce sont ces droits et ces obligations corollaires qui créent un lien de proximité. Toute décision de la part du demandeur de se fier à l’engagement qui excède la portée de la responsabilité assumée par le défendeur excède nécessairement le cadre du lien de proximité et, par conséquent, celui de l’obligation de diligence qui incombe au défendeur. Ce principe a pour effet de restreindre à juste titre la responsabilité au motif que le défendeur ne saurait être tenu responsable d’un risque de préjudice contre lequel il ne s’est pas engagé à protéger le demandeur.</w:t>
      </w:r>
    </w:p>
    <w:p w:rsidR="00432B1A" w:rsidRPr="00C75BA4" w:rsidRDefault="00432B1A" w:rsidP="00432B1A">
      <w:pPr>
        <w:pStyle w:val="SCCNormalDoubleSpacing"/>
        <w:spacing w:line="240" w:lineRule="auto"/>
        <w:rPr>
          <w:noProof/>
          <w:sz w:val="20"/>
          <w:lang w:val="fr-CA"/>
        </w:rPr>
      </w:pPr>
    </w:p>
    <w:p w:rsidR="00432B1A" w:rsidRDefault="00432B1A" w:rsidP="00432B1A">
      <w:pPr>
        <w:pStyle w:val="SCCNormalDoubleSpacing"/>
        <w:spacing w:line="240" w:lineRule="auto"/>
        <w:rPr>
          <w:noProof/>
          <w:sz w:val="20"/>
          <w:lang w:val="fr-CA"/>
        </w:rPr>
      </w:pPr>
      <w:r w:rsidRPr="00C75BA4">
        <w:rPr>
          <w:noProof/>
          <w:sz w:val="20"/>
          <w:lang w:val="fr-CA"/>
        </w:rPr>
        <w:tab/>
        <w:t xml:space="preserve">L’examen de la prévisibilité raisonnable dans le cadre de l’analyse relative à l’obligation de diligence </w:t>
      </w:r>
      <w:r w:rsidRPr="00C75BA4">
        <w:rPr>
          <w:i/>
          <w:noProof/>
          <w:sz w:val="20"/>
          <w:lang w:val="fr-CA"/>
        </w:rPr>
        <w:t xml:space="preserve">prima facie </w:t>
      </w:r>
      <w:r w:rsidRPr="00C75BA4">
        <w:rPr>
          <w:noProof/>
          <w:sz w:val="20"/>
          <w:lang w:val="fr-CA"/>
        </w:rPr>
        <w:t>consiste à se demander si le préjudice subi par le demandeur constituait une conséquence raisonnablement prévisible de la négligence du défendeur. La prévisibilité raisonnable s’attache à la probabilité de préjudice découlant de la négligence du défendeur. Dans les cas de déclaration inexacte faite par négligence ou de prestation négligente d’un service, le lien de proximité sert à guider l’analyse de la prévisibilité. L’objet qui sous</w:t>
      </w:r>
      <w:r w:rsidRPr="00C75BA4">
        <w:rPr>
          <w:noProof/>
          <w:sz w:val="20"/>
          <w:lang w:val="fr-CA"/>
        </w:rPr>
        <w:noBreakHyphen/>
        <w:t xml:space="preserve">tend l’engagement et le fait de se fier à cet engagement restreint </w:t>
      </w:r>
      <w:r w:rsidRPr="00C75BA4">
        <w:rPr>
          <w:sz w:val="20"/>
          <w:lang w:val="fr-CA"/>
        </w:rPr>
        <w:t>le type de</w:t>
      </w:r>
      <w:r w:rsidRPr="00C75BA4">
        <w:rPr>
          <w:noProof/>
          <w:sz w:val="20"/>
          <w:lang w:val="fr-CA"/>
        </w:rPr>
        <w:t xml:space="preserve"> préjudice dont on pourrait raisonnablement prévoir qu’il découlera de la négligence du défendeur. Le préjudice du demandeur sera raisonnablement prévisible si le défendeur aurait dû raisonnablement prévoir que le demandeur se fierait à sa déclaration, et si cette confiance serait raisonnable dans les circonstances particulières de l’affaire. Tant le caractère raisonnable que la prévisibilité raisonnable de cette confiance du demandeur seront déterminés en fonction du lien de proximité entre les parties.</w:t>
      </w:r>
    </w:p>
    <w:p w:rsidR="00432B1A" w:rsidRPr="00C75BA4" w:rsidRDefault="00432B1A" w:rsidP="00432B1A">
      <w:pPr>
        <w:pStyle w:val="SCCNormalDoubleSpacing"/>
        <w:spacing w:line="240" w:lineRule="auto"/>
        <w:rPr>
          <w:noProof/>
          <w:sz w:val="20"/>
          <w:lang w:val="fr-CA"/>
        </w:rPr>
      </w:pPr>
    </w:p>
    <w:p w:rsidR="00432B1A" w:rsidRDefault="00432B1A" w:rsidP="00432B1A">
      <w:pPr>
        <w:pStyle w:val="SCCNormalDoubleSpacing"/>
        <w:spacing w:line="240" w:lineRule="auto"/>
        <w:rPr>
          <w:noProof/>
          <w:sz w:val="20"/>
          <w:lang w:val="fr-CA"/>
        </w:rPr>
      </w:pPr>
      <w:r w:rsidRPr="00C75BA4">
        <w:rPr>
          <w:noProof/>
          <w:sz w:val="20"/>
          <w:lang w:val="fr-CA"/>
        </w:rPr>
        <w:lastRenderedPageBreak/>
        <w:tab/>
        <w:t xml:space="preserve">Au deuxième volet du cadre d’analyse établi dans les arrêts </w:t>
      </w:r>
      <w:r w:rsidRPr="00C75BA4">
        <w:rPr>
          <w:i/>
          <w:noProof/>
          <w:sz w:val="20"/>
          <w:lang w:val="fr-CA"/>
        </w:rPr>
        <w:t xml:space="preserve">Anns </w:t>
      </w:r>
      <w:r w:rsidRPr="00C75BA4">
        <w:rPr>
          <w:noProof/>
          <w:sz w:val="20"/>
          <w:lang w:val="fr-CA"/>
        </w:rPr>
        <w:t xml:space="preserve">et </w:t>
      </w:r>
      <w:r w:rsidRPr="00C75BA4">
        <w:rPr>
          <w:i/>
          <w:noProof/>
          <w:sz w:val="20"/>
          <w:lang w:val="fr-CA"/>
        </w:rPr>
        <w:t>Cooper</w:t>
      </w:r>
      <w:r w:rsidRPr="00C75BA4">
        <w:rPr>
          <w:noProof/>
          <w:sz w:val="20"/>
          <w:lang w:val="fr-CA"/>
        </w:rPr>
        <w:t xml:space="preserve">, il s’agit de déterminer si des considérations de politique résiduelles étrangères au lien existant entre les parties sont susceptibles d’écarter l’imposition d’une obligation de diligence. À cette étape, l’analyse ne porte pas sur le lien existant entre les parties mais sur l’effet que la reconnaissance d’une obligation de diligence aurait sur les autres obligations légales, sur le système juridique et sur la société en général. Les facteurs à prendre en compte incluent les questions de savoir si la loi prévoit déjà une réparation, s’il faut craindre le risque de créer une responsabilité illimitée pour un nombre illimité de personnes et si d’autres raisons de politique générale indiquent que l’obligation de diligence ne devrait pas être reconnue. La place qu’occupe l’examen des considérations de politique dans le cadre d’analyse établi dans les arrêts </w:t>
      </w:r>
      <w:r w:rsidRPr="00C75BA4">
        <w:rPr>
          <w:i/>
          <w:noProof/>
          <w:sz w:val="20"/>
          <w:lang w:val="fr-CA"/>
        </w:rPr>
        <w:t xml:space="preserve">Anns </w:t>
      </w:r>
      <w:r w:rsidRPr="00C75BA4">
        <w:rPr>
          <w:noProof/>
          <w:sz w:val="20"/>
          <w:lang w:val="fr-CA"/>
        </w:rPr>
        <w:t xml:space="preserve">et </w:t>
      </w:r>
      <w:r w:rsidRPr="00C75BA4">
        <w:rPr>
          <w:i/>
          <w:noProof/>
          <w:sz w:val="20"/>
          <w:lang w:val="fr-CA"/>
        </w:rPr>
        <w:t>Cooper</w:t>
      </w:r>
      <w:r w:rsidRPr="00C75BA4">
        <w:rPr>
          <w:noProof/>
          <w:sz w:val="20"/>
          <w:lang w:val="fr-CA"/>
        </w:rPr>
        <w:t xml:space="preserve"> est importante. Cet examen fait suite à ceux du lien de proximité et de la prévisibilité, et il vise à déterminer si, malgré le lien de proximité qui unit les parties et le caractère raisonnablement prévisible du préjudice subi par le demandeur, le défendeur devrait tout de même être exonéré de responsabilité. La possibilité de limiter la responsabilité en dépit de la reconnaissance du lien de proximité et de la prévisibilité raisonnable démontre clairement à quel point il convient d’y recourir avec circonspection. </w:t>
      </w:r>
    </w:p>
    <w:p w:rsidR="00432B1A" w:rsidRPr="00C75BA4" w:rsidRDefault="00432B1A" w:rsidP="00432B1A">
      <w:pPr>
        <w:pStyle w:val="SCCNormalDoubleSpacing"/>
        <w:spacing w:line="240" w:lineRule="auto"/>
        <w:rPr>
          <w:noProof/>
          <w:sz w:val="20"/>
          <w:lang w:val="fr-CA"/>
        </w:rPr>
      </w:pPr>
    </w:p>
    <w:p w:rsidR="00432B1A" w:rsidRDefault="00432B1A" w:rsidP="00432B1A">
      <w:pPr>
        <w:pStyle w:val="SCCNormalDoubleSpacing"/>
        <w:spacing w:line="240" w:lineRule="auto"/>
        <w:rPr>
          <w:sz w:val="20"/>
          <w:lang w:val="fr-CA"/>
        </w:rPr>
      </w:pPr>
      <w:r w:rsidRPr="00C75BA4">
        <w:rPr>
          <w:noProof/>
          <w:sz w:val="20"/>
          <w:lang w:val="fr-CA"/>
        </w:rPr>
        <w:tab/>
        <w:t xml:space="preserve">Aucun lien de proximité n’a déjà été établi entre un vérificateur et son client à des fins de sollicitation de fonds d’investissement. Il faut donc en l’espèce procéder à une analyse exhaustive du lien de proximité. D’août à octobre 1997, les services que Deloitte a fournis à Livent — notamment une assistance constante concernant le communiqué de presse et la fourniture de la lettre de confort — avaient pour objet d’aider Livent à solliciter des investissements. Compte tenu de cet engagement, il était permis à Livent de s’attendre à ce que Deloitte agisse avec diligence raisonnable dans la prestation de ces services. Partant, il existait un lien de proximité, mais seulement quant au contenu de l’engagement pris par Deloitte. Les pertes qui échappent à la portée de cet engagement ne sont pas susceptibles d’indemnisation par Deloitte. Relativement au communiqué de presse et à la lettre de confort, Deloitte ne s’est jamais engagée à aider les actionnaires de Livent à surveiller </w:t>
      </w:r>
      <w:r w:rsidRPr="00C75BA4">
        <w:rPr>
          <w:sz w:val="20"/>
          <w:lang w:val="fr-CA"/>
        </w:rPr>
        <w:t>la gestion.</w:t>
      </w:r>
      <w:r w:rsidRPr="00C75BA4">
        <w:rPr>
          <w:noProof/>
          <w:sz w:val="20"/>
          <w:lang w:val="fr-CA"/>
        </w:rPr>
        <w:t xml:space="preserve"> Elle ne saurait donc être tenue responsable pour avoir omis de faire preuve de diligence raisonnable afin de faciliter cette surveillance. Puisque Livent n’avait aucun droit de se fier aux déclarations de Deloitte à une fin autre que celle visée par l’engagement de cette dernière, la confiance de Livent n’était ni raisonnable ni raisonnablement prévisible. En conséquence, l’augmentation de la perte ou du déficit de liquidation de Livent découlant de cette confiance ne constituait pas un préjudice raisonnablement prévisible. En </w:t>
      </w:r>
      <w:r w:rsidRPr="00C75BA4">
        <w:rPr>
          <w:sz w:val="20"/>
          <w:lang w:val="fr-CA"/>
        </w:rPr>
        <w:t xml:space="preserve">l’absence d’une obligation de diligence </w:t>
      </w:r>
      <w:r w:rsidRPr="00C75BA4">
        <w:rPr>
          <w:i/>
          <w:sz w:val="20"/>
          <w:lang w:val="fr-CA"/>
        </w:rPr>
        <w:t>prima facie</w:t>
      </w:r>
      <w:r w:rsidRPr="00C75BA4">
        <w:rPr>
          <w:sz w:val="20"/>
          <w:lang w:val="fr-CA"/>
        </w:rPr>
        <w:t>, point n’est besoin d’examiner les considérations de politique résiduelles.</w:t>
      </w:r>
    </w:p>
    <w:p w:rsidR="00432B1A" w:rsidRPr="00C75BA4" w:rsidRDefault="00432B1A" w:rsidP="00432B1A">
      <w:pPr>
        <w:pStyle w:val="SCCNormalDoubleSpacing"/>
        <w:spacing w:line="240" w:lineRule="auto"/>
        <w:rPr>
          <w:sz w:val="20"/>
          <w:lang w:val="fr-CA"/>
        </w:rPr>
      </w:pPr>
    </w:p>
    <w:p w:rsidR="00432B1A" w:rsidRDefault="00432B1A" w:rsidP="00432B1A">
      <w:pPr>
        <w:pStyle w:val="SCCNormalDoubleSpacing"/>
        <w:spacing w:line="240" w:lineRule="auto"/>
        <w:rPr>
          <w:sz w:val="20"/>
          <w:lang w:val="fr-CA"/>
        </w:rPr>
      </w:pPr>
      <w:r w:rsidRPr="00C75BA4">
        <w:rPr>
          <w:sz w:val="20"/>
          <w:lang w:val="fr-CA"/>
        </w:rPr>
        <w:tab/>
        <w:t xml:space="preserve">Cependant, la </w:t>
      </w:r>
      <w:r w:rsidRPr="00C75BA4">
        <w:rPr>
          <w:rFonts w:eastAsiaTheme="minorHAnsi"/>
          <w:noProof/>
          <w:sz w:val="20"/>
          <w:lang w:val="fr-CA"/>
        </w:rPr>
        <w:t>Cour a déjà reconnu qu’un vérificateur qui procède à une vérification exigée par la loi est tenu à une obligation, et qu’une action intentée par une société relativement à des pertes</w:t>
      </w:r>
      <w:r w:rsidRPr="00C75BA4">
        <w:rPr>
          <w:rFonts w:eastAsiaTheme="minorHAnsi"/>
          <w:i/>
          <w:noProof/>
          <w:sz w:val="20"/>
          <w:lang w:val="fr-CA"/>
        </w:rPr>
        <w:t xml:space="preserve"> </w:t>
      </w:r>
      <w:r w:rsidRPr="00C75BA4">
        <w:rPr>
          <w:rFonts w:eastAsiaTheme="minorHAnsi"/>
          <w:noProof/>
          <w:sz w:val="20"/>
          <w:lang w:val="fr-CA"/>
        </w:rPr>
        <w:t xml:space="preserve">découlant d’une vérification exigée par la loi entachée de négligence pourrait être accueillie. Une vérification exigée par la loi a pour objet de permettre aux actionnaires </w:t>
      </w:r>
      <w:r w:rsidRPr="00C75BA4">
        <w:rPr>
          <w:noProof/>
          <w:sz w:val="20"/>
          <w:lang w:val="fr-CA"/>
        </w:rPr>
        <w:t xml:space="preserve">collectivement de superviser la gestion et de prendre des décisions relativement à l’administration globale de la société. Il s’agit exactement là de la tâche dont les actionnaires de Livent n’ont pas été en mesure de s’acquitter à cause de la préparation négligente, par Deloitte, de son rapport du vérificateur pour l’exercice 1997. </w:t>
      </w:r>
      <w:r w:rsidRPr="00C75BA4">
        <w:rPr>
          <w:sz w:val="20"/>
          <w:lang w:val="fr-CA"/>
        </w:rPr>
        <w:t>Deloitte n’a pas modifié le but dans lequel elle s’est engagée à produire le rapport de 1997, ni ne s’est dégagée de toute responsabilité à l’égard de ce but. En conséquence, l’existence d’un lien de proximité est établie quant à la vérification exigée par la loi, compte tenu du rapport de proximité déjà reconnu. De plus, le type de préjudice subi par Livent était une conséquence raisonnablement prévisible de la négligence de Deloitte. Par le rapport de 1997, Deloitte s’est engagée à aider les actionnaires de Livent à examiner en détail la conduite de la gestion. En effectuant cette vérification avec négligence, et en restreignant la capacité des actionnaires de Livent à surveiller la gestion, Deloitte a exposé Livent à des risques raisonnablement prévisibles, notamment à des pertes qu’une vérification adéquate aurait permis d’éviter. Puisque le lien de proximité relève d’une catégorie déjà reconnue, point n’est besoin d’examiner les considérations de politique résiduelles. Deloitte avait une obligation de diligence envers Livent et elle a manqué à cette obligation. Deloitte ne peut se fonder sur aucun des moyens de défense que sont l’illégalité et la faute contributoire parce que les actes frauduleux des administrateurs de Livent ne peuvent être attribués à l’entreprise.</w:t>
      </w:r>
    </w:p>
    <w:p w:rsidR="00432B1A" w:rsidRPr="00C75BA4" w:rsidRDefault="00432B1A" w:rsidP="00432B1A">
      <w:pPr>
        <w:pStyle w:val="SCCNormalDoubleSpacing"/>
        <w:spacing w:line="240" w:lineRule="auto"/>
        <w:rPr>
          <w:sz w:val="20"/>
          <w:lang w:val="fr-CA"/>
        </w:rPr>
      </w:pPr>
    </w:p>
    <w:p w:rsidR="00432B1A" w:rsidRDefault="00432B1A" w:rsidP="00432B1A">
      <w:pPr>
        <w:pStyle w:val="SCCNormalDoubleSpacing"/>
        <w:spacing w:line="240" w:lineRule="auto"/>
        <w:rPr>
          <w:sz w:val="20"/>
          <w:lang w:val="fr-CA"/>
        </w:rPr>
      </w:pPr>
      <w:r w:rsidRPr="00C75BA4">
        <w:rPr>
          <w:sz w:val="20"/>
          <w:lang w:val="fr-CA"/>
        </w:rPr>
        <w:tab/>
        <w:t xml:space="preserve">L’éloignement n’est pas un obstacle à l’indemnisation de Livent. L’éloignement </w:t>
      </w:r>
      <w:r w:rsidRPr="00C75BA4">
        <w:rPr>
          <w:bCs/>
          <w:sz w:val="20"/>
          <w:lang w:val="fr-CA"/>
        </w:rPr>
        <w:t>appelle à se demander si</w:t>
      </w:r>
      <w:r w:rsidRPr="00C75BA4">
        <w:rPr>
          <w:sz w:val="20"/>
          <w:lang w:val="fr-CA"/>
        </w:rPr>
        <w:t xml:space="preserve"> le préjudice a trop peu de lien avec l’acte fautif pour que le défendeur puisse raisonnablement être tenu responsable. Il recoupe en théorie l’analyse de la prévisibilité raisonnable, mais l’analyse relative à l’obligation de diligence s’intéresse au type de préjudice qu’il est raisonnable de prévoir qu’il découlera de la conduite du défendeur, alors que l’analyse relative à l’éloignement s’attache au préjudice réel subi par le demandeur. Toutefois, la perte en l’espèce — qui découle du défaut de Deloitte de respecter l’engagement précis qu’elle avait pris envers Livent relativement au rapport de 1997 — était raisonnablement prévisible.</w:t>
      </w:r>
    </w:p>
    <w:p w:rsidR="00432B1A" w:rsidRPr="00C75BA4" w:rsidRDefault="00432B1A" w:rsidP="00432B1A">
      <w:pPr>
        <w:pStyle w:val="SCCNormalDoubleSpacing"/>
        <w:spacing w:line="240" w:lineRule="auto"/>
        <w:rPr>
          <w:sz w:val="20"/>
          <w:lang w:val="fr-CA"/>
        </w:rPr>
      </w:pPr>
    </w:p>
    <w:p w:rsidR="00432B1A" w:rsidRDefault="00432B1A" w:rsidP="00432B1A">
      <w:pPr>
        <w:pStyle w:val="SCCNormalDoubleSpacing"/>
        <w:spacing w:line="240" w:lineRule="auto"/>
        <w:rPr>
          <w:noProof/>
          <w:sz w:val="20"/>
          <w:lang w:val="fr-CA"/>
        </w:rPr>
      </w:pPr>
      <w:r w:rsidRPr="00C75BA4">
        <w:rPr>
          <w:sz w:val="20"/>
          <w:lang w:val="fr-CA"/>
        </w:rPr>
        <w:lastRenderedPageBreak/>
        <w:tab/>
        <w:t xml:space="preserve">Le juge de première instance a évalué à 53,9 millions de dollars les dommages subis par Livent après le rapport de 1997. Si l’on applique à cette somme la réduction pour éventualités de 25 pour cent ordonnée par le juge de première instance, on obtient la somme de 40 425 000 dollars. C’est là la somme dont Deloitte est responsable. Au procès, Livent a reconnu que ses pertes attribuables à la </w:t>
      </w:r>
      <w:r w:rsidRPr="00C75BA4">
        <w:rPr>
          <w:noProof/>
          <w:sz w:val="20"/>
          <w:lang w:val="fr-CA"/>
        </w:rPr>
        <w:t>prestation négligente d’un service</w:t>
      </w:r>
      <w:r w:rsidRPr="00C75BA4">
        <w:rPr>
          <w:sz w:val="20"/>
          <w:lang w:val="fr-CA"/>
        </w:rPr>
        <w:t xml:space="preserve"> ou à la violation de contrat seraient identiques. Une</w:t>
      </w:r>
      <w:r w:rsidRPr="00C75BA4">
        <w:rPr>
          <w:noProof/>
          <w:sz w:val="20"/>
          <w:lang w:val="fr-CA"/>
        </w:rPr>
        <w:t xml:space="preserve"> responsabilité dans la même mesure est donc appliquée à Deloitte pour la demande concurrente fondée sur la violation de contrat.</w:t>
      </w:r>
    </w:p>
    <w:p w:rsidR="00432B1A" w:rsidRPr="00C75BA4" w:rsidRDefault="00432B1A" w:rsidP="00432B1A">
      <w:pPr>
        <w:pStyle w:val="SCCNormalDoubleSpacing"/>
        <w:spacing w:line="240" w:lineRule="auto"/>
        <w:rPr>
          <w:noProof/>
          <w:sz w:val="20"/>
          <w:lang w:val="fr-CA"/>
        </w:rPr>
      </w:pPr>
    </w:p>
    <w:p w:rsidR="00432B1A" w:rsidRDefault="00432B1A" w:rsidP="00432B1A">
      <w:pPr>
        <w:pStyle w:val="SCCNormalDoubleSpacing"/>
        <w:spacing w:line="240" w:lineRule="auto"/>
        <w:rPr>
          <w:sz w:val="20"/>
          <w:lang w:val="fr-CA"/>
        </w:rPr>
      </w:pPr>
      <w:r w:rsidRPr="00C75BA4">
        <w:rPr>
          <w:noProof/>
          <w:sz w:val="20"/>
          <w:lang w:val="fr-CA"/>
        </w:rPr>
        <w:tab/>
      </w:r>
      <w:r w:rsidRPr="00C75BA4">
        <w:rPr>
          <w:i/>
          <w:noProof/>
          <w:sz w:val="20"/>
          <w:lang w:val="fr-CA"/>
        </w:rPr>
        <w:t>La</w:t>
      </w:r>
      <w:r w:rsidRPr="00C75BA4">
        <w:rPr>
          <w:noProof/>
          <w:sz w:val="20"/>
          <w:lang w:val="fr-CA"/>
        </w:rPr>
        <w:t xml:space="preserve"> juge en chef </w:t>
      </w:r>
      <w:r w:rsidRPr="00C75BA4">
        <w:rPr>
          <w:b/>
          <w:noProof/>
          <w:sz w:val="20"/>
          <w:lang w:val="fr-CA"/>
        </w:rPr>
        <w:t>McLachlin</w:t>
      </w:r>
      <w:r w:rsidRPr="00C75BA4">
        <w:rPr>
          <w:noProof/>
          <w:sz w:val="20"/>
          <w:lang w:val="fr-CA"/>
        </w:rPr>
        <w:t xml:space="preserve"> et les juges Wagner et Côté (dissidents en partie) : Deloitte avait une obligation de diligence envers Livent, obligation à laquelle elle a manqué lorsqu’elle n’a pas détecté et dénoncé la fraude commise par Livent dans les états financiers vérifiés. Cependant, Deloitte n’est pas responsable des pertes qu’a subies Livent. </w:t>
      </w:r>
      <w:r w:rsidRPr="00C75BA4">
        <w:rPr>
          <w:sz w:val="20"/>
          <w:lang w:val="fr-CA"/>
        </w:rPr>
        <w:t xml:space="preserve">L’action en responsabilité délictuelle doit être rejetée. L’action en responsabilité contractuelle de Livent aboutit au même résultat. </w:t>
      </w:r>
    </w:p>
    <w:p w:rsidR="00432B1A" w:rsidRPr="00C75BA4" w:rsidRDefault="00432B1A" w:rsidP="00432B1A">
      <w:pPr>
        <w:pStyle w:val="SCCNormalDoubleSpacing"/>
        <w:spacing w:line="240" w:lineRule="auto"/>
        <w:rPr>
          <w:sz w:val="20"/>
          <w:lang w:val="fr-CA"/>
        </w:rPr>
      </w:pPr>
    </w:p>
    <w:p w:rsidR="00432B1A" w:rsidRDefault="00432B1A" w:rsidP="00432B1A">
      <w:pPr>
        <w:pStyle w:val="SCCNormalDoubleSpacing"/>
        <w:spacing w:line="240" w:lineRule="auto"/>
        <w:rPr>
          <w:rFonts w:eastAsiaTheme="minorHAnsi"/>
          <w:noProof/>
          <w:sz w:val="20"/>
          <w:lang w:val="fr-CA"/>
        </w:rPr>
      </w:pPr>
      <w:r w:rsidRPr="00C75BA4">
        <w:rPr>
          <w:sz w:val="20"/>
          <w:lang w:val="fr-CA"/>
        </w:rPr>
        <w:tab/>
      </w:r>
      <w:r w:rsidRPr="00C75BA4">
        <w:rPr>
          <w:rFonts w:eastAsiaTheme="minorHAnsi"/>
          <w:noProof/>
          <w:sz w:val="20"/>
          <w:lang w:val="fr-CA"/>
        </w:rPr>
        <w:t xml:space="preserve">Les tribunaux ont fourni deux approches théoriques pour limiter les pertes purement économiques indemnisables à la suite d’une déclaration inexacte faite par négligence. Selon la première, l’étendue de l’obligation de diligence de la personne qui donne le conseil ne couvre pas la perte alléguée. Selon la deuxième, la perte est trop éloignée de l’acte négligent et n’a donc pas été causée, en droit, par cet acte. Dans les deux cas, l’analyse suscite des considérations semblables et </w:t>
      </w:r>
      <w:r w:rsidRPr="00C75BA4">
        <w:rPr>
          <w:noProof/>
          <w:sz w:val="20"/>
          <w:lang w:val="fr-CA"/>
        </w:rPr>
        <w:t xml:space="preserve">arrive au même point. </w:t>
      </w:r>
      <w:r w:rsidRPr="00C75BA4">
        <w:rPr>
          <w:rFonts w:eastAsiaTheme="minorHAnsi"/>
          <w:noProof/>
          <w:sz w:val="20"/>
          <w:lang w:val="fr-CA"/>
        </w:rPr>
        <w:t xml:space="preserve">L’analyse relative au caractère éloigné porte sur l’acte fautif et sa proximité à la perte alléguée. La liste des facteurs devant être pris en considération n’est pas exhaustive. La connaissance de la situation du demandeur par la personne donnant le conseil, les attentes raisonnables découlant de la relation et la présence de facteurs intermédiaires ayant mené à la perte sont des facteurs qui peuvent être pris en compte dans l’analyse. L’analyse relative à l’étendue de l’obligation de diligence porte sur la corrélation entre le conseil du défendeur et la perte du demandeur. Il faut se demander si cette corrélation était immédiate. Dans les cas de perte économique, elle vise la fin pour laquelle le conseil a été donné, et il faut se demander si une personne raisonnable aurait pu prévoir que le conseil donné par négligence aurait causé la perte en question en raison du fait que le demandeur s’y soit fié. </w:t>
      </w:r>
    </w:p>
    <w:p w:rsidR="00432B1A" w:rsidRPr="00C75BA4" w:rsidRDefault="00432B1A" w:rsidP="00432B1A">
      <w:pPr>
        <w:pStyle w:val="SCCNormalDoubleSpacing"/>
        <w:spacing w:line="240" w:lineRule="auto"/>
        <w:rPr>
          <w:rFonts w:eastAsiaTheme="minorHAnsi"/>
          <w:noProof/>
          <w:sz w:val="20"/>
          <w:lang w:val="fr-CA"/>
        </w:rPr>
      </w:pPr>
    </w:p>
    <w:p w:rsidR="00432B1A" w:rsidRDefault="00432B1A" w:rsidP="00432B1A">
      <w:pPr>
        <w:pStyle w:val="SCCNormalDoubleSpacing"/>
        <w:spacing w:line="240" w:lineRule="auto"/>
        <w:rPr>
          <w:noProof/>
          <w:sz w:val="20"/>
          <w:lang w:val="fr-CA"/>
        </w:rPr>
      </w:pPr>
      <w:r w:rsidRPr="00C75BA4">
        <w:rPr>
          <w:sz w:val="20"/>
          <w:lang w:val="fr-CA"/>
        </w:rPr>
        <w:tab/>
      </w:r>
      <w:r w:rsidRPr="00C75BA4">
        <w:rPr>
          <w:rFonts w:eastAsiaTheme="minorHAnsi"/>
          <w:noProof/>
          <w:sz w:val="20"/>
          <w:lang w:val="fr-CA"/>
        </w:rPr>
        <w:t>L’</w:t>
      </w:r>
      <w:r w:rsidRPr="00C75BA4">
        <w:rPr>
          <w:sz w:val="20"/>
          <w:lang w:val="fr-CA"/>
        </w:rPr>
        <w:t xml:space="preserve">analyse de l’obligation de diligence mène au critère en deux étapes énoncé dans l’arrêt </w:t>
      </w:r>
      <w:r w:rsidRPr="00C75BA4">
        <w:rPr>
          <w:i/>
          <w:iCs/>
          <w:noProof/>
          <w:sz w:val="20"/>
          <w:lang w:val="fr-CA"/>
        </w:rPr>
        <w:t>Anns c. London Borough of Merton</w:t>
      </w:r>
      <w:r w:rsidRPr="00C75BA4">
        <w:rPr>
          <w:noProof/>
          <w:sz w:val="20"/>
          <w:lang w:val="fr-CA"/>
        </w:rPr>
        <w:t xml:space="preserve">, [1977] 2 All E.R. 492 (H.L.). </w:t>
      </w:r>
      <w:r w:rsidRPr="00C75BA4">
        <w:rPr>
          <w:sz w:val="20"/>
          <w:lang w:val="fr-CA"/>
        </w:rPr>
        <w:t>La première étape du critère consiste à déterminer s’il y a proximité, ou une relation suffisamment étroite, entre les parties. Elle est axée sur le lien entre l’engagement ou la déclaration du défendeur et la perte alléguée. La fin pour laquelle la déclaration a été faite joue un rôle capital, et c’</w:t>
      </w:r>
      <w:r w:rsidRPr="00C75BA4">
        <w:rPr>
          <w:noProof/>
          <w:sz w:val="20"/>
          <w:lang w:val="fr-CA"/>
        </w:rPr>
        <w:t>est une question de faits qu’il faut trancher en fonction de la preuve présentée au procès.</w:t>
      </w:r>
    </w:p>
    <w:p w:rsidR="00432B1A" w:rsidRPr="00C75BA4" w:rsidRDefault="00432B1A" w:rsidP="00432B1A">
      <w:pPr>
        <w:pStyle w:val="SCCNormalDoubleSpacing"/>
        <w:spacing w:line="240" w:lineRule="auto"/>
        <w:rPr>
          <w:noProof/>
          <w:sz w:val="20"/>
          <w:lang w:val="fr-CA"/>
        </w:rPr>
      </w:pPr>
    </w:p>
    <w:p w:rsidR="00432B1A" w:rsidRDefault="00432B1A" w:rsidP="00432B1A">
      <w:pPr>
        <w:pStyle w:val="SCCNormalDoubleSpacing"/>
        <w:spacing w:line="240" w:lineRule="auto"/>
        <w:rPr>
          <w:sz w:val="20"/>
          <w:lang w:val="fr-CA"/>
        </w:rPr>
      </w:pPr>
      <w:r w:rsidRPr="00C75BA4">
        <w:rPr>
          <w:noProof/>
          <w:sz w:val="20"/>
          <w:lang w:val="fr-CA"/>
        </w:rPr>
        <w:tab/>
      </w:r>
      <w:r w:rsidRPr="00C75BA4">
        <w:rPr>
          <w:sz w:val="20"/>
          <w:lang w:val="fr-CA"/>
        </w:rPr>
        <w:t>En l’espèce, on peut discerner trois fins auxquelles devaient servir les états financiers vérifiés par Livent : 1) présenter un état exact de la situation financière de Livent et lui fournir des opinions du vérificateur qu’elle pourra utiliser pour attirer des investissements; 2) découvrir des erreurs ou des actes fautifs afin de permettre à Livent de corriger elle</w:t>
      </w:r>
      <w:r w:rsidRPr="00C75BA4">
        <w:rPr>
          <w:sz w:val="20"/>
          <w:lang w:val="fr-CA"/>
        </w:rPr>
        <w:noBreakHyphen/>
        <w:t>même cette faute ou de prendre des mesures à cet égard; et 3) fournir des rapports de vérification qui serviraient à la surveillance de la gestion de Livent par les actionnaires. Ces fins seulement définissent l’étendue de l’obligation de diligence de Deloitte.</w:t>
      </w:r>
    </w:p>
    <w:p w:rsidR="00432B1A" w:rsidRPr="00C75BA4" w:rsidRDefault="00432B1A" w:rsidP="00432B1A">
      <w:pPr>
        <w:pStyle w:val="SCCNormalDoubleSpacing"/>
        <w:spacing w:line="240" w:lineRule="auto"/>
        <w:rPr>
          <w:sz w:val="20"/>
          <w:lang w:val="fr-CA"/>
        </w:rPr>
      </w:pPr>
    </w:p>
    <w:p w:rsidR="00432B1A" w:rsidRDefault="00432B1A" w:rsidP="00432B1A">
      <w:pPr>
        <w:pStyle w:val="SCCNormalDoubleSpacing"/>
        <w:spacing w:line="240" w:lineRule="auto"/>
        <w:rPr>
          <w:sz w:val="20"/>
          <w:lang w:val="fr-CA"/>
        </w:rPr>
      </w:pPr>
      <w:r w:rsidRPr="00C75BA4">
        <w:rPr>
          <w:sz w:val="20"/>
          <w:lang w:val="fr-CA"/>
        </w:rPr>
        <w:tab/>
        <w:t>L’acte fautif de Deloitte n’a pas empêché Livent d’attirer des capitaux d’investissement. En fait, Livent a attiré beaucoup de capitaux grâce aux déclarations de Deloitte. De même, l’acte fautif de Deloitte n’a pas empêché Livent de déceler dans la gestion de l’entreprise la faute que Livent aurait corrigée si elle en avait été informée. Enfin, Livent n’a pas prouvé que l’acte fautif de Deloitte a empêché ses actionnaires d’exercer leur surveillance d’une façon qui aurait mis fin plus tôt aux activités causant des pertes à l’entreprise. Le juge de première instance n’a pas conclu que les actionnaires de Livent se sont fiés aux états financiers vérifiés de façon négligente par Deloitte, ou que, s’ils avaient reçu des états financiers exacts et s’y étaient fiés, ils auraient agi d’une façon qui aurait empêché Livent de poursuivre ses activités et de diminuer ses actifs au cours de la période entre la production des états financiers en cause et l’insolvabilité de Livent. Essentiellement, le juge de première instance ne s’est pas demandé si les actionnaires s’étaient effectivement fiés aux états financiers vérifiés, et il ne s’est pas demandé si, dans le cas où les actionnaires s’étaient fiés à ces états financiers, cette confiance les avait empêchés de prendre des mesures pour changer les choses. Finalement, il ne s’est pas demandé si ces mesures, si elles avaient été prises, auraient empêché les pertes que Livent a accumulées pendant la période de sept mois en question. Si le juge de première instance avait posé ces questions, il aurait été tenu d’y répondre par la négative, puisque Livent n’a présenté aucune preuve à l’appui de réponses affirmatives. En conséquence, aucun fondement factuel n’établissait une perte attribuable au manque de surveillance des actionnaires.</w:t>
      </w:r>
    </w:p>
    <w:p w:rsidR="00432B1A" w:rsidRPr="00C75BA4" w:rsidRDefault="00432B1A" w:rsidP="00432B1A">
      <w:pPr>
        <w:pStyle w:val="SCCNormalDoubleSpacing"/>
        <w:spacing w:line="240" w:lineRule="auto"/>
        <w:rPr>
          <w:sz w:val="20"/>
          <w:lang w:val="fr-CA"/>
        </w:rPr>
      </w:pPr>
    </w:p>
    <w:p w:rsidR="00432B1A" w:rsidRDefault="00432B1A" w:rsidP="00432B1A">
      <w:pPr>
        <w:pStyle w:val="SCCNormalDoubleSpacing"/>
        <w:spacing w:line="240" w:lineRule="auto"/>
        <w:rPr>
          <w:sz w:val="20"/>
          <w:lang w:val="fr-CA"/>
        </w:rPr>
      </w:pPr>
      <w:r w:rsidRPr="00C75BA4">
        <w:rPr>
          <w:sz w:val="20"/>
          <w:lang w:val="fr-CA"/>
        </w:rPr>
        <w:lastRenderedPageBreak/>
        <w:tab/>
        <w:t>Selon les juges majoritaires, si Deloitte avait présenté des rapports de vérification justes, les actionnaires et les dirigeants de Livent auraient pu prendre des décisions qui auraient limité les pertes de l’entreprise. C’est peut</w:t>
      </w:r>
      <w:r w:rsidRPr="00C75BA4">
        <w:rPr>
          <w:sz w:val="20"/>
          <w:lang w:val="fr-CA"/>
        </w:rPr>
        <w:noBreakHyphen/>
        <w:t>être le cas, mais il ne suffit pas que l’on se fie à des affirmations non prouvées pour définir l’étendue de l’obligation de diligence et démontrer par la suite la causalité. L’approche des juges majoritaires laisse croire qu’à la suite d’un rapport entaché de négligence, un vérificateur deviendra généralement garant de toutes les pertes subies par un client. Et cela malgré les décisions subséquentes — conséquentes ou fantaisistes — prises par les actionnaires du client. Toutefois, ce caractère conséquent ne peut être présumé; il doit être prouvé.</w:t>
      </w:r>
    </w:p>
    <w:p w:rsidR="00432B1A" w:rsidRPr="00C75BA4" w:rsidRDefault="00432B1A" w:rsidP="00432B1A">
      <w:pPr>
        <w:pStyle w:val="SCCNormalDoubleSpacing"/>
        <w:spacing w:line="240" w:lineRule="auto"/>
        <w:rPr>
          <w:sz w:val="20"/>
          <w:lang w:val="fr-CA"/>
        </w:rPr>
      </w:pPr>
    </w:p>
    <w:p w:rsidR="00432B1A" w:rsidRDefault="00432B1A" w:rsidP="00432B1A">
      <w:pPr>
        <w:pStyle w:val="SCCNormalDoubleSpacing"/>
        <w:spacing w:line="240" w:lineRule="auto"/>
        <w:rPr>
          <w:sz w:val="20"/>
          <w:lang w:val="fr-CA"/>
        </w:rPr>
      </w:pPr>
      <w:r w:rsidRPr="00C75BA4">
        <w:rPr>
          <w:sz w:val="20"/>
          <w:lang w:val="fr-CA"/>
        </w:rPr>
        <w:tab/>
        <w:t xml:space="preserve">Puisqu’il n’a pas été démontré que les pertes en question sont visées par l’obligation de diligence de Deloitte, la première étape du critère énoncé dans </w:t>
      </w:r>
      <w:r w:rsidRPr="00C75BA4">
        <w:rPr>
          <w:i/>
          <w:sz w:val="20"/>
          <w:lang w:val="fr-CA"/>
        </w:rPr>
        <w:t>Anns</w:t>
      </w:r>
      <w:r w:rsidRPr="00C75BA4">
        <w:rPr>
          <w:sz w:val="20"/>
          <w:lang w:val="fr-CA"/>
        </w:rPr>
        <w:t xml:space="preserve"> n’a pas été franchie. Il n’est donc pas nécessaire de se demander si des considérations de politique générale non liées à la relation entre les parties annihilent la responsabilité </w:t>
      </w:r>
      <w:r w:rsidRPr="00C75BA4">
        <w:rPr>
          <w:i/>
          <w:sz w:val="20"/>
          <w:lang w:val="fr-CA"/>
        </w:rPr>
        <w:t>prima facie</w:t>
      </w:r>
      <w:r w:rsidRPr="00C75BA4">
        <w:rPr>
          <w:sz w:val="20"/>
          <w:lang w:val="fr-CA"/>
        </w:rPr>
        <w:t>. Cependant, s’il était nécessaire de le faire, les considérations de politique générale que sont l’attribution inéquitable de la perte et l’indétermination empêcheraient que Deloitte soit tenue responsable.</w:t>
      </w:r>
    </w:p>
    <w:p w:rsidR="00432B1A" w:rsidRPr="00C75BA4" w:rsidRDefault="00432B1A" w:rsidP="00432B1A">
      <w:pPr>
        <w:pStyle w:val="SCCNormalDoubleSpacing"/>
        <w:spacing w:line="240" w:lineRule="auto"/>
        <w:rPr>
          <w:sz w:val="20"/>
          <w:lang w:val="fr-CA"/>
        </w:rPr>
      </w:pPr>
    </w:p>
    <w:p w:rsidR="00432B1A" w:rsidRDefault="00432B1A" w:rsidP="00432B1A">
      <w:pPr>
        <w:pStyle w:val="SCCNormalDoubleSpacing"/>
        <w:spacing w:line="240" w:lineRule="auto"/>
        <w:rPr>
          <w:sz w:val="20"/>
          <w:lang w:val="fr-CA"/>
        </w:rPr>
      </w:pPr>
      <w:r w:rsidRPr="00432B1A">
        <w:rPr>
          <w:sz w:val="20"/>
          <w:lang w:val="fr-CA"/>
        </w:rPr>
        <w:tab/>
        <w:t xml:space="preserve">POURVOI contre un arrêt de la Cour d’appel de l’Ontario (le juge en chef Strathy et les juges Blair et Lauwers), 2016 ONCA 11, 128 O.R. (3d) 225, 393 D.L.R. (4th) 1, 342 O.A.C. 201, 52 B.L.R. (5th) 225, 31 C.B.R. (6th) 205, 24 C.C.L.T. (4th) 177, [2016] O.J. No. 51 (QL), 2016 CarswellOnt 122 (WL Can.), qui a confirmé une décision du juge Gans, 2014 ONSC 2176, 11 C.B.R. (6th) 12, 10 C.C.L.T. (4th) 182, 26 B.L.R. (5th) 15, [2014] O.J. No. 1635 (QL), 2014 CarswellOnt 4365 (WL Can.). </w:t>
      </w:r>
      <w:r w:rsidRPr="00C75BA4">
        <w:rPr>
          <w:sz w:val="20"/>
          <w:lang w:val="fr-CA"/>
        </w:rPr>
        <w:t>Pourvoi accueilli en partie, la juge en chef McLachlin et les juges Wagner et Côté sont dissidents en partie.</w:t>
      </w:r>
    </w:p>
    <w:p w:rsidR="00432B1A" w:rsidRPr="00C75BA4" w:rsidRDefault="00432B1A" w:rsidP="00432B1A">
      <w:pPr>
        <w:pStyle w:val="SCCNormalDoubleSpacing"/>
        <w:spacing w:line="240" w:lineRule="auto"/>
        <w:rPr>
          <w:sz w:val="20"/>
          <w:lang w:val="fr-CA"/>
        </w:rPr>
      </w:pPr>
    </w:p>
    <w:p w:rsidR="00432B1A" w:rsidRDefault="00432B1A" w:rsidP="00432B1A">
      <w:pPr>
        <w:pStyle w:val="SCCNormalDoubleSpacing"/>
        <w:spacing w:line="240" w:lineRule="auto"/>
        <w:rPr>
          <w:rStyle w:val="SCCCounselPartyRoleChar"/>
          <w:sz w:val="20"/>
          <w:lang w:val="fr-CA"/>
        </w:rPr>
      </w:pPr>
      <w:r w:rsidRPr="00C75BA4">
        <w:rPr>
          <w:rStyle w:val="SCCCounselNameChar"/>
          <w:sz w:val="20"/>
          <w:lang w:val="fr-CA"/>
        </w:rPr>
        <w:tab/>
        <w:t>Peter H. Griffin</w:t>
      </w:r>
      <w:r w:rsidRPr="00C75BA4">
        <w:rPr>
          <w:rStyle w:val="SCCCounselSeparatorChar"/>
          <w:rFonts w:eastAsia="Calibri"/>
          <w:sz w:val="20"/>
        </w:rPr>
        <w:t xml:space="preserve">, </w:t>
      </w:r>
      <w:r w:rsidRPr="00C75BA4">
        <w:rPr>
          <w:rStyle w:val="SCCCounselNameChar"/>
          <w:sz w:val="20"/>
          <w:lang w:val="fr-CA"/>
        </w:rPr>
        <w:t>Matthew Fleming, Scott Rollwagen</w:t>
      </w:r>
      <w:r w:rsidRPr="00C75BA4">
        <w:rPr>
          <w:rStyle w:val="SCCCounselSeparatorChar"/>
          <w:rFonts w:eastAsia="Calibri"/>
          <w:sz w:val="20"/>
        </w:rPr>
        <w:t xml:space="preserve"> et </w:t>
      </w:r>
      <w:r w:rsidRPr="00C75BA4">
        <w:rPr>
          <w:rStyle w:val="SCCCounselNameChar"/>
          <w:sz w:val="20"/>
          <w:lang w:val="fr-CA"/>
        </w:rPr>
        <w:t>Nina Bombier</w:t>
      </w:r>
      <w:r w:rsidRPr="00C75BA4">
        <w:rPr>
          <w:rStyle w:val="SCCCounselPartyRoleChar"/>
          <w:sz w:val="20"/>
          <w:lang w:val="fr-CA"/>
        </w:rPr>
        <w:t>, pour l’appelante.</w:t>
      </w:r>
    </w:p>
    <w:p w:rsidR="00432B1A" w:rsidRPr="00C75BA4" w:rsidRDefault="00432B1A" w:rsidP="00432B1A">
      <w:pPr>
        <w:pStyle w:val="SCCNormalDoubleSpacing"/>
        <w:spacing w:line="240" w:lineRule="auto"/>
        <w:rPr>
          <w:sz w:val="20"/>
          <w:lang w:val="fr-CA"/>
        </w:rPr>
      </w:pPr>
    </w:p>
    <w:p w:rsidR="00432B1A" w:rsidRDefault="00432B1A" w:rsidP="00432B1A">
      <w:pPr>
        <w:pStyle w:val="SCCNormalDoubleSpacing"/>
        <w:spacing w:line="240" w:lineRule="auto"/>
        <w:rPr>
          <w:rStyle w:val="SCCCounselPartyRoleChar"/>
          <w:sz w:val="20"/>
          <w:lang w:val="fr-CA"/>
        </w:rPr>
      </w:pPr>
      <w:r w:rsidRPr="00C75BA4">
        <w:rPr>
          <w:rStyle w:val="SCCCounselNameChar"/>
          <w:sz w:val="20"/>
          <w:lang w:val="fr-CA"/>
        </w:rPr>
        <w:tab/>
        <w:t>Peter F. C. Howard</w:t>
      </w:r>
      <w:r w:rsidRPr="00C75BA4">
        <w:rPr>
          <w:rStyle w:val="SCCCounselSeparatorChar"/>
          <w:rFonts w:eastAsia="Calibri"/>
          <w:sz w:val="20"/>
        </w:rPr>
        <w:t xml:space="preserve">, </w:t>
      </w:r>
      <w:r w:rsidRPr="00C75BA4">
        <w:rPr>
          <w:rStyle w:val="SCCCounselNameChar"/>
          <w:sz w:val="20"/>
          <w:lang w:val="fr-CA"/>
        </w:rPr>
        <w:t xml:space="preserve">Patrick O’Kelly, Nicholas McHaffie </w:t>
      </w:r>
      <w:r w:rsidRPr="00C75BA4">
        <w:rPr>
          <w:rStyle w:val="SCCCounselSeparatorChar"/>
          <w:rFonts w:eastAsia="Calibri"/>
          <w:sz w:val="20"/>
        </w:rPr>
        <w:t>et</w:t>
      </w:r>
      <w:r w:rsidRPr="00C75BA4">
        <w:rPr>
          <w:rStyle w:val="SCCCounselNameChar"/>
          <w:sz w:val="20"/>
          <w:lang w:val="fr-CA"/>
        </w:rPr>
        <w:t xml:space="preserve"> Aaron Kreaden</w:t>
      </w:r>
      <w:r w:rsidRPr="00C75BA4">
        <w:rPr>
          <w:rStyle w:val="SCCCounselPartyRoleChar"/>
          <w:sz w:val="20"/>
          <w:lang w:val="fr-CA"/>
        </w:rPr>
        <w:t>, pour l’intimée.</w:t>
      </w:r>
    </w:p>
    <w:p w:rsidR="00432B1A" w:rsidRPr="00C75BA4" w:rsidRDefault="00432B1A" w:rsidP="00432B1A">
      <w:pPr>
        <w:pStyle w:val="SCCNormalDoubleSpacing"/>
        <w:spacing w:line="240" w:lineRule="auto"/>
        <w:rPr>
          <w:sz w:val="20"/>
          <w:lang w:val="fr-CA"/>
        </w:rPr>
      </w:pPr>
    </w:p>
    <w:p w:rsidR="00432B1A" w:rsidRDefault="00432B1A" w:rsidP="00432B1A">
      <w:pPr>
        <w:pStyle w:val="SCCNormalDoubleSpacing"/>
        <w:spacing w:line="240" w:lineRule="auto"/>
        <w:rPr>
          <w:rStyle w:val="SCCCounselPartyRoleChar"/>
          <w:sz w:val="20"/>
          <w:lang w:val="fr-CA"/>
        </w:rPr>
      </w:pPr>
      <w:r w:rsidRPr="00C75BA4">
        <w:rPr>
          <w:rStyle w:val="SCCCounselNameChar"/>
          <w:sz w:val="20"/>
          <w:lang w:val="fr-CA"/>
        </w:rPr>
        <w:tab/>
        <w:t>Markus Koehnen</w:t>
      </w:r>
      <w:r w:rsidRPr="00C75BA4">
        <w:rPr>
          <w:rStyle w:val="SCCCounselSeparatorChar"/>
          <w:rFonts w:eastAsia="Calibri"/>
          <w:sz w:val="20"/>
        </w:rPr>
        <w:t xml:space="preserve">, </w:t>
      </w:r>
      <w:r w:rsidRPr="00C75BA4">
        <w:rPr>
          <w:rStyle w:val="SCCCounselNameChar"/>
          <w:sz w:val="20"/>
          <w:lang w:val="fr-CA"/>
        </w:rPr>
        <w:t>David Kent</w:t>
      </w:r>
      <w:r w:rsidRPr="00C75BA4">
        <w:rPr>
          <w:rStyle w:val="SCCCounselSeparatorChar"/>
          <w:rFonts w:eastAsia="Calibri"/>
          <w:sz w:val="20"/>
        </w:rPr>
        <w:t xml:space="preserve"> et </w:t>
      </w:r>
      <w:r w:rsidRPr="00C75BA4">
        <w:rPr>
          <w:rStyle w:val="SCCCounselNameChar"/>
          <w:sz w:val="20"/>
          <w:lang w:val="fr-CA"/>
        </w:rPr>
        <w:t>Jeffrey Levine</w:t>
      </w:r>
      <w:r w:rsidRPr="00C75BA4">
        <w:rPr>
          <w:rStyle w:val="SCCCounselPartyRoleChar"/>
          <w:sz w:val="20"/>
          <w:lang w:val="fr-CA"/>
        </w:rPr>
        <w:t>, pour l’intervenante la Coalition canadienne pour une bonne gouvernance.</w:t>
      </w:r>
    </w:p>
    <w:p w:rsidR="00432B1A" w:rsidRPr="00C75BA4" w:rsidRDefault="00432B1A" w:rsidP="00432B1A">
      <w:pPr>
        <w:pStyle w:val="SCCNormalDoubleSpacing"/>
        <w:spacing w:line="240" w:lineRule="auto"/>
        <w:rPr>
          <w:sz w:val="20"/>
          <w:lang w:val="fr-CA"/>
        </w:rPr>
      </w:pPr>
    </w:p>
    <w:p w:rsidR="00432B1A" w:rsidRDefault="00432B1A" w:rsidP="00432B1A">
      <w:pPr>
        <w:pStyle w:val="SCCNormalDoubleSpacing"/>
        <w:spacing w:line="240" w:lineRule="auto"/>
        <w:rPr>
          <w:rStyle w:val="SCCCounselPartyRoleChar"/>
          <w:sz w:val="20"/>
          <w:lang w:val="fr-CA"/>
        </w:rPr>
      </w:pPr>
      <w:r w:rsidRPr="00C75BA4">
        <w:rPr>
          <w:rStyle w:val="SCCCounselNameChar"/>
          <w:sz w:val="20"/>
          <w:lang w:val="fr-CA"/>
        </w:rPr>
        <w:tab/>
        <w:t>Guy J. Pratte, Nadia Effendi</w:t>
      </w:r>
      <w:r w:rsidRPr="00C75BA4">
        <w:rPr>
          <w:rStyle w:val="SCCCounselSeparatorChar"/>
          <w:rFonts w:eastAsia="Calibri"/>
          <w:sz w:val="20"/>
        </w:rPr>
        <w:t xml:space="preserve"> et </w:t>
      </w:r>
      <w:r w:rsidRPr="00C75BA4">
        <w:rPr>
          <w:rStyle w:val="SCCCounselNameChar"/>
          <w:sz w:val="20"/>
          <w:lang w:val="fr-CA"/>
        </w:rPr>
        <w:t>Duncan A. W. Ault</w:t>
      </w:r>
      <w:r w:rsidRPr="00C75BA4">
        <w:rPr>
          <w:rStyle w:val="SCCCounselPartyRoleChar"/>
          <w:sz w:val="20"/>
          <w:lang w:val="fr-CA"/>
        </w:rPr>
        <w:t>, pour l’intervenante Comptables professionnels agréés du Canada.</w:t>
      </w:r>
    </w:p>
    <w:p w:rsidR="00A056EE" w:rsidRPr="00CD451A" w:rsidRDefault="008D266B" w:rsidP="005C6840">
      <w:pPr>
        <w:rPr>
          <w:rFonts w:cs="Times New Roman"/>
          <w:sz w:val="20"/>
          <w:szCs w:val="20"/>
          <w:lang w:val="en-US"/>
        </w:rPr>
      </w:pPr>
      <w:r>
        <w:rPr>
          <w:rFonts w:cs="Times New Roman"/>
          <w:sz w:val="20"/>
          <w:szCs w:val="20"/>
        </w:rPr>
        <w:pict>
          <v:rect id="_x0000_i1070" style="width:144.3pt;height:1pt" o:hrpct="300" o:hralign="center" o:hrstd="t" o:hrnoshade="t" o:hr="t" fillcolor="black [3213]" stroked="f"/>
        </w:pict>
      </w:r>
    </w:p>
    <w:p w:rsidR="00A056EE" w:rsidRPr="00CD451A" w:rsidRDefault="00A056EE" w:rsidP="005C6840">
      <w:pPr>
        <w:rPr>
          <w:rFonts w:cs="Times New Roman"/>
          <w:sz w:val="20"/>
          <w:szCs w:val="20"/>
          <w:lang w:val="en-US"/>
        </w:rPr>
      </w:pPr>
    </w:p>
    <w:p w:rsidR="00A056EE" w:rsidRPr="00CD451A" w:rsidRDefault="00A056EE" w:rsidP="005C6840">
      <w:pPr>
        <w:rPr>
          <w:rFonts w:cs="Times New Roman"/>
          <w:sz w:val="20"/>
          <w:szCs w:val="20"/>
          <w:lang w:val="en-US"/>
        </w:rPr>
      </w:pPr>
    </w:p>
    <w:p w:rsidR="00A056EE" w:rsidRPr="00CD451A" w:rsidRDefault="00A056EE" w:rsidP="005C6840">
      <w:pPr>
        <w:rPr>
          <w:rFonts w:cs="Times New Roman"/>
          <w:sz w:val="20"/>
          <w:szCs w:val="20"/>
          <w:lang w:val="en-US"/>
        </w:rPr>
      </w:pPr>
    </w:p>
    <w:p w:rsidR="00A056EE" w:rsidRPr="00CD451A" w:rsidRDefault="00A056EE" w:rsidP="005C6840">
      <w:pPr>
        <w:rPr>
          <w:rFonts w:cs="Times New Roman"/>
          <w:sz w:val="20"/>
          <w:szCs w:val="20"/>
          <w:lang w:val="en-US"/>
        </w:rPr>
      </w:pPr>
    </w:p>
    <w:p w:rsidR="00A056EE" w:rsidRPr="00CD451A" w:rsidRDefault="00A056EE" w:rsidP="005C6840">
      <w:pPr>
        <w:rPr>
          <w:rFonts w:cs="Times New Roman"/>
          <w:sz w:val="20"/>
          <w:szCs w:val="20"/>
          <w:lang w:val="en-US"/>
        </w:rPr>
      </w:pPr>
    </w:p>
    <w:p w:rsidR="00A056EE" w:rsidRPr="00CD451A" w:rsidRDefault="00A056EE" w:rsidP="005C6840">
      <w:pPr>
        <w:rPr>
          <w:rFonts w:cs="Times New Roman"/>
          <w:sz w:val="20"/>
          <w:szCs w:val="20"/>
          <w:lang w:val="en-US"/>
        </w:rPr>
      </w:pPr>
    </w:p>
    <w:p w:rsidR="00A056EE" w:rsidRPr="00CD451A" w:rsidRDefault="00A056EE" w:rsidP="005C6840">
      <w:pPr>
        <w:rPr>
          <w:rFonts w:cs="Times New Roman"/>
          <w:sz w:val="20"/>
          <w:szCs w:val="20"/>
          <w:lang w:val="en-US"/>
        </w:rPr>
      </w:pPr>
    </w:p>
    <w:p w:rsidR="00A056EE" w:rsidRPr="00CD451A" w:rsidRDefault="00A056EE" w:rsidP="005C6840">
      <w:pPr>
        <w:rPr>
          <w:rFonts w:cs="Times New Roman"/>
          <w:sz w:val="20"/>
          <w:szCs w:val="20"/>
          <w:lang w:val="en-US"/>
        </w:rPr>
      </w:pPr>
    </w:p>
    <w:p w:rsidR="00A056EE" w:rsidRPr="00CD451A" w:rsidRDefault="00A056EE" w:rsidP="005C6840">
      <w:pPr>
        <w:rPr>
          <w:rFonts w:cs="Times New Roman"/>
          <w:sz w:val="20"/>
          <w:szCs w:val="20"/>
          <w:lang w:val="en-US"/>
        </w:rPr>
      </w:pPr>
    </w:p>
    <w:p w:rsidR="00A056EE" w:rsidRPr="00CD451A" w:rsidRDefault="00A056EE" w:rsidP="005C6840">
      <w:pPr>
        <w:rPr>
          <w:rFonts w:cs="Times New Roman"/>
          <w:sz w:val="20"/>
          <w:szCs w:val="20"/>
          <w:lang w:val="en-US"/>
        </w:rPr>
      </w:pPr>
    </w:p>
    <w:p w:rsidR="005C6840" w:rsidRPr="00CD451A" w:rsidRDefault="005C6840" w:rsidP="005C6840">
      <w:pPr>
        <w:rPr>
          <w:lang w:val="en-US"/>
        </w:rPr>
      </w:pPr>
    </w:p>
    <w:p w:rsidR="00A056EE" w:rsidRDefault="00A056EE">
      <w:pPr>
        <w:rPr>
          <w:i/>
          <w:sz w:val="20"/>
          <w:szCs w:val="20"/>
        </w:rPr>
      </w:pPr>
      <w:r>
        <w:rPr>
          <w:i/>
          <w:sz w:val="20"/>
          <w:szCs w:val="20"/>
        </w:rPr>
        <w:br w:type="page"/>
      </w:r>
    </w:p>
    <w:p w:rsidR="0052229C" w:rsidRPr="00943325" w:rsidRDefault="00A53023" w:rsidP="0052229C">
      <w:pPr>
        <w:ind w:left="720" w:hanging="720"/>
        <w:rPr>
          <w:rFonts w:eastAsia="Calibri"/>
          <w:b/>
          <w:sz w:val="20"/>
          <w:szCs w:val="20"/>
          <w:lang w:val="fr-CA"/>
        </w:rPr>
      </w:pPr>
      <w:r w:rsidRPr="00943325">
        <w:rPr>
          <w:i/>
          <w:sz w:val="20"/>
          <w:szCs w:val="20"/>
        </w:rPr>
        <w:lastRenderedPageBreak/>
        <w:t xml:space="preserve">Donald Joseph Boutilier v. Her Majesty the Queen </w:t>
      </w:r>
      <w:r w:rsidR="0052229C" w:rsidRPr="00943325">
        <w:rPr>
          <w:i/>
          <w:sz w:val="20"/>
          <w:szCs w:val="20"/>
        </w:rPr>
        <w:t>et al</w:t>
      </w:r>
      <w:r w:rsidR="0052229C" w:rsidRPr="00943325">
        <w:rPr>
          <w:sz w:val="20"/>
          <w:szCs w:val="20"/>
        </w:rPr>
        <w:t xml:space="preserve">. </w:t>
      </w:r>
      <w:r w:rsidR="0052229C" w:rsidRPr="00943325">
        <w:rPr>
          <w:sz w:val="20"/>
          <w:szCs w:val="20"/>
          <w:lang w:val="fr-CA"/>
        </w:rPr>
        <w:t>(</w:t>
      </w:r>
      <w:r w:rsidRPr="00943325">
        <w:rPr>
          <w:sz w:val="20"/>
          <w:szCs w:val="20"/>
          <w:lang w:val="fr-CA"/>
        </w:rPr>
        <w:t>B.C</w:t>
      </w:r>
      <w:r w:rsidR="0052229C" w:rsidRPr="00943325">
        <w:rPr>
          <w:sz w:val="20"/>
          <w:szCs w:val="20"/>
          <w:lang w:val="fr-CA"/>
        </w:rPr>
        <w:t>.) (</w:t>
      </w:r>
      <w:hyperlink r:id="rId72" w:history="1">
        <w:r w:rsidR="0052229C" w:rsidRPr="00943325">
          <w:rPr>
            <w:rStyle w:val="Hyperlink"/>
            <w:sz w:val="20"/>
            <w:szCs w:val="20"/>
            <w:lang w:val="fr-CA"/>
          </w:rPr>
          <w:t>3</w:t>
        </w:r>
        <w:r w:rsidR="00943325" w:rsidRPr="00943325">
          <w:rPr>
            <w:rStyle w:val="Hyperlink"/>
            <w:sz w:val="20"/>
            <w:szCs w:val="20"/>
            <w:lang w:val="fr-CA"/>
          </w:rPr>
          <w:t>7168</w:t>
        </w:r>
      </w:hyperlink>
      <w:r w:rsidR="0052229C" w:rsidRPr="00943325">
        <w:rPr>
          <w:sz w:val="20"/>
          <w:szCs w:val="20"/>
          <w:lang w:val="fr-CA"/>
        </w:rPr>
        <w:t>)</w:t>
      </w:r>
    </w:p>
    <w:p w:rsidR="0052229C" w:rsidRPr="00943325" w:rsidRDefault="0052229C" w:rsidP="0052229C">
      <w:pPr>
        <w:jc w:val="both"/>
        <w:rPr>
          <w:b/>
          <w:sz w:val="20"/>
          <w:szCs w:val="20"/>
          <w:lang w:val="fr-CA"/>
        </w:rPr>
      </w:pPr>
      <w:r w:rsidRPr="00943325">
        <w:rPr>
          <w:b/>
          <w:sz w:val="20"/>
          <w:szCs w:val="20"/>
          <w:lang w:val="fr-CA"/>
        </w:rPr>
        <w:t xml:space="preserve">Indexed as:  </w:t>
      </w:r>
      <w:r w:rsidR="00943325" w:rsidRPr="00943325">
        <w:rPr>
          <w:b/>
          <w:sz w:val="20"/>
          <w:szCs w:val="20"/>
          <w:lang w:val="fr-CA"/>
        </w:rPr>
        <w:t xml:space="preserve">R. </w:t>
      </w:r>
      <w:r w:rsidR="00943325" w:rsidRPr="00943325">
        <w:rPr>
          <w:b/>
          <w:i/>
          <w:sz w:val="20"/>
          <w:szCs w:val="20"/>
          <w:lang w:val="fr-CA"/>
        </w:rPr>
        <w:t>v.</w:t>
      </w:r>
      <w:r w:rsidR="00943325" w:rsidRPr="00943325">
        <w:rPr>
          <w:b/>
          <w:sz w:val="20"/>
          <w:szCs w:val="20"/>
          <w:lang w:val="fr-CA"/>
        </w:rPr>
        <w:t xml:space="preserve"> Boutilier</w:t>
      </w:r>
      <w:r w:rsidR="00943325" w:rsidRPr="00943325">
        <w:rPr>
          <w:rStyle w:val="SCCAppellantForIndexChar"/>
          <w:rFonts w:eastAsiaTheme="minorHAnsi"/>
          <w:sz w:val="20"/>
        </w:rPr>
        <w:t xml:space="preserve"> </w:t>
      </w:r>
      <w:r w:rsidRPr="00943325">
        <w:rPr>
          <w:rStyle w:val="SCCAppellantForIndexChar"/>
          <w:rFonts w:eastAsiaTheme="minorHAnsi"/>
          <w:sz w:val="20"/>
        </w:rPr>
        <w:t xml:space="preserve">/ </w:t>
      </w:r>
      <w:r w:rsidRPr="00943325">
        <w:rPr>
          <w:b/>
          <w:sz w:val="20"/>
          <w:szCs w:val="20"/>
          <w:lang w:val="fr-CA"/>
        </w:rPr>
        <w:t xml:space="preserve">Répertorié : R. </w:t>
      </w:r>
      <w:r w:rsidRPr="00943325">
        <w:rPr>
          <w:b/>
          <w:i/>
          <w:sz w:val="20"/>
          <w:szCs w:val="20"/>
          <w:lang w:val="fr-CA"/>
        </w:rPr>
        <w:t xml:space="preserve">c. </w:t>
      </w:r>
      <w:r w:rsidR="00943325" w:rsidRPr="00943325">
        <w:rPr>
          <w:b/>
          <w:sz w:val="20"/>
          <w:szCs w:val="20"/>
          <w:lang w:val="fr-CA"/>
        </w:rPr>
        <w:t>Boutilier</w:t>
      </w:r>
    </w:p>
    <w:p w:rsidR="0052229C" w:rsidRPr="00943325" w:rsidRDefault="0052229C" w:rsidP="0052229C">
      <w:pPr>
        <w:pStyle w:val="SCCSystemYear"/>
        <w:jc w:val="both"/>
        <w:rPr>
          <w:sz w:val="20"/>
        </w:rPr>
      </w:pPr>
      <w:r w:rsidRPr="00943325">
        <w:rPr>
          <w:sz w:val="20"/>
        </w:rPr>
        <w:t xml:space="preserve">Neutral citation:  </w:t>
      </w:r>
      <w:r w:rsidR="0030050B" w:rsidRPr="00943325">
        <w:rPr>
          <w:sz w:val="20"/>
        </w:rPr>
        <w:t>201</w:t>
      </w:r>
      <w:r w:rsidR="0056248C" w:rsidRPr="00943325">
        <w:rPr>
          <w:sz w:val="20"/>
        </w:rPr>
        <w:t>7</w:t>
      </w:r>
      <w:r w:rsidRPr="00943325">
        <w:rPr>
          <w:sz w:val="20"/>
        </w:rPr>
        <w:t xml:space="preserve"> SCC </w:t>
      </w:r>
      <w:r w:rsidR="00943325" w:rsidRPr="00943325">
        <w:rPr>
          <w:sz w:val="20"/>
        </w:rPr>
        <w:t>64</w:t>
      </w:r>
      <w:r w:rsidRPr="00943325">
        <w:rPr>
          <w:sz w:val="20"/>
        </w:rPr>
        <w:t xml:space="preserve"> / Référence neutre : </w:t>
      </w:r>
      <w:r w:rsidR="0030050B" w:rsidRPr="00943325">
        <w:rPr>
          <w:sz w:val="20"/>
        </w:rPr>
        <w:t>201</w:t>
      </w:r>
      <w:r w:rsidR="0056248C" w:rsidRPr="00943325">
        <w:rPr>
          <w:sz w:val="20"/>
        </w:rPr>
        <w:t>7</w:t>
      </w:r>
      <w:r w:rsidRPr="00943325">
        <w:rPr>
          <w:sz w:val="20"/>
        </w:rPr>
        <w:t xml:space="preserve"> CSC </w:t>
      </w:r>
      <w:r w:rsidR="00943325" w:rsidRPr="00943325">
        <w:rPr>
          <w:sz w:val="20"/>
        </w:rPr>
        <w:t>64</w:t>
      </w:r>
    </w:p>
    <w:p w:rsidR="0052229C" w:rsidRPr="00943325" w:rsidRDefault="0052229C" w:rsidP="0052229C">
      <w:pPr>
        <w:rPr>
          <w:sz w:val="20"/>
          <w:szCs w:val="20"/>
          <w:lang w:val="fr-CA"/>
        </w:rPr>
      </w:pPr>
      <w:r w:rsidRPr="00943325">
        <w:rPr>
          <w:sz w:val="20"/>
          <w:szCs w:val="20"/>
          <w:lang w:val="fr-CA"/>
        </w:rPr>
        <w:t xml:space="preserve">Hearing:  </w:t>
      </w:r>
      <w:r w:rsidR="00943325" w:rsidRPr="00943325">
        <w:rPr>
          <w:sz w:val="20"/>
          <w:szCs w:val="20"/>
          <w:lang w:val="fr-CA"/>
        </w:rPr>
        <w:t>May 23</w:t>
      </w:r>
      <w:r w:rsidRPr="00943325">
        <w:rPr>
          <w:sz w:val="20"/>
          <w:szCs w:val="20"/>
          <w:lang w:val="fr-CA"/>
        </w:rPr>
        <w:t>, 201</w:t>
      </w:r>
      <w:r w:rsidR="00943325" w:rsidRPr="00943325">
        <w:rPr>
          <w:sz w:val="20"/>
          <w:szCs w:val="20"/>
          <w:lang w:val="fr-CA"/>
        </w:rPr>
        <w:t>7</w:t>
      </w:r>
      <w:r w:rsidRPr="00943325">
        <w:rPr>
          <w:sz w:val="20"/>
          <w:szCs w:val="20"/>
          <w:lang w:val="fr-CA"/>
        </w:rPr>
        <w:t xml:space="preserve"> / Judgment:  </w:t>
      </w:r>
      <w:r w:rsidR="00943325" w:rsidRPr="00943325">
        <w:rPr>
          <w:sz w:val="20"/>
          <w:szCs w:val="20"/>
          <w:lang w:val="fr-CA"/>
        </w:rPr>
        <w:t>December 21</w:t>
      </w:r>
      <w:r w:rsidRPr="00943325">
        <w:rPr>
          <w:sz w:val="20"/>
          <w:szCs w:val="20"/>
          <w:lang w:val="fr-CA"/>
        </w:rPr>
        <w:t xml:space="preserve">, </w:t>
      </w:r>
      <w:r w:rsidR="0030050B" w:rsidRPr="00943325">
        <w:rPr>
          <w:sz w:val="20"/>
          <w:szCs w:val="20"/>
          <w:lang w:val="fr-CA"/>
        </w:rPr>
        <w:t>201</w:t>
      </w:r>
      <w:r w:rsidR="0056248C" w:rsidRPr="00943325">
        <w:rPr>
          <w:sz w:val="20"/>
          <w:szCs w:val="20"/>
          <w:lang w:val="fr-CA"/>
        </w:rPr>
        <w:t>7</w:t>
      </w:r>
    </w:p>
    <w:p w:rsidR="0052229C" w:rsidRPr="00943325" w:rsidRDefault="0052229C" w:rsidP="0052229C">
      <w:pPr>
        <w:rPr>
          <w:sz w:val="20"/>
          <w:szCs w:val="20"/>
          <w:lang w:val="fr-CA"/>
        </w:rPr>
      </w:pPr>
      <w:r w:rsidRPr="00943325">
        <w:rPr>
          <w:sz w:val="20"/>
          <w:szCs w:val="20"/>
          <w:lang w:val="fr-CA"/>
        </w:rPr>
        <w:t xml:space="preserve">Audition : Le </w:t>
      </w:r>
      <w:r w:rsidR="00943325" w:rsidRPr="00943325">
        <w:rPr>
          <w:sz w:val="20"/>
          <w:szCs w:val="20"/>
          <w:lang w:val="fr-CA"/>
        </w:rPr>
        <w:t>23 mai 2017</w:t>
      </w:r>
      <w:r w:rsidRPr="00943325">
        <w:rPr>
          <w:sz w:val="20"/>
          <w:szCs w:val="20"/>
          <w:lang w:val="fr-CA"/>
        </w:rPr>
        <w:t xml:space="preserve"> / Jugement : Le </w:t>
      </w:r>
      <w:r w:rsidR="00943325" w:rsidRPr="00943325">
        <w:rPr>
          <w:sz w:val="20"/>
          <w:szCs w:val="20"/>
          <w:lang w:val="fr-CA"/>
        </w:rPr>
        <w:t>21 décembre</w:t>
      </w:r>
      <w:r w:rsidRPr="00943325">
        <w:rPr>
          <w:sz w:val="20"/>
          <w:szCs w:val="20"/>
          <w:lang w:val="fr-CA"/>
        </w:rPr>
        <w:t xml:space="preserve"> </w:t>
      </w:r>
      <w:r w:rsidR="0030050B" w:rsidRPr="00943325">
        <w:rPr>
          <w:sz w:val="20"/>
          <w:szCs w:val="20"/>
          <w:lang w:val="fr-CA"/>
        </w:rPr>
        <w:t>201</w:t>
      </w:r>
      <w:r w:rsidR="0056248C" w:rsidRPr="00943325">
        <w:rPr>
          <w:sz w:val="20"/>
          <w:szCs w:val="20"/>
          <w:lang w:val="fr-CA"/>
        </w:rPr>
        <w:t>7</w:t>
      </w:r>
    </w:p>
    <w:p w:rsidR="005C6840" w:rsidRPr="00943325" w:rsidRDefault="008D266B" w:rsidP="005C6840">
      <w:pPr>
        <w:rPr>
          <w:sz w:val="20"/>
          <w:szCs w:val="20"/>
          <w:lang w:val="fr-CA"/>
        </w:rPr>
      </w:pPr>
      <w:r>
        <w:rPr>
          <w:i/>
          <w:sz w:val="20"/>
          <w:szCs w:val="20"/>
        </w:rPr>
        <w:pict>
          <v:rect id="_x0000_i1071" style="width:480.95pt;height:1pt" o:hralign="center" o:hrstd="t" o:hrnoshade="t" o:hr="t" fillcolor="black [3213]" stroked="f"/>
        </w:pict>
      </w:r>
    </w:p>
    <w:p w:rsidR="005C6840" w:rsidRPr="00943325" w:rsidRDefault="005C6840" w:rsidP="005C6840">
      <w:pPr>
        <w:spacing w:line="0" w:lineRule="atLeast"/>
        <w:rPr>
          <w:sz w:val="20"/>
          <w:szCs w:val="20"/>
          <w:lang w:val="fr-CA"/>
        </w:rPr>
      </w:pPr>
    </w:p>
    <w:p w:rsidR="00943325" w:rsidRPr="00D36F9E" w:rsidRDefault="00943325" w:rsidP="00943325">
      <w:pPr>
        <w:jc w:val="both"/>
        <w:rPr>
          <w:sz w:val="20"/>
          <w:szCs w:val="20"/>
        </w:rPr>
      </w:pPr>
      <w:r w:rsidRPr="00D36F9E">
        <w:rPr>
          <w:sz w:val="20"/>
          <w:szCs w:val="20"/>
        </w:rPr>
        <w:t>Present: McLachlin C.J. and Abella, Moldaver, Karakatsanis, Wagner, Gascon, Côté, Brown and Rowe JJ.</w:t>
      </w:r>
    </w:p>
    <w:p w:rsidR="00943325" w:rsidRDefault="00943325" w:rsidP="00943325">
      <w:pPr>
        <w:pStyle w:val="SCCNormalDoubleSpacing"/>
        <w:spacing w:line="240" w:lineRule="auto"/>
        <w:rPr>
          <w:sz w:val="20"/>
        </w:rPr>
      </w:pPr>
    </w:p>
    <w:p w:rsidR="00943325" w:rsidRDefault="00943325" w:rsidP="00943325">
      <w:pPr>
        <w:pStyle w:val="SCCNormalDoubleSpacing"/>
        <w:spacing w:line="240" w:lineRule="auto"/>
        <w:rPr>
          <w:i/>
          <w:sz w:val="20"/>
        </w:rPr>
      </w:pPr>
      <w:r w:rsidRPr="00D36F9E">
        <w:rPr>
          <w:sz w:val="20"/>
        </w:rPr>
        <w:tab/>
      </w:r>
      <w:r w:rsidRPr="00D36F9E">
        <w:rPr>
          <w:i/>
          <w:sz w:val="20"/>
        </w:rPr>
        <w:t xml:space="preserve">Constitutional law — Charter of Rights — Fundamental justice — Overbreadth — Sentencing — Dangerous offender — Designation — Whether sentencing judge precluded from considering future treatment prospects </w:t>
      </w:r>
      <w:r w:rsidRPr="00D36F9E">
        <w:rPr>
          <w:i/>
          <w:sz w:val="20"/>
          <w:lang w:val="en-US"/>
        </w:rPr>
        <w:t xml:space="preserve">when deciding whether to designate an offender </w:t>
      </w:r>
      <w:r w:rsidRPr="00D36F9E">
        <w:rPr>
          <w:i/>
          <w:sz w:val="20"/>
        </w:rPr>
        <w:t>as dangerous — If so, whether s. 753(1) overbroad contrary to s. 7 of Canadian Charter of Rights and Freedoms — Criminal Code, R.S.C. 1985, c. C</w:t>
      </w:r>
      <w:r w:rsidRPr="00D36F9E">
        <w:rPr>
          <w:i/>
          <w:sz w:val="20"/>
        </w:rPr>
        <w:noBreakHyphen/>
        <w:t>46, s. 753(1).</w:t>
      </w:r>
    </w:p>
    <w:p w:rsidR="00943325" w:rsidRPr="00D36F9E" w:rsidRDefault="00943325" w:rsidP="00943325">
      <w:pPr>
        <w:pStyle w:val="SCCNormalDoubleSpacing"/>
        <w:spacing w:line="240" w:lineRule="auto"/>
        <w:rPr>
          <w:i/>
          <w:sz w:val="20"/>
        </w:rPr>
      </w:pPr>
    </w:p>
    <w:p w:rsidR="00943325" w:rsidRDefault="00943325" w:rsidP="00943325">
      <w:pPr>
        <w:pStyle w:val="SCCNormalDoubleSpacing"/>
        <w:spacing w:line="240" w:lineRule="auto"/>
        <w:rPr>
          <w:i/>
          <w:sz w:val="20"/>
        </w:rPr>
      </w:pPr>
      <w:r w:rsidRPr="00D36F9E">
        <w:rPr>
          <w:i/>
          <w:sz w:val="20"/>
        </w:rPr>
        <w:tab/>
        <w:t>Constitutional law — Charter of Rights — Fundamental justice — Overbreadth — Cruel and unusual punishment — Sentencing — Dangerous offender — Penalty — Indeterminate detention — Principles governing application of s. 753(4.1) of Criminal Code — Whether s. 753(4.1) overbroad by applying to offenders that could be monitored under long</w:t>
      </w:r>
      <w:r w:rsidRPr="00D36F9E">
        <w:rPr>
          <w:i/>
          <w:sz w:val="20"/>
        </w:rPr>
        <w:noBreakHyphen/>
        <w:t>term offender scheme — Whether s. 753(4.1) leads to grossly disproportionate sentence by presumptively imposing indeterminate detention and preventing judge from imposing fit sentence consistent with principles and objectives of sentencing under Criminal Code — Canadian Charter of Rights and Freedoms, ss. 7, 12 — Criminal Code, R.S.C. 1985, c. C</w:t>
      </w:r>
      <w:r w:rsidRPr="00D36F9E">
        <w:rPr>
          <w:i/>
          <w:sz w:val="20"/>
        </w:rPr>
        <w:noBreakHyphen/>
        <w:t>46, s. 753(4.1).</w:t>
      </w:r>
    </w:p>
    <w:p w:rsidR="00943325" w:rsidRPr="00D36F9E" w:rsidRDefault="00943325" w:rsidP="00943325">
      <w:pPr>
        <w:pStyle w:val="SCCNormalDoubleSpacing"/>
        <w:spacing w:line="240" w:lineRule="auto"/>
        <w:rPr>
          <w:i/>
          <w:sz w:val="20"/>
        </w:rPr>
      </w:pPr>
    </w:p>
    <w:p w:rsidR="00943325" w:rsidRDefault="00943325" w:rsidP="00943325">
      <w:pPr>
        <w:pStyle w:val="SCCNormalDoubleSpacing"/>
        <w:spacing w:line="240" w:lineRule="auto"/>
        <w:rPr>
          <w:i/>
          <w:sz w:val="20"/>
        </w:rPr>
      </w:pPr>
      <w:r w:rsidRPr="00D36F9E">
        <w:rPr>
          <w:i/>
          <w:sz w:val="20"/>
        </w:rPr>
        <w:tab/>
        <w:t>Criminal law — Sentencing — Dangerous offender — Indeterminate detention — Accused declared to be dangerous offender — Whether sentencing judge erred in imposing indeterminate sentence — Criminal Code, R.S.C. 1985, c. C</w:t>
      </w:r>
      <w:r w:rsidRPr="00D36F9E">
        <w:rPr>
          <w:i/>
          <w:sz w:val="20"/>
        </w:rPr>
        <w:noBreakHyphen/>
        <w:t>46, ss. 753(4),(4.1).</w:t>
      </w:r>
    </w:p>
    <w:p w:rsidR="00943325" w:rsidRPr="00D36F9E" w:rsidRDefault="00943325" w:rsidP="00943325">
      <w:pPr>
        <w:pStyle w:val="SCCNormalDoubleSpacing"/>
        <w:spacing w:line="240" w:lineRule="auto"/>
        <w:rPr>
          <w:i/>
          <w:sz w:val="20"/>
        </w:rPr>
      </w:pPr>
    </w:p>
    <w:p w:rsidR="00943325" w:rsidRDefault="00943325" w:rsidP="00943325">
      <w:pPr>
        <w:pStyle w:val="SCCNormalDoubleSpacing"/>
        <w:spacing w:line="240" w:lineRule="auto"/>
        <w:rPr>
          <w:sz w:val="20"/>
        </w:rPr>
      </w:pPr>
      <w:r w:rsidRPr="00D36F9E">
        <w:rPr>
          <w:i/>
          <w:sz w:val="20"/>
        </w:rPr>
        <w:tab/>
      </w:r>
      <w:r w:rsidRPr="00D36F9E">
        <w:rPr>
          <w:sz w:val="20"/>
        </w:rPr>
        <w:t xml:space="preserve">B pleaded guilty to six criminal charges arising out of the robbery of a pharmacy with an imitation firearm and an ensuing car chase. The Crown brought an application seeking his designation as a dangerous offender and the imposition of a sentence of indeterminate detention. B challenged the constitutional validity of s. 753(1) and (4.1) of the </w:t>
      </w:r>
      <w:r w:rsidRPr="00D36F9E">
        <w:rPr>
          <w:i/>
          <w:sz w:val="20"/>
        </w:rPr>
        <w:t xml:space="preserve">Criminal Code </w:t>
      </w:r>
      <w:r w:rsidRPr="00D36F9E">
        <w:rPr>
          <w:sz w:val="20"/>
        </w:rPr>
        <w:t xml:space="preserve">under ss. 7 and 12 of the </w:t>
      </w:r>
      <w:r w:rsidRPr="00D36F9E">
        <w:rPr>
          <w:i/>
          <w:sz w:val="20"/>
        </w:rPr>
        <w:t>Canadian Charter of Rights and Freedoms</w:t>
      </w:r>
      <w:r w:rsidRPr="00D36F9E">
        <w:rPr>
          <w:sz w:val="20"/>
        </w:rPr>
        <w:t xml:space="preserve">. </w:t>
      </w:r>
    </w:p>
    <w:p w:rsidR="00943325" w:rsidRPr="00D36F9E" w:rsidRDefault="00943325" w:rsidP="00943325">
      <w:pPr>
        <w:pStyle w:val="SCCNormalDoubleSpacing"/>
        <w:spacing w:line="240" w:lineRule="auto"/>
        <w:rPr>
          <w:i/>
          <w:sz w:val="20"/>
        </w:rPr>
      </w:pPr>
    </w:p>
    <w:p w:rsidR="00943325" w:rsidRDefault="00943325" w:rsidP="00943325">
      <w:pPr>
        <w:pStyle w:val="SCCNormalDoubleSpacing"/>
        <w:spacing w:line="240" w:lineRule="auto"/>
        <w:rPr>
          <w:sz w:val="20"/>
        </w:rPr>
      </w:pPr>
      <w:r w:rsidRPr="00D36F9E">
        <w:rPr>
          <w:sz w:val="20"/>
        </w:rPr>
        <w:tab/>
        <w:t xml:space="preserve">Section 753(1) lists the statutory requirements that must be met before a court can designate an offender as dangerous. Section 753(4.1) relates to the sentencing of a dangerous offender. </w:t>
      </w:r>
      <w:r w:rsidRPr="00D36F9E">
        <w:rPr>
          <w:sz w:val="20"/>
          <w:lang w:val="en-US"/>
        </w:rPr>
        <w:t>The dangerous offender scheme is designed as a two</w:t>
      </w:r>
      <w:r w:rsidRPr="00D36F9E">
        <w:rPr>
          <w:sz w:val="20"/>
          <w:lang w:val="en-US"/>
        </w:rPr>
        <w:noBreakHyphen/>
        <w:t>stage process: the designation stage and the penalty stage. At the designation stage, i</w:t>
      </w:r>
      <w:r w:rsidRPr="00D36F9E">
        <w:rPr>
          <w:sz w:val="20"/>
        </w:rPr>
        <w:t>f a sentencing judge is satisfied that the statutory criteria under s. 753(1) have been met, the designation as a dangerous offender must follow. At the penalty stage, under s. 753(4.1), a sentencing judge must impose an indeterminate sentence on a designated individual unless he or she is satisfied that there is a reasonable expectation that a lesser measure will adequately protect the public.</w:t>
      </w:r>
    </w:p>
    <w:p w:rsidR="00943325" w:rsidRPr="00D36F9E" w:rsidRDefault="00943325" w:rsidP="00943325">
      <w:pPr>
        <w:pStyle w:val="SCCNormalDoubleSpacing"/>
        <w:spacing w:line="240" w:lineRule="auto"/>
        <w:rPr>
          <w:sz w:val="20"/>
        </w:rPr>
      </w:pPr>
    </w:p>
    <w:p w:rsidR="00943325" w:rsidRDefault="00943325" w:rsidP="00943325">
      <w:pPr>
        <w:pStyle w:val="SCCNormalDoubleSpacing"/>
        <w:spacing w:line="240" w:lineRule="auto"/>
        <w:rPr>
          <w:sz w:val="20"/>
        </w:rPr>
      </w:pPr>
      <w:r w:rsidRPr="00D36F9E">
        <w:rPr>
          <w:sz w:val="20"/>
        </w:rPr>
        <w:tab/>
        <w:t xml:space="preserve">The sentencing judge granted B’s application in part, finding only that s. 753(1) is unconstitutionally overbroad. Nevertheless, the sentencing judge held that B was a dangerous offender and sentenced him to an indeterminate detention. The Court of Appeal held that the sentencing judge had erred in finding s. 753(1) to be overbroad but agreed with the sentencing judge that s. 753(4.1) did not violate ss. 7 and 12 of the </w:t>
      </w:r>
      <w:r w:rsidRPr="00D36F9E">
        <w:rPr>
          <w:i/>
          <w:sz w:val="20"/>
        </w:rPr>
        <w:t>Charter</w:t>
      </w:r>
      <w:r w:rsidRPr="00D36F9E">
        <w:rPr>
          <w:sz w:val="20"/>
        </w:rPr>
        <w:t xml:space="preserve">. The Court of Appeal dismissed B’s appeal of his dangerous offender designation and indeterminate sentence. </w:t>
      </w:r>
    </w:p>
    <w:p w:rsidR="00943325" w:rsidRPr="00D36F9E" w:rsidRDefault="00943325" w:rsidP="00943325">
      <w:pPr>
        <w:pStyle w:val="SCCNormalDoubleSpacing"/>
        <w:spacing w:line="240" w:lineRule="auto"/>
        <w:rPr>
          <w:sz w:val="20"/>
        </w:rPr>
      </w:pPr>
    </w:p>
    <w:p w:rsidR="00943325" w:rsidRDefault="00943325" w:rsidP="00943325">
      <w:pPr>
        <w:pStyle w:val="SCCNormalDoubleSpacing"/>
        <w:spacing w:line="240" w:lineRule="auto"/>
        <w:rPr>
          <w:sz w:val="20"/>
        </w:rPr>
      </w:pPr>
      <w:r w:rsidRPr="00D36F9E">
        <w:rPr>
          <w:sz w:val="20"/>
        </w:rPr>
        <w:tab/>
      </w:r>
      <w:r w:rsidRPr="00D36F9E">
        <w:rPr>
          <w:i/>
          <w:sz w:val="20"/>
        </w:rPr>
        <w:t xml:space="preserve">Held </w:t>
      </w:r>
      <w:r w:rsidRPr="00D36F9E">
        <w:rPr>
          <w:sz w:val="20"/>
        </w:rPr>
        <w:t xml:space="preserve">(Karakatsanis J. </w:t>
      </w:r>
      <w:r w:rsidRPr="00D36F9E">
        <w:rPr>
          <w:iCs/>
          <w:sz w:val="20"/>
        </w:rPr>
        <w:t>dissenting</w:t>
      </w:r>
      <w:r w:rsidRPr="00D36F9E">
        <w:rPr>
          <w:sz w:val="20"/>
        </w:rPr>
        <w:t xml:space="preserve"> in part): The appeal should be dismissed. </w:t>
      </w:r>
    </w:p>
    <w:p w:rsidR="00943325" w:rsidRPr="00D36F9E" w:rsidRDefault="00943325" w:rsidP="00943325">
      <w:pPr>
        <w:pStyle w:val="SCCNormalDoubleSpacing"/>
        <w:spacing w:line="240" w:lineRule="auto"/>
        <w:rPr>
          <w:sz w:val="20"/>
        </w:rPr>
      </w:pPr>
    </w:p>
    <w:p w:rsidR="00943325" w:rsidRDefault="00943325" w:rsidP="00943325">
      <w:pPr>
        <w:pStyle w:val="SCCNormalDoubleSpacing"/>
        <w:spacing w:line="240" w:lineRule="auto"/>
        <w:rPr>
          <w:spacing w:val="-3"/>
          <w:sz w:val="20"/>
        </w:rPr>
      </w:pPr>
      <w:r w:rsidRPr="00D36F9E">
        <w:rPr>
          <w:sz w:val="20"/>
        </w:rPr>
        <w:tab/>
      </w:r>
      <w:r w:rsidRPr="00D36F9E">
        <w:rPr>
          <w:i/>
          <w:sz w:val="20"/>
        </w:rPr>
        <w:t>Per</w:t>
      </w:r>
      <w:r w:rsidRPr="00D36F9E">
        <w:rPr>
          <w:sz w:val="20"/>
        </w:rPr>
        <w:t xml:space="preserve"> McLachlin C.J. and Abella, Moldaver, Wagner, Gascon, </w:t>
      </w:r>
      <w:r w:rsidRPr="00D36F9E">
        <w:rPr>
          <w:b/>
          <w:sz w:val="20"/>
        </w:rPr>
        <w:t>Côté</w:t>
      </w:r>
      <w:r w:rsidRPr="00D36F9E">
        <w:rPr>
          <w:sz w:val="20"/>
        </w:rPr>
        <w:t xml:space="preserve">, Brown and Rowe JJ: Section 753(1) does not preclude a sentencing judge from considering future treatment prospects before designating an offender as dangerous and therefore is not overbroad under s. 7 of the </w:t>
      </w:r>
      <w:r w:rsidRPr="00D36F9E">
        <w:rPr>
          <w:i/>
          <w:sz w:val="20"/>
        </w:rPr>
        <w:t>Charter</w:t>
      </w:r>
      <w:r w:rsidRPr="00D36F9E">
        <w:rPr>
          <w:sz w:val="20"/>
        </w:rPr>
        <w:t xml:space="preserve">. To obtain a designation of dangerousness resulting from violent behaviour, the Crown must demonstrate beyond a reasonable doubt, </w:t>
      </w:r>
      <w:r w:rsidRPr="00D36F9E">
        <w:rPr>
          <w:i/>
          <w:sz w:val="20"/>
        </w:rPr>
        <w:t>inter alia</w:t>
      </w:r>
      <w:r w:rsidRPr="00D36F9E">
        <w:rPr>
          <w:sz w:val="20"/>
        </w:rPr>
        <w:t xml:space="preserve">, that </w:t>
      </w:r>
      <w:r w:rsidRPr="00D36F9E">
        <w:rPr>
          <w:sz w:val="20"/>
          <w:lang w:val="en-US"/>
        </w:rPr>
        <w:t>the offender represents a threat to the life, safety or physical or mental well</w:t>
      </w:r>
      <w:r w:rsidRPr="00D36F9E">
        <w:rPr>
          <w:sz w:val="20"/>
          <w:lang w:val="en-US"/>
        </w:rPr>
        <w:noBreakHyphen/>
        <w:t xml:space="preserve">being of other persons. Before designating a dangerous offender, a sentencing judge must be satisfied on the evidence that the offender poses a high likelihood of harmful recidivism and that his or her conduct is intractable. Intractable conduct means behaviour that the offender is unable to surmount. Through these two criteria, Parliament requires sentencing judges to conduct a prospective assessment of dangerousness. All of the evidence </w:t>
      </w:r>
      <w:r w:rsidRPr="00D36F9E">
        <w:rPr>
          <w:sz w:val="20"/>
          <w:lang w:val="en-US"/>
        </w:rPr>
        <w:lastRenderedPageBreak/>
        <w:t xml:space="preserve">adduced during a dangerous offender hearing must be considered at both the designation and penalty stages of the sentencing judge’s analysis, though for the purpose of making different findings related to different legal criteria. </w:t>
      </w:r>
      <w:r w:rsidRPr="00D36F9E">
        <w:rPr>
          <w:sz w:val="20"/>
        </w:rPr>
        <w:t xml:space="preserve">At the designation stage, treatability informs the decision on the threat posed by an offender, whereas at the penalty stage, it helps determine the appropriate sentence to manage this threat. </w:t>
      </w:r>
      <w:r w:rsidRPr="00D36F9E">
        <w:rPr>
          <w:sz w:val="20"/>
          <w:lang w:val="en-US"/>
        </w:rPr>
        <w:t>A prospective assessment of dangerousness ensures that only offenders who pose a tremendous future risk</w:t>
      </w:r>
      <w:r w:rsidRPr="00D36F9E">
        <w:rPr>
          <w:sz w:val="20"/>
        </w:rPr>
        <w:t xml:space="preserve"> are designated as dangerous and face the possibility of being sentenced to an indeterminate detention. </w:t>
      </w:r>
      <w:r w:rsidRPr="00D36F9E">
        <w:rPr>
          <w:sz w:val="20"/>
          <w:lang w:val="en-US"/>
        </w:rPr>
        <w:t xml:space="preserve">A provision imposing an indeterminate detention is therefore not overbroad if it is </w:t>
      </w:r>
      <w:r w:rsidRPr="00D36F9E">
        <w:rPr>
          <w:spacing w:val="-3"/>
          <w:sz w:val="20"/>
        </w:rPr>
        <w:t>carefully confined in its application to those habitual criminals who are dangerous to others.</w:t>
      </w:r>
    </w:p>
    <w:p w:rsidR="00943325" w:rsidRPr="00D36F9E" w:rsidRDefault="00943325" w:rsidP="00943325">
      <w:pPr>
        <w:pStyle w:val="SCCNormalDoubleSpacing"/>
        <w:spacing w:line="240" w:lineRule="auto"/>
        <w:rPr>
          <w:sz w:val="20"/>
        </w:rPr>
      </w:pPr>
    </w:p>
    <w:p w:rsidR="00943325" w:rsidRDefault="00943325" w:rsidP="00943325">
      <w:pPr>
        <w:pStyle w:val="SCCNormalDoubleSpacing"/>
        <w:spacing w:line="240" w:lineRule="auto"/>
        <w:rPr>
          <w:sz w:val="20"/>
          <w:lang w:val="en-US"/>
        </w:rPr>
      </w:pPr>
      <w:r w:rsidRPr="00D36F9E">
        <w:rPr>
          <w:sz w:val="20"/>
          <w:lang w:val="en-US"/>
        </w:rPr>
        <w:tab/>
        <w:t xml:space="preserve">Section 753(4.1) does not lead to a grossly disproportionate sentence, contrary to s. 12 of the </w:t>
      </w:r>
      <w:r w:rsidRPr="00D36F9E">
        <w:rPr>
          <w:i/>
          <w:sz w:val="20"/>
          <w:lang w:val="en-US"/>
        </w:rPr>
        <w:t>Charter</w:t>
      </w:r>
      <w:r w:rsidRPr="00D36F9E">
        <w:rPr>
          <w:sz w:val="20"/>
          <w:lang w:val="en-US"/>
        </w:rPr>
        <w:t>, by presumptively imposing indeterminate detention and preventing the sentencing judge from imposing a fit sentence. Properly read and applied, s. </w:t>
      </w:r>
      <w:r w:rsidRPr="00D36F9E">
        <w:rPr>
          <w:sz w:val="20"/>
        </w:rPr>
        <w:t xml:space="preserve">753(4.1) does not impose an onus, a rebuttable presumption, or mandatory sanctioning. </w:t>
      </w:r>
      <w:r w:rsidRPr="00D36F9E">
        <w:rPr>
          <w:sz w:val="20"/>
          <w:lang w:val="en-US"/>
        </w:rPr>
        <w:t xml:space="preserve">It provides guidance on how a sentencing judge can properly exercise his or her discretion in accordance with the applicable objectives and principles of sentencing. Sentencing principles and mandatory guidelines outlined in ss. 718 to 718.2 of the </w:t>
      </w:r>
      <w:r w:rsidRPr="00D36F9E">
        <w:rPr>
          <w:i/>
          <w:sz w:val="20"/>
          <w:lang w:val="en-US"/>
        </w:rPr>
        <w:t xml:space="preserve">Criminal Code </w:t>
      </w:r>
      <w:r w:rsidRPr="00D36F9E">
        <w:rPr>
          <w:sz w:val="20"/>
          <w:lang w:val="en-US"/>
        </w:rPr>
        <w:t>apply to every sentencing decision, whether made under the regular sentencing regime, the dangerous offender regime or the long</w:t>
      </w:r>
      <w:r w:rsidRPr="00D36F9E">
        <w:rPr>
          <w:sz w:val="20"/>
          <w:lang w:val="en-US"/>
        </w:rPr>
        <w:noBreakHyphen/>
        <w:t xml:space="preserve">term offender regime. </w:t>
      </w:r>
      <w:r w:rsidRPr="00D36F9E">
        <w:rPr>
          <w:sz w:val="20"/>
        </w:rPr>
        <w:t>Parliament is entitled to decide that protection of the public is an enhanced sentencing objective for individuals who have been designated as dangerous. This does not mean that this objective operates to the exclusion of all others. I</w:t>
      </w:r>
      <w:r w:rsidRPr="00D36F9E">
        <w:rPr>
          <w:sz w:val="20"/>
          <w:lang w:val="en-US"/>
        </w:rPr>
        <w:t xml:space="preserve">ndeterminate detention is only one sentencing option among others available under s. 753(4). </w:t>
      </w:r>
      <w:r w:rsidRPr="00D36F9E">
        <w:rPr>
          <w:sz w:val="20"/>
        </w:rPr>
        <w:t>In lieu of an indeterminate detention, a judge may impose a sentence that is more proportionate, whether it is imprisonment for a minimum of two years followed by long</w:t>
      </w:r>
      <w:r w:rsidRPr="00D36F9E">
        <w:rPr>
          <w:sz w:val="20"/>
        </w:rPr>
        <w:noBreakHyphen/>
        <w:t>term supervision — which amounts to a long</w:t>
      </w:r>
      <w:r w:rsidRPr="00D36F9E">
        <w:rPr>
          <w:sz w:val="20"/>
        </w:rPr>
        <w:noBreakHyphen/>
        <w:t xml:space="preserve">term offender sentence — or </w:t>
      </w:r>
      <w:r w:rsidRPr="00D36F9E">
        <w:rPr>
          <w:sz w:val="20"/>
          <w:lang w:val="en-US"/>
        </w:rPr>
        <w:t xml:space="preserve">a sentence under the regular sentencing regime. The sentencing alternatives listed in s. 753(4) therefore encompass the entire spectrum of sentences contemplated by the </w:t>
      </w:r>
      <w:r w:rsidRPr="00D36F9E">
        <w:rPr>
          <w:i/>
          <w:sz w:val="20"/>
          <w:lang w:val="en-US"/>
        </w:rPr>
        <w:t>Criminal Code</w:t>
      </w:r>
      <w:r w:rsidRPr="00D36F9E">
        <w:rPr>
          <w:sz w:val="20"/>
          <w:lang w:val="en-US"/>
        </w:rPr>
        <w:t>. In order to properly exercise his or her discretion under s. 753(4), the sentencing judge must impose the least intrusive sentence required to achieve the primary purpose of the scheme. Nothing in the wording of s. 753(4.1) removes the obligation incumbent on a sentencing judge to consider all sentencing principles in order to choose a sentence that is fit for a specific offender. An offender’s moral culpability, the seriousness of the offence, mitigating factors, and principles developed for Indigenous offenders are each part of the sentencing process under the dangerous offender scheme. Each of these considerations is relevant to deciding whether or not a lesser sentence would sufficiently protect the public.</w:t>
      </w:r>
    </w:p>
    <w:p w:rsidR="00943325" w:rsidRPr="00D36F9E" w:rsidRDefault="00943325" w:rsidP="00943325">
      <w:pPr>
        <w:pStyle w:val="SCCNormalDoubleSpacing"/>
        <w:spacing w:line="240" w:lineRule="auto"/>
        <w:rPr>
          <w:sz w:val="20"/>
          <w:lang w:val="en-US"/>
        </w:rPr>
      </w:pPr>
    </w:p>
    <w:p w:rsidR="00943325" w:rsidRDefault="00943325" w:rsidP="00943325">
      <w:pPr>
        <w:pStyle w:val="SCCNormalDoubleSpacing"/>
        <w:spacing w:line="240" w:lineRule="auto"/>
        <w:rPr>
          <w:sz w:val="20"/>
          <w:lang w:val="en-US"/>
        </w:rPr>
      </w:pPr>
      <w:r w:rsidRPr="00D36F9E">
        <w:rPr>
          <w:sz w:val="20"/>
        </w:rPr>
        <w:tab/>
        <w:t xml:space="preserve">Section 753(4.1) is not overbroad in violation of s. 7 of the </w:t>
      </w:r>
      <w:r w:rsidRPr="00D36F9E">
        <w:rPr>
          <w:i/>
          <w:sz w:val="20"/>
        </w:rPr>
        <w:t>Charter</w:t>
      </w:r>
      <w:r w:rsidRPr="00D36F9E">
        <w:rPr>
          <w:sz w:val="20"/>
        </w:rPr>
        <w:t xml:space="preserve">. </w:t>
      </w:r>
      <w:r w:rsidRPr="00D36F9E">
        <w:rPr>
          <w:sz w:val="20"/>
          <w:lang w:val="en-US"/>
        </w:rPr>
        <w:t xml:space="preserve">Section 753(1) limits the availability of an indeterminate detention under s. 753(4) and (4.1) to a narrow group of offenders that are dangerous </w:t>
      </w:r>
      <w:r w:rsidRPr="00D36F9E">
        <w:rPr>
          <w:i/>
          <w:sz w:val="20"/>
          <w:lang w:val="en-US"/>
        </w:rPr>
        <w:t>per se</w:t>
      </w:r>
      <w:r w:rsidRPr="00D36F9E">
        <w:rPr>
          <w:sz w:val="20"/>
          <w:lang w:val="en-US"/>
        </w:rPr>
        <w:t xml:space="preserve">. </w:t>
      </w:r>
      <w:r w:rsidRPr="00D36F9E">
        <w:rPr>
          <w:smallCaps/>
          <w:sz w:val="20"/>
          <w:lang w:val="en-US"/>
        </w:rPr>
        <w:t>T</w:t>
      </w:r>
      <w:r w:rsidRPr="00D36F9E">
        <w:rPr>
          <w:sz w:val="20"/>
          <w:lang w:val="en-US"/>
        </w:rPr>
        <w:t>he dangerous offender designation criteria are more onerous than the long</w:t>
      </w:r>
      <w:r w:rsidRPr="00D36F9E">
        <w:rPr>
          <w:sz w:val="20"/>
          <w:lang w:val="en-US"/>
        </w:rPr>
        <w:noBreakHyphen/>
        <w:t>term offender criteria. It therefore cannot be said that both regimes target the same offenders. Furthermore, s. 753(4.1) does not create a presumption that indeterminate detention is the appropriate sentence — the sentencing judge is under the obligation to conduct a thorough inquiry that considers all the evidence presented during the hearing in order to decide the fittest sentence for the offender. Under s. 753(4), a long</w:t>
      </w:r>
      <w:r w:rsidRPr="00D36F9E">
        <w:rPr>
          <w:sz w:val="20"/>
          <w:lang w:val="en-US"/>
        </w:rPr>
        <w:noBreakHyphen/>
        <w:t>term offender sentence remains available for dangerous offenders who can be controlled in the community in a manner that adequately protects the public from murder or a serious personal injury offence.</w:t>
      </w:r>
    </w:p>
    <w:p w:rsidR="00943325" w:rsidRPr="00D36F9E" w:rsidRDefault="00943325" w:rsidP="00943325">
      <w:pPr>
        <w:pStyle w:val="SCCNormalDoubleSpacing"/>
        <w:spacing w:line="240" w:lineRule="auto"/>
        <w:rPr>
          <w:sz w:val="20"/>
          <w:lang w:val="en-US"/>
        </w:rPr>
      </w:pPr>
    </w:p>
    <w:p w:rsidR="00943325" w:rsidRDefault="00943325" w:rsidP="00943325">
      <w:pPr>
        <w:pStyle w:val="SCCNormalDoubleSpacing"/>
        <w:spacing w:line="240" w:lineRule="auto"/>
        <w:rPr>
          <w:sz w:val="20"/>
          <w:lang w:val="en-US"/>
        </w:rPr>
      </w:pPr>
      <w:r w:rsidRPr="00D36F9E">
        <w:rPr>
          <w:sz w:val="20"/>
        </w:rPr>
        <w:tab/>
        <w:t xml:space="preserve">In this case, although the sentencing judge committed an error of law, since he failed to consider B’s treatment prospects before designating him as a dangerous offender, this error has not resulted in a substantial wrong or miscarriage of justice. </w:t>
      </w:r>
      <w:r w:rsidRPr="00D36F9E">
        <w:rPr>
          <w:sz w:val="20"/>
          <w:lang w:val="en-US"/>
        </w:rPr>
        <w:t xml:space="preserve">This error of law does not change the sentencing judge’s conclusion regarding B’s dangerousness. The judge found B’s conduct to be intractable because his prospect of overcoming his addictions, the source of his dangerousness, was nothing more than an expression of hope. </w:t>
      </w:r>
      <w:r w:rsidRPr="00D36F9E">
        <w:rPr>
          <w:sz w:val="20"/>
        </w:rPr>
        <w:t>The sentencing judge explained that his analysis would remain unchanged even if he considered B’s treatment prospects at the designation stage. Absent any material error of law, a dangerous offender designation is a question of fact. The role of an appellate court is therefore to determine if the designation was reasonable. Ba</w:t>
      </w:r>
      <w:r w:rsidRPr="00D36F9E">
        <w:rPr>
          <w:sz w:val="20"/>
          <w:lang w:val="en-US"/>
        </w:rPr>
        <w:t xml:space="preserve">sed on the sentencing judge’s findings of fact, the designation of B as a dangerous offender and the imposition of an indeterminate detention cannot be said to be unreasonable. </w:t>
      </w:r>
    </w:p>
    <w:p w:rsidR="00943325" w:rsidRPr="00D36F9E" w:rsidRDefault="00943325" w:rsidP="00943325">
      <w:pPr>
        <w:pStyle w:val="SCCNormalDoubleSpacing"/>
        <w:spacing w:line="240" w:lineRule="auto"/>
        <w:rPr>
          <w:sz w:val="20"/>
          <w:lang w:val="en-US"/>
        </w:rPr>
      </w:pPr>
    </w:p>
    <w:p w:rsidR="00943325" w:rsidRDefault="00943325" w:rsidP="00943325">
      <w:pPr>
        <w:pStyle w:val="SCCNormalDoubleSpacing"/>
        <w:spacing w:line="240" w:lineRule="auto"/>
        <w:rPr>
          <w:sz w:val="20"/>
        </w:rPr>
      </w:pPr>
      <w:r w:rsidRPr="00D36F9E">
        <w:rPr>
          <w:sz w:val="20"/>
          <w:lang w:val="en-US"/>
        </w:rPr>
        <w:tab/>
      </w:r>
      <w:r w:rsidRPr="00D36F9E">
        <w:rPr>
          <w:i/>
          <w:sz w:val="20"/>
        </w:rPr>
        <w:t>Per</w:t>
      </w:r>
      <w:r w:rsidRPr="00D36F9E">
        <w:rPr>
          <w:sz w:val="20"/>
        </w:rPr>
        <w:t xml:space="preserve"> </w:t>
      </w:r>
      <w:r w:rsidRPr="00D36F9E">
        <w:rPr>
          <w:b/>
          <w:sz w:val="20"/>
        </w:rPr>
        <w:t>Karakatsanis J.</w:t>
      </w:r>
      <w:r w:rsidRPr="00D36F9E">
        <w:rPr>
          <w:sz w:val="20"/>
        </w:rPr>
        <w:t xml:space="preserve"> (dissenting in part): There is agreement with the majority that s. 753(1) of the </w:t>
      </w:r>
      <w:r w:rsidRPr="00D36F9E">
        <w:rPr>
          <w:i/>
          <w:sz w:val="20"/>
        </w:rPr>
        <w:t xml:space="preserve">Criminal Code </w:t>
      </w:r>
      <w:r w:rsidRPr="00D36F9E">
        <w:rPr>
          <w:sz w:val="20"/>
        </w:rPr>
        <w:t xml:space="preserve">calls for consideration of the offender’s future treatment prospects, and thus is not unconstitutionally overbroad on that basis. However, s. 753(4.1) should be declared to be of no force and effect as it violates s. 12 of the </w:t>
      </w:r>
      <w:r w:rsidRPr="00D36F9E">
        <w:rPr>
          <w:i/>
          <w:sz w:val="20"/>
        </w:rPr>
        <w:t xml:space="preserve">Charter </w:t>
      </w:r>
      <w:r w:rsidRPr="00D36F9E">
        <w:rPr>
          <w:sz w:val="20"/>
        </w:rPr>
        <w:t xml:space="preserve">and cannot be saved by s. 1. A new hearing should be ordered to determine the appropriate penalty under s. 753(4). </w:t>
      </w:r>
    </w:p>
    <w:p w:rsidR="00943325" w:rsidRPr="00D36F9E" w:rsidRDefault="00943325" w:rsidP="00943325">
      <w:pPr>
        <w:pStyle w:val="SCCNormalDoubleSpacing"/>
        <w:spacing w:line="240" w:lineRule="auto"/>
        <w:rPr>
          <w:sz w:val="20"/>
          <w:lang w:val="en-US"/>
        </w:rPr>
      </w:pPr>
    </w:p>
    <w:p w:rsidR="00943325" w:rsidRDefault="00943325" w:rsidP="00943325">
      <w:pPr>
        <w:pStyle w:val="SCCNormalDoubleSpacing"/>
        <w:spacing w:line="240" w:lineRule="auto"/>
        <w:rPr>
          <w:sz w:val="20"/>
        </w:rPr>
      </w:pPr>
      <w:r w:rsidRPr="00D36F9E">
        <w:rPr>
          <w:sz w:val="20"/>
          <w:lang w:val="en-US"/>
        </w:rPr>
        <w:tab/>
      </w:r>
      <w:r w:rsidRPr="00D36F9E">
        <w:rPr>
          <w:sz w:val="20"/>
        </w:rPr>
        <w:t xml:space="preserve">By demanding a singular focus on public safety, s. 753(4.1) imposes indeterminate detention in cases where it is grossly disproportionate to the sentence mandated by the sentencing principles in the </w:t>
      </w:r>
      <w:r w:rsidRPr="00D36F9E">
        <w:rPr>
          <w:i/>
          <w:sz w:val="20"/>
        </w:rPr>
        <w:t xml:space="preserve">Criminal Code </w:t>
      </w:r>
      <w:r w:rsidRPr="00D36F9E">
        <w:rPr>
          <w:sz w:val="20"/>
          <w:lang w:val="en-US"/>
        </w:rPr>
        <w:t xml:space="preserve">and the public protection objective of the dangerous offender scheme. </w:t>
      </w:r>
      <w:r w:rsidRPr="00D36F9E">
        <w:rPr>
          <w:sz w:val="20"/>
        </w:rPr>
        <w:t xml:space="preserve">The mandatory designation stage, which captures a broad group </w:t>
      </w:r>
      <w:r w:rsidRPr="00D36F9E">
        <w:rPr>
          <w:sz w:val="20"/>
        </w:rPr>
        <w:lastRenderedPageBreak/>
        <w:t xml:space="preserve">of offenders, combined with the narrow, structured discretion at the penalty stage has created a legislative context that fails to ensure offenders are only sentenced to indeterminate incarceration if this sentence is appropriate. The dangerous offender scheme removes all judicial discretion at the designation stage. Thus, an offender who meets the legislative criteria for dangerousness must be designated a dangerous offender under s. 753(1). At the penalty stage, s. 753(4) provides the sentencing judge with broad discretion; however, s. 753(4.1) curtails this discretion significantly — if </w:t>
      </w:r>
      <w:r w:rsidRPr="00D36F9E">
        <w:rPr>
          <w:sz w:val="20"/>
          <w:lang w:val="en"/>
        </w:rPr>
        <w:t xml:space="preserve">there is not a reasonable expectation that the public will be adequately protected against the commission of another serious personal injury offence, indeterminate detention must be imposed, even if </w:t>
      </w:r>
      <w:r w:rsidRPr="00D36F9E">
        <w:rPr>
          <w:sz w:val="20"/>
        </w:rPr>
        <w:t>this sentence is disproportionate to the gravity of the predicate offence and the offender’s degree of responsibility. Pr</w:t>
      </w:r>
      <w:r w:rsidRPr="00D36F9E">
        <w:rPr>
          <w:sz w:val="20"/>
          <w:lang w:val="en-US"/>
        </w:rPr>
        <w:t xml:space="preserve">oportionality is not reflected in the s. 753(4.1) public safety threshold. </w:t>
      </w:r>
      <w:r w:rsidRPr="00D36F9E">
        <w:rPr>
          <w:sz w:val="20"/>
          <w:lang w:val="en"/>
        </w:rPr>
        <w:t>Section</w:t>
      </w:r>
      <w:r w:rsidRPr="00D36F9E">
        <w:rPr>
          <w:sz w:val="20"/>
        </w:rPr>
        <w:t xml:space="preserve"> 753(4.1) may also preclude a sentence that respects the principle of restraint as it creates a presumption for an indeterminate sentence that is only rebuttable by evidence adduced during the hearing. If no evidence of community supervision programs is presented, or if it is unknown whether the offender will be amenable to treatment, s. 753(4.1) mandates indeterminate detention. Life experiences and systemic factors that may have contributed to bringing a dangerous offender before the courts cannot be considered in the s. 753(4.1) analysis. </w:t>
      </w:r>
    </w:p>
    <w:p w:rsidR="00943325" w:rsidRPr="00D36F9E" w:rsidRDefault="00943325" w:rsidP="00943325">
      <w:pPr>
        <w:pStyle w:val="SCCNormalDoubleSpacing"/>
        <w:spacing w:line="240" w:lineRule="auto"/>
        <w:rPr>
          <w:sz w:val="20"/>
        </w:rPr>
      </w:pPr>
    </w:p>
    <w:p w:rsidR="00943325" w:rsidRDefault="00943325" w:rsidP="00943325">
      <w:pPr>
        <w:pStyle w:val="SCCNormalDoubleSpacing"/>
        <w:spacing w:line="240" w:lineRule="auto"/>
        <w:rPr>
          <w:sz w:val="20"/>
        </w:rPr>
      </w:pPr>
      <w:r w:rsidRPr="00D36F9E">
        <w:rPr>
          <w:sz w:val="20"/>
        </w:rPr>
        <w:tab/>
        <w:t xml:space="preserve">Indeterminate detention is </w:t>
      </w:r>
      <w:r w:rsidRPr="00D36F9E">
        <w:rPr>
          <w:sz w:val="20"/>
          <w:lang w:val="en"/>
        </w:rPr>
        <w:t xml:space="preserve">so excessive as to outrage standards of decency </w:t>
      </w:r>
      <w:r w:rsidRPr="00D36F9E">
        <w:rPr>
          <w:sz w:val="20"/>
        </w:rPr>
        <w:t>in cases where the offender’s degree of responsibility and the gravity of the predicate offence are on the low end of the spectrum, especially where alternative measures, including lengthy sentences of incarceration with long</w:t>
      </w:r>
      <w:r w:rsidRPr="00D36F9E">
        <w:rPr>
          <w:sz w:val="20"/>
        </w:rPr>
        <w:noBreakHyphen/>
        <w:t xml:space="preserve">term supervision orders, permit public safety concerns to be addressed. While Parliament is entitled to take steps to protect Canadians against the threat posed by the most dangerous criminals, the current scheme goes too far. Indeterminate detention — the most severe penalty, apart perhaps from life sentences — is grossly disproportionate to the sentence some offenders would otherwise receive under the sentencing principles in the </w:t>
      </w:r>
      <w:r w:rsidRPr="00D36F9E">
        <w:rPr>
          <w:i/>
          <w:sz w:val="20"/>
        </w:rPr>
        <w:t>Criminal Code</w:t>
      </w:r>
      <w:r w:rsidRPr="00D36F9E">
        <w:rPr>
          <w:sz w:val="20"/>
        </w:rPr>
        <w:t xml:space="preserve">. </w:t>
      </w:r>
      <w:r w:rsidRPr="00D36F9E">
        <w:rPr>
          <w:sz w:val="20"/>
          <w:lang w:val="en"/>
        </w:rPr>
        <w:t xml:space="preserve">In applying s. 753(4.1), </w:t>
      </w:r>
      <w:r w:rsidRPr="00D36F9E">
        <w:rPr>
          <w:sz w:val="20"/>
        </w:rPr>
        <w:t>a sentencing judge must ask whether the offender, due to the level of the risk and the nature of future harm likely to be caused, fall within the small group of truly dangerous offenders who must be imprisoned indefinitely in order to protect the public.</w:t>
      </w:r>
    </w:p>
    <w:p w:rsidR="00943325" w:rsidRPr="00D36F9E" w:rsidRDefault="00943325" w:rsidP="00943325">
      <w:pPr>
        <w:pStyle w:val="SCCNormalDoubleSpacing"/>
        <w:spacing w:line="240" w:lineRule="auto"/>
        <w:rPr>
          <w:sz w:val="20"/>
        </w:rPr>
      </w:pPr>
    </w:p>
    <w:p w:rsidR="00943325" w:rsidRDefault="00943325" w:rsidP="00943325">
      <w:pPr>
        <w:pStyle w:val="SCCNormalDoubleSpacing"/>
        <w:spacing w:line="240" w:lineRule="auto"/>
        <w:rPr>
          <w:sz w:val="20"/>
        </w:rPr>
      </w:pPr>
      <w:r w:rsidRPr="00D36F9E">
        <w:rPr>
          <w:sz w:val="20"/>
        </w:rPr>
        <w:tab/>
        <w:t xml:space="preserve">In this case, </w:t>
      </w:r>
      <w:r w:rsidRPr="00D36F9E">
        <w:rPr>
          <w:sz w:val="20"/>
          <w:lang w:val="en-US"/>
        </w:rPr>
        <w:t xml:space="preserve">the evidence suggests there may be a reasonable possibility that B’s risk could be controlled in the community. </w:t>
      </w:r>
      <w:r w:rsidRPr="00D36F9E">
        <w:rPr>
          <w:sz w:val="20"/>
        </w:rPr>
        <w:t>The record before the sentencing judge suggests that a determinate sentence with a long</w:t>
      </w:r>
      <w:r w:rsidRPr="00D36F9E">
        <w:rPr>
          <w:sz w:val="20"/>
        </w:rPr>
        <w:noBreakHyphen/>
        <w:t xml:space="preserve">term supervision order may well have been appropriate and been </w:t>
      </w:r>
      <w:r w:rsidRPr="00D36F9E">
        <w:rPr>
          <w:sz w:val="20"/>
          <w:lang w:val="en-US"/>
        </w:rPr>
        <w:t xml:space="preserve">adequate for public protection </w:t>
      </w:r>
      <w:r w:rsidRPr="00D36F9E">
        <w:rPr>
          <w:sz w:val="20"/>
        </w:rPr>
        <w:t xml:space="preserve">had the sentencing judge not proceeded on the basis that his discretion was curtailed by s. 753(4.1), an unconstitutional provision. A new hearing is therefore required to determine the appropriate sentence. </w:t>
      </w:r>
    </w:p>
    <w:p w:rsidR="00943325" w:rsidRPr="00D36F9E" w:rsidRDefault="00943325" w:rsidP="00943325">
      <w:pPr>
        <w:pStyle w:val="SCCNormalDoubleSpacing"/>
        <w:spacing w:line="240" w:lineRule="auto"/>
        <w:rPr>
          <w:sz w:val="20"/>
        </w:rPr>
      </w:pPr>
    </w:p>
    <w:p w:rsidR="00943325" w:rsidRDefault="00943325" w:rsidP="00943325">
      <w:pPr>
        <w:pStyle w:val="SCCNormalDoubleSpacing"/>
        <w:spacing w:line="240" w:lineRule="auto"/>
        <w:rPr>
          <w:sz w:val="20"/>
        </w:rPr>
      </w:pPr>
      <w:r w:rsidRPr="00D36F9E">
        <w:rPr>
          <w:sz w:val="20"/>
        </w:rPr>
        <w:tab/>
        <w:t>APPEAL from a judgment of the British Columbia Court of Appeal (Smith, Groberman and Goepel JJ.A.), 2016 BCCA 235, 336 C.C.C. (3d) 293, 356 C.R.R. (2d) 275, 29 C.R. (7th) 419, 388 B.C.A.C. 264, 670 W.A.C. 264, [2016] B.C.J. No. 1116 (QL), 2016 CarswellBC 1487 (WL Can.), setting aside in part the decisions of Voith J., 2015 BCSC 901, 325 C.C.C. (3d) 345, [2015] B.C.J. No. 1102 (QL), 2015 CarswellBC 1464 (WL Can.); and 2014 BCSC 2187, 317 C.C.C. (3d) 1, 324 C.R.R. (2d) 221, [2014] B.C.J. No. 2867 (QL), 2014 CarswellBC 3475 (WL Can.). Appeal dismissed, Karakatsanis J. dissenting in part.</w:t>
      </w:r>
    </w:p>
    <w:p w:rsidR="00943325" w:rsidRPr="00D36F9E" w:rsidRDefault="00943325" w:rsidP="00943325">
      <w:pPr>
        <w:pStyle w:val="SCCNormalDoubleSpacing"/>
        <w:spacing w:line="240" w:lineRule="auto"/>
        <w:rPr>
          <w:sz w:val="20"/>
        </w:rPr>
      </w:pPr>
    </w:p>
    <w:p w:rsidR="00943325" w:rsidRDefault="00943325" w:rsidP="00943325">
      <w:pPr>
        <w:pStyle w:val="SCCNormalDoubleSpacing"/>
        <w:spacing w:line="240" w:lineRule="auto"/>
        <w:rPr>
          <w:sz w:val="20"/>
        </w:rPr>
      </w:pPr>
      <w:r w:rsidRPr="00D36F9E">
        <w:rPr>
          <w:i/>
          <w:sz w:val="20"/>
        </w:rPr>
        <w:tab/>
        <w:t>Eric Purtzki</w:t>
      </w:r>
      <w:r w:rsidRPr="00D36F9E">
        <w:rPr>
          <w:sz w:val="20"/>
        </w:rPr>
        <w:t xml:space="preserve">, </w:t>
      </w:r>
      <w:r w:rsidRPr="00D36F9E">
        <w:rPr>
          <w:i/>
          <w:sz w:val="20"/>
        </w:rPr>
        <w:t xml:space="preserve">Gary N.A. Botting </w:t>
      </w:r>
      <w:r w:rsidRPr="00D36F9E">
        <w:rPr>
          <w:sz w:val="20"/>
        </w:rPr>
        <w:t>and</w:t>
      </w:r>
      <w:r w:rsidRPr="00D36F9E">
        <w:rPr>
          <w:i/>
          <w:sz w:val="20"/>
        </w:rPr>
        <w:t xml:space="preserve"> Michael Sobkin</w:t>
      </w:r>
      <w:r w:rsidRPr="00D36F9E">
        <w:rPr>
          <w:sz w:val="20"/>
        </w:rPr>
        <w:t>, for the appellant.</w:t>
      </w:r>
    </w:p>
    <w:p w:rsidR="00943325" w:rsidRPr="00D36F9E" w:rsidRDefault="00943325" w:rsidP="00943325">
      <w:pPr>
        <w:pStyle w:val="SCCNormalDoubleSpacing"/>
        <w:spacing w:line="240" w:lineRule="auto"/>
        <w:rPr>
          <w:sz w:val="20"/>
        </w:rPr>
      </w:pPr>
    </w:p>
    <w:p w:rsidR="00943325" w:rsidRDefault="00943325" w:rsidP="00943325">
      <w:pPr>
        <w:pStyle w:val="SCCNormalDoubleSpacing"/>
        <w:spacing w:line="240" w:lineRule="auto"/>
        <w:rPr>
          <w:sz w:val="20"/>
        </w:rPr>
      </w:pPr>
      <w:r w:rsidRPr="00D36F9E">
        <w:rPr>
          <w:i/>
          <w:sz w:val="20"/>
        </w:rPr>
        <w:tab/>
        <w:t>Rodney Garson</w:t>
      </w:r>
      <w:r w:rsidRPr="00D36F9E">
        <w:rPr>
          <w:sz w:val="20"/>
        </w:rPr>
        <w:t xml:space="preserve"> and </w:t>
      </w:r>
      <w:r w:rsidRPr="00D36F9E">
        <w:rPr>
          <w:i/>
          <w:sz w:val="20"/>
        </w:rPr>
        <w:t>Michael Brundrett</w:t>
      </w:r>
      <w:r w:rsidRPr="00D36F9E">
        <w:rPr>
          <w:sz w:val="20"/>
        </w:rPr>
        <w:t>, for the respondent.</w:t>
      </w:r>
    </w:p>
    <w:p w:rsidR="00943325" w:rsidRPr="00D36F9E" w:rsidRDefault="00943325" w:rsidP="00943325">
      <w:pPr>
        <w:pStyle w:val="SCCNormalDoubleSpacing"/>
        <w:spacing w:line="240" w:lineRule="auto"/>
        <w:rPr>
          <w:sz w:val="20"/>
        </w:rPr>
      </w:pPr>
    </w:p>
    <w:p w:rsidR="00943325" w:rsidRDefault="00943325" w:rsidP="00943325">
      <w:pPr>
        <w:pStyle w:val="SCCNormalDoubleSpacing"/>
        <w:spacing w:line="240" w:lineRule="auto"/>
        <w:rPr>
          <w:sz w:val="20"/>
        </w:rPr>
      </w:pPr>
      <w:r w:rsidRPr="00D36F9E">
        <w:rPr>
          <w:i/>
          <w:sz w:val="20"/>
        </w:rPr>
        <w:tab/>
        <w:t>Diba B. Majzub</w:t>
      </w:r>
      <w:r w:rsidRPr="00D36F9E">
        <w:rPr>
          <w:sz w:val="20"/>
        </w:rPr>
        <w:t>, for the intervener the Attorney General of Canada.</w:t>
      </w:r>
    </w:p>
    <w:p w:rsidR="00943325" w:rsidRPr="00D36F9E" w:rsidRDefault="00943325" w:rsidP="00943325">
      <w:pPr>
        <w:pStyle w:val="SCCNormalDoubleSpacing"/>
        <w:spacing w:line="240" w:lineRule="auto"/>
        <w:rPr>
          <w:sz w:val="20"/>
        </w:rPr>
      </w:pPr>
    </w:p>
    <w:p w:rsidR="00943325" w:rsidRDefault="00943325" w:rsidP="00943325">
      <w:pPr>
        <w:pStyle w:val="SCCNormalDoubleSpacing"/>
        <w:spacing w:line="240" w:lineRule="auto"/>
        <w:rPr>
          <w:sz w:val="20"/>
        </w:rPr>
      </w:pPr>
      <w:r w:rsidRPr="00D36F9E">
        <w:rPr>
          <w:i/>
          <w:sz w:val="20"/>
        </w:rPr>
        <w:tab/>
        <w:t>Gregory J. Tweney</w:t>
      </w:r>
      <w:r w:rsidRPr="00D36F9E">
        <w:rPr>
          <w:sz w:val="20"/>
        </w:rPr>
        <w:t xml:space="preserve"> and </w:t>
      </w:r>
      <w:r w:rsidRPr="00D36F9E">
        <w:rPr>
          <w:i/>
          <w:sz w:val="20"/>
        </w:rPr>
        <w:t>Jennifer A. Crawford</w:t>
      </w:r>
      <w:r w:rsidRPr="00D36F9E">
        <w:rPr>
          <w:sz w:val="20"/>
        </w:rPr>
        <w:t>, for the intervener the Attorney General of Ontario.</w:t>
      </w:r>
    </w:p>
    <w:p w:rsidR="00943325" w:rsidRPr="00D36F9E" w:rsidRDefault="00943325" w:rsidP="00943325">
      <w:pPr>
        <w:pStyle w:val="SCCNormalDoubleSpacing"/>
        <w:spacing w:line="240" w:lineRule="auto"/>
        <w:rPr>
          <w:sz w:val="20"/>
        </w:rPr>
      </w:pPr>
    </w:p>
    <w:p w:rsidR="00943325" w:rsidRDefault="00943325" w:rsidP="00943325">
      <w:pPr>
        <w:pStyle w:val="SCCNormalDoubleSpacing"/>
        <w:spacing w:line="240" w:lineRule="auto"/>
        <w:rPr>
          <w:sz w:val="20"/>
        </w:rPr>
      </w:pPr>
      <w:r w:rsidRPr="00D36F9E">
        <w:rPr>
          <w:i/>
          <w:sz w:val="20"/>
        </w:rPr>
        <w:tab/>
        <w:t>W. Dean Sinclair, Q.C.</w:t>
      </w:r>
      <w:r w:rsidRPr="00D36F9E">
        <w:rPr>
          <w:sz w:val="20"/>
        </w:rPr>
        <w:t>, for the intervener the Attorney General of Saskatchewan.</w:t>
      </w:r>
    </w:p>
    <w:p w:rsidR="00943325" w:rsidRPr="00D36F9E" w:rsidRDefault="00943325" w:rsidP="00943325">
      <w:pPr>
        <w:pStyle w:val="SCCNormalDoubleSpacing"/>
        <w:spacing w:line="240" w:lineRule="auto"/>
        <w:rPr>
          <w:sz w:val="20"/>
        </w:rPr>
      </w:pPr>
    </w:p>
    <w:p w:rsidR="00943325" w:rsidRDefault="00943325" w:rsidP="00943325">
      <w:pPr>
        <w:pStyle w:val="SCCNormalDoubleSpacing"/>
        <w:spacing w:line="240" w:lineRule="auto"/>
        <w:rPr>
          <w:sz w:val="20"/>
        </w:rPr>
      </w:pPr>
      <w:r w:rsidRPr="00D36F9E">
        <w:rPr>
          <w:i/>
          <w:sz w:val="20"/>
        </w:rPr>
        <w:tab/>
        <w:t>Sarah Clive</w:t>
      </w:r>
      <w:r w:rsidRPr="00D36F9E">
        <w:rPr>
          <w:sz w:val="20"/>
        </w:rPr>
        <w:t>, for the intervener the Attorney General of Alberta.</w:t>
      </w:r>
    </w:p>
    <w:p w:rsidR="00943325" w:rsidRPr="00D36F9E" w:rsidRDefault="00943325" w:rsidP="00943325">
      <w:pPr>
        <w:pStyle w:val="SCCNormalDoubleSpacing"/>
        <w:spacing w:line="240" w:lineRule="auto"/>
        <w:rPr>
          <w:sz w:val="20"/>
        </w:rPr>
      </w:pPr>
    </w:p>
    <w:p w:rsidR="00943325" w:rsidRDefault="00943325" w:rsidP="00943325">
      <w:pPr>
        <w:pStyle w:val="SCCNormalDoubleSpacing"/>
        <w:spacing w:line="240" w:lineRule="auto"/>
        <w:rPr>
          <w:sz w:val="20"/>
        </w:rPr>
      </w:pPr>
      <w:r w:rsidRPr="00D36F9E">
        <w:rPr>
          <w:i/>
          <w:sz w:val="20"/>
        </w:rPr>
        <w:tab/>
        <w:t xml:space="preserve">Catriona Verner </w:t>
      </w:r>
      <w:r w:rsidRPr="00D36F9E">
        <w:rPr>
          <w:sz w:val="20"/>
        </w:rPr>
        <w:t>and</w:t>
      </w:r>
      <w:r w:rsidRPr="00D36F9E">
        <w:rPr>
          <w:i/>
          <w:sz w:val="20"/>
        </w:rPr>
        <w:t xml:space="preserve"> Corbin Cawkell</w:t>
      </w:r>
      <w:r w:rsidRPr="00D36F9E">
        <w:rPr>
          <w:sz w:val="20"/>
        </w:rPr>
        <w:t>, for the intervener the Criminal Lawyers’ Association of Ontario.</w:t>
      </w:r>
    </w:p>
    <w:p w:rsidR="00943325" w:rsidRPr="00D36F9E" w:rsidRDefault="00943325" w:rsidP="00943325">
      <w:pPr>
        <w:pStyle w:val="SCCNormalDoubleSpacing"/>
        <w:spacing w:line="240" w:lineRule="auto"/>
        <w:rPr>
          <w:sz w:val="20"/>
        </w:rPr>
      </w:pPr>
    </w:p>
    <w:p w:rsidR="00943325" w:rsidRDefault="00943325" w:rsidP="00943325">
      <w:pPr>
        <w:pStyle w:val="SCCNormalDoubleSpacing"/>
        <w:spacing w:line="240" w:lineRule="auto"/>
        <w:rPr>
          <w:sz w:val="20"/>
        </w:rPr>
      </w:pPr>
      <w:r w:rsidRPr="00D36F9E">
        <w:rPr>
          <w:i/>
          <w:sz w:val="20"/>
        </w:rPr>
        <w:tab/>
        <w:t>Jonathan Rudin</w:t>
      </w:r>
      <w:r w:rsidRPr="00D36F9E">
        <w:rPr>
          <w:sz w:val="20"/>
        </w:rPr>
        <w:t xml:space="preserve"> and </w:t>
      </w:r>
      <w:r w:rsidRPr="00D36F9E">
        <w:rPr>
          <w:i/>
          <w:sz w:val="20"/>
        </w:rPr>
        <w:t>Caitlyn E. Kasper</w:t>
      </w:r>
      <w:r w:rsidRPr="00D36F9E">
        <w:rPr>
          <w:sz w:val="20"/>
        </w:rPr>
        <w:t>, for the intervener the Aboriginal Legal Services Inc.</w:t>
      </w:r>
    </w:p>
    <w:p w:rsidR="00943325" w:rsidRPr="00D36F9E" w:rsidRDefault="00943325" w:rsidP="00943325">
      <w:pPr>
        <w:pStyle w:val="SCCNormalDoubleSpacing"/>
        <w:spacing w:line="240" w:lineRule="auto"/>
        <w:rPr>
          <w:sz w:val="20"/>
        </w:rPr>
      </w:pPr>
    </w:p>
    <w:p w:rsidR="00943325" w:rsidRPr="00D36F9E" w:rsidRDefault="00943325" w:rsidP="00943325">
      <w:pPr>
        <w:pStyle w:val="SCCNormalDoubleSpacing"/>
        <w:spacing w:line="240" w:lineRule="auto"/>
        <w:rPr>
          <w:sz w:val="20"/>
        </w:rPr>
      </w:pPr>
      <w:r w:rsidRPr="00D36F9E">
        <w:rPr>
          <w:i/>
          <w:sz w:val="20"/>
        </w:rPr>
        <w:tab/>
        <w:t>Vincent Larochelle</w:t>
      </w:r>
      <w:r w:rsidRPr="00D36F9E">
        <w:rPr>
          <w:sz w:val="20"/>
        </w:rPr>
        <w:t>, for the intervener the Yukon Legal Services Society.</w:t>
      </w:r>
    </w:p>
    <w:p w:rsidR="00943325" w:rsidRPr="00943325" w:rsidRDefault="00943325" w:rsidP="00943325">
      <w:pPr>
        <w:pStyle w:val="SCCNormalDoubleSpacing"/>
        <w:spacing w:line="240" w:lineRule="auto"/>
        <w:rPr>
          <w:sz w:val="20"/>
          <w:lang w:val="fr-CA"/>
        </w:rPr>
      </w:pPr>
      <w:r w:rsidRPr="00943325">
        <w:rPr>
          <w:sz w:val="20"/>
          <w:lang w:val="fr-CA"/>
        </w:rPr>
        <w:t>______________________</w:t>
      </w:r>
    </w:p>
    <w:p w:rsidR="00943325" w:rsidRPr="008E3519" w:rsidRDefault="00943325" w:rsidP="00943325">
      <w:pPr>
        <w:jc w:val="both"/>
        <w:rPr>
          <w:sz w:val="20"/>
          <w:szCs w:val="20"/>
          <w:lang w:val="fr-CA"/>
        </w:rPr>
      </w:pPr>
      <w:r w:rsidRPr="008E3519">
        <w:rPr>
          <w:sz w:val="20"/>
          <w:szCs w:val="20"/>
          <w:lang w:val="fr-CA"/>
        </w:rPr>
        <w:lastRenderedPageBreak/>
        <w:t>Présents : La juge en chef McLachlin et les juges Abella, Moldaver, Karakatsanis, Wagner, Gascon, Côté, Brown et Rowe.</w:t>
      </w:r>
    </w:p>
    <w:p w:rsidR="00943325" w:rsidRDefault="00943325" w:rsidP="00943325">
      <w:pPr>
        <w:pStyle w:val="SCCNormalDoubleSpacing"/>
        <w:spacing w:line="240" w:lineRule="auto"/>
        <w:rPr>
          <w:sz w:val="20"/>
          <w:lang w:val="fr-CA"/>
        </w:rPr>
      </w:pPr>
    </w:p>
    <w:p w:rsidR="00943325" w:rsidRDefault="00943325" w:rsidP="00943325">
      <w:pPr>
        <w:pStyle w:val="SCCNormalDoubleSpacing"/>
        <w:spacing w:line="240" w:lineRule="auto"/>
        <w:rPr>
          <w:i/>
          <w:sz w:val="20"/>
          <w:lang w:val="fr-CA"/>
        </w:rPr>
      </w:pPr>
      <w:r w:rsidRPr="008E3519">
        <w:rPr>
          <w:sz w:val="20"/>
          <w:lang w:val="fr-CA"/>
        </w:rPr>
        <w:tab/>
      </w:r>
      <w:r w:rsidRPr="008E3519">
        <w:rPr>
          <w:i/>
          <w:sz w:val="20"/>
          <w:lang w:val="fr-CA"/>
        </w:rPr>
        <w:t>Droit constitutionnel — Charte des droits — Justice fondamentale — Portée excessive — Détermination de la peine — Délinquant dangereux — Déclaration — Est</w:t>
      </w:r>
      <w:r w:rsidRPr="008E3519">
        <w:rPr>
          <w:i/>
          <w:sz w:val="20"/>
          <w:lang w:val="fr-CA"/>
        </w:rPr>
        <w:noBreakHyphen/>
        <w:t>il interdit au juge de la peine</w:t>
      </w:r>
      <w:r w:rsidRPr="008E3519">
        <w:rPr>
          <w:sz w:val="20"/>
          <w:lang w:val="fr-CA"/>
        </w:rPr>
        <w:t xml:space="preserve"> </w:t>
      </w:r>
      <w:r w:rsidRPr="008E3519">
        <w:rPr>
          <w:i/>
          <w:sz w:val="20"/>
          <w:lang w:val="fr-CA"/>
        </w:rPr>
        <w:t>de prendre en considération les perspectives de traitement futur lorsqu’il décide s’il y a lieu ou non de déclarer un délinquant dangereux? — Dans l’affirmative, le par. 753(1) a</w:t>
      </w:r>
      <w:r w:rsidRPr="008E3519">
        <w:rPr>
          <w:i/>
          <w:sz w:val="20"/>
          <w:lang w:val="fr-CA"/>
        </w:rPr>
        <w:noBreakHyphen/>
        <w:t>t</w:t>
      </w:r>
      <w:r w:rsidRPr="008E3519">
        <w:rPr>
          <w:i/>
          <w:sz w:val="20"/>
          <w:lang w:val="fr-CA"/>
        </w:rPr>
        <w:noBreakHyphen/>
        <w:t>il une portée excessive en contravention avec l’art. 7 de la Charte canadienne des droits et libertés? — Code criminel, L.R.C. 1985, c. C</w:t>
      </w:r>
      <w:r w:rsidRPr="008E3519">
        <w:rPr>
          <w:i/>
          <w:sz w:val="20"/>
          <w:lang w:val="fr-CA"/>
        </w:rPr>
        <w:noBreakHyphen/>
        <w:t>46, art. 753(1).</w:t>
      </w:r>
    </w:p>
    <w:p w:rsidR="00943325" w:rsidRPr="008E3519" w:rsidRDefault="00943325" w:rsidP="00943325">
      <w:pPr>
        <w:pStyle w:val="SCCNormalDoubleSpacing"/>
        <w:spacing w:line="240" w:lineRule="auto"/>
        <w:rPr>
          <w:i/>
          <w:sz w:val="20"/>
          <w:lang w:val="fr-CA"/>
        </w:rPr>
      </w:pPr>
    </w:p>
    <w:p w:rsidR="00943325" w:rsidRDefault="00943325" w:rsidP="00943325">
      <w:pPr>
        <w:pStyle w:val="SCCNormalDoubleSpacing"/>
        <w:spacing w:line="240" w:lineRule="auto"/>
        <w:rPr>
          <w:i/>
          <w:sz w:val="20"/>
          <w:lang w:val="fr-CA"/>
        </w:rPr>
      </w:pPr>
      <w:r w:rsidRPr="008E3519">
        <w:rPr>
          <w:i/>
          <w:sz w:val="20"/>
          <w:lang w:val="fr-CA"/>
        </w:rPr>
        <w:tab/>
        <w:t>Droit constitutionnel — Charte des droits — Justice fondamentale — Portée excessive — Peines cruelles et inusitées — Détermination de la peine — Délinquant dangereux— Sanction — Détention pour une période indéterminée — Principes régissant l’application du par. 753(4.1) du Code criminel — Le paragraphe 753(4.1) a</w:t>
      </w:r>
      <w:r w:rsidRPr="008E3519">
        <w:rPr>
          <w:i/>
          <w:sz w:val="20"/>
          <w:lang w:val="fr-CA"/>
        </w:rPr>
        <w:noBreakHyphen/>
        <w:t>t</w:t>
      </w:r>
      <w:r w:rsidRPr="008E3519">
        <w:rPr>
          <w:i/>
          <w:sz w:val="20"/>
          <w:lang w:val="fr-CA"/>
        </w:rPr>
        <w:noBreakHyphen/>
        <w:t>il une portée excessive en ce qu’il s’applique à des délinquants qui pourraient être surveillés dans le cadre du régime des délinquants à contrôler? — Le paragraphe 753(4.1) a</w:t>
      </w:r>
      <w:r w:rsidRPr="008E3519">
        <w:rPr>
          <w:i/>
          <w:sz w:val="20"/>
          <w:lang w:val="fr-CA"/>
        </w:rPr>
        <w:noBreakHyphen/>
        <w:t>t</w:t>
      </w:r>
      <w:r w:rsidRPr="008E3519">
        <w:rPr>
          <w:i/>
          <w:sz w:val="20"/>
          <w:lang w:val="fr-CA"/>
        </w:rPr>
        <w:noBreakHyphen/>
        <w:t>il pour effet d’entraîner une peine exagérément disproportionnée en imposant par présomption une peine de détention pour une période indéterminée et en empêchant le juge de la peine d’infliger une peine juste conforme aux principes et aux objectifs de la détermination de la peine du Code criminel? — Charte canadienne des droits et libertés, art. 7 et 12 — Code criminel, L.R.C. 1985, c. C</w:t>
      </w:r>
      <w:r w:rsidRPr="008E3519">
        <w:rPr>
          <w:i/>
          <w:sz w:val="20"/>
          <w:lang w:val="fr-CA"/>
        </w:rPr>
        <w:noBreakHyphen/>
        <w:t>46, art. 753(4.1).</w:t>
      </w:r>
    </w:p>
    <w:p w:rsidR="00943325" w:rsidRPr="008E3519" w:rsidRDefault="00943325" w:rsidP="00943325">
      <w:pPr>
        <w:pStyle w:val="SCCNormalDoubleSpacing"/>
        <w:spacing w:line="240" w:lineRule="auto"/>
        <w:rPr>
          <w:i/>
          <w:sz w:val="20"/>
          <w:lang w:val="fr-CA"/>
        </w:rPr>
      </w:pPr>
    </w:p>
    <w:p w:rsidR="00943325" w:rsidRDefault="00943325" w:rsidP="00943325">
      <w:pPr>
        <w:pStyle w:val="SCCNormalDoubleSpacing"/>
        <w:spacing w:line="240" w:lineRule="auto"/>
        <w:rPr>
          <w:i/>
          <w:sz w:val="20"/>
          <w:lang w:val="fr-CA"/>
        </w:rPr>
      </w:pPr>
      <w:r w:rsidRPr="008E3519">
        <w:rPr>
          <w:i/>
          <w:sz w:val="20"/>
          <w:lang w:val="fr-CA"/>
        </w:rPr>
        <w:tab/>
        <w:t>Code criminel — Détermination de la peine — Délinquant dangereux — Détention pour une période indéterminée — Accusé déclaré délinquant dangereux — Le juge de la peine a</w:t>
      </w:r>
      <w:r w:rsidRPr="008E3519">
        <w:rPr>
          <w:i/>
          <w:sz w:val="20"/>
          <w:lang w:val="fr-CA"/>
        </w:rPr>
        <w:noBreakHyphen/>
        <w:t>t</w:t>
      </w:r>
      <w:r w:rsidRPr="008E3519">
        <w:rPr>
          <w:i/>
          <w:sz w:val="20"/>
          <w:lang w:val="fr-CA"/>
        </w:rPr>
        <w:noBreakHyphen/>
        <w:t>il fait erreur en imposant une peine de détention pour une période indéterminée? — Code criminel, L.R.C. 1985, c. C</w:t>
      </w:r>
      <w:r w:rsidRPr="008E3519">
        <w:rPr>
          <w:i/>
          <w:sz w:val="20"/>
          <w:lang w:val="fr-CA"/>
        </w:rPr>
        <w:noBreakHyphen/>
        <w:t>46, art. 753(4), (4.1).</w:t>
      </w:r>
    </w:p>
    <w:p w:rsidR="00943325" w:rsidRPr="008E3519" w:rsidRDefault="00943325" w:rsidP="00943325">
      <w:pPr>
        <w:pStyle w:val="SCCNormalDoubleSpacing"/>
        <w:spacing w:line="240" w:lineRule="auto"/>
        <w:rPr>
          <w:i/>
          <w:sz w:val="20"/>
          <w:lang w:val="fr-CA"/>
        </w:rPr>
      </w:pPr>
    </w:p>
    <w:p w:rsidR="00943325" w:rsidRDefault="00943325" w:rsidP="00943325">
      <w:pPr>
        <w:pStyle w:val="SCCNormalDoubleSpacing"/>
        <w:spacing w:line="240" w:lineRule="auto"/>
        <w:rPr>
          <w:sz w:val="20"/>
          <w:lang w:val="fr-CA"/>
        </w:rPr>
      </w:pPr>
      <w:r w:rsidRPr="008E3519">
        <w:rPr>
          <w:i/>
          <w:sz w:val="20"/>
          <w:lang w:val="fr-CA"/>
        </w:rPr>
        <w:tab/>
      </w:r>
      <w:r w:rsidRPr="008E3519">
        <w:rPr>
          <w:sz w:val="20"/>
          <w:lang w:val="fr-CA"/>
        </w:rPr>
        <w:t xml:space="preserve">B a plaidé coupable à six accusations criminelles portées à la suite d’un vol qualifié dans une pharmacie au moyen d’une fausse arme à feu, et de la poursuite automobile qui a suivi. La Couronne a demandé qu’il soit déclaré délinquant dangereux et qu’une peine de détention d’une durée indéterminée lui soit infligée. B a contesté la constitutionnalité des par. 753(1) et (4.1) du </w:t>
      </w:r>
      <w:r w:rsidRPr="008E3519">
        <w:rPr>
          <w:i/>
          <w:sz w:val="20"/>
          <w:lang w:val="fr-CA"/>
        </w:rPr>
        <w:t>Code criminel</w:t>
      </w:r>
      <w:r w:rsidRPr="008E3519">
        <w:rPr>
          <w:sz w:val="20"/>
          <w:lang w:val="fr-CA"/>
        </w:rPr>
        <w:t xml:space="preserve"> au regard des art. 7 et 12 de la </w:t>
      </w:r>
      <w:r w:rsidRPr="008E3519">
        <w:rPr>
          <w:i/>
          <w:sz w:val="20"/>
          <w:lang w:val="fr-CA"/>
        </w:rPr>
        <w:t>Charte canadienne des droits et libertés</w:t>
      </w:r>
      <w:r w:rsidRPr="008E3519">
        <w:rPr>
          <w:sz w:val="20"/>
          <w:lang w:val="fr-CA"/>
        </w:rPr>
        <w:t>.</w:t>
      </w:r>
    </w:p>
    <w:p w:rsidR="00943325" w:rsidRPr="008E3519" w:rsidRDefault="00943325" w:rsidP="00943325">
      <w:pPr>
        <w:pStyle w:val="SCCNormalDoubleSpacing"/>
        <w:spacing w:line="240" w:lineRule="auto"/>
        <w:rPr>
          <w:sz w:val="20"/>
          <w:lang w:val="fr-CA"/>
        </w:rPr>
      </w:pPr>
    </w:p>
    <w:p w:rsidR="00943325" w:rsidRDefault="00943325" w:rsidP="00943325">
      <w:pPr>
        <w:pStyle w:val="SCCNormalDoubleSpacing"/>
        <w:spacing w:line="240" w:lineRule="auto"/>
        <w:rPr>
          <w:sz w:val="20"/>
          <w:lang w:val="fr-CA"/>
        </w:rPr>
      </w:pPr>
      <w:r w:rsidRPr="008E3519">
        <w:rPr>
          <w:sz w:val="20"/>
          <w:lang w:val="fr-CA"/>
        </w:rPr>
        <w:tab/>
        <w:t>Le paragraphe 753(1) énumère les conditions statutaires qui doivent être réunies pour qu’un tribunal puisse déclarer qu’un délinquant est un délinquant dangereux. Le paragraphe 753(4.1) porte sur la peine à infliger à un délinquant dangereux. Le régime des délinquants dangereux se veut un processus en deux étapes : l’étape de la déclaration et celle de la sanction. À l’étape de la déclaration, s’il est convaincu que les conditions énoncées au par. 753(1) sont réunies, le juge de la peine doit déclarer qu’un délinquant est un délinquant dangereux. À l’étape de la sanction, le juge de la peine doit, suivant le par. 753(4.1), infliger à un individu déclaré dangereux une peine de détention d’une durée indéterminée, sauf s’il est convaincu que l’on peut vraisemblablement s’attendre à ce que le fait d’infliger une mesure moins sévère protège de façon suffisante le public.</w:t>
      </w:r>
    </w:p>
    <w:p w:rsidR="00943325" w:rsidRPr="008E3519" w:rsidRDefault="00943325" w:rsidP="00943325">
      <w:pPr>
        <w:pStyle w:val="SCCNormalDoubleSpacing"/>
        <w:spacing w:line="240" w:lineRule="auto"/>
        <w:rPr>
          <w:sz w:val="20"/>
          <w:lang w:val="fr-CA"/>
        </w:rPr>
      </w:pPr>
    </w:p>
    <w:p w:rsidR="00943325" w:rsidRDefault="00943325" w:rsidP="00943325">
      <w:pPr>
        <w:pStyle w:val="SCCNormalDoubleSpacing"/>
        <w:spacing w:line="240" w:lineRule="auto"/>
        <w:rPr>
          <w:sz w:val="20"/>
          <w:lang w:val="fr-CA"/>
        </w:rPr>
      </w:pPr>
      <w:r w:rsidRPr="008E3519">
        <w:rPr>
          <w:sz w:val="20"/>
          <w:lang w:val="fr-CA"/>
        </w:rPr>
        <w:tab/>
        <w:t xml:space="preserve">Le juge de la peine a accueilli en partie la demande de B, déclarant que seul le par. 753(1) était inconstitutionnel pour cause de portée excessive. Néanmoins, il a statué que B était un délinquant dangereux et lui a infligé une peine de détention pour une période indéterminée. La Cour d’appel a conclu que le juge de la peine avait fait erreur en concluant à la portée excessive du par. 753(1), mais elle a convenu avec lui que le par. 753(4.1) ne portait pas atteinte aux art.  7 et 12 de la </w:t>
      </w:r>
      <w:r w:rsidRPr="008E3519">
        <w:rPr>
          <w:i/>
          <w:sz w:val="20"/>
          <w:lang w:val="fr-CA"/>
        </w:rPr>
        <w:t>Charte</w:t>
      </w:r>
      <w:r w:rsidRPr="008E3519">
        <w:rPr>
          <w:sz w:val="20"/>
          <w:lang w:val="fr-CA"/>
        </w:rPr>
        <w:t xml:space="preserve">. Elle a rejeté l’appel formé par B à l’encontre de sa déclaration de délinquant dangereux et de sa peine de détention d’une durée indéterminée. </w:t>
      </w:r>
    </w:p>
    <w:p w:rsidR="00943325" w:rsidRPr="008E3519" w:rsidRDefault="00943325" w:rsidP="00943325">
      <w:pPr>
        <w:pStyle w:val="SCCNormalDoubleSpacing"/>
        <w:spacing w:line="240" w:lineRule="auto"/>
        <w:rPr>
          <w:sz w:val="20"/>
          <w:lang w:val="fr-CA"/>
        </w:rPr>
      </w:pPr>
    </w:p>
    <w:p w:rsidR="00943325" w:rsidRDefault="00943325" w:rsidP="00943325">
      <w:pPr>
        <w:pStyle w:val="SCCNormalDoubleSpacing"/>
        <w:spacing w:line="240" w:lineRule="auto"/>
        <w:rPr>
          <w:sz w:val="20"/>
          <w:lang w:val="fr-CA"/>
        </w:rPr>
      </w:pPr>
      <w:r w:rsidRPr="008E3519">
        <w:rPr>
          <w:sz w:val="20"/>
          <w:lang w:val="fr-CA"/>
        </w:rPr>
        <w:tab/>
      </w:r>
      <w:r w:rsidRPr="008E3519">
        <w:rPr>
          <w:i/>
          <w:sz w:val="20"/>
          <w:lang w:val="fr-CA"/>
        </w:rPr>
        <w:t>Arrêt</w:t>
      </w:r>
      <w:r w:rsidRPr="008E3519">
        <w:rPr>
          <w:rFonts w:eastAsiaTheme="majorEastAsia"/>
          <w:i/>
          <w:sz w:val="20"/>
          <w:lang w:val="fr-CA"/>
        </w:rPr>
        <w:t xml:space="preserve"> </w:t>
      </w:r>
      <w:r w:rsidRPr="008E3519">
        <w:rPr>
          <w:rFonts w:eastAsiaTheme="majorEastAsia"/>
          <w:sz w:val="20"/>
          <w:lang w:val="fr-CA"/>
        </w:rPr>
        <w:t>(</w:t>
      </w:r>
      <w:r w:rsidRPr="008E3519">
        <w:rPr>
          <w:sz w:val="20"/>
          <w:lang w:val="fr-CA"/>
        </w:rPr>
        <w:t xml:space="preserve">la juge </w:t>
      </w:r>
      <w:r w:rsidRPr="008E3519">
        <w:rPr>
          <w:rFonts w:eastAsiaTheme="majorEastAsia"/>
          <w:sz w:val="20"/>
          <w:lang w:val="fr-CA"/>
        </w:rPr>
        <w:t xml:space="preserve">Karakatsanis </w:t>
      </w:r>
      <w:r w:rsidRPr="008E3519">
        <w:rPr>
          <w:sz w:val="20"/>
          <w:lang w:val="fr-CA"/>
        </w:rPr>
        <w:t>est dissidente en partie</w:t>
      </w:r>
      <w:r w:rsidRPr="008E3519">
        <w:rPr>
          <w:rFonts w:eastAsiaTheme="majorEastAsia"/>
          <w:sz w:val="20"/>
          <w:lang w:val="fr-CA"/>
        </w:rPr>
        <w:t>)</w:t>
      </w:r>
      <w:r w:rsidRPr="008E3519">
        <w:rPr>
          <w:i/>
          <w:sz w:val="20"/>
          <w:lang w:val="fr-CA"/>
        </w:rPr>
        <w:t> </w:t>
      </w:r>
      <w:r w:rsidRPr="008E3519">
        <w:rPr>
          <w:sz w:val="20"/>
          <w:lang w:val="fr-CA"/>
        </w:rPr>
        <w:t xml:space="preserve">: Le pourvoi est rejeté.  </w:t>
      </w:r>
    </w:p>
    <w:p w:rsidR="00943325" w:rsidRPr="008E3519" w:rsidRDefault="00943325" w:rsidP="00943325">
      <w:pPr>
        <w:pStyle w:val="SCCNormalDoubleSpacing"/>
        <w:spacing w:line="240" w:lineRule="auto"/>
        <w:rPr>
          <w:sz w:val="20"/>
          <w:lang w:val="fr-CA"/>
        </w:rPr>
      </w:pPr>
    </w:p>
    <w:p w:rsidR="00943325" w:rsidRDefault="00943325" w:rsidP="00943325">
      <w:pPr>
        <w:pStyle w:val="SCCNormalDoubleSpacing"/>
        <w:spacing w:line="240" w:lineRule="auto"/>
        <w:rPr>
          <w:sz w:val="20"/>
          <w:lang w:val="fr-CA"/>
        </w:rPr>
      </w:pPr>
      <w:r w:rsidRPr="008E3519">
        <w:rPr>
          <w:sz w:val="20"/>
          <w:lang w:val="fr-CA"/>
        </w:rPr>
        <w:tab/>
      </w:r>
      <w:r w:rsidRPr="008E3519">
        <w:rPr>
          <w:i/>
          <w:sz w:val="20"/>
          <w:lang w:val="fr-CA"/>
        </w:rPr>
        <w:t>La</w:t>
      </w:r>
      <w:r w:rsidRPr="008E3519">
        <w:rPr>
          <w:sz w:val="20"/>
          <w:lang w:val="fr-CA"/>
        </w:rPr>
        <w:t xml:space="preserve"> juge en chef McLachlin et les juges Abella, Moldaver, Wagner, Gascon, </w:t>
      </w:r>
      <w:r w:rsidRPr="008E3519">
        <w:rPr>
          <w:b/>
          <w:sz w:val="20"/>
          <w:lang w:val="fr-CA"/>
        </w:rPr>
        <w:t>Côté</w:t>
      </w:r>
      <w:r w:rsidRPr="008E3519">
        <w:rPr>
          <w:sz w:val="20"/>
          <w:lang w:val="fr-CA"/>
        </w:rPr>
        <w:t xml:space="preserve">, Brown et Rowe : Le paragraphe 753(1) n’empêche pas le juge de la peine de prendre en considération les perspectives de traitement futur avant de déclarer un délinquant dangereux et, par conséquent, il n’a pas une portée excessive au regard de l’art. 7 de la </w:t>
      </w:r>
      <w:r w:rsidRPr="008E3519">
        <w:rPr>
          <w:i/>
          <w:sz w:val="20"/>
          <w:lang w:val="fr-CA"/>
        </w:rPr>
        <w:t>Charte</w:t>
      </w:r>
      <w:r w:rsidRPr="008E3519">
        <w:rPr>
          <w:sz w:val="20"/>
          <w:lang w:val="fr-CA"/>
        </w:rPr>
        <w:t>. Pour obtenir une déclaration de dangerosité résultant d’un comportement violent, la Couronne doit démontrer hors de tout doute raisonnable notamment que le délinquant constitue un danger</w:t>
      </w:r>
      <w:r w:rsidRPr="008E3519">
        <w:rPr>
          <w:iCs/>
          <w:sz w:val="20"/>
          <w:lang w:val="fr-CA"/>
        </w:rPr>
        <w:t xml:space="preserve"> pour la vie, la sécurité ou le bien</w:t>
      </w:r>
      <w:r w:rsidRPr="008E3519">
        <w:rPr>
          <w:iCs/>
          <w:sz w:val="20"/>
          <w:lang w:val="fr-CA"/>
        </w:rPr>
        <w:noBreakHyphen/>
        <w:t>être physique ou mental de qui que ce soit</w:t>
      </w:r>
      <w:r w:rsidRPr="008E3519">
        <w:rPr>
          <w:sz w:val="20"/>
          <w:lang w:val="fr-CA"/>
        </w:rPr>
        <w:t xml:space="preserve">. Avant de déclarer un délinquant dangereux, le juge de la peine doit être convaincu, sur le fondement de la preuve, que le délinquant présente un risque élevé de récidive préjudiciable et que sa conduite est irréductible. Une conduite irréductible s’entend d’un comportement que le délinquant est incapable de surmonter. Par ces deux conditions, le Parlement oblige le juge de la peine à procéder à une évaluation prospective de la dangerosité. Tous </w:t>
      </w:r>
      <w:r w:rsidRPr="008E3519">
        <w:rPr>
          <w:sz w:val="20"/>
          <w:lang w:val="fr-CA"/>
        </w:rPr>
        <w:lastRenderedPageBreak/>
        <w:t>les éléments de preuve produits lors d’une audience quant au statut de délinquant dangereux doivent être pris en considération aux deux étapes — celle de la déclaration et celle de la sanction — de l’analyse qu’effectue le juge de la peine, bien que pour tirer des conclusions différentes se rapportant à des conditions statutaires différentes. À l’étape de la déclaration, la traitabilité guide la décision sur le danger que constitue un délinquant, alors qu’à l’étape de la sanction, elle aide à déterminer la peine appropriée pour permettre de gérer ce danger. Une évaluation prospective de la dangerosité fait en sorte que seuls les délinquants qui présentent un risque futur considérable sont déclarés dangereux et risquent de se voir infliger une peine de détention pour une période indéterminée. Une disposition qui impose une telle peine n’a donc pas une portée excessive si son application est soigneusement limitée aux repris de justice qui présentent un danger pour autrui.</w:t>
      </w:r>
    </w:p>
    <w:p w:rsidR="00943325" w:rsidRPr="008E3519" w:rsidRDefault="00943325" w:rsidP="00943325">
      <w:pPr>
        <w:pStyle w:val="SCCNormalDoubleSpacing"/>
        <w:spacing w:line="240" w:lineRule="auto"/>
        <w:rPr>
          <w:sz w:val="20"/>
          <w:lang w:val="fr-CA"/>
        </w:rPr>
      </w:pPr>
    </w:p>
    <w:p w:rsidR="00943325" w:rsidRDefault="00943325" w:rsidP="00943325">
      <w:pPr>
        <w:pStyle w:val="SCCNormalDoubleSpacing"/>
        <w:spacing w:line="240" w:lineRule="auto"/>
        <w:rPr>
          <w:sz w:val="20"/>
          <w:lang w:val="fr-CA"/>
        </w:rPr>
      </w:pPr>
      <w:r w:rsidRPr="008E3519">
        <w:rPr>
          <w:sz w:val="20"/>
          <w:lang w:val="fr-CA"/>
        </w:rPr>
        <w:tab/>
        <w:t xml:space="preserve">Le paragraphe 753(4.1) n’a pas pour effet d’entraîner une peine exagérément disproportionnée, en contravention avec l’art. 12 de la </w:t>
      </w:r>
      <w:r w:rsidRPr="008E3519">
        <w:rPr>
          <w:i/>
          <w:sz w:val="20"/>
          <w:lang w:val="fr-CA"/>
        </w:rPr>
        <w:t>Charte</w:t>
      </w:r>
      <w:r w:rsidRPr="008E3519">
        <w:rPr>
          <w:sz w:val="20"/>
          <w:lang w:val="fr-CA"/>
        </w:rPr>
        <w:t xml:space="preserve">, en imposant par présomption une peine de détention pour une période indéterminée et en empêchant le juge de la peine d’infliger une peine juste. Interprété et appliqué comme il se doit, le par. 753(4.1) n’impose pas de fardeau de preuve, de présomption réfutable ni de sanction obligatoire. Il donne des indications sur la manière dont le juge de la peine peut exercer comme il se doit son pouvoir discrétionnaire en conformité avec les objectifs et les principes applicables en matière de détermination de la peine. Les principes de détermination de la peine et les directives obligatoires prévues aux art. 718 à 718.2 du </w:t>
      </w:r>
      <w:r w:rsidRPr="008E3519">
        <w:rPr>
          <w:i/>
          <w:sz w:val="20"/>
          <w:lang w:val="fr-CA"/>
        </w:rPr>
        <w:t>Code criminel</w:t>
      </w:r>
      <w:r w:rsidRPr="008E3519">
        <w:rPr>
          <w:sz w:val="20"/>
          <w:lang w:val="fr-CA"/>
        </w:rPr>
        <w:t xml:space="preserve"> s’appliquent à toute décision relative à la peine, qu’elle soit prise en vertu du régime ordinaire de détermination de la peine, du régime des délinquants dangereux ou de celui des délinquants à contrôler. Le Parlement a le droit de décider que la protection du public constitue un objectif accru de détermination de la peine pour les personnes qui sont déclarées dangereuses. Cela ne signifie pas que cet objectif opère à l’exclusion de tous les autres. La peine de détention pour une période indéterminée n’est qu’une option — en matière de détermination de la peine — parmi d’autres offertes au par. 753(4). Au lieu d’une peine de détention pour une période indéterminée, le juge peut imposer une peine qui est davantage proportionnée, qu’il s’agisse d’une peine minimale d’emprisonnement de deux ans suivie d’une surveillance de longue durée — ce qui équivaut à une peine de délinquant à contrôler — ou d’une peine suivant le régime ordinaire de détermination de la peine. Les différentes options en matière de détermination de la peine énoncées au par. 753(4) englobent donc l’éventail complet des peines envisagées par le </w:t>
      </w:r>
      <w:r w:rsidRPr="008E3519">
        <w:rPr>
          <w:i/>
          <w:sz w:val="20"/>
          <w:lang w:val="fr-CA"/>
        </w:rPr>
        <w:t>Code criminel</w:t>
      </w:r>
      <w:r w:rsidRPr="008E3519">
        <w:rPr>
          <w:sz w:val="20"/>
          <w:lang w:val="fr-CA"/>
        </w:rPr>
        <w:t>. Pour exercer comme il se doit le pouvoir discrétionnaire qui lui est conféré par le par. 753(4), le juge de la peine doit imposer la peine la moins contraignante possible pour réaliser l’objet principal du régime. Rien dans le texte du par. 753(4.1) n’élimine l’obligation incombant au juge de la peine de prendre en considération tous les principes de détermination de la peine afin de choisir une peine qui est juste dans le cas du délinquant en cause. La culpabilité morale du délinquant, la gravité de l’infraction, les facteurs atténuants et les principes établis pour les délinquants autochtones font chacun partie du processus de détermination de la peine dans le cadre du régime des délinquants dangereux. Chacune de ces considérations est pertinente lorsqu’il s’agit de décider si une peine moins sévère protégerait de façon suffisante le public.</w:t>
      </w:r>
    </w:p>
    <w:p w:rsidR="00943325" w:rsidRPr="008E3519" w:rsidRDefault="00943325" w:rsidP="00943325">
      <w:pPr>
        <w:pStyle w:val="SCCNormalDoubleSpacing"/>
        <w:spacing w:line="240" w:lineRule="auto"/>
        <w:rPr>
          <w:sz w:val="20"/>
          <w:lang w:val="fr-CA"/>
        </w:rPr>
      </w:pPr>
    </w:p>
    <w:p w:rsidR="00943325" w:rsidRDefault="00943325" w:rsidP="00943325">
      <w:pPr>
        <w:pStyle w:val="SCCNormalDoubleSpacing"/>
        <w:spacing w:line="240" w:lineRule="auto"/>
        <w:rPr>
          <w:sz w:val="20"/>
          <w:lang w:val="fr-CA"/>
        </w:rPr>
      </w:pPr>
      <w:r w:rsidRPr="008E3519">
        <w:rPr>
          <w:sz w:val="20"/>
          <w:lang w:val="fr-CA"/>
        </w:rPr>
        <w:tab/>
        <w:t xml:space="preserve">Le paragraphe 753(4.1) n’a pas une portée excessive en contravention avec l’art. 7 de la </w:t>
      </w:r>
      <w:r w:rsidRPr="008E3519">
        <w:rPr>
          <w:i/>
          <w:sz w:val="20"/>
          <w:lang w:val="fr-CA"/>
        </w:rPr>
        <w:t>Charte</w:t>
      </w:r>
      <w:r w:rsidRPr="008E3519">
        <w:rPr>
          <w:sz w:val="20"/>
          <w:lang w:val="fr-CA"/>
        </w:rPr>
        <w:t xml:space="preserve">. Le paragraphe 753(1) limite à un groupe restreint de délinquants, dangereux </w:t>
      </w:r>
      <w:r w:rsidRPr="008E3519">
        <w:rPr>
          <w:i/>
          <w:sz w:val="20"/>
          <w:lang w:val="fr-CA"/>
        </w:rPr>
        <w:t>per se</w:t>
      </w:r>
      <w:r w:rsidRPr="008E3519">
        <w:rPr>
          <w:sz w:val="20"/>
          <w:lang w:val="fr-CA"/>
        </w:rPr>
        <w:t>, le risque de se voir imposer une peine de détention pour une période indéterminée en vertu des par. 753(4) et (4.1). Les conditions d’une déclaration de délinquant dangereux sont plus exigeantes que celles d’une déclaration de délinquant à contrôler. On ne peut donc pas dire que les deux régimes visent les mêmes délinquants. En outre, le par. 753(4.1) ne crée pas de présomption selon laquelle une peine de détention pour une période indéterminée constitue la peine appropriée — le juge de la peine est tenu de procéder à une analyse approfondie et de prendre en considération tous les éléments de preuve présentés à l’audience afin de déterminer la peine qui est la plus juste dans le cas du délinquant. Suivant le par. 753(4), la peine qui est infligée aux délinquants à contrôler peut aussi être infligée aux délinquants dangereux susceptibles d’être maîtrisés au sein de la collectivité de manière à protéger de façon suffisante le public contre la perpétration d’un meurtre ou d’une infraction qui constitue des sévices graves à la personne.</w:t>
      </w:r>
    </w:p>
    <w:p w:rsidR="00943325" w:rsidRPr="008E3519" w:rsidRDefault="00943325" w:rsidP="00943325">
      <w:pPr>
        <w:pStyle w:val="SCCNormalDoubleSpacing"/>
        <w:spacing w:line="240" w:lineRule="auto"/>
        <w:rPr>
          <w:sz w:val="20"/>
          <w:lang w:val="fr-CA"/>
        </w:rPr>
      </w:pPr>
    </w:p>
    <w:p w:rsidR="00943325" w:rsidRDefault="00943325" w:rsidP="00943325">
      <w:pPr>
        <w:pStyle w:val="SCCNormalDoubleSpacing"/>
        <w:spacing w:line="240" w:lineRule="auto"/>
        <w:rPr>
          <w:sz w:val="20"/>
          <w:lang w:val="fr-CA"/>
        </w:rPr>
      </w:pPr>
      <w:r w:rsidRPr="008E3519">
        <w:rPr>
          <w:sz w:val="20"/>
          <w:lang w:val="fr-CA"/>
        </w:rPr>
        <w:tab/>
        <w:t>En l’espèce, bien que le juge de la peine ait commis une erreur de droit en ne prenant pas en considération les perspectives de traitement de B avant de déclarer celui</w:t>
      </w:r>
      <w:r w:rsidRPr="008E3519">
        <w:rPr>
          <w:sz w:val="20"/>
          <w:lang w:val="fr-CA"/>
        </w:rPr>
        <w:noBreakHyphen/>
        <w:t xml:space="preserve">ci délinquant dangereux, cette erreur n’a donné lieu à aucun tort important ni à aucune erreur judiciaire grave. Cette erreur de droit ne change rien à la conclusion du juge de la peine concernant la dangerosité de B. Le juge a conclu que la conduite de B était irréductible parce que les perspectives qu’il vainque ses dépendances — lesquelles sont à l’origine de sa dangerosité — n’étaient rien de plus qu’un vœu pieux. Le juge de la peine a expliqué que son analyse demeurerait inchangée même s’il prenait en considération les perspectives de traitement de B à l’étape de la déclaration. En l’absence de toute erreur de droit importante, une déclaration de délinquant dangereux est une question de fait. Le rôle du tribunal d’appel est donc de décider si la déclaration était raisonnable. Eu </w:t>
      </w:r>
      <w:r w:rsidRPr="008E3519">
        <w:rPr>
          <w:sz w:val="20"/>
          <w:lang w:val="fr-CA"/>
        </w:rPr>
        <w:lastRenderedPageBreak/>
        <w:t xml:space="preserve">égard aux conclusions de fait tirées par le juge de la peine, la déclaration de délinquant dangereux prononcée contre B et l’imposition d’une peine de détention pour une période indéterminée ne peuvent être considérées comme déraisonnables. </w:t>
      </w:r>
    </w:p>
    <w:p w:rsidR="00943325" w:rsidRPr="008E3519" w:rsidRDefault="00943325" w:rsidP="00943325">
      <w:pPr>
        <w:pStyle w:val="SCCNormalDoubleSpacing"/>
        <w:spacing w:line="240" w:lineRule="auto"/>
        <w:rPr>
          <w:sz w:val="20"/>
          <w:lang w:val="fr-CA"/>
        </w:rPr>
      </w:pPr>
    </w:p>
    <w:p w:rsidR="00943325" w:rsidRDefault="00943325" w:rsidP="00943325">
      <w:pPr>
        <w:pStyle w:val="SCCNormalDoubleSpacing"/>
        <w:spacing w:line="240" w:lineRule="auto"/>
        <w:rPr>
          <w:sz w:val="20"/>
          <w:lang w:val="fr-CA"/>
        </w:rPr>
      </w:pPr>
      <w:r w:rsidRPr="008E3519">
        <w:rPr>
          <w:sz w:val="20"/>
          <w:lang w:val="fr-CA"/>
        </w:rPr>
        <w:tab/>
      </w:r>
      <w:r w:rsidRPr="008E3519">
        <w:rPr>
          <w:i/>
          <w:sz w:val="20"/>
          <w:lang w:val="fr-CA"/>
        </w:rPr>
        <w:t xml:space="preserve">La </w:t>
      </w:r>
      <w:r w:rsidRPr="008E3519">
        <w:rPr>
          <w:sz w:val="20"/>
          <w:lang w:val="fr-CA"/>
        </w:rPr>
        <w:t xml:space="preserve">juge </w:t>
      </w:r>
      <w:r w:rsidRPr="008E3519">
        <w:rPr>
          <w:b/>
          <w:sz w:val="20"/>
          <w:lang w:val="fr-CA"/>
        </w:rPr>
        <w:t>Karakatsanis</w:t>
      </w:r>
      <w:r w:rsidRPr="008E3519">
        <w:rPr>
          <w:sz w:val="20"/>
          <w:lang w:val="fr-CA"/>
        </w:rPr>
        <w:t xml:space="preserve"> (dissidente en partie) : Il y a accord avec les juges majoritaires pour dire que le par. 753(1) du </w:t>
      </w:r>
      <w:r w:rsidRPr="008E3519">
        <w:rPr>
          <w:i/>
          <w:sz w:val="20"/>
          <w:lang w:val="fr-CA"/>
        </w:rPr>
        <w:t xml:space="preserve">Code criminel </w:t>
      </w:r>
      <w:r w:rsidRPr="008E3519">
        <w:rPr>
          <w:sz w:val="20"/>
          <w:lang w:val="fr-CA"/>
        </w:rPr>
        <w:t xml:space="preserve">oblige le juge à prendre en considération les perspectives de traitement futur du délinquant et que cette disposition n’est donc pas inconstitutionnelle pour cause de portée excessive. Toutefois, le par. 753(4.1) doit être déclaré inopérant car il viole l’art. 12 de la </w:t>
      </w:r>
      <w:r w:rsidRPr="008E3519">
        <w:rPr>
          <w:i/>
          <w:sz w:val="20"/>
          <w:lang w:val="fr-CA"/>
        </w:rPr>
        <w:t xml:space="preserve">Charte </w:t>
      </w:r>
      <w:r w:rsidRPr="008E3519">
        <w:rPr>
          <w:sz w:val="20"/>
          <w:lang w:val="fr-CA"/>
        </w:rPr>
        <w:t xml:space="preserve">et ne peut être justifié au regard de l’article premier. Il y a lieu d’ordonner la tenue d’une nouvelle audience afin de déterminer la peine appropriée au titre du par. 753(4). </w:t>
      </w:r>
    </w:p>
    <w:p w:rsidR="00943325" w:rsidRPr="008E3519" w:rsidRDefault="00943325" w:rsidP="00943325">
      <w:pPr>
        <w:pStyle w:val="SCCNormalDoubleSpacing"/>
        <w:spacing w:line="240" w:lineRule="auto"/>
        <w:rPr>
          <w:sz w:val="20"/>
          <w:lang w:val="fr-CA"/>
        </w:rPr>
      </w:pPr>
    </w:p>
    <w:p w:rsidR="00943325" w:rsidRDefault="00943325" w:rsidP="00943325">
      <w:pPr>
        <w:pStyle w:val="SCCNormalDoubleSpacing"/>
        <w:spacing w:line="240" w:lineRule="auto"/>
        <w:rPr>
          <w:sz w:val="20"/>
          <w:lang w:val="fr-CA"/>
        </w:rPr>
      </w:pPr>
      <w:r w:rsidRPr="008E3519">
        <w:rPr>
          <w:sz w:val="20"/>
          <w:lang w:val="fr-CA"/>
        </w:rPr>
        <w:tab/>
        <w:t>Parce qu’il exige que l’on mette l’accent uniquement sur la sécurité du public, le par. 753(4.1) impose une peine pour une période indéterminée dans les cas où celle</w:t>
      </w:r>
      <w:r w:rsidRPr="008E3519">
        <w:rPr>
          <w:sz w:val="20"/>
          <w:lang w:val="fr-CA"/>
        </w:rPr>
        <w:noBreakHyphen/>
        <w:t xml:space="preserve">ci est exagérément disproportionnée à la peine que commandent les principes de détermination de la peine énoncés dans le </w:t>
      </w:r>
      <w:r w:rsidRPr="008E3519">
        <w:rPr>
          <w:i/>
          <w:sz w:val="20"/>
          <w:lang w:val="fr-CA"/>
        </w:rPr>
        <w:t xml:space="preserve">Code criminel </w:t>
      </w:r>
      <w:r w:rsidRPr="008E3519">
        <w:rPr>
          <w:sz w:val="20"/>
          <w:lang w:val="fr-CA"/>
        </w:rPr>
        <w:t>et l’objectif de protection du public que vise le régime des délinquants dangereux. L’étape de la déclaration obligatoire, qui vise un large groupe de délinquants, combinée au pouvoir discrétionnaire limité et structuré à l’étape de la sanction, a créé un contexte législatif qui ne permet pas de voir à ce que les délinquants n’écopent d’une peine de détention pour une période indéterminée que si cette peine est appropriée. Le régime des délinquants dangereux élimine tout pouvoir discrétionnaire du juge à l’étape de la déclaration de délinquant dangereux. Ainsi donc, le délinquant qui satisfait aux critères législatifs de la dangerosité doit être déclaré délinquant dangereux en application du par. 753(1). À l’étape de la sanction, le par. 753(4) confère au juge un vaste pouvoir discrétionnaire; toutefois, le par. 753(4.1) restreint considérablement ce pouvoir discrétionnaire — si l’on ne peut vraisemblablement s’attendre à ce que le public soit suffisamment protégé contre la perpétration d’une autre infraction qui constitue des sévices graves à la personne, le juge doit infliger une peine de détention pour une période indéterminée, même si</w:t>
      </w:r>
      <w:r w:rsidRPr="008E3519">
        <w:rPr>
          <w:i/>
          <w:sz w:val="20"/>
          <w:lang w:val="fr-CA"/>
        </w:rPr>
        <w:t xml:space="preserve"> </w:t>
      </w:r>
      <w:r w:rsidRPr="008E3519">
        <w:rPr>
          <w:sz w:val="20"/>
          <w:lang w:val="fr-CA"/>
        </w:rPr>
        <w:t>cette peine est disproportionnée à la gravité de l’infraction sous</w:t>
      </w:r>
      <w:r w:rsidRPr="008E3519">
        <w:rPr>
          <w:sz w:val="20"/>
          <w:lang w:val="fr-CA"/>
        </w:rPr>
        <w:noBreakHyphen/>
        <w:t xml:space="preserve">jacente et au degré de responsabilité du délinquant. Le critère de la sécurité publique au par. 753(4.1) ne fait pas état de la proportionnalité. Le paragraphe 753(4.1) pourrait aussi fermer la porte à une peine qui respecte le principe de la modération car il crée une présomption en faveur d’une peine de détention pour une période indéterminée qui ne peut être réfutée qu’au moyen d’éléments mis en preuve lors de l’audition. Si aucune preuve relative à l’existence de programmes de surveillance dans la collectivité n’est produite, ou l’on ne sait pas si le délinquant répondra à un traitement, le par. 753(4.1) commande une détention pour une période indéterminée. Les vécus et les facteurs systémiques qui pourraient avoir contribué à amener le délinquant dangereux devant les tribunaux ne peuvent être pris en considération dans l’analyse fondée sur le par. 753(4.1). </w:t>
      </w:r>
    </w:p>
    <w:p w:rsidR="00943325" w:rsidRPr="008E3519" w:rsidRDefault="00943325" w:rsidP="00943325">
      <w:pPr>
        <w:pStyle w:val="SCCNormalDoubleSpacing"/>
        <w:spacing w:line="240" w:lineRule="auto"/>
        <w:rPr>
          <w:sz w:val="20"/>
          <w:lang w:val="fr-CA"/>
        </w:rPr>
      </w:pPr>
    </w:p>
    <w:p w:rsidR="00943325" w:rsidRDefault="00943325" w:rsidP="00943325">
      <w:pPr>
        <w:pStyle w:val="SCCNormalDoubleSpacing"/>
        <w:spacing w:line="240" w:lineRule="auto"/>
        <w:rPr>
          <w:sz w:val="20"/>
          <w:lang w:val="fr-CA"/>
        </w:rPr>
      </w:pPr>
      <w:r w:rsidRPr="008E3519">
        <w:rPr>
          <w:sz w:val="20"/>
          <w:lang w:val="fr-CA"/>
        </w:rPr>
        <w:tab/>
        <w:t>La détention pour une période indéterminée est excessive au point de ne pas être compatible avec la dignité humaine dans les cas où le degré de responsabilité du délinquant et la gravité de l’infraction sous</w:t>
      </w:r>
      <w:r w:rsidRPr="008E3519">
        <w:rPr>
          <w:sz w:val="20"/>
          <w:lang w:val="fr-CA"/>
        </w:rPr>
        <w:noBreakHyphen/>
        <w:t>jacente se situent à l’extrémité inférieure du spectre, surtout lorsque d’autres mesures, notamment de longues peines d’emprisonnement assorties d’ordonnances de surveillance de longue durée, permettent de répondre aux préoccupations en matière de sécurité du public. Même si le Parlement peut prendre des mesures pour protéger les Canadiens et les Canadiennes contre la menace que posent les criminels les plus dangereux, le régime actuel va trop loin. La détention pour une période indéterminée — la peine la plus sévère, exception faite peut</w:t>
      </w:r>
      <w:r w:rsidRPr="008E3519">
        <w:rPr>
          <w:sz w:val="20"/>
          <w:lang w:val="fr-CA"/>
        </w:rPr>
        <w:noBreakHyphen/>
        <w:t xml:space="preserve">être des peines d’emprisonnement à perpétuité — est exagérément disproportionnée à la peine qui serait par ailleurs imposée à certains délinquants selon les principes de détermination de la peine énoncés dans le </w:t>
      </w:r>
      <w:r w:rsidRPr="008E3519">
        <w:rPr>
          <w:i/>
          <w:sz w:val="20"/>
          <w:lang w:val="fr-CA"/>
        </w:rPr>
        <w:t>Code criminel</w:t>
      </w:r>
      <w:r w:rsidRPr="008E3519">
        <w:rPr>
          <w:sz w:val="20"/>
          <w:lang w:val="fr-CA"/>
        </w:rPr>
        <w:t xml:space="preserve">. Lorsqu’il applique le par. 753(4.1), le juge de la peine doit se demander si, en raison du niveau de risque qu’il présente et de la nature des sévices qu’il causera vraisemblablement à l’avenir, le délinquant appartient au groupe restreint de délinquants véritablement dangereux que l’on doit incarcérer pour une durée indéterminée afin de protéger le public. </w:t>
      </w:r>
    </w:p>
    <w:p w:rsidR="00943325" w:rsidRPr="008E3519" w:rsidRDefault="00943325" w:rsidP="00943325">
      <w:pPr>
        <w:pStyle w:val="SCCNormalDoubleSpacing"/>
        <w:spacing w:line="240" w:lineRule="auto"/>
        <w:rPr>
          <w:sz w:val="20"/>
          <w:lang w:val="fr-CA"/>
        </w:rPr>
      </w:pPr>
    </w:p>
    <w:p w:rsidR="00943325" w:rsidRDefault="00943325" w:rsidP="00943325">
      <w:pPr>
        <w:pStyle w:val="SCCNormalDoubleSpacing"/>
        <w:spacing w:line="240" w:lineRule="auto"/>
        <w:rPr>
          <w:sz w:val="20"/>
          <w:lang w:val="fr-CA"/>
        </w:rPr>
      </w:pPr>
      <w:r w:rsidRPr="008E3519">
        <w:rPr>
          <w:sz w:val="20"/>
          <w:lang w:val="fr-CA"/>
        </w:rPr>
        <w:tab/>
        <w:t xml:space="preserve">La preuve en l’espèce indique qu’il pourrait être réellement possible de maîtriser au sein de la collectivité le risque que présente B. Le dossier dont le juge était saisi indique qu’une peine pour une période déterminée assortie d’une ordonnance de surveillance de longue durée aurait bien pu se révéler appropriée et suffire pour protéger le public si le juge n’avait pas tenu pour acquis que son pouvoir discrétionnaire était restreint par le par. 753(4.1), une disposition inconstitutionnelle. Il faut donc tenir une nouvelle audience pour décider de la peine appropriée. </w:t>
      </w:r>
    </w:p>
    <w:p w:rsidR="00943325" w:rsidRPr="008E3519" w:rsidRDefault="00943325" w:rsidP="00943325">
      <w:pPr>
        <w:pStyle w:val="SCCNormalDoubleSpacing"/>
        <w:spacing w:line="240" w:lineRule="auto"/>
        <w:rPr>
          <w:sz w:val="20"/>
          <w:lang w:val="fr-CA"/>
        </w:rPr>
      </w:pPr>
    </w:p>
    <w:p w:rsidR="00943325" w:rsidRDefault="00943325" w:rsidP="00943325">
      <w:pPr>
        <w:pStyle w:val="SCCNormalDoubleSpacing"/>
        <w:spacing w:line="240" w:lineRule="auto"/>
        <w:rPr>
          <w:sz w:val="20"/>
          <w:lang w:val="fr-CA"/>
        </w:rPr>
      </w:pPr>
      <w:r w:rsidRPr="00943325">
        <w:rPr>
          <w:sz w:val="20"/>
          <w:lang w:val="fr-CA"/>
        </w:rPr>
        <w:tab/>
      </w:r>
      <w:r w:rsidRPr="00917078">
        <w:rPr>
          <w:sz w:val="20"/>
          <w:lang w:val="fr-CA"/>
        </w:rPr>
        <w:t>POURVOI contre un arrêt de la Cour d’appel de la Colombie</w:t>
      </w:r>
      <w:r w:rsidRPr="00917078">
        <w:rPr>
          <w:sz w:val="20"/>
          <w:lang w:val="fr-CA"/>
        </w:rPr>
        <w:noBreakHyphen/>
        <w:t xml:space="preserve">Britannique (les juges Smith, Groberman et Goepel), 2016 BCCA 235, 336 C.C.C. (3d) 293, 356 C.R.R. (2d) 275, 29 C.R. (7th) 419, 388 B.C.A.C. 264, 670 W.A.C. 264, [2016] B.C.J. No. 1116 (QL), 2016 CarswellBC 1487 (WL Can.), qui a infirmé en partie les décisions du juge Voith, 2015 BCSC 901, 325 C.C.C. (3d) 345, [2015] B.C.J. No. 1102 (QL), 2015 CarswellBC 1464 (WL Can.); et 2014 BCSC </w:t>
      </w:r>
      <w:r w:rsidRPr="00917078">
        <w:rPr>
          <w:sz w:val="20"/>
          <w:lang w:val="fr-CA"/>
        </w:rPr>
        <w:lastRenderedPageBreak/>
        <w:t xml:space="preserve">2187, 317 C.C.C. (3d) 1, 324 C.R.R. (2d) 221, [2014] B.C.J. No. 2867 (QL), 2014 CarswellBC 3475 (WL Can.). </w:t>
      </w:r>
      <w:r w:rsidRPr="008E3519">
        <w:rPr>
          <w:sz w:val="20"/>
          <w:lang w:val="fr-CA"/>
        </w:rPr>
        <w:t xml:space="preserve">Pourvoi rejeté, la juge Karakatsanis est dissidente en partie. </w:t>
      </w:r>
    </w:p>
    <w:p w:rsidR="00943325" w:rsidRPr="008E3519" w:rsidRDefault="00943325" w:rsidP="00943325">
      <w:pPr>
        <w:pStyle w:val="SCCNormalDoubleSpacing"/>
        <w:spacing w:line="240" w:lineRule="auto"/>
        <w:rPr>
          <w:sz w:val="20"/>
          <w:lang w:val="fr-CA"/>
        </w:rPr>
      </w:pPr>
    </w:p>
    <w:p w:rsidR="00943325" w:rsidRDefault="00943325" w:rsidP="00943325">
      <w:pPr>
        <w:pStyle w:val="SCCNormalDoubleSpacing"/>
        <w:spacing w:line="240" w:lineRule="auto"/>
        <w:rPr>
          <w:sz w:val="20"/>
          <w:lang w:val="fr-CA"/>
        </w:rPr>
      </w:pPr>
      <w:r w:rsidRPr="008E3519">
        <w:rPr>
          <w:i/>
          <w:sz w:val="20"/>
          <w:lang w:val="fr-CA"/>
        </w:rPr>
        <w:tab/>
        <w:t>Eric Purtzki</w:t>
      </w:r>
      <w:r w:rsidRPr="008E3519">
        <w:rPr>
          <w:sz w:val="20"/>
          <w:lang w:val="fr-CA"/>
        </w:rPr>
        <w:t xml:space="preserve">, </w:t>
      </w:r>
      <w:r w:rsidRPr="008E3519">
        <w:rPr>
          <w:i/>
          <w:sz w:val="20"/>
          <w:lang w:val="fr-CA"/>
        </w:rPr>
        <w:t xml:space="preserve">Gary N.A. Botting </w:t>
      </w:r>
      <w:r w:rsidRPr="008E3519">
        <w:rPr>
          <w:sz w:val="20"/>
          <w:lang w:val="fr-CA"/>
        </w:rPr>
        <w:t>et</w:t>
      </w:r>
      <w:r w:rsidRPr="008E3519">
        <w:rPr>
          <w:i/>
          <w:sz w:val="20"/>
          <w:lang w:val="fr-CA"/>
        </w:rPr>
        <w:t xml:space="preserve"> Michael Sobkin</w:t>
      </w:r>
      <w:r w:rsidRPr="008E3519">
        <w:rPr>
          <w:sz w:val="20"/>
          <w:lang w:val="fr-CA"/>
        </w:rPr>
        <w:t>, pour l’appelant.</w:t>
      </w:r>
    </w:p>
    <w:p w:rsidR="00943325" w:rsidRPr="008E3519" w:rsidRDefault="00943325" w:rsidP="00943325">
      <w:pPr>
        <w:pStyle w:val="SCCNormalDoubleSpacing"/>
        <w:spacing w:line="240" w:lineRule="auto"/>
        <w:rPr>
          <w:sz w:val="20"/>
          <w:lang w:val="fr-CA"/>
        </w:rPr>
      </w:pPr>
    </w:p>
    <w:p w:rsidR="00943325" w:rsidRDefault="00943325" w:rsidP="00943325">
      <w:pPr>
        <w:pStyle w:val="SCCNormalDoubleSpacing"/>
        <w:spacing w:line="240" w:lineRule="auto"/>
        <w:rPr>
          <w:sz w:val="20"/>
          <w:lang w:val="fr-CA"/>
        </w:rPr>
      </w:pPr>
      <w:r w:rsidRPr="008E3519">
        <w:rPr>
          <w:i/>
          <w:sz w:val="20"/>
          <w:lang w:val="fr-CA"/>
        </w:rPr>
        <w:tab/>
        <w:t>Rodney Garson</w:t>
      </w:r>
      <w:r w:rsidRPr="008E3519">
        <w:rPr>
          <w:sz w:val="20"/>
          <w:lang w:val="fr-CA"/>
        </w:rPr>
        <w:t xml:space="preserve"> et </w:t>
      </w:r>
      <w:r w:rsidRPr="008E3519">
        <w:rPr>
          <w:i/>
          <w:sz w:val="20"/>
          <w:lang w:val="fr-CA"/>
        </w:rPr>
        <w:t>Michael Brundrett</w:t>
      </w:r>
      <w:r w:rsidRPr="008E3519">
        <w:rPr>
          <w:sz w:val="20"/>
          <w:lang w:val="fr-CA"/>
        </w:rPr>
        <w:t>, pour l’intimée.</w:t>
      </w:r>
    </w:p>
    <w:p w:rsidR="00943325" w:rsidRPr="008E3519" w:rsidRDefault="00943325" w:rsidP="00943325">
      <w:pPr>
        <w:pStyle w:val="SCCNormalDoubleSpacing"/>
        <w:spacing w:line="240" w:lineRule="auto"/>
        <w:rPr>
          <w:sz w:val="20"/>
          <w:lang w:val="fr-CA"/>
        </w:rPr>
      </w:pPr>
    </w:p>
    <w:p w:rsidR="00943325" w:rsidRDefault="00943325" w:rsidP="00943325">
      <w:pPr>
        <w:pStyle w:val="SCCNormalDoubleSpacing"/>
        <w:spacing w:line="240" w:lineRule="auto"/>
        <w:rPr>
          <w:sz w:val="20"/>
          <w:lang w:val="fr-CA"/>
        </w:rPr>
      </w:pPr>
      <w:r w:rsidRPr="008E3519">
        <w:rPr>
          <w:i/>
          <w:sz w:val="20"/>
          <w:lang w:val="fr-CA"/>
        </w:rPr>
        <w:tab/>
        <w:t>Diba B. Majzub</w:t>
      </w:r>
      <w:r w:rsidRPr="008E3519">
        <w:rPr>
          <w:sz w:val="20"/>
          <w:lang w:val="fr-CA"/>
        </w:rPr>
        <w:t>, pour l’intervenant le procureur général du Canada.</w:t>
      </w:r>
    </w:p>
    <w:p w:rsidR="00943325" w:rsidRPr="008E3519" w:rsidRDefault="00943325" w:rsidP="00943325">
      <w:pPr>
        <w:pStyle w:val="SCCNormalDoubleSpacing"/>
        <w:spacing w:line="240" w:lineRule="auto"/>
        <w:rPr>
          <w:sz w:val="20"/>
          <w:lang w:val="fr-CA"/>
        </w:rPr>
      </w:pPr>
    </w:p>
    <w:p w:rsidR="00943325" w:rsidRDefault="00943325" w:rsidP="00943325">
      <w:pPr>
        <w:pStyle w:val="SCCNormalDoubleSpacing"/>
        <w:spacing w:line="240" w:lineRule="auto"/>
        <w:rPr>
          <w:sz w:val="20"/>
          <w:lang w:val="fr-CA"/>
        </w:rPr>
      </w:pPr>
      <w:r w:rsidRPr="008E3519">
        <w:rPr>
          <w:i/>
          <w:sz w:val="20"/>
          <w:lang w:val="fr-CA"/>
        </w:rPr>
        <w:tab/>
        <w:t>Gregory J. Tweney</w:t>
      </w:r>
      <w:r w:rsidRPr="008E3519">
        <w:rPr>
          <w:sz w:val="20"/>
          <w:lang w:val="fr-CA"/>
        </w:rPr>
        <w:t xml:space="preserve"> et </w:t>
      </w:r>
      <w:r w:rsidRPr="008E3519">
        <w:rPr>
          <w:i/>
          <w:sz w:val="20"/>
          <w:lang w:val="fr-CA"/>
        </w:rPr>
        <w:t>Jennifer A. Crawford</w:t>
      </w:r>
      <w:r w:rsidRPr="008E3519">
        <w:rPr>
          <w:sz w:val="20"/>
          <w:lang w:val="fr-CA"/>
        </w:rPr>
        <w:t>, pour l’intervenant le procureur général de l’Ontario.</w:t>
      </w:r>
    </w:p>
    <w:p w:rsidR="00943325" w:rsidRPr="008E3519" w:rsidRDefault="00943325" w:rsidP="00943325">
      <w:pPr>
        <w:pStyle w:val="SCCNormalDoubleSpacing"/>
        <w:spacing w:line="240" w:lineRule="auto"/>
        <w:rPr>
          <w:sz w:val="20"/>
          <w:lang w:val="fr-CA"/>
        </w:rPr>
      </w:pPr>
    </w:p>
    <w:p w:rsidR="00943325" w:rsidRDefault="00943325" w:rsidP="00943325">
      <w:pPr>
        <w:pStyle w:val="SCCNormalDoubleSpacing"/>
        <w:spacing w:line="240" w:lineRule="auto"/>
        <w:rPr>
          <w:sz w:val="20"/>
          <w:lang w:val="fr-CA"/>
        </w:rPr>
      </w:pPr>
      <w:r w:rsidRPr="008E3519">
        <w:rPr>
          <w:i/>
          <w:sz w:val="20"/>
          <w:lang w:val="fr-CA"/>
        </w:rPr>
        <w:tab/>
        <w:t>W. Dean Sinclair, c.r.</w:t>
      </w:r>
      <w:r w:rsidRPr="008E3519">
        <w:rPr>
          <w:sz w:val="20"/>
          <w:lang w:val="fr-CA"/>
        </w:rPr>
        <w:t>, pour l’intervenant le procureur général de la Saskatchewan.</w:t>
      </w:r>
    </w:p>
    <w:p w:rsidR="00943325" w:rsidRPr="008E3519" w:rsidRDefault="00943325" w:rsidP="00943325">
      <w:pPr>
        <w:pStyle w:val="SCCNormalDoubleSpacing"/>
        <w:spacing w:line="240" w:lineRule="auto"/>
        <w:rPr>
          <w:sz w:val="20"/>
          <w:lang w:val="fr-CA"/>
        </w:rPr>
      </w:pPr>
    </w:p>
    <w:p w:rsidR="00943325" w:rsidRDefault="00943325" w:rsidP="00943325">
      <w:pPr>
        <w:pStyle w:val="SCCNormalDoubleSpacing"/>
        <w:spacing w:line="240" w:lineRule="auto"/>
        <w:rPr>
          <w:sz w:val="20"/>
          <w:lang w:val="fr-CA"/>
        </w:rPr>
      </w:pPr>
      <w:r w:rsidRPr="008E3519">
        <w:rPr>
          <w:i/>
          <w:sz w:val="20"/>
          <w:lang w:val="fr-CA"/>
        </w:rPr>
        <w:tab/>
        <w:t>Sarah Clive</w:t>
      </w:r>
      <w:r w:rsidRPr="008E3519">
        <w:rPr>
          <w:sz w:val="20"/>
          <w:lang w:val="fr-CA"/>
        </w:rPr>
        <w:t>, pour l’intervenant le procureur général de l’Alberta.</w:t>
      </w:r>
    </w:p>
    <w:p w:rsidR="00943325" w:rsidRPr="008E3519" w:rsidRDefault="00943325" w:rsidP="00943325">
      <w:pPr>
        <w:pStyle w:val="SCCNormalDoubleSpacing"/>
        <w:spacing w:line="240" w:lineRule="auto"/>
        <w:rPr>
          <w:sz w:val="20"/>
          <w:lang w:val="fr-CA"/>
        </w:rPr>
      </w:pPr>
    </w:p>
    <w:p w:rsidR="00943325" w:rsidRDefault="00943325" w:rsidP="00943325">
      <w:pPr>
        <w:pStyle w:val="SCCNormalDoubleSpacing"/>
        <w:spacing w:line="240" w:lineRule="auto"/>
        <w:rPr>
          <w:sz w:val="20"/>
          <w:lang w:val="fr-CA"/>
        </w:rPr>
      </w:pPr>
      <w:r w:rsidRPr="008E3519">
        <w:rPr>
          <w:i/>
          <w:sz w:val="20"/>
          <w:lang w:val="fr-CA"/>
        </w:rPr>
        <w:tab/>
        <w:t xml:space="preserve">Catriona Verner </w:t>
      </w:r>
      <w:r w:rsidRPr="008E3519">
        <w:rPr>
          <w:sz w:val="20"/>
          <w:lang w:val="fr-CA"/>
        </w:rPr>
        <w:t>et</w:t>
      </w:r>
      <w:r w:rsidRPr="008E3519">
        <w:rPr>
          <w:i/>
          <w:sz w:val="20"/>
          <w:lang w:val="fr-CA"/>
        </w:rPr>
        <w:t xml:space="preserve"> Corbin Cawkell</w:t>
      </w:r>
      <w:r w:rsidRPr="008E3519">
        <w:rPr>
          <w:sz w:val="20"/>
          <w:lang w:val="fr-CA"/>
        </w:rPr>
        <w:t>, pour l’intervenante Criminal Lawyers’ Association of Ontario.</w:t>
      </w:r>
    </w:p>
    <w:p w:rsidR="00943325" w:rsidRPr="008E3519" w:rsidRDefault="00943325" w:rsidP="00943325">
      <w:pPr>
        <w:pStyle w:val="SCCNormalDoubleSpacing"/>
        <w:spacing w:line="240" w:lineRule="auto"/>
        <w:rPr>
          <w:sz w:val="20"/>
          <w:lang w:val="fr-CA"/>
        </w:rPr>
      </w:pPr>
    </w:p>
    <w:p w:rsidR="00943325" w:rsidRDefault="00943325" w:rsidP="00943325">
      <w:pPr>
        <w:pStyle w:val="SCCNormalDoubleSpacing"/>
        <w:spacing w:line="240" w:lineRule="auto"/>
        <w:rPr>
          <w:sz w:val="20"/>
          <w:lang w:val="fr-CA"/>
        </w:rPr>
      </w:pPr>
      <w:r w:rsidRPr="008E3519">
        <w:rPr>
          <w:i/>
          <w:sz w:val="20"/>
          <w:lang w:val="fr-CA"/>
        </w:rPr>
        <w:tab/>
        <w:t>Jonathan Rudin</w:t>
      </w:r>
      <w:r w:rsidRPr="008E3519">
        <w:rPr>
          <w:sz w:val="20"/>
          <w:lang w:val="fr-CA"/>
        </w:rPr>
        <w:t xml:space="preserve"> et </w:t>
      </w:r>
      <w:r w:rsidRPr="008E3519">
        <w:rPr>
          <w:i/>
          <w:sz w:val="20"/>
          <w:lang w:val="fr-CA"/>
        </w:rPr>
        <w:t>Caitlyn E. Kasper</w:t>
      </w:r>
      <w:r w:rsidRPr="008E3519">
        <w:rPr>
          <w:sz w:val="20"/>
          <w:lang w:val="fr-CA"/>
        </w:rPr>
        <w:t>, pour l’intervenante Aboriginal Legal Services Inc.</w:t>
      </w:r>
    </w:p>
    <w:p w:rsidR="00943325" w:rsidRPr="008E3519" w:rsidRDefault="00943325" w:rsidP="00943325">
      <w:pPr>
        <w:pStyle w:val="SCCNormalDoubleSpacing"/>
        <w:spacing w:line="240" w:lineRule="auto"/>
        <w:rPr>
          <w:sz w:val="20"/>
          <w:lang w:val="fr-CA"/>
        </w:rPr>
      </w:pPr>
    </w:p>
    <w:p w:rsidR="00943325" w:rsidRDefault="00943325" w:rsidP="00943325">
      <w:pPr>
        <w:pStyle w:val="SCCNormalDoubleSpacing"/>
        <w:spacing w:line="240" w:lineRule="auto"/>
        <w:rPr>
          <w:sz w:val="20"/>
          <w:lang w:val="fr-CA"/>
        </w:rPr>
      </w:pPr>
      <w:r w:rsidRPr="008E3519">
        <w:rPr>
          <w:i/>
          <w:sz w:val="20"/>
          <w:lang w:val="fr-CA"/>
        </w:rPr>
        <w:tab/>
        <w:t>Vincent Larochelle</w:t>
      </w:r>
      <w:r w:rsidRPr="008E3519">
        <w:rPr>
          <w:sz w:val="20"/>
          <w:lang w:val="fr-CA"/>
        </w:rPr>
        <w:t>, pour l’intervenante la Société d’aide juridique du Yukon.</w:t>
      </w:r>
    </w:p>
    <w:p w:rsidR="00902E51" w:rsidRPr="00943325" w:rsidRDefault="00902E51" w:rsidP="00902E51">
      <w:pPr>
        <w:rPr>
          <w:sz w:val="20"/>
          <w:szCs w:val="20"/>
          <w:lang w:val="fr-CA"/>
        </w:rPr>
      </w:pPr>
    </w:p>
    <w:p w:rsidR="00902E51" w:rsidRDefault="008D266B" w:rsidP="00902E51">
      <w:pPr>
        <w:rPr>
          <w:rFonts w:cs="Times New Roman"/>
          <w:sz w:val="20"/>
          <w:szCs w:val="20"/>
          <w:lang w:val="fr-CA"/>
        </w:rPr>
      </w:pPr>
      <w:r>
        <w:rPr>
          <w:rFonts w:cs="Times New Roman"/>
          <w:sz w:val="20"/>
          <w:szCs w:val="20"/>
          <w:lang w:val="fr-CA"/>
        </w:rPr>
        <w:pict>
          <v:rect id="_x0000_i1072" style="width:144.3pt;height:1pt" o:hrpct="300" o:hralign="center" o:hrstd="t" o:hrnoshade="t" o:hr="t" fillcolor="black [3213]" stroked="f"/>
        </w:pict>
      </w:r>
    </w:p>
    <w:p w:rsidR="005C6840" w:rsidRDefault="005C6840" w:rsidP="005C6840">
      <w:pPr>
        <w:jc w:val="both"/>
        <w:rPr>
          <w:sz w:val="20"/>
          <w:szCs w:val="20"/>
        </w:rPr>
      </w:pPr>
    </w:p>
    <w:p w:rsidR="0056248C" w:rsidRDefault="0056248C" w:rsidP="005C6840">
      <w:pPr>
        <w:jc w:val="both"/>
        <w:rPr>
          <w:sz w:val="20"/>
          <w:szCs w:val="20"/>
        </w:rPr>
      </w:pPr>
    </w:p>
    <w:p w:rsidR="004A767C" w:rsidRPr="00C50A5C" w:rsidRDefault="004A767C" w:rsidP="004A767C">
      <w:pPr>
        <w:jc w:val="both"/>
        <w:rPr>
          <w:sz w:val="20"/>
          <w:szCs w:val="20"/>
        </w:rPr>
      </w:pPr>
    </w:p>
    <w:p w:rsidR="004A767C" w:rsidRPr="00C50A5C" w:rsidRDefault="004A767C" w:rsidP="004A767C">
      <w:pPr>
        <w:jc w:val="both"/>
        <w:rPr>
          <w:sz w:val="20"/>
          <w:szCs w:val="20"/>
        </w:rPr>
        <w:sectPr w:rsidR="004A767C" w:rsidRPr="00C50A5C" w:rsidSect="00782AE4">
          <w:headerReference w:type="even" r:id="rId73"/>
          <w:headerReference w:type="default" r:id="rId74"/>
          <w:footerReference w:type="even" r:id="rId75"/>
          <w:footerReference w:type="default" r:id="rId76"/>
          <w:headerReference w:type="first" r:id="rId77"/>
          <w:footerReference w:type="first" r:id="rId78"/>
          <w:pgSz w:w="12240" w:h="15840"/>
          <w:pgMar w:top="720" w:right="965" w:bottom="1080" w:left="1656" w:header="576" w:footer="960" w:gutter="0"/>
          <w:cols w:space="720"/>
          <w:titlePg/>
          <w:docGrid w:linePitch="272"/>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320"/>
        <w:gridCol w:w="840"/>
        <w:gridCol w:w="4320"/>
      </w:tblGrid>
      <w:tr w:rsidR="004A767C" w:rsidRPr="00C50A5C" w:rsidTr="00D55EDC">
        <w:tc>
          <w:tcPr>
            <w:tcW w:w="4320" w:type="dxa"/>
            <w:shd w:val="clear" w:color="auto" w:fill="auto"/>
            <w:tcMar>
              <w:left w:w="0" w:type="dxa"/>
              <w:right w:w="0" w:type="dxa"/>
            </w:tcMar>
          </w:tcPr>
          <w:p w:rsidR="004A767C" w:rsidRPr="00C50A5C" w:rsidRDefault="004A767C" w:rsidP="004450E7">
            <w:pPr>
              <w:keepNext/>
              <w:keepLines/>
              <w:rPr>
                <w:b/>
                <w:szCs w:val="24"/>
              </w:rPr>
            </w:pPr>
            <w:r w:rsidRPr="00C50A5C">
              <w:rPr>
                <w:b/>
                <w:szCs w:val="24"/>
              </w:rPr>
              <w:lastRenderedPageBreak/>
              <w:t xml:space="preserve">AGENDA </w:t>
            </w:r>
          </w:p>
        </w:tc>
        <w:tc>
          <w:tcPr>
            <w:tcW w:w="840" w:type="dxa"/>
            <w:shd w:val="clear" w:color="auto" w:fill="auto"/>
            <w:tcMar>
              <w:left w:w="0" w:type="dxa"/>
              <w:right w:w="0" w:type="dxa"/>
            </w:tcMar>
          </w:tcPr>
          <w:p w:rsidR="004A767C" w:rsidRPr="00C50A5C" w:rsidRDefault="004A767C" w:rsidP="00D55EDC">
            <w:pPr>
              <w:keepNext/>
              <w:keepLines/>
              <w:jc w:val="center"/>
              <w:rPr>
                <w:b/>
                <w:szCs w:val="24"/>
              </w:rPr>
            </w:pPr>
          </w:p>
          <w:p w:rsidR="004A767C" w:rsidRPr="00C50A5C" w:rsidRDefault="004A767C" w:rsidP="00D55EDC">
            <w:pPr>
              <w:keepNext/>
              <w:keepLines/>
              <w:jc w:val="center"/>
              <w:rPr>
                <w:b/>
                <w:szCs w:val="24"/>
              </w:rPr>
            </w:pPr>
          </w:p>
        </w:tc>
        <w:tc>
          <w:tcPr>
            <w:tcW w:w="4320" w:type="dxa"/>
            <w:shd w:val="clear" w:color="auto" w:fill="auto"/>
            <w:tcMar>
              <w:left w:w="0" w:type="dxa"/>
              <w:right w:w="0" w:type="dxa"/>
            </w:tcMar>
          </w:tcPr>
          <w:p w:rsidR="004A767C" w:rsidRPr="00C50A5C" w:rsidRDefault="004A767C" w:rsidP="004450E7">
            <w:pPr>
              <w:keepNext/>
              <w:keepLines/>
              <w:rPr>
                <w:b/>
                <w:szCs w:val="24"/>
                <w:lang w:val="fr-CA"/>
              </w:rPr>
            </w:pPr>
            <w:r w:rsidRPr="00C50A5C">
              <w:rPr>
                <w:b/>
                <w:szCs w:val="24"/>
                <w:lang w:val="fr-CA"/>
              </w:rPr>
              <w:t xml:space="preserve">CALENDRIER </w:t>
            </w:r>
          </w:p>
        </w:tc>
      </w:tr>
    </w:tbl>
    <w:p w:rsidR="004A767C" w:rsidRPr="00DD0B49" w:rsidRDefault="004A767C" w:rsidP="004A767C">
      <w:pPr>
        <w:rPr>
          <w:b/>
          <w:sz w:val="20"/>
          <w:szCs w:val="20"/>
        </w:rPr>
      </w:pPr>
    </w:p>
    <w:p w:rsidR="004A767C" w:rsidRPr="00DD0B49" w:rsidRDefault="004A767C" w:rsidP="004A767C">
      <w:pPr>
        <w:rPr>
          <w:b/>
          <w:sz w:val="20"/>
          <w:szCs w:val="20"/>
        </w:rPr>
      </w:pPr>
      <w:r w:rsidRPr="00DD0B49">
        <w:rPr>
          <w:b/>
          <w:sz w:val="20"/>
          <w:szCs w:val="20"/>
        </w:rPr>
        <w:t xml:space="preserve">AGENDA for the weeks of </w:t>
      </w:r>
      <w:r>
        <w:rPr>
          <w:b/>
          <w:sz w:val="20"/>
          <w:szCs w:val="20"/>
        </w:rPr>
        <w:t xml:space="preserve">January </w:t>
      </w:r>
      <w:r w:rsidR="00D55EDC">
        <w:rPr>
          <w:b/>
          <w:sz w:val="20"/>
          <w:szCs w:val="20"/>
        </w:rPr>
        <w:t>8</w:t>
      </w:r>
      <w:r w:rsidRPr="00DD0B49">
        <w:rPr>
          <w:b/>
          <w:sz w:val="20"/>
          <w:szCs w:val="20"/>
        </w:rPr>
        <w:t xml:space="preserve"> and </w:t>
      </w:r>
      <w:r>
        <w:rPr>
          <w:b/>
          <w:sz w:val="20"/>
          <w:szCs w:val="20"/>
        </w:rPr>
        <w:t>1</w:t>
      </w:r>
      <w:r w:rsidR="00D55EDC">
        <w:rPr>
          <w:b/>
          <w:sz w:val="20"/>
          <w:szCs w:val="20"/>
        </w:rPr>
        <w:t>5</w:t>
      </w:r>
      <w:r w:rsidRPr="00DD0B49">
        <w:rPr>
          <w:b/>
          <w:sz w:val="20"/>
          <w:szCs w:val="20"/>
        </w:rPr>
        <w:t>, 201</w:t>
      </w:r>
      <w:r w:rsidR="00D55EDC">
        <w:rPr>
          <w:b/>
          <w:sz w:val="20"/>
          <w:szCs w:val="20"/>
        </w:rPr>
        <w:t>8</w:t>
      </w:r>
      <w:r w:rsidRPr="00DD0B49">
        <w:rPr>
          <w:b/>
          <w:sz w:val="20"/>
          <w:szCs w:val="20"/>
        </w:rPr>
        <w:t>.</w:t>
      </w:r>
    </w:p>
    <w:p w:rsidR="004A767C" w:rsidRPr="00DD0B49" w:rsidRDefault="004A767C" w:rsidP="004A767C">
      <w:pPr>
        <w:rPr>
          <w:sz w:val="20"/>
          <w:szCs w:val="20"/>
          <w:lang w:val="fr-CA"/>
        </w:rPr>
      </w:pPr>
      <w:r w:rsidRPr="00DD0B49">
        <w:rPr>
          <w:b/>
          <w:sz w:val="20"/>
          <w:szCs w:val="20"/>
          <w:lang w:val="fr-CA"/>
        </w:rPr>
        <w:t>CALENDRIER de la semaine du</w:t>
      </w:r>
      <w:r w:rsidR="00D55EDC">
        <w:rPr>
          <w:b/>
          <w:sz w:val="20"/>
          <w:szCs w:val="20"/>
          <w:lang w:val="fr-CA"/>
        </w:rPr>
        <w:t xml:space="preserve"> 8</w:t>
      </w:r>
      <w:r>
        <w:rPr>
          <w:b/>
          <w:sz w:val="20"/>
          <w:szCs w:val="20"/>
          <w:lang w:val="fr-CA"/>
        </w:rPr>
        <w:t xml:space="preserve"> janvier </w:t>
      </w:r>
      <w:r w:rsidRPr="00DD0B49">
        <w:rPr>
          <w:b/>
          <w:sz w:val="20"/>
          <w:szCs w:val="20"/>
          <w:lang w:val="fr-CA"/>
        </w:rPr>
        <w:t xml:space="preserve">et celle du </w:t>
      </w:r>
      <w:r>
        <w:rPr>
          <w:b/>
          <w:sz w:val="20"/>
          <w:szCs w:val="20"/>
          <w:lang w:val="fr-CA"/>
        </w:rPr>
        <w:t>1</w:t>
      </w:r>
      <w:r w:rsidR="00D55EDC">
        <w:rPr>
          <w:b/>
          <w:sz w:val="20"/>
          <w:szCs w:val="20"/>
          <w:lang w:val="fr-CA"/>
        </w:rPr>
        <w:t>5</w:t>
      </w:r>
      <w:r w:rsidRPr="00DD0B49">
        <w:rPr>
          <w:b/>
          <w:sz w:val="20"/>
          <w:szCs w:val="20"/>
          <w:lang w:val="fr-CA"/>
        </w:rPr>
        <w:t xml:space="preserve"> </w:t>
      </w:r>
      <w:r>
        <w:rPr>
          <w:b/>
          <w:sz w:val="20"/>
          <w:szCs w:val="20"/>
          <w:lang w:val="fr-CA"/>
        </w:rPr>
        <w:t>janvier</w:t>
      </w:r>
      <w:r w:rsidRPr="00DD0B49">
        <w:rPr>
          <w:b/>
          <w:sz w:val="20"/>
          <w:szCs w:val="20"/>
          <w:lang w:val="fr-CA"/>
        </w:rPr>
        <w:t xml:space="preserve"> 201</w:t>
      </w:r>
      <w:r w:rsidR="00D55EDC">
        <w:rPr>
          <w:b/>
          <w:sz w:val="20"/>
          <w:szCs w:val="20"/>
          <w:lang w:val="fr-CA"/>
        </w:rPr>
        <w:t>8</w:t>
      </w:r>
      <w:r w:rsidRPr="00DD0B49">
        <w:rPr>
          <w:b/>
          <w:sz w:val="20"/>
          <w:szCs w:val="20"/>
          <w:lang w:val="fr-CA"/>
        </w:rPr>
        <w:t>.</w:t>
      </w:r>
    </w:p>
    <w:p w:rsidR="004A767C" w:rsidRPr="00DD0B49" w:rsidRDefault="004A767C" w:rsidP="004A767C">
      <w:pPr>
        <w:rPr>
          <w:sz w:val="20"/>
          <w:szCs w:val="20"/>
          <w:lang w:val="fr-CA"/>
        </w:rPr>
      </w:pPr>
    </w:p>
    <w:p w:rsidR="004A767C" w:rsidRPr="00DD0B49" w:rsidRDefault="008D266B" w:rsidP="004A767C">
      <w:pPr>
        <w:rPr>
          <w:sz w:val="20"/>
          <w:szCs w:val="20"/>
        </w:rPr>
      </w:pPr>
      <w:r>
        <w:rPr>
          <w:sz w:val="20"/>
          <w:szCs w:val="20"/>
        </w:rPr>
        <w:pict>
          <v:rect id="_x0000_i1075" style="width:480.95pt;height:1pt" o:hralign="center" o:hrstd="t" o:hrnoshade="t" o:hr="t" fillcolor="black [3213]" stroked="f"/>
        </w:pict>
      </w:r>
    </w:p>
    <w:p w:rsidR="004A767C" w:rsidRDefault="004A767C" w:rsidP="004A767C">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2398"/>
        <w:gridCol w:w="7178"/>
      </w:tblGrid>
      <w:tr w:rsidR="008D266B" w:rsidRPr="002F5D59" w:rsidTr="00CC077A">
        <w:trPr>
          <w:cantSplit/>
        </w:trPr>
        <w:tc>
          <w:tcPr>
            <w:tcW w:w="2398" w:type="dxa"/>
          </w:tcPr>
          <w:p w:rsidR="008D266B" w:rsidRPr="000A3296" w:rsidRDefault="008D266B" w:rsidP="00CC077A">
            <w:pPr>
              <w:rPr>
                <w:sz w:val="20"/>
                <w:szCs w:val="20"/>
              </w:rPr>
            </w:pPr>
            <w:r w:rsidRPr="000A3296">
              <w:rPr>
                <w:sz w:val="20"/>
                <w:szCs w:val="20"/>
              </w:rPr>
              <w:t>DATE OF HEARING /</w:t>
            </w:r>
          </w:p>
          <w:p w:rsidR="008D266B" w:rsidRPr="000A3296" w:rsidRDefault="008D266B" w:rsidP="00CC077A">
            <w:pPr>
              <w:rPr>
                <w:sz w:val="20"/>
                <w:szCs w:val="20"/>
              </w:rPr>
            </w:pPr>
            <w:r w:rsidRPr="000A3296">
              <w:rPr>
                <w:sz w:val="20"/>
                <w:szCs w:val="20"/>
              </w:rPr>
              <w:t>DATE D’AUDITION</w:t>
            </w:r>
          </w:p>
        </w:tc>
        <w:tc>
          <w:tcPr>
            <w:tcW w:w="7178" w:type="dxa"/>
          </w:tcPr>
          <w:p w:rsidR="008D266B" w:rsidRPr="000A3296" w:rsidRDefault="008D266B" w:rsidP="00CC077A">
            <w:pPr>
              <w:rPr>
                <w:sz w:val="20"/>
                <w:szCs w:val="20"/>
                <w:lang w:val="fr-CA"/>
              </w:rPr>
            </w:pPr>
            <w:r w:rsidRPr="000A3296">
              <w:rPr>
                <w:sz w:val="20"/>
                <w:szCs w:val="20"/>
                <w:lang w:val="fr-CA"/>
              </w:rPr>
              <w:t>NAME AND CASE NUMBER /</w:t>
            </w:r>
          </w:p>
          <w:p w:rsidR="008D266B" w:rsidRPr="000A3296" w:rsidRDefault="008D266B" w:rsidP="00CC077A">
            <w:pPr>
              <w:rPr>
                <w:sz w:val="20"/>
                <w:szCs w:val="20"/>
                <w:lang w:val="fr-CA"/>
              </w:rPr>
            </w:pPr>
            <w:r w:rsidRPr="000A3296">
              <w:rPr>
                <w:sz w:val="20"/>
                <w:szCs w:val="20"/>
                <w:lang w:val="fr-CA"/>
              </w:rPr>
              <w:t>NOM DE LA CAUSE ET NUMÉRO</w:t>
            </w:r>
          </w:p>
        </w:tc>
      </w:tr>
      <w:tr w:rsidR="008D266B" w:rsidRPr="000A3296" w:rsidTr="00CC077A">
        <w:trPr>
          <w:cantSplit/>
        </w:trPr>
        <w:tc>
          <w:tcPr>
            <w:tcW w:w="2398" w:type="dxa"/>
          </w:tcPr>
          <w:p w:rsidR="008D266B" w:rsidRPr="000A3296" w:rsidRDefault="008D266B" w:rsidP="00CC077A">
            <w:pPr>
              <w:rPr>
                <w:sz w:val="20"/>
                <w:szCs w:val="20"/>
              </w:rPr>
            </w:pPr>
            <w:r w:rsidRPr="000A3296">
              <w:rPr>
                <w:sz w:val="20"/>
                <w:szCs w:val="20"/>
              </w:rPr>
              <w:t>2018-01-09</w:t>
            </w:r>
          </w:p>
        </w:tc>
        <w:tc>
          <w:tcPr>
            <w:tcW w:w="7178" w:type="dxa"/>
          </w:tcPr>
          <w:p w:rsidR="008D266B" w:rsidRPr="000A3296" w:rsidRDefault="008D266B" w:rsidP="00CC077A">
            <w:pPr>
              <w:rPr>
                <w:sz w:val="20"/>
                <w:szCs w:val="20"/>
                <w:lang w:val="fr-CA"/>
              </w:rPr>
            </w:pPr>
            <w:r w:rsidRPr="000A3296">
              <w:rPr>
                <w:rStyle w:val="SCCSsocChar"/>
                <w:rFonts w:eastAsiaTheme="minorHAnsi"/>
                <w:sz w:val="20"/>
              </w:rPr>
              <w:t xml:space="preserve">Ville de Lorraine et autre c. 2646-8926 Québec </w:t>
            </w:r>
            <w:proofErr w:type="spellStart"/>
            <w:r w:rsidRPr="000A3296">
              <w:rPr>
                <w:rStyle w:val="SCCSsocChar"/>
                <w:rFonts w:eastAsiaTheme="minorHAnsi"/>
                <w:sz w:val="20"/>
              </w:rPr>
              <w:t>inc.</w:t>
            </w:r>
            <w:proofErr w:type="spellEnd"/>
            <w:r w:rsidRPr="000A3296">
              <w:rPr>
                <w:sz w:val="20"/>
                <w:szCs w:val="20"/>
                <w:lang w:val="fr-CA"/>
              </w:rPr>
              <w:t xml:space="preserve"> (</w:t>
            </w:r>
            <w:proofErr w:type="spellStart"/>
            <w:r w:rsidRPr="000A3296">
              <w:rPr>
                <w:sz w:val="20"/>
                <w:szCs w:val="20"/>
                <w:lang w:val="fr-CA"/>
              </w:rPr>
              <w:t>Qc</w:t>
            </w:r>
            <w:proofErr w:type="spellEnd"/>
            <w:r w:rsidRPr="000A3296">
              <w:rPr>
                <w:sz w:val="20"/>
                <w:szCs w:val="20"/>
                <w:lang w:val="fr-CA"/>
              </w:rPr>
              <w:t xml:space="preserve">) (Civile) (Autorisation) </w:t>
            </w:r>
            <w:r w:rsidRPr="000A3296">
              <w:rPr>
                <w:sz w:val="20"/>
                <w:lang w:val="fr-CA"/>
              </w:rPr>
              <w:t>(</w:t>
            </w:r>
            <w:hyperlink r:id="rId79" w:history="1">
              <w:r w:rsidRPr="000A3296">
                <w:rPr>
                  <w:rStyle w:val="Hyperlink"/>
                  <w:sz w:val="20"/>
                  <w:lang w:val="fr-CA"/>
                </w:rPr>
                <w:t>37381</w:t>
              </w:r>
            </w:hyperlink>
            <w:r w:rsidRPr="000A3296">
              <w:rPr>
                <w:sz w:val="20"/>
                <w:lang w:val="fr-CA"/>
              </w:rPr>
              <w:t>)</w:t>
            </w:r>
          </w:p>
        </w:tc>
      </w:tr>
      <w:tr w:rsidR="008D266B" w:rsidRPr="002F5D59" w:rsidTr="00CC077A">
        <w:trPr>
          <w:cantSplit/>
        </w:trPr>
        <w:tc>
          <w:tcPr>
            <w:tcW w:w="2398" w:type="dxa"/>
          </w:tcPr>
          <w:p w:rsidR="008D266B" w:rsidRPr="000A3296" w:rsidRDefault="008D266B" w:rsidP="00CC077A">
            <w:pPr>
              <w:rPr>
                <w:sz w:val="20"/>
                <w:szCs w:val="20"/>
              </w:rPr>
            </w:pPr>
            <w:r w:rsidRPr="000A3296">
              <w:rPr>
                <w:sz w:val="20"/>
                <w:szCs w:val="20"/>
              </w:rPr>
              <w:t>2018-01-10</w:t>
            </w:r>
          </w:p>
        </w:tc>
        <w:tc>
          <w:tcPr>
            <w:tcW w:w="7178" w:type="dxa"/>
          </w:tcPr>
          <w:p w:rsidR="008D266B" w:rsidRPr="000A3296" w:rsidRDefault="008D266B" w:rsidP="00CC077A">
            <w:pPr>
              <w:rPr>
                <w:sz w:val="20"/>
                <w:szCs w:val="20"/>
                <w:lang w:val="fr-CA"/>
              </w:rPr>
            </w:pPr>
            <w:r w:rsidRPr="000A3296">
              <w:rPr>
                <w:rStyle w:val="SCCSsocChar"/>
                <w:rFonts w:eastAsiaTheme="minorHAnsi"/>
                <w:sz w:val="20"/>
              </w:rPr>
              <w:t xml:space="preserve">3091-5177 Québec </w:t>
            </w:r>
            <w:proofErr w:type="spellStart"/>
            <w:r w:rsidRPr="000A3296">
              <w:rPr>
                <w:rStyle w:val="SCCSsocChar"/>
                <w:rFonts w:eastAsiaTheme="minorHAnsi"/>
                <w:sz w:val="20"/>
              </w:rPr>
              <w:t>inc.</w:t>
            </w:r>
            <w:proofErr w:type="spellEnd"/>
            <w:r w:rsidRPr="000A3296">
              <w:rPr>
                <w:rStyle w:val="SCCSsocChar"/>
                <w:rFonts w:eastAsiaTheme="minorHAnsi"/>
                <w:sz w:val="20"/>
              </w:rPr>
              <w:t xml:space="preserve"> </w:t>
            </w:r>
            <w:proofErr w:type="spellStart"/>
            <w:r w:rsidRPr="000A3296">
              <w:rPr>
                <w:rStyle w:val="SCCSsocChar"/>
                <w:rFonts w:eastAsiaTheme="minorHAnsi"/>
                <w:sz w:val="20"/>
              </w:rPr>
              <w:t>f.a.s.r.s</w:t>
            </w:r>
            <w:proofErr w:type="spellEnd"/>
            <w:r w:rsidRPr="000A3296">
              <w:rPr>
                <w:rStyle w:val="SCCSsocChar"/>
                <w:rFonts w:eastAsiaTheme="minorHAnsi"/>
                <w:sz w:val="20"/>
              </w:rPr>
              <w:t xml:space="preserve">. </w:t>
            </w:r>
            <w:proofErr w:type="spellStart"/>
            <w:r w:rsidRPr="000A3296">
              <w:rPr>
                <w:rStyle w:val="SCCSsocChar"/>
                <w:rFonts w:eastAsiaTheme="minorHAnsi"/>
                <w:sz w:val="20"/>
              </w:rPr>
              <w:t>Éconolodge</w:t>
            </w:r>
            <w:proofErr w:type="spellEnd"/>
            <w:r w:rsidRPr="000A3296">
              <w:rPr>
                <w:rStyle w:val="SCCSsocChar"/>
                <w:rFonts w:eastAsiaTheme="minorHAnsi"/>
                <w:sz w:val="20"/>
              </w:rPr>
              <w:t xml:space="preserve"> Aéroport c. Compagnie canadienne d'assurances générales Lombard et autre</w:t>
            </w:r>
            <w:r w:rsidRPr="000A3296">
              <w:rPr>
                <w:sz w:val="20"/>
                <w:szCs w:val="20"/>
                <w:lang w:val="fr-CA"/>
              </w:rPr>
              <w:t xml:space="preserve"> (</w:t>
            </w:r>
            <w:proofErr w:type="spellStart"/>
            <w:r w:rsidRPr="000A3296">
              <w:rPr>
                <w:sz w:val="20"/>
                <w:szCs w:val="20"/>
                <w:lang w:val="fr-CA"/>
              </w:rPr>
              <w:t>Qc</w:t>
            </w:r>
            <w:proofErr w:type="spellEnd"/>
            <w:r w:rsidRPr="000A3296">
              <w:rPr>
                <w:sz w:val="20"/>
                <w:szCs w:val="20"/>
                <w:lang w:val="fr-CA"/>
              </w:rPr>
              <w:t xml:space="preserve">) (Civile) (Autorisation) </w:t>
            </w:r>
            <w:r w:rsidRPr="000A3296">
              <w:rPr>
                <w:sz w:val="20"/>
                <w:lang w:val="fr-CA"/>
              </w:rPr>
              <w:t>(</w:t>
            </w:r>
            <w:hyperlink r:id="rId80" w:history="1">
              <w:r w:rsidRPr="000A3296">
                <w:rPr>
                  <w:rStyle w:val="Hyperlink"/>
                  <w:sz w:val="20"/>
                  <w:lang w:val="fr-CA"/>
                </w:rPr>
                <w:t>37421</w:t>
              </w:r>
            </w:hyperlink>
            <w:r w:rsidRPr="000A3296">
              <w:rPr>
                <w:sz w:val="20"/>
                <w:lang w:val="fr-CA"/>
              </w:rPr>
              <w:t>)</w:t>
            </w:r>
          </w:p>
        </w:tc>
      </w:tr>
      <w:tr w:rsidR="008D266B" w:rsidRPr="002F5D59" w:rsidTr="00CC077A">
        <w:trPr>
          <w:cantSplit/>
        </w:trPr>
        <w:tc>
          <w:tcPr>
            <w:tcW w:w="2398" w:type="dxa"/>
          </w:tcPr>
          <w:p w:rsidR="008D266B" w:rsidRPr="000A3296" w:rsidRDefault="008D266B" w:rsidP="00CC077A">
            <w:pPr>
              <w:rPr>
                <w:sz w:val="20"/>
                <w:szCs w:val="20"/>
              </w:rPr>
            </w:pPr>
            <w:r w:rsidRPr="000A3296">
              <w:rPr>
                <w:sz w:val="20"/>
                <w:szCs w:val="20"/>
              </w:rPr>
              <w:t>2018-01-10</w:t>
            </w:r>
          </w:p>
        </w:tc>
        <w:tc>
          <w:tcPr>
            <w:tcW w:w="7178" w:type="dxa"/>
          </w:tcPr>
          <w:p w:rsidR="008D266B" w:rsidRPr="000A3296" w:rsidRDefault="008D266B" w:rsidP="00CC077A">
            <w:pPr>
              <w:rPr>
                <w:sz w:val="20"/>
                <w:szCs w:val="20"/>
                <w:lang w:val="fr-CA"/>
              </w:rPr>
            </w:pPr>
            <w:proofErr w:type="spellStart"/>
            <w:r w:rsidRPr="000A3296">
              <w:rPr>
                <w:rStyle w:val="SCCSsocChar"/>
                <w:rFonts w:eastAsiaTheme="minorHAnsi"/>
                <w:sz w:val="20"/>
              </w:rPr>
              <w:t>Promutuel</w:t>
            </w:r>
            <w:proofErr w:type="spellEnd"/>
            <w:r w:rsidRPr="000A3296">
              <w:rPr>
                <w:rStyle w:val="SCCSsocChar"/>
                <w:rFonts w:eastAsiaTheme="minorHAnsi"/>
                <w:sz w:val="20"/>
              </w:rPr>
              <w:t xml:space="preserve"> Portneuf-Champlain, société mutuelle d'assurance générale c. Compagnie canadienne d'assurances générales Lombard</w:t>
            </w:r>
            <w:r w:rsidRPr="000A3296">
              <w:rPr>
                <w:sz w:val="20"/>
                <w:szCs w:val="20"/>
                <w:lang w:val="fr-CA"/>
              </w:rPr>
              <w:t xml:space="preserve"> (</w:t>
            </w:r>
            <w:proofErr w:type="spellStart"/>
            <w:r w:rsidRPr="000A3296">
              <w:rPr>
                <w:sz w:val="20"/>
                <w:szCs w:val="20"/>
                <w:lang w:val="fr-CA"/>
              </w:rPr>
              <w:t>Qc</w:t>
            </w:r>
            <w:proofErr w:type="spellEnd"/>
            <w:r w:rsidRPr="000A3296">
              <w:rPr>
                <w:sz w:val="20"/>
                <w:szCs w:val="20"/>
                <w:lang w:val="fr-CA"/>
              </w:rPr>
              <w:t xml:space="preserve">) (Civile) (Autorisation) </w:t>
            </w:r>
            <w:r w:rsidRPr="000A3296">
              <w:rPr>
                <w:sz w:val="20"/>
                <w:lang w:val="fr-CA"/>
              </w:rPr>
              <w:t>(</w:t>
            </w:r>
            <w:hyperlink r:id="rId81" w:history="1">
              <w:r w:rsidRPr="000A3296">
                <w:rPr>
                  <w:rStyle w:val="Hyperlink"/>
                  <w:sz w:val="20"/>
                  <w:lang w:val="fr-CA"/>
                </w:rPr>
                <w:t>37422</w:t>
              </w:r>
            </w:hyperlink>
            <w:r w:rsidRPr="000A3296">
              <w:rPr>
                <w:sz w:val="20"/>
                <w:lang w:val="fr-CA"/>
              </w:rPr>
              <w:t>)</w:t>
            </w:r>
          </w:p>
        </w:tc>
      </w:tr>
      <w:tr w:rsidR="008D266B" w:rsidRPr="000A3296" w:rsidTr="00CC077A">
        <w:trPr>
          <w:cantSplit/>
        </w:trPr>
        <w:tc>
          <w:tcPr>
            <w:tcW w:w="2398" w:type="dxa"/>
          </w:tcPr>
          <w:p w:rsidR="008D266B" w:rsidRPr="000A3296" w:rsidRDefault="008D266B" w:rsidP="00CC077A">
            <w:pPr>
              <w:rPr>
                <w:sz w:val="20"/>
                <w:szCs w:val="20"/>
              </w:rPr>
            </w:pPr>
            <w:r w:rsidRPr="000A3296">
              <w:rPr>
                <w:sz w:val="20"/>
                <w:szCs w:val="20"/>
              </w:rPr>
              <w:t>2018-01-15</w:t>
            </w:r>
          </w:p>
        </w:tc>
        <w:tc>
          <w:tcPr>
            <w:tcW w:w="7178" w:type="dxa"/>
          </w:tcPr>
          <w:p w:rsidR="008D266B" w:rsidRPr="000A3296" w:rsidRDefault="008D266B" w:rsidP="00CC077A">
            <w:pPr>
              <w:rPr>
                <w:sz w:val="20"/>
                <w:szCs w:val="20"/>
              </w:rPr>
            </w:pPr>
            <w:r w:rsidRPr="008D266B">
              <w:rPr>
                <w:rStyle w:val="SCCSsocChar"/>
                <w:rFonts w:eastAsiaTheme="minorHAnsi"/>
                <w:sz w:val="20"/>
                <w:lang w:val="en-US"/>
              </w:rPr>
              <w:t xml:space="preserve">Chief Steve </w:t>
            </w:r>
            <w:proofErr w:type="spellStart"/>
            <w:r w:rsidRPr="008D266B">
              <w:rPr>
                <w:rStyle w:val="SCCSsocChar"/>
                <w:rFonts w:eastAsiaTheme="minorHAnsi"/>
                <w:sz w:val="20"/>
                <w:lang w:val="en-US"/>
              </w:rPr>
              <w:t>Courtoreille</w:t>
            </w:r>
            <w:proofErr w:type="spellEnd"/>
            <w:r w:rsidRPr="008D266B">
              <w:rPr>
                <w:rStyle w:val="SCCSsocChar"/>
                <w:rFonts w:eastAsiaTheme="minorHAnsi"/>
                <w:sz w:val="20"/>
                <w:lang w:val="en-US"/>
              </w:rPr>
              <w:t xml:space="preserve"> on behalf of himself and the members of the </w:t>
            </w:r>
            <w:proofErr w:type="spellStart"/>
            <w:r w:rsidRPr="008D266B">
              <w:rPr>
                <w:rStyle w:val="SCCSsocChar"/>
                <w:rFonts w:eastAsiaTheme="minorHAnsi"/>
                <w:sz w:val="20"/>
                <w:lang w:val="en-US"/>
              </w:rPr>
              <w:t>Mikisew</w:t>
            </w:r>
            <w:proofErr w:type="spellEnd"/>
            <w:r w:rsidRPr="008D266B">
              <w:rPr>
                <w:rStyle w:val="SCCSsocChar"/>
                <w:rFonts w:eastAsiaTheme="minorHAnsi"/>
                <w:sz w:val="20"/>
                <w:lang w:val="en-US"/>
              </w:rPr>
              <w:t xml:space="preserve"> Cree First Nation v. Governor General in Council et al.</w:t>
            </w:r>
            <w:r w:rsidRPr="000A3296">
              <w:rPr>
                <w:sz w:val="20"/>
                <w:szCs w:val="20"/>
              </w:rPr>
              <w:t xml:space="preserve"> (F.C.) (Civil) (By Leave) </w:t>
            </w:r>
            <w:r w:rsidRPr="000A3296">
              <w:rPr>
                <w:sz w:val="20"/>
              </w:rPr>
              <w:t>(</w:t>
            </w:r>
            <w:hyperlink r:id="rId82" w:history="1">
              <w:r w:rsidRPr="000A3296">
                <w:rPr>
                  <w:rStyle w:val="Hyperlink"/>
                  <w:sz w:val="20"/>
                </w:rPr>
                <w:t>37441</w:t>
              </w:r>
            </w:hyperlink>
            <w:r w:rsidRPr="000A3296">
              <w:rPr>
                <w:sz w:val="20"/>
              </w:rPr>
              <w:t>)</w:t>
            </w:r>
          </w:p>
        </w:tc>
      </w:tr>
      <w:tr w:rsidR="008D266B" w:rsidRPr="000A3296" w:rsidTr="00CC077A">
        <w:trPr>
          <w:cantSplit/>
        </w:trPr>
        <w:tc>
          <w:tcPr>
            <w:tcW w:w="2398" w:type="dxa"/>
          </w:tcPr>
          <w:p w:rsidR="008D266B" w:rsidRPr="000A3296" w:rsidRDefault="008D266B" w:rsidP="00CC077A">
            <w:pPr>
              <w:rPr>
                <w:sz w:val="20"/>
                <w:szCs w:val="20"/>
              </w:rPr>
            </w:pPr>
            <w:r w:rsidRPr="000A3296">
              <w:rPr>
                <w:sz w:val="20"/>
                <w:szCs w:val="20"/>
              </w:rPr>
              <w:t>2018-01-16</w:t>
            </w:r>
          </w:p>
        </w:tc>
        <w:tc>
          <w:tcPr>
            <w:tcW w:w="7178" w:type="dxa"/>
          </w:tcPr>
          <w:p w:rsidR="008D266B" w:rsidRPr="000A3296" w:rsidRDefault="008D266B" w:rsidP="00CC077A">
            <w:pPr>
              <w:rPr>
                <w:sz w:val="20"/>
                <w:szCs w:val="20"/>
              </w:rPr>
            </w:pPr>
            <w:r w:rsidRPr="008D266B">
              <w:rPr>
                <w:rStyle w:val="SCCSsocChar"/>
                <w:rFonts w:eastAsiaTheme="minorHAnsi"/>
                <w:sz w:val="20"/>
                <w:lang w:val="en-US"/>
              </w:rPr>
              <w:t xml:space="preserve">Jeffery Thomas Raymond </w:t>
            </w:r>
            <w:proofErr w:type="spellStart"/>
            <w:r w:rsidRPr="008D266B">
              <w:rPr>
                <w:rStyle w:val="SCCSsocChar"/>
                <w:rFonts w:eastAsiaTheme="minorHAnsi"/>
                <w:sz w:val="20"/>
                <w:lang w:val="en-US"/>
              </w:rPr>
              <w:t>Seipp</w:t>
            </w:r>
            <w:proofErr w:type="spellEnd"/>
            <w:r w:rsidRPr="008D266B">
              <w:rPr>
                <w:rStyle w:val="SCCSsocChar"/>
                <w:rFonts w:eastAsiaTheme="minorHAnsi"/>
                <w:sz w:val="20"/>
                <w:lang w:val="en-US"/>
              </w:rPr>
              <w:t xml:space="preserve"> v. Her Majesty the Queen</w:t>
            </w:r>
            <w:r w:rsidRPr="000A3296">
              <w:rPr>
                <w:sz w:val="20"/>
                <w:szCs w:val="20"/>
              </w:rPr>
              <w:t xml:space="preserve"> (B.C.) (Criminal) (By Leave) </w:t>
            </w:r>
            <w:r w:rsidRPr="000A3296">
              <w:rPr>
                <w:sz w:val="20"/>
              </w:rPr>
              <w:t>(</w:t>
            </w:r>
            <w:hyperlink r:id="rId83" w:history="1">
              <w:r w:rsidRPr="000A3296">
                <w:rPr>
                  <w:rStyle w:val="Hyperlink"/>
                  <w:sz w:val="20"/>
                </w:rPr>
                <w:t>37513</w:t>
              </w:r>
            </w:hyperlink>
            <w:r w:rsidRPr="000A3296">
              <w:rPr>
                <w:sz w:val="20"/>
              </w:rPr>
              <w:t>)</w:t>
            </w:r>
          </w:p>
        </w:tc>
      </w:tr>
      <w:tr w:rsidR="008D266B" w:rsidRPr="002F5D59" w:rsidTr="00CC077A">
        <w:trPr>
          <w:cantSplit/>
        </w:trPr>
        <w:tc>
          <w:tcPr>
            <w:tcW w:w="2398" w:type="dxa"/>
          </w:tcPr>
          <w:p w:rsidR="008D266B" w:rsidRPr="000A3296" w:rsidRDefault="008D266B" w:rsidP="00CC077A">
            <w:pPr>
              <w:rPr>
                <w:sz w:val="20"/>
              </w:rPr>
            </w:pPr>
            <w:r w:rsidRPr="000A3296">
              <w:rPr>
                <w:sz w:val="20"/>
                <w:szCs w:val="20"/>
              </w:rPr>
              <w:t>2018-01-16</w:t>
            </w:r>
          </w:p>
        </w:tc>
        <w:tc>
          <w:tcPr>
            <w:tcW w:w="7178" w:type="dxa"/>
          </w:tcPr>
          <w:p w:rsidR="008D266B" w:rsidRDefault="008D266B" w:rsidP="00CC077A">
            <w:pPr>
              <w:rPr>
                <w:sz w:val="20"/>
                <w:szCs w:val="20"/>
                <w:lang w:val="fr-CA"/>
              </w:rPr>
            </w:pPr>
            <w:r w:rsidRPr="00587CC8">
              <w:rPr>
                <w:rStyle w:val="SCCSsocChar"/>
                <w:rFonts w:eastAsiaTheme="minorHAnsi"/>
                <w:sz w:val="20"/>
                <w:lang w:val="fr-FR"/>
              </w:rPr>
              <w:t>Michel Ledoux c. Sa Majesté la Reine</w:t>
            </w:r>
            <w:r>
              <w:rPr>
                <w:rStyle w:val="SCCSsocChar"/>
                <w:rFonts w:eastAsiaTheme="minorHAnsi"/>
                <w:sz w:val="20"/>
                <w:lang w:val="fr-FR"/>
              </w:rPr>
              <w:t xml:space="preserve"> </w:t>
            </w:r>
            <w:r w:rsidRPr="00587CC8">
              <w:rPr>
                <w:sz w:val="20"/>
                <w:szCs w:val="20"/>
                <w:lang w:val="fr-CA"/>
              </w:rPr>
              <w:t>(</w:t>
            </w:r>
            <w:proofErr w:type="spellStart"/>
            <w:r w:rsidRPr="00587CC8">
              <w:rPr>
                <w:sz w:val="20"/>
                <w:szCs w:val="20"/>
                <w:lang w:val="fr-CA"/>
              </w:rPr>
              <w:t>Qc</w:t>
            </w:r>
            <w:proofErr w:type="spellEnd"/>
            <w:r w:rsidRPr="00587CC8">
              <w:rPr>
                <w:sz w:val="20"/>
                <w:szCs w:val="20"/>
                <w:lang w:val="fr-CA"/>
              </w:rPr>
              <w:t>) (Criminelle)</w:t>
            </w:r>
            <w:r>
              <w:rPr>
                <w:sz w:val="20"/>
                <w:szCs w:val="20"/>
                <w:lang w:val="fr-CA"/>
              </w:rPr>
              <w:t xml:space="preserve"> </w:t>
            </w:r>
            <w:r w:rsidRPr="000A3296">
              <w:rPr>
                <w:sz w:val="20"/>
                <w:szCs w:val="20"/>
                <w:lang w:val="fr-CA"/>
              </w:rPr>
              <w:t xml:space="preserve">(Autorisation) </w:t>
            </w:r>
            <w:r w:rsidRPr="000A3296">
              <w:rPr>
                <w:sz w:val="20"/>
                <w:lang w:val="fr-CA"/>
              </w:rPr>
              <w:t>(</w:t>
            </w:r>
            <w:hyperlink r:id="rId84" w:history="1">
              <w:r w:rsidRPr="000A3296">
                <w:rPr>
                  <w:rStyle w:val="Hyperlink"/>
                  <w:sz w:val="20"/>
                  <w:lang w:val="fr-CA"/>
                </w:rPr>
                <w:t>37</w:t>
              </w:r>
              <w:r>
                <w:rPr>
                  <w:rStyle w:val="Hyperlink"/>
                  <w:sz w:val="20"/>
                  <w:lang w:val="fr-CA"/>
                </w:rPr>
                <w:t>779</w:t>
              </w:r>
            </w:hyperlink>
            <w:r>
              <w:rPr>
                <w:rStyle w:val="Hyperlink"/>
                <w:sz w:val="20"/>
                <w:lang w:val="fr-CA"/>
              </w:rPr>
              <w:t xml:space="preserve">) </w:t>
            </w:r>
          </w:p>
          <w:p w:rsidR="008D266B" w:rsidRPr="00587CC8" w:rsidRDefault="008D266B" w:rsidP="00CC077A">
            <w:pPr>
              <w:rPr>
                <w:rStyle w:val="SCCSsocChar"/>
                <w:rFonts w:eastAsiaTheme="minorHAnsi"/>
                <w:i w:val="0"/>
                <w:sz w:val="20"/>
              </w:rPr>
            </w:pPr>
            <w:r w:rsidRPr="00587CC8">
              <w:rPr>
                <w:sz w:val="20"/>
                <w:szCs w:val="20"/>
                <w:lang w:val="fr-CA"/>
              </w:rPr>
              <w:t xml:space="preserve">(Oral </w:t>
            </w:r>
            <w:proofErr w:type="spellStart"/>
            <w:r w:rsidRPr="00587CC8">
              <w:rPr>
                <w:sz w:val="20"/>
                <w:szCs w:val="20"/>
                <w:lang w:val="fr-CA"/>
              </w:rPr>
              <w:t>hearing</w:t>
            </w:r>
            <w:proofErr w:type="spellEnd"/>
            <w:r w:rsidRPr="00587CC8">
              <w:rPr>
                <w:sz w:val="20"/>
                <w:szCs w:val="20"/>
                <w:lang w:val="fr-CA"/>
              </w:rPr>
              <w:t xml:space="preserve"> on </w:t>
            </w:r>
            <w:proofErr w:type="spellStart"/>
            <w:r w:rsidRPr="00587CC8">
              <w:rPr>
                <w:sz w:val="20"/>
                <w:szCs w:val="20"/>
                <w:lang w:val="fr-CA"/>
              </w:rPr>
              <w:t>leave</w:t>
            </w:r>
            <w:proofErr w:type="spellEnd"/>
            <w:r w:rsidRPr="00587CC8">
              <w:rPr>
                <w:sz w:val="20"/>
                <w:szCs w:val="20"/>
                <w:lang w:val="fr-CA"/>
              </w:rPr>
              <w:t xml:space="preserve"> application / Audition de la demande d’autorisation d’appel)</w:t>
            </w:r>
            <w:r>
              <w:rPr>
                <w:sz w:val="20"/>
                <w:szCs w:val="20"/>
                <w:lang w:val="fr-CA"/>
              </w:rPr>
              <w:t xml:space="preserve"> </w:t>
            </w:r>
          </w:p>
        </w:tc>
      </w:tr>
      <w:tr w:rsidR="008D266B" w:rsidRPr="000A3296" w:rsidTr="00CC077A">
        <w:trPr>
          <w:cantSplit/>
        </w:trPr>
        <w:tc>
          <w:tcPr>
            <w:tcW w:w="2398" w:type="dxa"/>
          </w:tcPr>
          <w:p w:rsidR="008D266B" w:rsidRPr="000A3296" w:rsidRDefault="008D266B" w:rsidP="00CC077A">
            <w:pPr>
              <w:rPr>
                <w:sz w:val="20"/>
                <w:szCs w:val="20"/>
              </w:rPr>
            </w:pPr>
            <w:r w:rsidRPr="000A3296">
              <w:rPr>
                <w:sz w:val="20"/>
                <w:szCs w:val="20"/>
              </w:rPr>
              <w:t>2018-01-17</w:t>
            </w:r>
          </w:p>
        </w:tc>
        <w:tc>
          <w:tcPr>
            <w:tcW w:w="7178" w:type="dxa"/>
          </w:tcPr>
          <w:p w:rsidR="008D266B" w:rsidRPr="000A3296" w:rsidRDefault="008D266B" w:rsidP="00CC077A">
            <w:pPr>
              <w:rPr>
                <w:sz w:val="20"/>
                <w:szCs w:val="20"/>
              </w:rPr>
            </w:pPr>
            <w:r w:rsidRPr="008D266B">
              <w:rPr>
                <w:rStyle w:val="SCCSsocChar"/>
                <w:rFonts w:eastAsiaTheme="minorHAnsi"/>
                <w:sz w:val="20"/>
                <w:lang w:val="en-US"/>
              </w:rPr>
              <w:t>Her Majesty the Queen in Right of British Columbia v. Philip Morris International, Inc.</w:t>
            </w:r>
            <w:r w:rsidRPr="000A3296">
              <w:rPr>
                <w:sz w:val="20"/>
                <w:szCs w:val="20"/>
              </w:rPr>
              <w:t xml:space="preserve"> (B.C.) (Civil) (By Leave) </w:t>
            </w:r>
            <w:r w:rsidRPr="000A3296">
              <w:rPr>
                <w:sz w:val="20"/>
              </w:rPr>
              <w:t>(</w:t>
            </w:r>
            <w:hyperlink r:id="rId85" w:history="1">
              <w:r w:rsidRPr="000A3296">
                <w:rPr>
                  <w:rStyle w:val="Hyperlink"/>
                  <w:sz w:val="20"/>
                </w:rPr>
                <w:t>37524</w:t>
              </w:r>
            </w:hyperlink>
            <w:r w:rsidRPr="000A3296">
              <w:rPr>
                <w:sz w:val="20"/>
              </w:rPr>
              <w:t>)</w:t>
            </w:r>
          </w:p>
        </w:tc>
      </w:tr>
    </w:tbl>
    <w:p w:rsidR="004A767C" w:rsidRDefault="004A767C" w:rsidP="004A767C">
      <w:pPr>
        <w:rPr>
          <w:sz w:val="20"/>
          <w:szCs w:val="20"/>
          <w:lang w:val="fr-CA"/>
        </w:rPr>
      </w:pPr>
    </w:p>
    <w:p w:rsidR="004A767C" w:rsidRPr="00DD0B49" w:rsidRDefault="008D266B" w:rsidP="004A767C">
      <w:pPr>
        <w:jc w:val="both"/>
        <w:rPr>
          <w:sz w:val="20"/>
          <w:szCs w:val="20"/>
        </w:rPr>
      </w:pPr>
      <w:r>
        <w:rPr>
          <w:sz w:val="20"/>
          <w:szCs w:val="20"/>
          <w:lang w:val="fr-CA"/>
        </w:rPr>
        <w:pict>
          <v:rect id="_x0000_i1076" style="width:2in;height:1pt" o:hrpct="0" o:hralign="center" o:hrstd="t" o:hrnoshade="t" o:hr="t" fillcolor="black [3213]" stroked="f"/>
        </w:pict>
      </w:r>
    </w:p>
    <w:p w:rsidR="004A767C" w:rsidRPr="00DD0B49" w:rsidRDefault="004A767C" w:rsidP="004A767C">
      <w:pPr>
        <w:tabs>
          <w:tab w:val="left" w:pos="1980"/>
        </w:tabs>
        <w:jc w:val="both"/>
        <w:rPr>
          <w:sz w:val="20"/>
          <w:szCs w:val="20"/>
        </w:rPr>
      </w:pPr>
    </w:p>
    <w:p w:rsidR="004A767C" w:rsidRPr="00DD0B49" w:rsidRDefault="004A767C" w:rsidP="004A767C">
      <w:pPr>
        <w:jc w:val="both"/>
        <w:rPr>
          <w:sz w:val="20"/>
          <w:szCs w:val="20"/>
        </w:rPr>
      </w:pPr>
      <w:r w:rsidRPr="00DD0B49">
        <w:rPr>
          <w:b/>
          <w:sz w:val="20"/>
          <w:szCs w:val="20"/>
        </w:rPr>
        <w:t>NOTE:</w:t>
      </w:r>
      <w:r w:rsidRPr="00DD0B49">
        <w:rPr>
          <w:sz w:val="20"/>
          <w:szCs w:val="20"/>
        </w:rPr>
        <w:t xml:space="preserve"> This agenda is subject to change. Hearings normally commence at 9:30 a.m.; however, cases with multiple parties often commence at 9:00 a.m.  Where two cases are scheduled on a given day, the second case may be heard immediately after the first one or at 2:00 p.m.  Hearing dates and times should be confirmed with Registry staff at 613</w:t>
      </w:r>
      <w:r>
        <w:rPr>
          <w:sz w:val="20"/>
          <w:szCs w:val="20"/>
        </w:rPr>
        <w:t>-</w:t>
      </w:r>
      <w:r w:rsidRPr="00DD0B49">
        <w:rPr>
          <w:sz w:val="20"/>
          <w:szCs w:val="20"/>
        </w:rPr>
        <w:t xml:space="preserve"> 996-8666.</w:t>
      </w:r>
    </w:p>
    <w:p w:rsidR="004A767C" w:rsidRPr="00DD0B49" w:rsidRDefault="004A767C" w:rsidP="004A767C">
      <w:pPr>
        <w:jc w:val="both"/>
        <w:rPr>
          <w:sz w:val="20"/>
          <w:szCs w:val="20"/>
        </w:rPr>
      </w:pPr>
    </w:p>
    <w:p w:rsidR="004A767C" w:rsidRPr="00DD0B49" w:rsidRDefault="004A767C" w:rsidP="004A767C">
      <w:pPr>
        <w:jc w:val="both"/>
        <w:rPr>
          <w:sz w:val="20"/>
          <w:szCs w:val="20"/>
          <w:lang w:val="fr-CA"/>
        </w:rPr>
      </w:pPr>
      <w:r w:rsidRPr="00DD0B49">
        <w:rPr>
          <w:sz w:val="20"/>
          <w:szCs w:val="20"/>
          <w:lang w:val="fr-CA"/>
        </w:rPr>
        <w:t>Ce calendrier est sujet à modification. Les audiences débutent normalement à 9h30; toutefois; l’audition des affaires concernant des parties multiples commence souvent à 9 h.  Lorsque deux affaires doivent être entendues le même jour, l’audition de la deuxième affaire peut avoir lieu immédiatement après celle de la première ou encore à 14 h. La date et l’heure d’une audience doivent être confirmées auprès du personnel du greffe au 613 996-8666.</w:t>
      </w:r>
    </w:p>
    <w:p w:rsidR="004A767C" w:rsidRDefault="004A767C" w:rsidP="004A767C">
      <w:pPr>
        <w:rPr>
          <w:sz w:val="20"/>
          <w:szCs w:val="20"/>
          <w:lang w:val="fr-CA"/>
        </w:rPr>
      </w:pPr>
    </w:p>
    <w:p w:rsidR="00D55EDC" w:rsidRPr="00C50A5C" w:rsidRDefault="00D55EDC" w:rsidP="00D55EDC">
      <w:pPr>
        <w:jc w:val="both"/>
        <w:rPr>
          <w:sz w:val="20"/>
          <w:szCs w:val="20"/>
          <w:lang w:val="fr-CA"/>
        </w:rPr>
      </w:pPr>
    </w:p>
    <w:p w:rsidR="00D55EDC" w:rsidRPr="00C50A5C" w:rsidRDefault="00D55EDC" w:rsidP="00D55EDC">
      <w:pPr>
        <w:jc w:val="both"/>
        <w:rPr>
          <w:sz w:val="20"/>
          <w:szCs w:val="20"/>
          <w:lang w:val="fr-CA"/>
        </w:rPr>
        <w:sectPr w:rsidR="00D55EDC" w:rsidRPr="00C50A5C" w:rsidSect="0022323B">
          <w:headerReference w:type="even" r:id="rId86"/>
          <w:headerReference w:type="default" r:id="rId87"/>
          <w:footerReference w:type="even" r:id="rId88"/>
          <w:footerReference w:type="default" r:id="rId89"/>
          <w:headerReference w:type="first" r:id="rId90"/>
          <w:footerReference w:type="first" r:id="rId91"/>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D55EDC" w:rsidRPr="00C50A5C" w:rsidTr="00D55EDC">
        <w:tc>
          <w:tcPr>
            <w:tcW w:w="4200" w:type="dxa"/>
            <w:shd w:val="clear" w:color="auto" w:fill="auto"/>
            <w:tcMar>
              <w:left w:w="0" w:type="dxa"/>
              <w:right w:w="0" w:type="dxa"/>
            </w:tcMar>
          </w:tcPr>
          <w:p w:rsidR="00D55EDC" w:rsidRPr="00C50A5C" w:rsidRDefault="00D55EDC" w:rsidP="00D55EDC">
            <w:pPr>
              <w:keepNext/>
              <w:keepLines/>
              <w:rPr>
                <w:b/>
                <w:szCs w:val="24"/>
              </w:rPr>
            </w:pPr>
            <w:r w:rsidRPr="00C50A5C">
              <w:rPr>
                <w:b/>
                <w:szCs w:val="24"/>
              </w:rPr>
              <w:lastRenderedPageBreak/>
              <w:t>SUMMARIES OF THE CASES</w:t>
            </w:r>
          </w:p>
        </w:tc>
        <w:tc>
          <w:tcPr>
            <w:tcW w:w="1200" w:type="dxa"/>
            <w:shd w:val="clear" w:color="auto" w:fill="auto"/>
            <w:tcMar>
              <w:left w:w="0" w:type="dxa"/>
              <w:right w:w="0" w:type="dxa"/>
            </w:tcMar>
          </w:tcPr>
          <w:p w:rsidR="00D55EDC" w:rsidRPr="00C50A5C" w:rsidRDefault="00D55EDC" w:rsidP="00D55ED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rsidR="00D55EDC" w:rsidRPr="00C50A5C" w:rsidRDefault="00D55EDC" w:rsidP="00D55EDC">
            <w:pPr>
              <w:keepNext/>
              <w:keepLines/>
              <w:tabs>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tc>
        <w:tc>
          <w:tcPr>
            <w:tcW w:w="4080" w:type="dxa"/>
            <w:shd w:val="clear" w:color="auto" w:fill="auto"/>
            <w:tcMar>
              <w:left w:w="0" w:type="dxa"/>
              <w:right w:w="0" w:type="dxa"/>
            </w:tcMar>
          </w:tcPr>
          <w:p w:rsidR="00D55EDC" w:rsidRPr="00C50A5C" w:rsidRDefault="00D55EDC" w:rsidP="00D55EDC">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50A5C">
              <w:rPr>
                <w:b/>
                <w:szCs w:val="24"/>
                <w:lang w:val="fr-CA"/>
              </w:rPr>
              <w:t>RÉSUMÉS DES AFFAIRES</w:t>
            </w:r>
          </w:p>
        </w:tc>
      </w:tr>
    </w:tbl>
    <w:p w:rsidR="004A767C" w:rsidRDefault="004A767C" w:rsidP="004A767C">
      <w:pPr>
        <w:jc w:val="both"/>
        <w:rPr>
          <w:sz w:val="20"/>
          <w:szCs w:val="20"/>
          <w:lang w:val="fr-CA"/>
        </w:rPr>
      </w:pPr>
    </w:p>
    <w:p w:rsidR="00D55EDC" w:rsidRPr="00D55EDC" w:rsidRDefault="00D55EDC" w:rsidP="004769A1">
      <w:pPr>
        <w:ind w:left="720" w:hanging="720"/>
        <w:jc w:val="both"/>
        <w:rPr>
          <w:sz w:val="20"/>
          <w:szCs w:val="20"/>
          <w:lang w:val="fr-CA"/>
        </w:rPr>
      </w:pPr>
      <w:r w:rsidRPr="00D55EDC">
        <w:rPr>
          <w:b/>
          <w:sz w:val="20"/>
          <w:szCs w:val="20"/>
          <w:lang w:val="fr-CA"/>
        </w:rPr>
        <w:t>37381</w:t>
      </w:r>
      <w:r w:rsidRPr="00D55EDC">
        <w:rPr>
          <w:sz w:val="20"/>
          <w:szCs w:val="20"/>
          <w:lang w:val="fr-CA"/>
        </w:rPr>
        <w:tab/>
      </w:r>
      <w:r w:rsidRPr="00D55EDC">
        <w:rPr>
          <w:b/>
          <w:i/>
          <w:sz w:val="20"/>
          <w:szCs w:val="20"/>
          <w:lang w:val="fr-CA"/>
        </w:rPr>
        <w:t>Ville de Lorraine and Municipalité régionale de comté de Thérèse-De Blainville v. 2646-8926 Québec inc.</w:t>
      </w:r>
    </w:p>
    <w:p w:rsidR="00D55EDC" w:rsidRPr="006D438B" w:rsidRDefault="00D55EDC" w:rsidP="004769A1">
      <w:pPr>
        <w:ind w:firstLine="720"/>
        <w:jc w:val="both"/>
        <w:rPr>
          <w:sz w:val="20"/>
          <w:szCs w:val="20"/>
        </w:rPr>
      </w:pPr>
      <w:r w:rsidRPr="006D438B">
        <w:rPr>
          <w:sz w:val="20"/>
          <w:szCs w:val="20"/>
        </w:rPr>
        <w:t>(Que.) (Civil) (By Leave)</w:t>
      </w:r>
    </w:p>
    <w:p w:rsidR="00D55EDC" w:rsidRPr="006D438B" w:rsidRDefault="00D55EDC" w:rsidP="004769A1">
      <w:pPr>
        <w:jc w:val="both"/>
        <w:rPr>
          <w:sz w:val="20"/>
          <w:szCs w:val="20"/>
        </w:rPr>
      </w:pPr>
    </w:p>
    <w:p w:rsidR="00D55EDC" w:rsidRPr="006D438B" w:rsidRDefault="00D55EDC" w:rsidP="004769A1">
      <w:pPr>
        <w:jc w:val="both"/>
        <w:rPr>
          <w:sz w:val="20"/>
          <w:szCs w:val="20"/>
        </w:rPr>
      </w:pPr>
      <w:r w:rsidRPr="006D438B">
        <w:rPr>
          <w:sz w:val="20"/>
          <w:szCs w:val="20"/>
        </w:rPr>
        <w:t xml:space="preserve">Municipal law - By-law - Validity - Excess of jurisdiction - Disguised expropriation - Reasonable time for instituting action in nullity - Whether adoption of restrictive zoning by-law, in this case by-law creating conservation zone, in itself constituted abuse of power and was therefore </w:t>
      </w:r>
      <w:r w:rsidRPr="006D438B">
        <w:rPr>
          <w:i/>
          <w:sz w:val="20"/>
          <w:szCs w:val="20"/>
        </w:rPr>
        <w:t>ultra vires</w:t>
      </w:r>
      <w:r w:rsidRPr="006D438B">
        <w:rPr>
          <w:sz w:val="20"/>
          <w:szCs w:val="20"/>
        </w:rPr>
        <w:t xml:space="preserve"> act - </w:t>
      </w:r>
      <w:r w:rsidRPr="006D438B">
        <w:rPr>
          <w:i/>
          <w:sz w:val="20"/>
          <w:szCs w:val="20"/>
        </w:rPr>
        <w:t xml:space="preserve">Civil Code of Québec, </w:t>
      </w:r>
      <w:r w:rsidRPr="006D438B">
        <w:rPr>
          <w:sz w:val="20"/>
          <w:szCs w:val="20"/>
        </w:rPr>
        <w:t>art. 952 </w:t>
      </w:r>
    </w:p>
    <w:p w:rsidR="00D55EDC" w:rsidRPr="006D438B" w:rsidRDefault="00D55EDC" w:rsidP="004769A1">
      <w:pPr>
        <w:jc w:val="both"/>
        <w:rPr>
          <w:sz w:val="20"/>
          <w:szCs w:val="20"/>
        </w:rPr>
      </w:pPr>
    </w:p>
    <w:p w:rsidR="00D55EDC" w:rsidRPr="006D438B" w:rsidRDefault="00D55EDC" w:rsidP="004769A1">
      <w:pPr>
        <w:jc w:val="both"/>
        <w:rPr>
          <w:sz w:val="20"/>
          <w:szCs w:val="20"/>
        </w:rPr>
      </w:pPr>
      <w:r w:rsidRPr="006D438B">
        <w:rPr>
          <w:sz w:val="20"/>
          <w:szCs w:val="20"/>
        </w:rPr>
        <w:t>On July 7, 1989, the respondent 2646-8926 Québec inc. paid $1,286,000 to purchase land in a residential zone of the appellant town of Lorraine. In 1991, the town passed a by-law (by-law U-91, replaced in 2010 by by-law URB-03) that changed the zoning for 60% of the respondent’s land in order to create a conservation zone, thereby preventing any residential development on that part of the land. In late 2001, the respondent’s majority shareholder learned of the by-law and discovered that the appellant had put in some infrastructures for hiking and cross-country skiing on part of its land, including culverts, stairs, fences and public benches. After contacting the town of Lorraine, which refused to amend its by-law, the respondent brought an action in nullity against the by-law in November 2007, seeking damages and the removal of the infrastructures. It also brought an action in nullity against by-law 10-02 of the appellant regional county municipality of Thérèse-De Blainville, which implemented a development plan that also changed the zoning for the respondent’s land.</w:t>
      </w:r>
    </w:p>
    <w:p w:rsidR="00D55EDC" w:rsidRDefault="008D266B" w:rsidP="004769A1">
      <w:pPr>
        <w:jc w:val="both"/>
        <w:rPr>
          <w:sz w:val="20"/>
          <w:szCs w:val="20"/>
          <w:lang w:val="fr-CA"/>
        </w:rPr>
      </w:pPr>
      <w:r>
        <w:rPr>
          <w:sz w:val="20"/>
          <w:szCs w:val="20"/>
          <w:lang w:val="fr-CA"/>
        </w:rPr>
        <w:pict>
          <v:rect id="_x0000_i1079" style="width:2in;height:1pt" o:hrpct="0" o:hralign="center" o:hrstd="t" o:hrnoshade="t" o:hr="t" fillcolor="black [3213]" stroked="f"/>
        </w:pict>
      </w:r>
    </w:p>
    <w:p w:rsidR="00D55EDC" w:rsidRDefault="00D55EDC" w:rsidP="004769A1">
      <w:pPr>
        <w:jc w:val="both"/>
        <w:rPr>
          <w:sz w:val="20"/>
          <w:szCs w:val="20"/>
          <w:lang w:val="fr-CA"/>
        </w:rPr>
      </w:pPr>
    </w:p>
    <w:p w:rsidR="00D55EDC" w:rsidRPr="00D55EDC" w:rsidRDefault="00D55EDC" w:rsidP="004769A1">
      <w:pPr>
        <w:ind w:left="720" w:hanging="720"/>
        <w:jc w:val="both"/>
        <w:rPr>
          <w:sz w:val="20"/>
          <w:szCs w:val="20"/>
          <w:lang w:val="fr-CA"/>
        </w:rPr>
      </w:pPr>
      <w:r w:rsidRPr="00D55EDC">
        <w:rPr>
          <w:b/>
          <w:sz w:val="20"/>
          <w:szCs w:val="20"/>
          <w:lang w:val="fr-CA"/>
        </w:rPr>
        <w:t>37381</w:t>
      </w:r>
      <w:r w:rsidRPr="00D55EDC">
        <w:rPr>
          <w:sz w:val="20"/>
          <w:szCs w:val="20"/>
          <w:lang w:val="fr-CA"/>
        </w:rPr>
        <w:tab/>
      </w:r>
      <w:r w:rsidRPr="00D55EDC">
        <w:rPr>
          <w:b/>
          <w:i/>
          <w:sz w:val="20"/>
          <w:szCs w:val="20"/>
          <w:lang w:val="fr-CA"/>
        </w:rPr>
        <w:t>Ville de Lorraine et Municipalité régionale de comté de Thérèse-De Blainville c. 2646-8926 Québec inc.</w:t>
      </w:r>
    </w:p>
    <w:p w:rsidR="00D55EDC" w:rsidRPr="00D55EDC" w:rsidRDefault="00D55EDC" w:rsidP="004769A1">
      <w:pPr>
        <w:ind w:firstLine="720"/>
        <w:jc w:val="both"/>
        <w:rPr>
          <w:sz w:val="20"/>
          <w:szCs w:val="20"/>
          <w:lang w:val="fr-CA"/>
        </w:rPr>
      </w:pPr>
      <w:r w:rsidRPr="00D55EDC">
        <w:rPr>
          <w:sz w:val="20"/>
          <w:szCs w:val="20"/>
          <w:lang w:val="fr-CA"/>
        </w:rPr>
        <w:t>(Qc) (Civile) (Autorisation)</w:t>
      </w:r>
    </w:p>
    <w:p w:rsidR="00D55EDC" w:rsidRPr="00D55EDC" w:rsidRDefault="00D55EDC" w:rsidP="004769A1">
      <w:pPr>
        <w:jc w:val="both"/>
        <w:rPr>
          <w:sz w:val="20"/>
          <w:szCs w:val="20"/>
          <w:lang w:val="fr-CA"/>
        </w:rPr>
      </w:pPr>
    </w:p>
    <w:p w:rsidR="00D55EDC" w:rsidRPr="00D55EDC" w:rsidRDefault="00D55EDC" w:rsidP="004769A1">
      <w:pPr>
        <w:jc w:val="both"/>
        <w:rPr>
          <w:sz w:val="20"/>
          <w:szCs w:val="20"/>
          <w:lang w:val="fr-CA"/>
        </w:rPr>
      </w:pPr>
      <w:r w:rsidRPr="00D55EDC">
        <w:rPr>
          <w:sz w:val="20"/>
          <w:szCs w:val="20"/>
          <w:lang w:val="fr-CA"/>
        </w:rPr>
        <w:t xml:space="preserve">Droit municipal - Règlement - Validité - Abus de compétence - Expropriation déguisée - Délai raisonnable pour entreprendre une action en nullité - L’adoption d’un règlement de zonage restrictif, en l’espèce un règlement créant une zone de conservation, constitue-t-elle en soi un abus de pouvoir et, en conséquence, un acte </w:t>
      </w:r>
      <w:r w:rsidRPr="00D55EDC">
        <w:rPr>
          <w:i/>
          <w:sz w:val="20"/>
          <w:szCs w:val="20"/>
          <w:lang w:val="fr-CA"/>
        </w:rPr>
        <w:t>ultra vires</w:t>
      </w:r>
      <w:r w:rsidRPr="00D55EDC">
        <w:rPr>
          <w:sz w:val="20"/>
          <w:szCs w:val="20"/>
          <w:lang w:val="fr-CA"/>
        </w:rPr>
        <w:t xml:space="preserve">? - </w:t>
      </w:r>
      <w:r w:rsidRPr="00D55EDC">
        <w:rPr>
          <w:i/>
          <w:sz w:val="20"/>
          <w:szCs w:val="20"/>
          <w:lang w:val="fr-CA"/>
        </w:rPr>
        <w:t>Code civil du Québec</w:t>
      </w:r>
      <w:r w:rsidRPr="00D55EDC">
        <w:rPr>
          <w:sz w:val="20"/>
          <w:szCs w:val="20"/>
          <w:lang w:val="fr-CA"/>
        </w:rPr>
        <w:t>, art. 952.</w:t>
      </w:r>
    </w:p>
    <w:p w:rsidR="00D55EDC" w:rsidRPr="00D55EDC" w:rsidRDefault="00D55EDC" w:rsidP="004769A1">
      <w:pPr>
        <w:jc w:val="both"/>
        <w:rPr>
          <w:sz w:val="20"/>
          <w:szCs w:val="20"/>
          <w:lang w:val="fr-CA"/>
        </w:rPr>
      </w:pPr>
    </w:p>
    <w:p w:rsidR="00D55EDC" w:rsidRPr="00D55EDC" w:rsidRDefault="00D55EDC" w:rsidP="004769A1">
      <w:pPr>
        <w:jc w:val="both"/>
        <w:rPr>
          <w:sz w:val="20"/>
          <w:szCs w:val="20"/>
          <w:lang w:val="fr-CA"/>
        </w:rPr>
      </w:pPr>
      <w:r w:rsidRPr="00D55EDC">
        <w:rPr>
          <w:sz w:val="20"/>
          <w:szCs w:val="20"/>
          <w:lang w:val="fr-CA"/>
        </w:rPr>
        <w:t>Le 7 juillet 1989, l’intimée, 2646-8926 Québec inc. acquiert un terrain au prix de 1 286 000$ situé dans une zone résidentielle de l’appelante, la Ville de Lorraine. En 1991, cette dernière adopte un règlement (règlement U-91 remplacé en 2010 par le règlement URB-03) modifiant le zonage où se situe 60% du terrain de l’intimée pour en faire une zone de conservation empêchant ainsi le développement d'un ensemble résidentiel sur cette partie du terrain. À la fin 2001, l’actionnaire majoritaire de l’intimée apprend l’existence du règlement et constate que l’appelante a aménagé sur une partie de son terrain quelques infrastructures servant à la randonnée pédestre et au ski de fond, dont des ponceaux, escaliers, clôtures et bancs publics. Après quelques démarches effectuées auprès de la Ville de Lorraine qui refusa d’amender son règlement, l’intimée entreprend alors, en novembre 2007, un recours en nullité de règlement et réclame des dommages-intérêts ainsi que le retrait des infrastructures. De plus, elle entreprend un recours en nullité contre le règlement 10-02 de la Municipalité régionale de comté de Thérèse-De Blainville, également appelante, mettant en œuvre un schéma d’aménagement modifiant aussi le zonage où se situe le terrain de l’intimée.</w:t>
      </w:r>
    </w:p>
    <w:p w:rsidR="00D55EDC" w:rsidRDefault="008D266B" w:rsidP="004A767C">
      <w:pPr>
        <w:jc w:val="both"/>
        <w:rPr>
          <w:sz w:val="20"/>
          <w:szCs w:val="20"/>
          <w:lang w:val="fr-CA"/>
        </w:rPr>
      </w:pPr>
      <w:r>
        <w:rPr>
          <w:sz w:val="20"/>
          <w:szCs w:val="20"/>
          <w:lang w:val="fr-CA"/>
        </w:rPr>
        <w:pict>
          <v:rect id="_x0000_i1080" style="width:2in;height:1pt" o:hrpct="0" o:hralign="center" o:hrstd="t" o:hrnoshade="t" o:hr="t" fillcolor="black [3213]" stroked="f"/>
        </w:pict>
      </w:r>
    </w:p>
    <w:p w:rsidR="00D55EDC" w:rsidRDefault="00D55EDC">
      <w:pPr>
        <w:rPr>
          <w:sz w:val="20"/>
          <w:szCs w:val="20"/>
          <w:lang w:val="fr-CA"/>
        </w:rPr>
      </w:pPr>
      <w:r>
        <w:rPr>
          <w:sz w:val="20"/>
          <w:szCs w:val="20"/>
          <w:lang w:val="fr-CA"/>
        </w:rPr>
        <w:br w:type="page"/>
      </w:r>
    </w:p>
    <w:p w:rsidR="004450E7" w:rsidRPr="00625C50" w:rsidRDefault="004450E7" w:rsidP="004769A1">
      <w:pPr>
        <w:widowControl w:val="0"/>
        <w:ind w:left="720" w:hanging="720"/>
        <w:jc w:val="both"/>
        <w:rPr>
          <w:b/>
          <w:i/>
          <w:sz w:val="20"/>
          <w:szCs w:val="20"/>
        </w:rPr>
      </w:pPr>
      <w:r w:rsidRPr="00625C50">
        <w:rPr>
          <w:b/>
          <w:sz w:val="20"/>
          <w:szCs w:val="20"/>
        </w:rPr>
        <w:lastRenderedPageBreak/>
        <w:t>37421</w:t>
      </w:r>
      <w:r w:rsidRPr="00625C50">
        <w:rPr>
          <w:sz w:val="20"/>
          <w:szCs w:val="20"/>
        </w:rPr>
        <w:tab/>
      </w:r>
      <w:r w:rsidRPr="00625C50">
        <w:rPr>
          <w:b/>
          <w:i/>
          <w:sz w:val="20"/>
          <w:szCs w:val="20"/>
        </w:rPr>
        <w:t xml:space="preserve">3091-5177 Québec inc. c.o.b. as Éconolodge Aéroport v. Lombard General Insurance Company of Canada </w:t>
      </w:r>
    </w:p>
    <w:p w:rsidR="004450E7" w:rsidRPr="00625C50" w:rsidRDefault="004450E7" w:rsidP="004769A1">
      <w:pPr>
        <w:widowControl w:val="0"/>
        <w:ind w:firstLine="720"/>
        <w:jc w:val="both"/>
        <w:rPr>
          <w:b/>
          <w:i/>
          <w:sz w:val="20"/>
          <w:szCs w:val="20"/>
        </w:rPr>
      </w:pPr>
      <w:r w:rsidRPr="00625C50">
        <w:rPr>
          <w:b/>
          <w:i/>
          <w:sz w:val="20"/>
          <w:szCs w:val="20"/>
        </w:rPr>
        <w:t>- and between -</w:t>
      </w:r>
    </w:p>
    <w:p w:rsidR="004450E7" w:rsidRPr="00625C50" w:rsidRDefault="004450E7" w:rsidP="004769A1">
      <w:pPr>
        <w:widowControl w:val="0"/>
        <w:ind w:firstLine="720"/>
        <w:jc w:val="both"/>
        <w:rPr>
          <w:b/>
          <w:i/>
          <w:sz w:val="20"/>
          <w:szCs w:val="20"/>
        </w:rPr>
      </w:pPr>
      <w:r w:rsidRPr="00625C50">
        <w:rPr>
          <w:b/>
          <w:i/>
          <w:sz w:val="20"/>
          <w:szCs w:val="20"/>
        </w:rPr>
        <w:t>3091-5177 Québec inc. c.o.b. as Éconolodge Aéroport v. AXA Insurance Inc.</w:t>
      </w:r>
    </w:p>
    <w:p w:rsidR="004450E7" w:rsidRPr="00625C50" w:rsidRDefault="004450E7" w:rsidP="004769A1">
      <w:pPr>
        <w:widowControl w:val="0"/>
        <w:ind w:firstLine="720"/>
        <w:jc w:val="both"/>
        <w:rPr>
          <w:b/>
          <w:i/>
          <w:sz w:val="20"/>
          <w:szCs w:val="20"/>
          <w:lang w:val="fr-CA"/>
        </w:rPr>
      </w:pPr>
      <w:r w:rsidRPr="00625C50">
        <w:rPr>
          <w:b/>
          <w:i/>
          <w:sz w:val="20"/>
          <w:szCs w:val="20"/>
          <w:lang w:val="fr-CA"/>
        </w:rPr>
        <w:t>- and -</w:t>
      </w:r>
    </w:p>
    <w:p w:rsidR="004450E7" w:rsidRPr="00625C50" w:rsidRDefault="004450E7" w:rsidP="004769A1">
      <w:pPr>
        <w:widowControl w:val="0"/>
        <w:ind w:firstLine="720"/>
        <w:jc w:val="both"/>
        <w:rPr>
          <w:b/>
          <w:i/>
          <w:sz w:val="20"/>
          <w:szCs w:val="20"/>
          <w:lang w:val="fr-CA"/>
        </w:rPr>
      </w:pPr>
      <w:r w:rsidRPr="00625C50">
        <w:rPr>
          <w:b/>
          <w:i/>
          <w:sz w:val="20"/>
          <w:szCs w:val="20"/>
          <w:lang w:val="fr-CA"/>
        </w:rPr>
        <w:t>Promutuel Portneuf-Champlain, société mutuelle d’assurance générale</w:t>
      </w:r>
    </w:p>
    <w:p w:rsidR="004450E7" w:rsidRPr="00625C50" w:rsidRDefault="004450E7" w:rsidP="004769A1">
      <w:pPr>
        <w:widowControl w:val="0"/>
        <w:ind w:firstLine="720"/>
        <w:jc w:val="both"/>
        <w:rPr>
          <w:sz w:val="20"/>
          <w:szCs w:val="20"/>
        </w:rPr>
      </w:pPr>
      <w:r w:rsidRPr="00625C50">
        <w:rPr>
          <w:sz w:val="20"/>
          <w:szCs w:val="20"/>
        </w:rPr>
        <w:t xml:space="preserve">(Que.) (Civil) (By Leave) </w:t>
      </w:r>
    </w:p>
    <w:p w:rsidR="004450E7" w:rsidRPr="00625C50" w:rsidRDefault="004450E7" w:rsidP="004769A1">
      <w:pPr>
        <w:widowControl w:val="0"/>
        <w:jc w:val="both"/>
        <w:rPr>
          <w:sz w:val="20"/>
          <w:szCs w:val="20"/>
        </w:rPr>
      </w:pPr>
    </w:p>
    <w:p w:rsidR="004450E7" w:rsidRPr="00625C50" w:rsidRDefault="004450E7" w:rsidP="004769A1">
      <w:pPr>
        <w:jc w:val="both"/>
        <w:rPr>
          <w:sz w:val="20"/>
          <w:szCs w:val="20"/>
        </w:rPr>
      </w:pPr>
      <w:r w:rsidRPr="00625C50">
        <w:rPr>
          <w:sz w:val="20"/>
          <w:szCs w:val="20"/>
        </w:rPr>
        <w:t>Insurance law - Property insurance - Exclusion clauses - Interpretation - Vehicles stolen from parking lot of park and fly hotel - Action in warranty against hotel’s insurer - Whether Court of Appeal erred in law in applying “care, custody and control” insurance exception - Whether Court of Appeal erred by not giving facts proper implications or applying them properly, having regard to their significance, characterization and scope.</w:t>
      </w:r>
    </w:p>
    <w:p w:rsidR="004450E7" w:rsidRPr="00625C50" w:rsidRDefault="004450E7" w:rsidP="004769A1">
      <w:pPr>
        <w:widowControl w:val="0"/>
        <w:jc w:val="both"/>
        <w:rPr>
          <w:sz w:val="20"/>
          <w:szCs w:val="20"/>
        </w:rPr>
      </w:pPr>
    </w:p>
    <w:p w:rsidR="004450E7" w:rsidRPr="00625C50" w:rsidRDefault="004450E7" w:rsidP="004769A1">
      <w:pPr>
        <w:jc w:val="both"/>
        <w:rPr>
          <w:sz w:val="20"/>
          <w:szCs w:val="20"/>
        </w:rPr>
      </w:pPr>
      <w:r w:rsidRPr="00625C50">
        <w:rPr>
          <w:sz w:val="20"/>
          <w:szCs w:val="20"/>
        </w:rPr>
        <w:t xml:space="preserve">The appellant Éconolodge hotel (“Éconolodge”), which was located near the Pierre Elliot Trudeau airport, offered its customers a park and fly service, that is, a modestly priced room plus free parking for the duration of their travel out of the country. In the winter, customers had to leave the keys to their vehicles with Éconolodge to facilitate snow removal. On two occasions, customers’ vehicles were stolen while parked at Éconolodge. </w:t>
      </w:r>
    </w:p>
    <w:p w:rsidR="004450E7" w:rsidRPr="00625C50" w:rsidRDefault="004450E7" w:rsidP="004769A1">
      <w:pPr>
        <w:jc w:val="both"/>
        <w:rPr>
          <w:sz w:val="20"/>
          <w:szCs w:val="20"/>
        </w:rPr>
      </w:pPr>
    </w:p>
    <w:p w:rsidR="004450E7" w:rsidRPr="00625C50" w:rsidRDefault="004450E7" w:rsidP="004769A1">
      <w:pPr>
        <w:jc w:val="both"/>
        <w:rPr>
          <w:sz w:val="20"/>
          <w:szCs w:val="20"/>
        </w:rPr>
      </w:pPr>
      <w:r w:rsidRPr="00625C50">
        <w:rPr>
          <w:sz w:val="20"/>
          <w:szCs w:val="20"/>
        </w:rPr>
        <w:t>In this case, a customer whose vehicle was stolen filed a claim for the theft of his vehicle with his insurer, AXA Insurance Inc. (“AXA”), which compensated him and, in return, brought an action in subrogation against Éconolodge. Éconolodge argued that the claim was covered by its insurance policy, so it brought an action in warranty against the respondent Lombard General Insurance Company of Canada (“Lombard”).</w:t>
      </w:r>
    </w:p>
    <w:p w:rsidR="004450E7" w:rsidRPr="00625C50" w:rsidRDefault="004450E7" w:rsidP="004769A1">
      <w:pPr>
        <w:jc w:val="both"/>
        <w:rPr>
          <w:sz w:val="20"/>
          <w:szCs w:val="20"/>
        </w:rPr>
      </w:pPr>
    </w:p>
    <w:p w:rsidR="004450E7" w:rsidRPr="00625C50" w:rsidRDefault="004450E7" w:rsidP="004769A1">
      <w:pPr>
        <w:jc w:val="both"/>
        <w:rPr>
          <w:sz w:val="20"/>
          <w:szCs w:val="20"/>
        </w:rPr>
      </w:pPr>
      <w:r w:rsidRPr="00625C50">
        <w:rPr>
          <w:sz w:val="20"/>
          <w:szCs w:val="20"/>
        </w:rPr>
        <w:t>However, Lombard refused to defend Éconolodge, arguing that the [</w:t>
      </w:r>
      <w:r w:rsidRPr="00625C50">
        <w:rPr>
          <w:smallCaps/>
          <w:sz w:val="20"/>
          <w:szCs w:val="20"/>
        </w:rPr>
        <w:t>translation</w:t>
      </w:r>
      <w:r w:rsidRPr="00625C50">
        <w:rPr>
          <w:sz w:val="20"/>
          <w:szCs w:val="20"/>
        </w:rPr>
        <w:t xml:space="preserve">] “custody, control or management” exclusion in the insurance policy applied. </w:t>
      </w:r>
    </w:p>
    <w:p w:rsidR="004450E7" w:rsidRPr="00625C50" w:rsidRDefault="004450E7" w:rsidP="004769A1">
      <w:pPr>
        <w:jc w:val="both"/>
        <w:rPr>
          <w:sz w:val="20"/>
          <w:szCs w:val="20"/>
        </w:rPr>
      </w:pPr>
    </w:p>
    <w:p w:rsidR="004450E7" w:rsidRPr="00625C50" w:rsidRDefault="004450E7" w:rsidP="004769A1">
      <w:pPr>
        <w:jc w:val="both"/>
        <w:rPr>
          <w:sz w:val="20"/>
          <w:szCs w:val="20"/>
        </w:rPr>
      </w:pPr>
      <w:r w:rsidRPr="00625C50">
        <w:rPr>
          <w:sz w:val="20"/>
          <w:szCs w:val="20"/>
        </w:rPr>
        <w:t xml:space="preserve">The trial judge confirmed that Éconolodge was liable but held that the exception clause did not apply in this case. She therefore ordered Lombard to compensate Éconolodge, on the basis of the quantum of damages admitted, for the award made against it in AXA’s favour. Lombard was also required to pay Éconolodge’s defence costs, which were estimated at $25,000. </w:t>
      </w:r>
    </w:p>
    <w:p w:rsidR="004450E7" w:rsidRPr="00625C50" w:rsidRDefault="004450E7" w:rsidP="004769A1">
      <w:pPr>
        <w:jc w:val="both"/>
        <w:rPr>
          <w:sz w:val="20"/>
          <w:szCs w:val="20"/>
        </w:rPr>
      </w:pPr>
    </w:p>
    <w:p w:rsidR="004450E7" w:rsidRPr="00625C50" w:rsidRDefault="004450E7" w:rsidP="004769A1">
      <w:pPr>
        <w:jc w:val="both"/>
        <w:rPr>
          <w:sz w:val="20"/>
          <w:szCs w:val="20"/>
        </w:rPr>
      </w:pPr>
      <w:r w:rsidRPr="00625C50">
        <w:rPr>
          <w:sz w:val="20"/>
          <w:szCs w:val="20"/>
        </w:rPr>
        <w:t xml:space="preserve">Lombard’s appeal on the applicability of the exclusion clause was allowed. The Court of Appeal held that the handing over of vehicle keys gave Éconolodge a real power of protection, preservation, direction and physical control over its customers’ cars while its customers were travelling. </w:t>
      </w:r>
    </w:p>
    <w:p w:rsidR="004450E7" w:rsidRPr="00917078" w:rsidRDefault="004450E7" w:rsidP="004A767C">
      <w:pPr>
        <w:jc w:val="both"/>
        <w:rPr>
          <w:sz w:val="20"/>
          <w:szCs w:val="20"/>
          <w:lang w:val="en-US"/>
        </w:rPr>
      </w:pPr>
    </w:p>
    <w:p w:rsidR="00D55EDC" w:rsidRPr="004450E7" w:rsidRDefault="008D266B" w:rsidP="004A767C">
      <w:pPr>
        <w:jc w:val="both"/>
        <w:rPr>
          <w:sz w:val="20"/>
          <w:szCs w:val="20"/>
        </w:rPr>
      </w:pPr>
      <w:r>
        <w:rPr>
          <w:sz w:val="20"/>
          <w:szCs w:val="20"/>
          <w:lang w:val="fr-CA"/>
        </w:rPr>
        <w:pict>
          <v:rect id="_x0000_i1081" style="width:2in;height:1pt" o:hrpct="0" o:hralign="center" o:hrstd="t" o:hrnoshade="t" o:hr="t" fillcolor="black [3213]" stroked="f"/>
        </w:pict>
      </w:r>
    </w:p>
    <w:p w:rsidR="004450E7" w:rsidRDefault="004450E7">
      <w:pPr>
        <w:rPr>
          <w:sz w:val="20"/>
          <w:szCs w:val="20"/>
          <w:lang w:val="en-US"/>
        </w:rPr>
      </w:pPr>
      <w:r>
        <w:rPr>
          <w:sz w:val="20"/>
          <w:szCs w:val="20"/>
          <w:lang w:val="en-US"/>
        </w:rPr>
        <w:br w:type="page"/>
      </w:r>
    </w:p>
    <w:p w:rsidR="004450E7" w:rsidRPr="004450E7" w:rsidRDefault="004450E7" w:rsidP="004769A1">
      <w:pPr>
        <w:widowControl w:val="0"/>
        <w:ind w:left="720" w:hanging="720"/>
        <w:jc w:val="both"/>
        <w:rPr>
          <w:b/>
          <w:i/>
          <w:sz w:val="20"/>
          <w:szCs w:val="20"/>
          <w:lang w:val="fr-CA"/>
        </w:rPr>
      </w:pPr>
      <w:r w:rsidRPr="004450E7">
        <w:rPr>
          <w:b/>
          <w:sz w:val="20"/>
          <w:szCs w:val="20"/>
          <w:lang w:val="fr-CA"/>
        </w:rPr>
        <w:lastRenderedPageBreak/>
        <w:t>37421</w:t>
      </w:r>
      <w:r w:rsidRPr="004450E7">
        <w:rPr>
          <w:sz w:val="20"/>
          <w:szCs w:val="20"/>
          <w:lang w:val="fr-CA"/>
        </w:rPr>
        <w:tab/>
      </w:r>
      <w:r w:rsidRPr="004450E7">
        <w:rPr>
          <w:b/>
          <w:i/>
          <w:sz w:val="20"/>
          <w:szCs w:val="20"/>
          <w:lang w:val="fr-CA"/>
        </w:rPr>
        <w:t>3091-5177 Québec Inc. f.a.s.r.s. Éconolodge Aéroport c. Compagnie canadienne d’assurances générales Lombard</w:t>
      </w:r>
    </w:p>
    <w:p w:rsidR="004450E7" w:rsidRPr="004450E7" w:rsidRDefault="004450E7" w:rsidP="004769A1">
      <w:pPr>
        <w:widowControl w:val="0"/>
        <w:ind w:firstLine="720"/>
        <w:jc w:val="both"/>
        <w:rPr>
          <w:b/>
          <w:i/>
          <w:sz w:val="20"/>
          <w:szCs w:val="20"/>
          <w:lang w:val="fr-CA"/>
        </w:rPr>
      </w:pPr>
      <w:r w:rsidRPr="004450E7">
        <w:rPr>
          <w:b/>
          <w:i/>
          <w:sz w:val="20"/>
          <w:szCs w:val="20"/>
          <w:lang w:val="fr-CA"/>
        </w:rPr>
        <w:t>- et entre -</w:t>
      </w:r>
    </w:p>
    <w:p w:rsidR="004450E7" w:rsidRPr="004450E7" w:rsidRDefault="004450E7" w:rsidP="004769A1">
      <w:pPr>
        <w:widowControl w:val="0"/>
        <w:ind w:firstLine="720"/>
        <w:jc w:val="both"/>
        <w:rPr>
          <w:b/>
          <w:i/>
          <w:sz w:val="20"/>
          <w:szCs w:val="20"/>
          <w:lang w:val="fr-CA"/>
        </w:rPr>
      </w:pPr>
      <w:r w:rsidRPr="004450E7">
        <w:rPr>
          <w:b/>
          <w:i/>
          <w:sz w:val="20"/>
          <w:szCs w:val="20"/>
          <w:lang w:val="fr-CA"/>
        </w:rPr>
        <w:t>3091-5177 Québec Inc. f.a.s.r.s. Éconolodge Aéroport c. AXA Assurance Inc.</w:t>
      </w:r>
    </w:p>
    <w:p w:rsidR="004450E7" w:rsidRPr="004450E7" w:rsidRDefault="004450E7" w:rsidP="004769A1">
      <w:pPr>
        <w:widowControl w:val="0"/>
        <w:ind w:firstLine="720"/>
        <w:jc w:val="both"/>
        <w:rPr>
          <w:b/>
          <w:i/>
          <w:sz w:val="20"/>
          <w:szCs w:val="20"/>
          <w:lang w:val="fr-CA"/>
        </w:rPr>
      </w:pPr>
      <w:r w:rsidRPr="004450E7">
        <w:rPr>
          <w:b/>
          <w:i/>
          <w:sz w:val="20"/>
          <w:szCs w:val="20"/>
          <w:lang w:val="fr-CA"/>
        </w:rPr>
        <w:t>- et -</w:t>
      </w:r>
    </w:p>
    <w:p w:rsidR="004450E7" w:rsidRPr="004450E7" w:rsidRDefault="004450E7" w:rsidP="004769A1">
      <w:pPr>
        <w:widowControl w:val="0"/>
        <w:ind w:firstLine="720"/>
        <w:jc w:val="both"/>
        <w:rPr>
          <w:b/>
          <w:i/>
          <w:sz w:val="20"/>
          <w:szCs w:val="20"/>
          <w:lang w:val="fr-CA"/>
        </w:rPr>
      </w:pPr>
      <w:r w:rsidRPr="004450E7">
        <w:rPr>
          <w:b/>
          <w:i/>
          <w:sz w:val="20"/>
          <w:szCs w:val="20"/>
          <w:lang w:val="fr-CA"/>
        </w:rPr>
        <w:t>Promutuel Portneuf-Champlain, société mutuelle d’assurance générale</w:t>
      </w:r>
    </w:p>
    <w:p w:rsidR="004450E7" w:rsidRPr="004450E7" w:rsidRDefault="004450E7" w:rsidP="004769A1">
      <w:pPr>
        <w:widowControl w:val="0"/>
        <w:ind w:firstLine="720"/>
        <w:jc w:val="both"/>
        <w:rPr>
          <w:sz w:val="20"/>
          <w:szCs w:val="20"/>
          <w:lang w:val="fr-CA"/>
        </w:rPr>
      </w:pPr>
      <w:r w:rsidRPr="004450E7">
        <w:rPr>
          <w:sz w:val="20"/>
          <w:szCs w:val="20"/>
          <w:lang w:val="fr-CA"/>
        </w:rPr>
        <w:t>(Qc) (Civile) (Autorisation)</w:t>
      </w:r>
    </w:p>
    <w:p w:rsidR="004450E7" w:rsidRPr="004450E7" w:rsidRDefault="004450E7" w:rsidP="004769A1">
      <w:pPr>
        <w:widowControl w:val="0"/>
        <w:jc w:val="both"/>
        <w:rPr>
          <w:sz w:val="20"/>
          <w:szCs w:val="20"/>
          <w:lang w:val="fr-CA"/>
        </w:rPr>
      </w:pPr>
    </w:p>
    <w:p w:rsidR="004450E7" w:rsidRPr="004450E7" w:rsidRDefault="004450E7" w:rsidP="004769A1">
      <w:pPr>
        <w:jc w:val="both"/>
        <w:rPr>
          <w:sz w:val="20"/>
          <w:szCs w:val="20"/>
          <w:lang w:val="fr-CA"/>
        </w:rPr>
      </w:pPr>
      <w:r w:rsidRPr="004450E7">
        <w:rPr>
          <w:sz w:val="20"/>
          <w:szCs w:val="20"/>
          <w:lang w:val="fr-CA"/>
        </w:rPr>
        <w:t>Droit des assurances - Assurance de bien - Clauses d’exclusion - Interprétation - Véhicules volés dans le stationnement d’un hôtel « Park and Fly » - Demande en garantie à l’assureur de l’hôtel - La Cour d’appel a-t-elle erré en droit en appliquant l’exception d’assurance de « soin, garde et contrôle »? - La Cour d’appel a-t-elle erré dans l’implication ou l’application indiquée des faits, compte tenu de leur signification, de leur qualification et leur portée?</w:t>
      </w:r>
    </w:p>
    <w:p w:rsidR="004450E7" w:rsidRPr="004450E7" w:rsidRDefault="004450E7" w:rsidP="004769A1">
      <w:pPr>
        <w:widowControl w:val="0"/>
        <w:jc w:val="both"/>
        <w:rPr>
          <w:sz w:val="20"/>
          <w:szCs w:val="20"/>
          <w:lang w:val="fr-CA"/>
        </w:rPr>
      </w:pPr>
    </w:p>
    <w:p w:rsidR="004450E7" w:rsidRPr="004450E7" w:rsidRDefault="004450E7" w:rsidP="004769A1">
      <w:pPr>
        <w:jc w:val="both"/>
        <w:rPr>
          <w:sz w:val="20"/>
          <w:szCs w:val="20"/>
          <w:lang w:val="fr-CA"/>
        </w:rPr>
      </w:pPr>
      <w:r w:rsidRPr="004450E7">
        <w:rPr>
          <w:sz w:val="20"/>
          <w:szCs w:val="20"/>
          <w:lang w:val="fr-CA"/>
        </w:rPr>
        <w:t xml:space="preserve">L’hôtel Éconolodge, appelante (« Éconolodge »), situé près de l’aéroport Pierre-Elliot-Trudeau, offrait à ses clients un service « Park and Fly », c’est-à-dire une chambre à prix modique incluant un stationnement gratuit pour la durée de leurs voyages à l’étranger. Durant l’hiver, les clients doivent laisser les clés de leur véhicule à Éconolodge afin de faciliter le déneigement. Or, à deux reprises, des véhicules de clients ont été volés alors qu’ils étaient stationnés chez Éconolodge. </w:t>
      </w:r>
    </w:p>
    <w:p w:rsidR="004450E7" w:rsidRPr="004450E7" w:rsidRDefault="004450E7" w:rsidP="004769A1">
      <w:pPr>
        <w:jc w:val="both"/>
        <w:rPr>
          <w:sz w:val="20"/>
          <w:szCs w:val="20"/>
          <w:lang w:val="fr-CA"/>
        </w:rPr>
      </w:pPr>
    </w:p>
    <w:p w:rsidR="004450E7" w:rsidRPr="004450E7" w:rsidRDefault="004450E7" w:rsidP="004769A1">
      <w:pPr>
        <w:jc w:val="both"/>
        <w:rPr>
          <w:sz w:val="20"/>
          <w:szCs w:val="20"/>
          <w:lang w:val="fr-CA"/>
        </w:rPr>
      </w:pPr>
      <w:r w:rsidRPr="004450E7">
        <w:rPr>
          <w:sz w:val="20"/>
          <w:szCs w:val="20"/>
          <w:lang w:val="fr-CA"/>
        </w:rPr>
        <w:t xml:space="preserve">Dans le présent dossier, un des clients dont le véhicule a été volé réclame de son assureur, AXA assurances Inc. (« AXA ») le vol de son véhicule, qui l’indemnise et intente, en retour, un recours subrogatoire contre Éconolodge. Éconolodge soutient que la réclamation est couverte par sa police d’assurance et intente donc un recours en garantie contre l’intimée Compagnie Canadienne d’assurances Générales Lombard (« Lombard »). </w:t>
      </w:r>
    </w:p>
    <w:p w:rsidR="004450E7" w:rsidRPr="004450E7" w:rsidRDefault="004450E7" w:rsidP="004769A1">
      <w:pPr>
        <w:jc w:val="both"/>
        <w:rPr>
          <w:sz w:val="20"/>
          <w:szCs w:val="20"/>
          <w:lang w:val="fr-CA"/>
        </w:rPr>
      </w:pPr>
    </w:p>
    <w:p w:rsidR="004450E7" w:rsidRPr="004450E7" w:rsidRDefault="004450E7" w:rsidP="004769A1">
      <w:pPr>
        <w:jc w:val="both"/>
        <w:rPr>
          <w:sz w:val="20"/>
          <w:szCs w:val="20"/>
          <w:lang w:val="fr-CA"/>
        </w:rPr>
      </w:pPr>
      <w:r w:rsidRPr="004450E7">
        <w:rPr>
          <w:sz w:val="20"/>
          <w:szCs w:val="20"/>
          <w:lang w:val="fr-CA"/>
        </w:rPr>
        <w:t xml:space="preserve">Lombard refuse toutefois de défendre Éconolodge prétendant que l’exclusion de « garde, direction ou gestion » contenue dans la police d’assurance s’applique. </w:t>
      </w:r>
    </w:p>
    <w:p w:rsidR="004450E7" w:rsidRPr="004450E7" w:rsidRDefault="004450E7" w:rsidP="004769A1">
      <w:pPr>
        <w:jc w:val="both"/>
        <w:rPr>
          <w:sz w:val="20"/>
          <w:szCs w:val="20"/>
          <w:lang w:val="fr-CA"/>
        </w:rPr>
      </w:pPr>
    </w:p>
    <w:p w:rsidR="004450E7" w:rsidRPr="004450E7" w:rsidRDefault="004450E7" w:rsidP="004769A1">
      <w:pPr>
        <w:jc w:val="both"/>
        <w:rPr>
          <w:sz w:val="20"/>
          <w:szCs w:val="20"/>
          <w:lang w:val="fr-CA"/>
        </w:rPr>
      </w:pPr>
      <w:r w:rsidRPr="00A8543F">
        <w:rPr>
          <w:sz w:val="20"/>
          <w:szCs w:val="20"/>
          <w:lang w:val="fr-FR"/>
        </w:rPr>
        <w:t>La juge de première instance confirme la responsabilité d’Éconolodge, mais juge que la clause d’exception ne s’applique pas en l’espèce. Elle ordonne donc à Lombard d’indemniser Éconolodge, conformément au quantum des dommages admis, pour la condamnation prononcée contre elle en faveur d’AXA. Lombard est également tenu de payer les frais de défense d’Éconolodge, évalués à 25 000 $.</w:t>
      </w:r>
      <w:r w:rsidRPr="004450E7">
        <w:rPr>
          <w:sz w:val="20"/>
          <w:szCs w:val="20"/>
          <w:lang w:val="fr-CA"/>
        </w:rPr>
        <w:t xml:space="preserve"> </w:t>
      </w:r>
    </w:p>
    <w:p w:rsidR="004450E7" w:rsidRPr="004450E7" w:rsidRDefault="004450E7" w:rsidP="004769A1">
      <w:pPr>
        <w:jc w:val="both"/>
        <w:rPr>
          <w:sz w:val="20"/>
          <w:szCs w:val="20"/>
          <w:lang w:val="fr-CA"/>
        </w:rPr>
      </w:pPr>
    </w:p>
    <w:p w:rsidR="004450E7" w:rsidRPr="00A8543F" w:rsidRDefault="004450E7" w:rsidP="004769A1">
      <w:pPr>
        <w:jc w:val="both"/>
        <w:rPr>
          <w:sz w:val="20"/>
          <w:szCs w:val="20"/>
          <w:lang w:val="fr-FR"/>
        </w:rPr>
      </w:pPr>
      <w:r w:rsidRPr="004450E7">
        <w:rPr>
          <w:sz w:val="20"/>
          <w:szCs w:val="20"/>
          <w:lang w:val="fr-CA"/>
        </w:rPr>
        <w:t xml:space="preserve">L’appel de Lombard sur l’applicabilité de la clause d’exclusion est accueilli. La Cour d’appel juge que la remise des clés du véhicule automobile confère à Éconolodge un réel pouvoir de préservation, de conservation, de direction et de contrôle physique sur les voitures de ses clients pendant que ceux-ci sont en voyage. </w:t>
      </w:r>
    </w:p>
    <w:p w:rsidR="00D55EDC" w:rsidRPr="004450E7" w:rsidRDefault="008D266B" w:rsidP="004769A1">
      <w:pPr>
        <w:jc w:val="both"/>
        <w:rPr>
          <w:sz w:val="20"/>
          <w:szCs w:val="20"/>
          <w:lang w:val="fr-FR"/>
        </w:rPr>
      </w:pPr>
      <w:r>
        <w:rPr>
          <w:sz w:val="20"/>
          <w:szCs w:val="20"/>
          <w:lang w:val="fr-CA"/>
        </w:rPr>
        <w:pict>
          <v:rect id="_x0000_i1082" style="width:2in;height:1pt" o:hrpct="0" o:hralign="center" o:hrstd="t" o:hrnoshade="t" o:hr="t" fillcolor="black [3213]" stroked="f"/>
        </w:pict>
      </w:r>
    </w:p>
    <w:p w:rsidR="004450E7" w:rsidRPr="004450E7" w:rsidRDefault="004450E7" w:rsidP="004769A1">
      <w:pPr>
        <w:jc w:val="both"/>
        <w:rPr>
          <w:sz w:val="20"/>
          <w:szCs w:val="20"/>
          <w:lang w:val="fr-CA"/>
        </w:rPr>
      </w:pPr>
    </w:p>
    <w:p w:rsidR="004450E7" w:rsidRDefault="004450E7">
      <w:pPr>
        <w:rPr>
          <w:sz w:val="20"/>
          <w:szCs w:val="20"/>
          <w:lang w:val="fr-CA"/>
        </w:rPr>
      </w:pPr>
      <w:r>
        <w:rPr>
          <w:sz w:val="20"/>
          <w:szCs w:val="20"/>
          <w:lang w:val="fr-CA"/>
        </w:rPr>
        <w:br w:type="page"/>
      </w:r>
    </w:p>
    <w:p w:rsidR="003944E3" w:rsidRPr="00B14552" w:rsidRDefault="003944E3" w:rsidP="004769A1">
      <w:pPr>
        <w:widowControl w:val="0"/>
        <w:ind w:left="720" w:hanging="720"/>
        <w:jc w:val="both"/>
        <w:rPr>
          <w:b/>
          <w:i/>
          <w:sz w:val="20"/>
          <w:szCs w:val="20"/>
          <w:lang w:val="fr-CA"/>
        </w:rPr>
      </w:pPr>
      <w:r w:rsidRPr="00B14552">
        <w:rPr>
          <w:b/>
          <w:sz w:val="20"/>
          <w:szCs w:val="20"/>
          <w:lang w:val="fr-CA"/>
        </w:rPr>
        <w:lastRenderedPageBreak/>
        <w:t>37422</w:t>
      </w:r>
      <w:r w:rsidRPr="00B14552">
        <w:rPr>
          <w:sz w:val="20"/>
          <w:szCs w:val="20"/>
          <w:lang w:val="fr-CA"/>
        </w:rPr>
        <w:tab/>
      </w:r>
      <w:r w:rsidRPr="00B14552">
        <w:rPr>
          <w:b/>
          <w:i/>
          <w:sz w:val="20"/>
          <w:szCs w:val="20"/>
          <w:lang w:val="fr-CA"/>
        </w:rPr>
        <w:t>Promutuel Portneuf-Champlain, société mutuelle d’assurance générale v. Lombard General Insurance Company of Canada</w:t>
      </w:r>
    </w:p>
    <w:p w:rsidR="003944E3" w:rsidRPr="00B14552" w:rsidRDefault="003944E3" w:rsidP="004769A1">
      <w:pPr>
        <w:widowControl w:val="0"/>
        <w:ind w:firstLine="720"/>
        <w:jc w:val="both"/>
        <w:rPr>
          <w:sz w:val="20"/>
          <w:szCs w:val="20"/>
        </w:rPr>
      </w:pPr>
      <w:r w:rsidRPr="00B14552">
        <w:rPr>
          <w:sz w:val="20"/>
          <w:szCs w:val="20"/>
        </w:rPr>
        <w:t>(Que.) (Civil) (By Leave)</w:t>
      </w:r>
    </w:p>
    <w:p w:rsidR="003944E3" w:rsidRPr="00B14552" w:rsidRDefault="003944E3" w:rsidP="004769A1">
      <w:pPr>
        <w:widowControl w:val="0"/>
        <w:jc w:val="both"/>
        <w:rPr>
          <w:sz w:val="20"/>
          <w:szCs w:val="20"/>
        </w:rPr>
      </w:pPr>
    </w:p>
    <w:p w:rsidR="003944E3" w:rsidRPr="00B14552" w:rsidRDefault="003944E3" w:rsidP="004769A1">
      <w:pPr>
        <w:jc w:val="both"/>
        <w:rPr>
          <w:sz w:val="20"/>
          <w:szCs w:val="20"/>
        </w:rPr>
      </w:pPr>
      <w:r w:rsidRPr="00B14552">
        <w:rPr>
          <w:sz w:val="20"/>
          <w:szCs w:val="20"/>
        </w:rPr>
        <w:t xml:space="preserve">Insurance law - Property insurance - Exclusion clauses - Interpretation - Vehicles stolen from parking lot of park and fly hotel - Action in warranty against hotel’s insurer - Whether trial judge made patently unreasonable error in analysis of facts by stating that hotel did not have real power of protection, preservation, direction and physical control over its customers’ cars - Whether trial judge erred in law in interpreting “care, custody and control” exclusion clause in respondent’s insurance policy - Whether trial judge made error of mixed fact and law in interpreting insurer’s obligations toward insured given information obtained by respondent about hotel’s activities. </w:t>
      </w:r>
    </w:p>
    <w:p w:rsidR="003944E3" w:rsidRPr="00B14552" w:rsidRDefault="003944E3" w:rsidP="004769A1">
      <w:pPr>
        <w:widowControl w:val="0"/>
        <w:jc w:val="both"/>
        <w:rPr>
          <w:sz w:val="20"/>
          <w:szCs w:val="20"/>
        </w:rPr>
      </w:pPr>
    </w:p>
    <w:p w:rsidR="003944E3" w:rsidRPr="00B14552" w:rsidRDefault="003944E3" w:rsidP="004769A1">
      <w:pPr>
        <w:jc w:val="both"/>
        <w:rPr>
          <w:sz w:val="20"/>
          <w:szCs w:val="20"/>
        </w:rPr>
      </w:pPr>
      <w:r w:rsidRPr="00B14552">
        <w:rPr>
          <w:sz w:val="20"/>
          <w:szCs w:val="20"/>
        </w:rPr>
        <w:t xml:space="preserve">The appellant Éconolodge hotel (“Éconolodge”), which was located near the Pierre Elliot Trudeau airport, offered its customers a park and fly service, that is, a modestly priced room plus free parking for the duration of their travel out of the country. In the winter, customers had to leave the keys to their vehicles with Éconolodge to facilitate snow removal. On two occasions, customers’ vehicles were stolen while parked at Éconolodge. </w:t>
      </w:r>
    </w:p>
    <w:p w:rsidR="003944E3" w:rsidRPr="00B14552" w:rsidRDefault="003944E3" w:rsidP="004769A1">
      <w:pPr>
        <w:jc w:val="both"/>
        <w:rPr>
          <w:sz w:val="20"/>
          <w:szCs w:val="20"/>
        </w:rPr>
      </w:pPr>
    </w:p>
    <w:p w:rsidR="003944E3" w:rsidRPr="00B14552" w:rsidRDefault="003944E3" w:rsidP="004769A1">
      <w:pPr>
        <w:jc w:val="both"/>
        <w:rPr>
          <w:sz w:val="20"/>
          <w:szCs w:val="20"/>
        </w:rPr>
      </w:pPr>
      <w:r w:rsidRPr="00B14552">
        <w:rPr>
          <w:sz w:val="20"/>
          <w:szCs w:val="20"/>
        </w:rPr>
        <w:t>In this case, the appellant Promutuel Portneuf-Champlain, société mutuelle d’assurance générale (“Promutuel”) compensated its insured, a customer of Éconolodge whose vehicle had been stolen. In return, Promutuel brought an action in subrogation against Éconolodge’s insurance company, the respondent Lombard General Insurance Company of Canada (“Lombard”). Lombard denied the insurance coverage, relying on the exclusion clause for movable property that was in the hotel’s custody or that the hotel had the power to control or manage.</w:t>
      </w:r>
    </w:p>
    <w:p w:rsidR="003944E3" w:rsidRPr="00B14552" w:rsidRDefault="003944E3" w:rsidP="004769A1">
      <w:pPr>
        <w:jc w:val="both"/>
        <w:rPr>
          <w:sz w:val="20"/>
          <w:szCs w:val="20"/>
        </w:rPr>
      </w:pPr>
    </w:p>
    <w:p w:rsidR="003944E3" w:rsidRPr="00B14552" w:rsidRDefault="003944E3" w:rsidP="004769A1">
      <w:pPr>
        <w:jc w:val="both"/>
        <w:rPr>
          <w:sz w:val="20"/>
          <w:szCs w:val="20"/>
        </w:rPr>
      </w:pPr>
      <w:r w:rsidRPr="00B14552">
        <w:rPr>
          <w:sz w:val="20"/>
          <w:szCs w:val="20"/>
        </w:rPr>
        <w:t>The trial judge therefore held Éconolodge liable for the stolen vehicles. However, she refused to apply the [</w:t>
      </w:r>
      <w:r w:rsidRPr="00B14552">
        <w:rPr>
          <w:smallCaps/>
          <w:sz w:val="20"/>
          <w:szCs w:val="20"/>
        </w:rPr>
        <w:t>translation</w:t>
      </w:r>
      <w:r w:rsidRPr="00B14552">
        <w:rPr>
          <w:sz w:val="20"/>
          <w:szCs w:val="20"/>
        </w:rPr>
        <w:t xml:space="preserve">] “custody, control or management” exclusion clause because Éconolodge did not acquire a “real power of protection, preservation, direction and physical control” </w:t>
      </w:r>
      <w:r w:rsidRPr="00B14552">
        <w:rPr>
          <w:rFonts w:cs="Times New Roman"/>
          <w:sz w:val="20"/>
          <w:szCs w:val="20"/>
        </w:rPr>
        <w:t xml:space="preserve">over its customers’ cars. The trial judge therefore ordered Lombard to compensate </w:t>
      </w:r>
      <w:r w:rsidRPr="00B14552">
        <w:rPr>
          <w:sz w:val="20"/>
          <w:szCs w:val="20"/>
        </w:rPr>
        <w:t>Promutuel, which was subrogated to the rights of its insured.</w:t>
      </w:r>
    </w:p>
    <w:p w:rsidR="003944E3" w:rsidRPr="00B14552" w:rsidRDefault="003944E3" w:rsidP="004769A1">
      <w:pPr>
        <w:jc w:val="both"/>
        <w:rPr>
          <w:sz w:val="20"/>
          <w:szCs w:val="20"/>
        </w:rPr>
      </w:pPr>
    </w:p>
    <w:p w:rsidR="003944E3" w:rsidRPr="00B14552" w:rsidRDefault="003944E3" w:rsidP="004769A1">
      <w:pPr>
        <w:jc w:val="both"/>
        <w:rPr>
          <w:sz w:val="20"/>
          <w:szCs w:val="20"/>
        </w:rPr>
      </w:pPr>
      <w:r w:rsidRPr="00B14552">
        <w:rPr>
          <w:sz w:val="20"/>
          <w:szCs w:val="20"/>
        </w:rPr>
        <w:t xml:space="preserve">Lombard’s appeal on the applicability of the exclusion clause was allowed. The Court of Appeal held that the handing over of vehicle keys gave Éconolodge a real power of protection, preservation, direction and physical control over its customers’ cars while its customers were travelling. </w:t>
      </w:r>
    </w:p>
    <w:p w:rsidR="004450E7" w:rsidRPr="003944E3" w:rsidRDefault="008D266B" w:rsidP="004769A1">
      <w:pPr>
        <w:jc w:val="both"/>
        <w:rPr>
          <w:sz w:val="20"/>
          <w:szCs w:val="20"/>
        </w:rPr>
      </w:pPr>
      <w:r>
        <w:rPr>
          <w:sz w:val="20"/>
          <w:szCs w:val="20"/>
          <w:lang w:val="fr-CA"/>
        </w:rPr>
        <w:pict>
          <v:rect id="_x0000_i1083" style="width:2in;height:1pt" o:hrpct="0" o:hralign="center" o:hrstd="t" o:hrnoshade="t" o:hr="t" fillcolor="black [3213]" stroked="f"/>
        </w:pict>
      </w:r>
    </w:p>
    <w:p w:rsidR="003944E3" w:rsidRDefault="003944E3">
      <w:pPr>
        <w:rPr>
          <w:sz w:val="20"/>
          <w:szCs w:val="20"/>
          <w:lang w:val="en-US"/>
        </w:rPr>
      </w:pPr>
      <w:r>
        <w:rPr>
          <w:sz w:val="20"/>
          <w:szCs w:val="20"/>
          <w:lang w:val="en-US"/>
        </w:rPr>
        <w:br w:type="page"/>
      </w:r>
    </w:p>
    <w:p w:rsidR="003944E3" w:rsidRPr="003944E3" w:rsidRDefault="003944E3" w:rsidP="003944E3">
      <w:pPr>
        <w:widowControl w:val="0"/>
        <w:ind w:left="720" w:hanging="720"/>
        <w:rPr>
          <w:b/>
          <w:i/>
          <w:sz w:val="20"/>
          <w:szCs w:val="20"/>
          <w:lang w:val="fr-CA"/>
        </w:rPr>
      </w:pPr>
      <w:r w:rsidRPr="003944E3">
        <w:rPr>
          <w:b/>
          <w:sz w:val="20"/>
          <w:szCs w:val="20"/>
          <w:lang w:val="fr-CA"/>
        </w:rPr>
        <w:lastRenderedPageBreak/>
        <w:t>37422</w:t>
      </w:r>
      <w:r w:rsidRPr="003944E3">
        <w:rPr>
          <w:sz w:val="20"/>
          <w:szCs w:val="20"/>
          <w:lang w:val="fr-CA"/>
        </w:rPr>
        <w:tab/>
      </w:r>
      <w:r w:rsidRPr="003944E3">
        <w:rPr>
          <w:b/>
          <w:i/>
          <w:sz w:val="20"/>
          <w:szCs w:val="20"/>
          <w:lang w:val="fr-CA"/>
        </w:rPr>
        <w:t>Promutuel Portneuf-Champlain, société mutuelle d’assurance générale c. Compagnie canadienne d’assurances générales Lombard</w:t>
      </w:r>
    </w:p>
    <w:p w:rsidR="003944E3" w:rsidRPr="003944E3" w:rsidRDefault="003944E3" w:rsidP="003944E3">
      <w:pPr>
        <w:widowControl w:val="0"/>
        <w:ind w:firstLine="720"/>
        <w:rPr>
          <w:sz w:val="20"/>
          <w:szCs w:val="20"/>
          <w:lang w:val="fr-CA"/>
        </w:rPr>
      </w:pPr>
      <w:r w:rsidRPr="003944E3">
        <w:rPr>
          <w:sz w:val="20"/>
          <w:szCs w:val="20"/>
          <w:lang w:val="fr-CA"/>
        </w:rPr>
        <w:t>(Qc) (Civile) (Autorisation)</w:t>
      </w:r>
    </w:p>
    <w:p w:rsidR="003944E3" w:rsidRPr="003944E3" w:rsidRDefault="003944E3" w:rsidP="003944E3">
      <w:pPr>
        <w:widowControl w:val="0"/>
        <w:rPr>
          <w:sz w:val="20"/>
          <w:szCs w:val="20"/>
          <w:lang w:val="fr-CA"/>
        </w:rPr>
      </w:pPr>
    </w:p>
    <w:p w:rsidR="003944E3" w:rsidRPr="003944E3" w:rsidRDefault="003944E3" w:rsidP="003944E3">
      <w:pPr>
        <w:jc w:val="both"/>
        <w:rPr>
          <w:sz w:val="20"/>
          <w:szCs w:val="20"/>
          <w:lang w:val="fr-CA"/>
        </w:rPr>
      </w:pPr>
      <w:r w:rsidRPr="003944E3">
        <w:rPr>
          <w:sz w:val="20"/>
          <w:szCs w:val="20"/>
          <w:lang w:val="fr-CA"/>
        </w:rPr>
        <w:t xml:space="preserve">Droit des assurances - Assurance de bien - Clauses d’exclusion - Interprétation - Véhicules volés dans le stationnement d’un hôtel « Park and Fly » -Demande en garantie à l’assureur de l’hôtel - La juge de première instance a-t-elle commis une erreur manifestement déraisonnable dans l’analyse des faits en énonçant que l’hôtel n’avait pas un véritable pouvoir de préservation, de conservation, de direction et de contrôle physique sur les voitures de ses clients? - La juge de première instance a-t-elle commis une erreur de droit dans l’interprétation de la clause d’exclusion de « soin, garde et contrôle » contenue à la police d’assurance de l’intimée? - La juge de première instance a-t-elle commis une erreur mixte de fait et de droit dans l’interprétation des obligations de l’assureur face à son assuré avec l’information que l’intimée avait obtenue quant aux activités de l’hôtel? </w:t>
      </w:r>
    </w:p>
    <w:p w:rsidR="003944E3" w:rsidRPr="003944E3" w:rsidRDefault="003944E3" w:rsidP="003944E3">
      <w:pPr>
        <w:widowControl w:val="0"/>
        <w:jc w:val="both"/>
        <w:rPr>
          <w:sz w:val="20"/>
          <w:szCs w:val="20"/>
          <w:lang w:val="fr-CA"/>
        </w:rPr>
      </w:pPr>
    </w:p>
    <w:p w:rsidR="003944E3" w:rsidRPr="003944E3" w:rsidRDefault="003944E3" w:rsidP="003944E3">
      <w:pPr>
        <w:jc w:val="both"/>
        <w:rPr>
          <w:sz w:val="20"/>
          <w:szCs w:val="20"/>
          <w:lang w:val="fr-CA"/>
        </w:rPr>
      </w:pPr>
      <w:r w:rsidRPr="003944E3">
        <w:rPr>
          <w:sz w:val="20"/>
          <w:szCs w:val="20"/>
          <w:lang w:val="fr-CA"/>
        </w:rPr>
        <w:t xml:space="preserve">L’hôtel Éconolodge (« Éconolodge »), situé près de l’aéroport Pierre-Elliot-Trudeau, offrait à ses clients un service « Park and Fly », c’est-à-dire une chambre à prix modique incluant un stationnement gratuit pour la durée de leurs voyages à l’étranger. Durant l’hiver, les clients doivent laisser les clés de leur véhicule à Éconolodge afin de faciliter le déneigement. Or, à deux reprises, des véhicules de clients ont été volés alors qu’ils étaient stationnés chez Éconolodge. </w:t>
      </w:r>
    </w:p>
    <w:p w:rsidR="003944E3" w:rsidRPr="003944E3" w:rsidRDefault="003944E3" w:rsidP="003944E3">
      <w:pPr>
        <w:jc w:val="both"/>
        <w:rPr>
          <w:sz w:val="20"/>
          <w:szCs w:val="20"/>
          <w:lang w:val="fr-CA"/>
        </w:rPr>
      </w:pPr>
    </w:p>
    <w:p w:rsidR="003944E3" w:rsidRPr="003944E3" w:rsidRDefault="003944E3" w:rsidP="003944E3">
      <w:pPr>
        <w:jc w:val="both"/>
        <w:rPr>
          <w:sz w:val="20"/>
          <w:szCs w:val="20"/>
          <w:lang w:val="fr-CA"/>
        </w:rPr>
      </w:pPr>
      <w:r w:rsidRPr="003944E3">
        <w:rPr>
          <w:sz w:val="20"/>
          <w:szCs w:val="20"/>
          <w:lang w:val="fr-CA"/>
        </w:rPr>
        <w:t>Dans le présent dossier, l’appelante, Promutuel Portneuf-Champlain, Société mutuelle d’assurance générale (« Promutuel ») a indemnisé son assuré, un des clients d’Éconolodge dont le véhicule a été volé. Promutuel, en retour, intente un recours subrogatoire contre l’intimée, Compagnie Canadienne d’assurances Générales Lombard (« Lombard »), la compagnie d’assurance d’Éconolodge. Or, Lombard nie la couverture d’assurance, invoquant la clause d’exclusion visant les biens meubles dont l’hôtel a la garde ou sur lesquels il a un pouvoir de direction ou de gestion.</w:t>
      </w:r>
    </w:p>
    <w:p w:rsidR="003944E3" w:rsidRPr="003944E3" w:rsidRDefault="003944E3" w:rsidP="003944E3">
      <w:pPr>
        <w:jc w:val="both"/>
        <w:rPr>
          <w:sz w:val="20"/>
          <w:szCs w:val="20"/>
          <w:lang w:val="fr-CA"/>
        </w:rPr>
      </w:pPr>
    </w:p>
    <w:p w:rsidR="003944E3" w:rsidRPr="003944E3" w:rsidRDefault="003944E3" w:rsidP="003944E3">
      <w:pPr>
        <w:jc w:val="both"/>
        <w:rPr>
          <w:sz w:val="20"/>
          <w:szCs w:val="20"/>
          <w:lang w:val="fr-CA"/>
        </w:rPr>
      </w:pPr>
      <w:r w:rsidRPr="003944E3">
        <w:rPr>
          <w:sz w:val="20"/>
          <w:szCs w:val="20"/>
          <w:lang w:val="fr-CA"/>
        </w:rPr>
        <w:t xml:space="preserve">La juge de première instance retient donc la responsabilité d’Éconolodge sur les véhicules volés. Toutefois, elle refuse d’appliquer la clause d’exclusion de « garde, direction ou gestion », car Éconolodge n’acquiert pas un « véritable pouvoir de préservation, de conservation, de direction et de contrôle physique » sur les voitures de ses clients. La juge de première instance </w:t>
      </w:r>
      <w:r w:rsidRPr="000A2216">
        <w:rPr>
          <w:sz w:val="20"/>
          <w:szCs w:val="20"/>
          <w:lang w:val="fr-FR"/>
        </w:rPr>
        <w:t>ordonne donc à Lombard d’indemniser Promutuel, subrogée dans les droits de son assuré.</w:t>
      </w:r>
    </w:p>
    <w:p w:rsidR="003944E3" w:rsidRPr="003944E3" w:rsidRDefault="003944E3" w:rsidP="003944E3">
      <w:pPr>
        <w:jc w:val="both"/>
        <w:rPr>
          <w:sz w:val="20"/>
          <w:szCs w:val="20"/>
          <w:lang w:val="fr-CA"/>
        </w:rPr>
      </w:pPr>
    </w:p>
    <w:p w:rsidR="004450E7" w:rsidRPr="003944E3" w:rsidRDefault="003944E3" w:rsidP="003944E3">
      <w:pPr>
        <w:jc w:val="both"/>
        <w:rPr>
          <w:sz w:val="20"/>
          <w:szCs w:val="20"/>
          <w:lang w:val="fr-CA"/>
        </w:rPr>
      </w:pPr>
      <w:r w:rsidRPr="003944E3">
        <w:rPr>
          <w:sz w:val="20"/>
          <w:szCs w:val="20"/>
          <w:lang w:val="fr-CA"/>
        </w:rPr>
        <w:t>L’appel de Lombard sur l’applicabilité de la clause d’exclusion est accueilli. La Cour d’appel juge que la remise des clés du véhicule automobile confère à Éconolodge un réel pouvoir de préservation, de conservation, de direction et de contrôle physique sur les voitures de ses clients pendant que ceux-ci sont en voyage.</w:t>
      </w:r>
    </w:p>
    <w:p w:rsidR="003944E3" w:rsidRDefault="003944E3" w:rsidP="003944E3">
      <w:pPr>
        <w:jc w:val="both"/>
        <w:rPr>
          <w:sz w:val="20"/>
          <w:szCs w:val="20"/>
          <w:lang w:val="fr-CA"/>
        </w:rPr>
      </w:pPr>
    </w:p>
    <w:p w:rsidR="003944E3" w:rsidRDefault="008D266B" w:rsidP="003944E3">
      <w:pPr>
        <w:jc w:val="both"/>
        <w:rPr>
          <w:sz w:val="20"/>
          <w:szCs w:val="20"/>
          <w:lang w:val="fr-CA"/>
        </w:rPr>
      </w:pPr>
      <w:r>
        <w:rPr>
          <w:sz w:val="20"/>
          <w:szCs w:val="20"/>
          <w:lang w:val="fr-CA"/>
        </w:rPr>
        <w:pict>
          <v:rect id="_x0000_i1084" style="width:2in;height:1pt" o:hrpct="0" o:hralign="center" o:hrstd="t" o:hrnoshade="t" o:hr="t" fillcolor="black [3213]" stroked="f"/>
        </w:pict>
      </w:r>
    </w:p>
    <w:p w:rsidR="003944E3" w:rsidRDefault="003944E3">
      <w:pPr>
        <w:rPr>
          <w:sz w:val="20"/>
          <w:szCs w:val="20"/>
          <w:lang w:val="fr-CA"/>
        </w:rPr>
      </w:pPr>
      <w:r>
        <w:rPr>
          <w:sz w:val="20"/>
          <w:szCs w:val="20"/>
          <w:lang w:val="fr-CA"/>
        </w:rPr>
        <w:br w:type="page"/>
      </w:r>
    </w:p>
    <w:bookmarkStart w:id="4" w:name="1"/>
    <w:bookmarkEnd w:id="4"/>
    <w:p w:rsidR="00270573" w:rsidRPr="00463BA1" w:rsidRDefault="00270573" w:rsidP="00270573">
      <w:pPr>
        <w:widowControl w:val="0"/>
        <w:ind w:left="720" w:hanging="720"/>
        <w:jc w:val="both"/>
        <w:rPr>
          <w:b/>
          <w:i/>
          <w:sz w:val="20"/>
          <w:szCs w:val="20"/>
        </w:rPr>
      </w:pPr>
      <w:r w:rsidRPr="00463BA1">
        <w:rPr>
          <w:b/>
          <w:sz w:val="20"/>
          <w:szCs w:val="20"/>
        </w:rPr>
        <w:lastRenderedPageBreak/>
        <w:fldChar w:fldCharType="begin"/>
      </w:r>
      <w:r w:rsidRPr="00463BA1">
        <w:rPr>
          <w:b/>
          <w:sz w:val="20"/>
          <w:szCs w:val="20"/>
        </w:rPr>
        <w:instrText xml:space="preserve"> SEQ CHAPTER \h \r 1</w:instrText>
      </w:r>
      <w:r w:rsidRPr="00463BA1">
        <w:rPr>
          <w:b/>
          <w:sz w:val="20"/>
          <w:szCs w:val="20"/>
        </w:rPr>
        <w:fldChar w:fldCharType="end"/>
      </w:r>
      <w:r w:rsidRPr="00463BA1">
        <w:rPr>
          <w:b/>
          <w:sz w:val="20"/>
          <w:szCs w:val="20"/>
        </w:rPr>
        <w:t>37441</w:t>
      </w:r>
      <w:r w:rsidRPr="00463BA1">
        <w:rPr>
          <w:sz w:val="20"/>
          <w:szCs w:val="20"/>
        </w:rPr>
        <w:tab/>
      </w:r>
      <w:bookmarkStart w:id="5" w:name="3"/>
      <w:bookmarkEnd w:id="5"/>
      <w:r w:rsidRPr="00463BA1">
        <w:rPr>
          <w:b/>
          <w:i/>
          <w:sz w:val="20"/>
          <w:szCs w:val="20"/>
        </w:rPr>
        <w:t>Chief Steve Courtoreille on behalf of himself and the members of the Mikisew Cree First Nation v. Governor General in Council, Minister of Aboriginal Affairs and Northern Development, Minister of Finance, Minister of the Environment, Minister of Fisheries and Oceans, Minister of Transport and Minister of Natural Resources</w:t>
      </w:r>
    </w:p>
    <w:p w:rsidR="00270573" w:rsidRPr="00463BA1" w:rsidRDefault="00270573" w:rsidP="00270573">
      <w:pPr>
        <w:widowControl w:val="0"/>
        <w:ind w:left="1440" w:hanging="720"/>
        <w:jc w:val="both"/>
        <w:rPr>
          <w:sz w:val="20"/>
          <w:szCs w:val="20"/>
        </w:rPr>
      </w:pPr>
      <w:r w:rsidRPr="00463BA1">
        <w:rPr>
          <w:sz w:val="20"/>
          <w:szCs w:val="20"/>
        </w:rPr>
        <w:t>(F.C.) (Civil) (By leave)</w:t>
      </w:r>
    </w:p>
    <w:p w:rsidR="00270573" w:rsidRPr="00463BA1" w:rsidRDefault="00270573" w:rsidP="00270573">
      <w:pPr>
        <w:widowControl w:val="0"/>
        <w:jc w:val="both"/>
        <w:rPr>
          <w:sz w:val="20"/>
          <w:szCs w:val="20"/>
        </w:rPr>
      </w:pPr>
    </w:p>
    <w:p w:rsidR="00270573" w:rsidRPr="00463BA1" w:rsidRDefault="00270573" w:rsidP="00270573">
      <w:pPr>
        <w:jc w:val="both"/>
        <w:rPr>
          <w:sz w:val="20"/>
          <w:szCs w:val="20"/>
        </w:rPr>
      </w:pPr>
      <w:r w:rsidRPr="00463BA1">
        <w:rPr>
          <w:sz w:val="20"/>
          <w:szCs w:val="20"/>
        </w:rPr>
        <w:t xml:space="preserve">Aboriginal law - Treaty rights - Duty to consult - Legislative process - Crown introducing Omnibus Bills with changes to environmental and regulatory approval legislation, and failing to consult with Aboriginal groups - Judicial review application seeking declaration with respect to duty to consult - Federal Court issuing declaration that Crown ought to have consulted appellants on certain aspects when bills introduced into Parliament - Court of Appeal setting aside declaration and dismissing judicial review application - Whether duty to consult applies to legislative process as justiciable legal duty - How should separation of powers between courts and Parliament be respect in context of judicial review concerning duty to consult during Parliamentary legislative process? - Whether s. 2(2) or s. 18.1 of </w:t>
      </w:r>
      <w:r w:rsidRPr="00463BA1">
        <w:rPr>
          <w:i/>
          <w:sz w:val="20"/>
          <w:szCs w:val="20"/>
        </w:rPr>
        <w:t xml:space="preserve">Federal Courts Act </w:t>
      </w:r>
      <w:r w:rsidRPr="00463BA1">
        <w:rPr>
          <w:sz w:val="20"/>
          <w:szCs w:val="20"/>
        </w:rPr>
        <w:t xml:space="preserve">precludes judicial review of executive branch’s role in legislative process - What remedy, if any, should be granted in this case? - </w:t>
      </w:r>
      <w:r w:rsidRPr="00463BA1">
        <w:rPr>
          <w:i/>
          <w:sz w:val="20"/>
          <w:szCs w:val="20"/>
        </w:rPr>
        <w:t>Federal Courts Act</w:t>
      </w:r>
      <w:r w:rsidRPr="00463BA1">
        <w:rPr>
          <w:sz w:val="20"/>
          <w:szCs w:val="20"/>
        </w:rPr>
        <w:t>, R.S.C. 1985, c. F-7, ss. 2(2), 18.1.</w:t>
      </w:r>
    </w:p>
    <w:p w:rsidR="00270573" w:rsidRPr="00463BA1" w:rsidRDefault="00270573" w:rsidP="00270573">
      <w:pPr>
        <w:widowControl w:val="0"/>
        <w:jc w:val="both"/>
        <w:rPr>
          <w:sz w:val="20"/>
          <w:szCs w:val="20"/>
        </w:rPr>
      </w:pPr>
    </w:p>
    <w:p w:rsidR="00270573" w:rsidRPr="00463BA1" w:rsidRDefault="00270573" w:rsidP="00270573">
      <w:pPr>
        <w:jc w:val="both"/>
        <w:rPr>
          <w:sz w:val="20"/>
          <w:szCs w:val="20"/>
        </w:rPr>
      </w:pPr>
      <w:r w:rsidRPr="00463BA1">
        <w:rPr>
          <w:sz w:val="20"/>
          <w:szCs w:val="20"/>
        </w:rPr>
        <w:t>In 2012, the Minister of Finance introduced two omnibus bills that amended Canada’s environmental protection and regulatory legislative scheme. Canada did not consult the appellants Mikisew Cree First Nation et al. on these changes. In 2013, Mikisew filed a judicial review application seeking declaratory and injunctive relief, alleging that the responsible federal Ministers and the Crown as a whole had a duty to consult Mikisew regarding the development of the amendments, to the extent that they had the potential to affect Mikisew’s rights under Treaty 8.</w:t>
      </w:r>
    </w:p>
    <w:p w:rsidR="00270573" w:rsidRPr="00463BA1" w:rsidRDefault="00270573" w:rsidP="00270573">
      <w:pPr>
        <w:jc w:val="both"/>
        <w:rPr>
          <w:sz w:val="20"/>
          <w:szCs w:val="20"/>
        </w:rPr>
      </w:pPr>
    </w:p>
    <w:p w:rsidR="00270573" w:rsidRPr="00463BA1" w:rsidRDefault="00270573" w:rsidP="00270573">
      <w:pPr>
        <w:jc w:val="both"/>
        <w:rPr>
          <w:sz w:val="20"/>
          <w:szCs w:val="20"/>
        </w:rPr>
      </w:pPr>
      <w:r w:rsidRPr="00463BA1">
        <w:rPr>
          <w:sz w:val="20"/>
          <w:szCs w:val="20"/>
        </w:rPr>
        <w:t>The Federal Court allowed the judicial review application in part, issuing a declaration on the duty to consult with respect to some of the legislative changes in question. The Federal Court concluded that although there is generally no duty to consult before a bill is introduced into Parliament (by reason of the principle of parliamentary sovereignty and the doctrine of the separation of powers), the Crown was under a duty to consult Mikisew here when the bills were introduced in Parliament - i.e., to give notice to Mikisew and a reasonable opportunity to make submissions.</w:t>
      </w:r>
    </w:p>
    <w:p w:rsidR="00270573" w:rsidRPr="00463BA1" w:rsidRDefault="00270573" w:rsidP="00270573">
      <w:pPr>
        <w:jc w:val="both"/>
        <w:rPr>
          <w:sz w:val="20"/>
          <w:szCs w:val="20"/>
        </w:rPr>
      </w:pPr>
    </w:p>
    <w:p w:rsidR="00270573" w:rsidRPr="00463BA1" w:rsidRDefault="00270573" w:rsidP="00270573">
      <w:pPr>
        <w:jc w:val="both"/>
        <w:rPr>
          <w:sz w:val="20"/>
          <w:szCs w:val="20"/>
        </w:rPr>
      </w:pPr>
      <w:r w:rsidRPr="00463BA1">
        <w:rPr>
          <w:sz w:val="20"/>
          <w:szCs w:val="20"/>
        </w:rPr>
        <w:t xml:space="preserve">The Federal Court of Appeal allowed Canada’s appeal, set aside the declaration, and dismissed the application for judicial review, finding that legislative action was not a proper subject for judicial review. The majority judgment (De Montigny J.A., with Webb J.A. concurring) concluded that the Federal Court had no jurisdiction under the </w:t>
      </w:r>
      <w:r w:rsidRPr="00463BA1">
        <w:rPr>
          <w:i/>
          <w:sz w:val="20"/>
          <w:szCs w:val="20"/>
        </w:rPr>
        <w:t>Federal Courts Act</w:t>
      </w:r>
      <w:r w:rsidRPr="00463BA1">
        <w:rPr>
          <w:sz w:val="20"/>
          <w:szCs w:val="20"/>
        </w:rPr>
        <w:t>; the source of the power exercised by the Ministers in introducing the Omnibus Bills was legislative in nature, and the Ministers’ actions were therefore precluded from judicial review. As well, importing the duty to consult into the legislative process offends the doctrine of the separation of powers and the principle of parliamentary privilege. A concurring judgment (Pelletier J.A.) concluded that the duty to consult was not in fact triggered by laws of general application, as was the case here. Mikisew’s cross-appeal of the initial declaration was also dismissed.</w:t>
      </w:r>
    </w:p>
    <w:p w:rsidR="003944E3" w:rsidRDefault="008D266B" w:rsidP="003944E3">
      <w:pPr>
        <w:jc w:val="both"/>
        <w:rPr>
          <w:sz w:val="20"/>
          <w:szCs w:val="20"/>
          <w:lang w:val="fr-CA"/>
        </w:rPr>
      </w:pPr>
      <w:r>
        <w:rPr>
          <w:sz w:val="20"/>
          <w:szCs w:val="20"/>
          <w:lang w:val="fr-CA"/>
        </w:rPr>
        <w:pict>
          <v:rect id="_x0000_i1085" style="width:2in;height:1pt" o:hrpct="0" o:hralign="center" o:hrstd="t" o:hrnoshade="t" o:hr="t" fillcolor="black [3213]" stroked="f"/>
        </w:pict>
      </w:r>
    </w:p>
    <w:p w:rsidR="00270573" w:rsidRDefault="00270573" w:rsidP="003944E3">
      <w:pPr>
        <w:jc w:val="both"/>
        <w:rPr>
          <w:sz w:val="20"/>
          <w:szCs w:val="20"/>
          <w:lang w:val="fr-CA"/>
        </w:rPr>
      </w:pPr>
    </w:p>
    <w:p w:rsidR="00270573" w:rsidRDefault="00270573" w:rsidP="003944E3">
      <w:pPr>
        <w:jc w:val="both"/>
        <w:rPr>
          <w:sz w:val="20"/>
          <w:szCs w:val="20"/>
          <w:lang w:val="fr-CA"/>
        </w:rPr>
      </w:pPr>
    </w:p>
    <w:p w:rsidR="00270573" w:rsidRDefault="00270573">
      <w:pPr>
        <w:rPr>
          <w:sz w:val="20"/>
          <w:szCs w:val="20"/>
          <w:lang w:val="fr-CA"/>
        </w:rPr>
      </w:pPr>
      <w:r>
        <w:rPr>
          <w:sz w:val="20"/>
          <w:szCs w:val="20"/>
          <w:lang w:val="fr-CA"/>
        </w:rPr>
        <w:br w:type="page"/>
      </w:r>
    </w:p>
    <w:p w:rsidR="00270573" w:rsidRPr="00461039" w:rsidRDefault="00270573" w:rsidP="00270573">
      <w:pPr>
        <w:widowControl w:val="0"/>
        <w:ind w:left="720" w:hanging="720"/>
        <w:jc w:val="both"/>
        <w:rPr>
          <w:b/>
          <w:i/>
          <w:sz w:val="20"/>
          <w:szCs w:val="20"/>
          <w:lang w:val="fr-CA"/>
        </w:rPr>
      </w:pPr>
      <w:r w:rsidRPr="00461039">
        <w:rPr>
          <w:b/>
          <w:sz w:val="20"/>
          <w:szCs w:val="20"/>
          <w:lang w:val="fr-CA"/>
        </w:rPr>
        <w:lastRenderedPageBreak/>
        <w:fldChar w:fldCharType="begin"/>
      </w:r>
      <w:r w:rsidRPr="00461039">
        <w:rPr>
          <w:b/>
          <w:sz w:val="20"/>
          <w:szCs w:val="20"/>
          <w:lang w:val="fr-CA"/>
        </w:rPr>
        <w:instrText xml:space="preserve"> SEQ CHAPTER \h \r 1</w:instrText>
      </w:r>
      <w:r w:rsidRPr="00461039">
        <w:rPr>
          <w:b/>
          <w:sz w:val="20"/>
          <w:szCs w:val="20"/>
          <w:lang w:val="fr-CA"/>
        </w:rPr>
        <w:fldChar w:fldCharType="end"/>
      </w:r>
      <w:r w:rsidRPr="00461039">
        <w:rPr>
          <w:b/>
          <w:sz w:val="20"/>
          <w:szCs w:val="20"/>
          <w:lang w:val="fr-CA"/>
        </w:rPr>
        <w:t>37441</w:t>
      </w:r>
      <w:r w:rsidRPr="00461039">
        <w:rPr>
          <w:sz w:val="20"/>
          <w:szCs w:val="20"/>
          <w:lang w:val="fr-CA"/>
        </w:rPr>
        <w:tab/>
      </w:r>
      <w:r w:rsidRPr="00461039">
        <w:rPr>
          <w:b/>
          <w:i/>
          <w:sz w:val="20"/>
          <w:szCs w:val="20"/>
          <w:lang w:val="fr-CA"/>
        </w:rPr>
        <w:t>Chef Steve Courtoreille, en son propre nom et au nom des membres de la Première nation crie Mikisew c. Gouverneur général en conseil, ministre des Affaires autochtones et du Développement du Nord, ministre des Finances, ministre de l’Environnement, ministre des Pêches et Océans, ministre des Transports et ministre des Ressources naturelles</w:t>
      </w:r>
    </w:p>
    <w:p w:rsidR="00270573" w:rsidRPr="00461039" w:rsidRDefault="00270573" w:rsidP="00270573">
      <w:pPr>
        <w:widowControl w:val="0"/>
        <w:ind w:left="1440" w:hanging="720"/>
        <w:jc w:val="both"/>
        <w:rPr>
          <w:sz w:val="20"/>
          <w:szCs w:val="20"/>
          <w:lang w:val="fr-CA"/>
        </w:rPr>
      </w:pPr>
      <w:r w:rsidRPr="00461039">
        <w:rPr>
          <w:sz w:val="20"/>
          <w:szCs w:val="20"/>
          <w:lang w:val="fr-CA"/>
        </w:rPr>
        <w:t>(CF) (Civile) (Sur autorisation)</w:t>
      </w:r>
    </w:p>
    <w:p w:rsidR="00270573" w:rsidRPr="00461039" w:rsidRDefault="00270573" w:rsidP="00270573">
      <w:pPr>
        <w:widowControl w:val="0"/>
        <w:jc w:val="both"/>
        <w:rPr>
          <w:sz w:val="20"/>
          <w:szCs w:val="20"/>
          <w:lang w:val="fr-CA"/>
        </w:rPr>
      </w:pPr>
    </w:p>
    <w:p w:rsidR="00270573" w:rsidRPr="00461039" w:rsidRDefault="00270573" w:rsidP="00270573">
      <w:pPr>
        <w:jc w:val="both"/>
        <w:rPr>
          <w:sz w:val="20"/>
          <w:szCs w:val="20"/>
          <w:lang w:val="fr-CA"/>
        </w:rPr>
      </w:pPr>
      <w:r w:rsidRPr="00461039">
        <w:rPr>
          <w:sz w:val="20"/>
          <w:szCs w:val="20"/>
          <w:lang w:val="fr-CA"/>
        </w:rPr>
        <w:t xml:space="preserve">Droit des Autochtones - Droits issus de traités - Obligation de consulter - Processus législatif - Dépôt par la Couronne de projets de loi omnibus modifiant les lois en matière d’environnement et d’approbation réglementaire et omission de sa part de consulter des groupes autochtones - Demande de contrôle judiciaire visant à obtenir un jugement déclaratoire sur l’obligation de consulter - La Cour fédérale a prononcé un jugement déclaratoire selon lequel la Couronne aurait dû consulter les appelants relativement à certains aspects lorsque les projets de loi ont été déposés au Parlement - La Cour d’appel a annulé le jugement déclaratoire et rejeté la demande de contrôle judiciaire - L’obligation de consulter s’applique-t-elle au processus législatif en tant qu’obligation juridique justiciable? - Comment faut-il respecter la séparation des pouvoirs entre les tribunaux et le Parlement dans le contexte du contrôle judiciaire relativement à l’obligation de consulter pendant le processus législatif parlementaire? - Le par. 2(2) ou l’art. 18.1 de la </w:t>
      </w:r>
      <w:r w:rsidRPr="00461039">
        <w:rPr>
          <w:i/>
          <w:sz w:val="20"/>
          <w:szCs w:val="20"/>
          <w:lang w:val="fr-CA"/>
        </w:rPr>
        <w:t>Loi sur les Cours fédérales</w:t>
      </w:r>
      <w:r w:rsidRPr="00461039">
        <w:rPr>
          <w:sz w:val="20"/>
          <w:szCs w:val="20"/>
          <w:lang w:val="fr-CA"/>
        </w:rPr>
        <w:t xml:space="preserve"> fait-il obstacle au contrôle judiciaire du rôle que joue le pouvoir exécutif dans le processus législatif? - Quelle réparation, s’il en est, doit être accordée en l’espèce? - </w:t>
      </w:r>
      <w:r w:rsidRPr="00461039">
        <w:rPr>
          <w:i/>
          <w:sz w:val="20"/>
          <w:szCs w:val="20"/>
          <w:lang w:val="fr-CA"/>
        </w:rPr>
        <w:t>Loi sur les Cours fédérales</w:t>
      </w:r>
      <w:r w:rsidRPr="00461039">
        <w:rPr>
          <w:sz w:val="20"/>
          <w:szCs w:val="20"/>
          <w:lang w:val="fr-CA"/>
        </w:rPr>
        <w:t>, L.R.C. 1985, c. F-7, art. 2(2), 18.1.</w:t>
      </w:r>
    </w:p>
    <w:p w:rsidR="00270573" w:rsidRPr="00461039" w:rsidRDefault="00270573" w:rsidP="00270573">
      <w:pPr>
        <w:widowControl w:val="0"/>
        <w:jc w:val="both"/>
        <w:rPr>
          <w:sz w:val="20"/>
          <w:szCs w:val="20"/>
          <w:lang w:val="fr-CA"/>
        </w:rPr>
      </w:pPr>
    </w:p>
    <w:p w:rsidR="00270573" w:rsidRPr="00461039" w:rsidRDefault="00270573" w:rsidP="00270573">
      <w:pPr>
        <w:jc w:val="both"/>
        <w:rPr>
          <w:sz w:val="20"/>
          <w:szCs w:val="20"/>
          <w:lang w:val="fr-CA"/>
        </w:rPr>
      </w:pPr>
      <w:r w:rsidRPr="00461039">
        <w:rPr>
          <w:sz w:val="20"/>
          <w:szCs w:val="20"/>
          <w:lang w:val="fr-CA"/>
        </w:rPr>
        <w:t>En 2012, le ministre des Finances a déposé deux projets de loi omnibus qui modifiaient le régime législatif canadien en matière de protection environnementale et de processus réglementaire. Le Canada n’a pas consulté les appelants, la Première nation crie Mikisew et al., à propos de ces changements. En 2013, les Mikisew ont déposé une demande de contrôle judiciaire afin d’obtenir un jugement déclaratoire et une injonction, alléguant que les ministres fédéraux compétents et la Couronne dans son ensemble étaient tenus de consulter les Mikisew au sujet de l’élaboration des modifications, dans la mesure où elles étaient susceptibles d’avoir une incidence sur les droits des Mikisew issus du Traité n</w:t>
      </w:r>
      <w:r w:rsidRPr="00461039">
        <w:rPr>
          <w:sz w:val="20"/>
          <w:szCs w:val="20"/>
          <w:vertAlign w:val="superscript"/>
          <w:lang w:val="fr-CA"/>
        </w:rPr>
        <w:t>o</w:t>
      </w:r>
      <w:r w:rsidRPr="00461039">
        <w:rPr>
          <w:sz w:val="20"/>
          <w:szCs w:val="20"/>
          <w:lang w:val="fr-CA"/>
        </w:rPr>
        <w:t> 8.</w:t>
      </w:r>
    </w:p>
    <w:p w:rsidR="00270573" w:rsidRPr="00461039" w:rsidRDefault="00270573" w:rsidP="00270573">
      <w:pPr>
        <w:jc w:val="both"/>
        <w:rPr>
          <w:sz w:val="20"/>
          <w:szCs w:val="20"/>
          <w:lang w:val="fr-CA"/>
        </w:rPr>
      </w:pPr>
    </w:p>
    <w:p w:rsidR="00270573" w:rsidRPr="00461039" w:rsidRDefault="00270573" w:rsidP="00270573">
      <w:pPr>
        <w:jc w:val="both"/>
        <w:rPr>
          <w:sz w:val="20"/>
          <w:szCs w:val="20"/>
          <w:lang w:val="fr-CA"/>
        </w:rPr>
      </w:pPr>
      <w:r w:rsidRPr="00461039">
        <w:rPr>
          <w:sz w:val="20"/>
          <w:szCs w:val="20"/>
          <w:lang w:val="fr-CA"/>
        </w:rPr>
        <w:t>La Cour fédérale a fait droit en partie à la demande de contrôle judiciaire et rendu un jugement déclaratoire sur l’obligation de consulter relativement à quelques-uns des changements législatifs en cause. La Cour fédérale a conclu que, bien qu’elle n’ait généralement pas d’obligation de consulter avant qu’un projet de loi ne soit déposé au Parlement (en raison du principe de la souveraineté parlementaire et de la doctrine de la séparation des pouvoirs), la Couronne devait consulter les Mikisew en l’espèce lorsque les projets de loi ont été déposés au Parlement, c.-à-d. leur donner un avis et une possibilité raisonnable de présenter des observations.</w:t>
      </w:r>
    </w:p>
    <w:p w:rsidR="00270573" w:rsidRPr="00461039" w:rsidRDefault="00270573" w:rsidP="00270573">
      <w:pPr>
        <w:jc w:val="both"/>
        <w:rPr>
          <w:sz w:val="20"/>
          <w:szCs w:val="20"/>
          <w:lang w:val="fr-CA"/>
        </w:rPr>
      </w:pPr>
    </w:p>
    <w:p w:rsidR="00270573" w:rsidRPr="00461039" w:rsidRDefault="00270573" w:rsidP="00270573">
      <w:pPr>
        <w:jc w:val="both"/>
        <w:rPr>
          <w:sz w:val="20"/>
          <w:szCs w:val="20"/>
          <w:lang w:val="fr-CA"/>
        </w:rPr>
      </w:pPr>
      <w:r w:rsidRPr="00461039">
        <w:rPr>
          <w:sz w:val="20"/>
          <w:szCs w:val="20"/>
          <w:lang w:val="fr-CA"/>
        </w:rPr>
        <w:t xml:space="preserve">La Cour d’appel fédérale a accueilli l’appel du Canada, annulé le jugement déclaratoire et rejeté la demande de contrôle judiciaire, estimant que la mesure législative ne se prête pas au contrôle judiciaire. Les juges majoritaires (le juge De Montigny, avec l’appui du juge Webb) ont conclu que la Cour fédérale n’était pas compétente suivant la </w:t>
      </w:r>
      <w:r w:rsidRPr="00461039">
        <w:rPr>
          <w:i/>
          <w:sz w:val="20"/>
          <w:szCs w:val="20"/>
          <w:lang w:val="fr-CA"/>
        </w:rPr>
        <w:t>Loi sur les Cours fédérales</w:t>
      </w:r>
      <w:r w:rsidRPr="00461039">
        <w:rPr>
          <w:sz w:val="20"/>
          <w:szCs w:val="20"/>
          <w:lang w:val="fr-CA"/>
        </w:rPr>
        <w:t>; la source du pouvoir que les ministres ont exercé lorsqu’ils ont déposé les projets de loi omnibus était de nature législative, si bien que les mesures prises par les ministres étaient soustraites au contrôle judiciaire. En outre, introduire l’obligation de consulter dans la filière législative va à l’encontre de la doctrine de la séparation des pouvoirs et du principe du privilège parlementaire. Selon un jugement concordant (le juge Pelletier), l’obligation de consulter ne découle pas en fait de lois d’application générale, comme c’était le cas en l’espèce. L’appel incident des Mikisew contre le jugement déclaratoire initial a aussi été rejeté.</w:t>
      </w:r>
    </w:p>
    <w:p w:rsidR="00270573" w:rsidRDefault="008D266B" w:rsidP="003944E3">
      <w:pPr>
        <w:jc w:val="both"/>
        <w:rPr>
          <w:sz w:val="20"/>
          <w:szCs w:val="20"/>
          <w:lang w:val="fr-CA"/>
        </w:rPr>
      </w:pPr>
      <w:r>
        <w:rPr>
          <w:sz w:val="20"/>
          <w:szCs w:val="20"/>
          <w:lang w:val="fr-CA"/>
        </w:rPr>
        <w:pict>
          <v:rect id="_x0000_i1086" style="width:2in;height:1pt" o:hrpct="0" o:hralign="center" o:hrstd="t" o:hrnoshade="t" o:hr="t" fillcolor="black [3213]" stroked="f"/>
        </w:pict>
      </w:r>
    </w:p>
    <w:p w:rsidR="00270573" w:rsidRDefault="00270573">
      <w:pPr>
        <w:rPr>
          <w:sz w:val="20"/>
          <w:szCs w:val="20"/>
          <w:lang w:val="fr-CA"/>
        </w:rPr>
      </w:pPr>
      <w:r>
        <w:rPr>
          <w:sz w:val="20"/>
          <w:szCs w:val="20"/>
          <w:lang w:val="fr-CA"/>
        </w:rPr>
        <w:br w:type="page"/>
      </w:r>
    </w:p>
    <w:tbl>
      <w:tblPr>
        <w:tblW w:w="5000" w:type="pct"/>
        <w:tblLayout w:type="fixed"/>
        <w:tblCellMar>
          <w:left w:w="0" w:type="dxa"/>
          <w:bottom w:w="99" w:type="dxa"/>
          <w:right w:w="0" w:type="dxa"/>
        </w:tblCellMar>
        <w:tblLook w:val="04A0" w:firstRow="1" w:lastRow="0" w:firstColumn="1" w:lastColumn="0" w:noHBand="0" w:noVBand="1"/>
      </w:tblPr>
      <w:tblGrid>
        <w:gridCol w:w="727"/>
        <w:gridCol w:w="8892"/>
      </w:tblGrid>
      <w:tr w:rsidR="00270573" w:rsidRPr="00316FCC" w:rsidTr="004769A1">
        <w:tc>
          <w:tcPr>
            <w:tcW w:w="378" w:type="pct"/>
          </w:tcPr>
          <w:p w:rsidR="00270573" w:rsidRPr="00316FCC" w:rsidRDefault="00270573" w:rsidP="00917078">
            <w:pPr>
              <w:rPr>
                <w:sz w:val="20"/>
                <w:szCs w:val="20"/>
              </w:rPr>
            </w:pPr>
            <w:r w:rsidRPr="00316FCC">
              <w:rPr>
                <w:rStyle w:val="SCCFileNumberChar"/>
                <w:sz w:val="20"/>
                <w:szCs w:val="20"/>
              </w:rPr>
              <w:lastRenderedPageBreak/>
              <w:t>37513</w:t>
            </w:r>
          </w:p>
        </w:tc>
        <w:tc>
          <w:tcPr>
            <w:tcW w:w="4622" w:type="pct"/>
          </w:tcPr>
          <w:p w:rsidR="00270573" w:rsidRPr="00270573" w:rsidRDefault="00270573" w:rsidP="00270573">
            <w:pPr>
              <w:pStyle w:val="SCCLsocParty"/>
              <w:jc w:val="left"/>
              <w:rPr>
                <w:b/>
                <w:i/>
                <w:sz w:val="20"/>
                <w:szCs w:val="20"/>
                <w:lang w:val="en-US"/>
              </w:rPr>
            </w:pPr>
            <w:r w:rsidRPr="00270573">
              <w:rPr>
                <w:b/>
                <w:i/>
                <w:sz w:val="20"/>
                <w:szCs w:val="20"/>
                <w:lang w:val="en-US"/>
              </w:rPr>
              <w:t>Jeffery Thomas Raymond Seipp v. Her Majesty the Queen</w:t>
            </w:r>
          </w:p>
          <w:p w:rsidR="00270573" w:rsidRPr="00316FCC" w:rsidRDefault="00270573" w:rsidP="00917078">
            <w:pPr>
              <w:rPr>
                <w:sz w:val="20"/>
                <w:szCs w:val="20"/>
              </w:rPr>
            </w:pPr>
            <w:r w:rsidRPr="00316FCC">
              <w:rPr>
                <w:sz w:val="20"/>
                <w:szCs w:val="20"/>
              </w:rPr>
              <w:t>(B.C.) (Criminal) (By Leave)</w:t>
            </w:r>
          </w:p>
        </w:tc>
      </w:tr>
      <w:tr w:rsidR="00270573" w:rsidRPr="00316FCC" w:rsidTr="004769A1">
        <w:tc>
          <w:tcPr>
            <w:tcW w:w="5000" w:type="pct"/>
            <w:gridSpan w:val="2"/>
          </w:tcPr>
          <w:p w:rsidR="00270573" w:rsidRPr="00316FCC" w:rsidRDefault="00270573" w:rsidP="00270573">
            <w:pPr>
              <w:jc w:val="both"/>
              <w:rPr>
                <w:sz w:val="20"/>
                <w:szCs w:val="20"/>
              </w:rPr>
            </w:pPr>
            <w:r w:rsidRPr="00316FCC">
              <w:rPr>
                <w:sz w:val="20"/>
                <w:szCs w:val="20"/>
              </w:rPr>
              <w:t xml:space="preserve">Criminal law - Statutory interpretation - Elements of offence - Failure to stop at scene of accident - Meaning of “civil or criminal liability” in s. 252(1) of </w:t>
            </w:r>
            <w:r w:rsidRPr="00316FCC">
              <w:rPr>
                <w:i/>
                <w:iCs/>
                <w:sz w:val="20"/>
                <w:szCs w:val="20"/>
              </w:rPr>
              <w:t>Criminal Code</w:t>
            </w:r>
            <w:r w:rsidRPr="00316FCC">
              <w:rPr>
                <w:sz w:val="20"/>
                <w:szCs w:val="20"/>
              </w:rPr>
              <w:t xml:space="preserve"> - How principles of statutory interpretation should apply to the interpretation of penal statutes - Whether conviction of appellant for failure to stop at scene of motor vehicle accident is a miscarriage of justice - </w:t>
            </w:r>
            <w:r w:rsidRPr="00316FCC">
              <w:rPr>
                <w:i/>
                <w:iCs/>
                <w:sz w:val="20"/>
                <w:szCs w:val="20"/>
              </w:rPr>
              <w:t>Criminal Code</w:t>
            </w:r>
            <w:r w:rsidRPr="00316FCC">
              <w:rPr>
                <w:iCs/>
                <w:sz w:val="20"/>
                <w:szCs w:val="20"/>
              </w:rPr>
              <w:t>, R.S.C. 1985, c. C-46, s. 252(1)(b)</w:t>
            </w:r>
            <w:r w:rsidRPr="00316FCC">
              <w:rPr>
                <w:sz w:val="20"/>
                <w:szCs w:val="20"/>
              </w:rPr>
              <w:t>.</w:t>
            </w:r>
          </w:p>
          <w:p w:rsidR="00270573" w:rsidRPr="00316FCC" w:rsidRDefault="00270573" w:rsidP="00270573">
            <w:pPr>
              <w:jc w:val="both"/>
              <w:rPr>
                <w:sz w:val="20"/>
                <w:szCs w:val="20"/>
              </w:rPr>
            </w:pPr>
          </w:p>
        </w:tc>
      </w:tr>
      <w:tr w:rsidR="00270573" w:rsidRPr="00316FCC" w:rsidTr="004769A1">
        <w:tc>
          <w:tcPr>
            <w:tcW w:w="5000" w:type="pct"/>
            <w:gridSpan w:val="2"/>
          </w:tcPr>
          <w:p w:rsidR="00270573" w:rsidRPr="00316FCC" w:rsidRDefault="00270573" w:rsidP="00270573">
            <w:pPr>
              <w:jc w:val="both"/>
              <w:rPr>
                <w:sz w:val="20"/>
                <w:szCs w:val="20"/>
              </w:rPr>
            </w:pPr>
            <w:r w:rsidRPr="00316FCC">
              <w:rPr>
                <w:sz w:val="20"/>
                <w:szCs w:val="20"/>
              </w:rPr>
              <w:t xml:space="preserve">On December 29, 2013, Mr. Seipp was involved in a motor vehicle collision while driving a stolen vehicle. A passenger in the other vehicle was injured. Mr. Seipp fled without providing his name or address. He was charged with a number of offences including fleeing the scene of an accident, an offence under s. 252(1)(b) of the </w:t>
            </w:r>
            <w:r w:rsidRPr="00316FCC">
              <w:rPr>
                <w:i/>
                <w:sz w:val="20"/>
                <w:szCs w:val="20"/>
              </w:rPr>
              <w:t>Criminal Code</w:t>
            </w:r>
            <w:r w:rsidRPr="00316FCC">
              <w:rPr>
                <w:sz w:val="20"/>
                <w:szCs w:val="20"/>
              </w:rPr>
              <w:t xml:space="preserve">, R.S.C. 1985, c. C-46. At trial, he testified that a friend previously had invited him to drive around in the vehicle, he had dropped her off, and he had continued driving the vehicle until the accident. He testified that he fled from the collision because he suspected the vehicle was stolen. At the end of the defence’s case, </w:t>
            </w:r>
            <w:r w:rsidRPr="00316FCC">
              <w:rPr>
                <w:rStyle w:val="SCCLowerCourtJudge"/>
                <w:sz w:val="20"/>
                <w:szCs w:val="20"/>
              </w:rPr>
              <w:t xml:space="preserve">the trial judge </w:t>
            </w:r>
            <w:r w:rsidRPr="00316FCC">
              <w:rPr>
                <w:rFonts w:ascii="Arial (W1)" w:hAnsi="Arial (W1)"/>
                <w:sz w:val="20"/>
                <w:szCs w:val="20"/>
                <w:lang w:val="en"/>
              </w:rPr>
              <w:t>asked defence counsel if she was in a position to admit that the evidence established guilt on any counts</w:t>
            </w:r>
            <w:r w:rsidRPr="00316FCC">
              <w:rPr>
                <w:sz w:val="20"/>
                <w:szCs w:val="20"/>
              </w:rPr>
              <w:t xml:space="preserve">. Defence counsel in part submitted that the offence of failure to stop at the scene of an accident and provide a name and address had been proved. </w:t>
            </w:r>
            <w:r w:rsidRPr="00316FCC">
              <w:rPr>
                <w:rFonts w:ascii="Arial (W1)" w:hAnsi="Arial (W1)"/>
                <w:sz w:val="20"/>
                <w:szCs w:val="20"/>
                <w:lang w:val="en"/>
              </w:rPr>
              <w:t xml:space="preserve">The trial judge in part convicted Mr. Seipp of </w:t>
            </w:r>
            <w:r w:rsidRPr="00316FCC">
              <w:rPr>
                <w:sz w:val="20"/>
                <w:szCs w:val="20"/>
              </w:rPr>
              <w:t xml:space="preserve">that offence. Mr. Seipp appealed this conviction and other convictions. </w:t>
            </w:r>
            <w:r w:rsidRPr="00316FCC">
              <w:rPr>
                <w:rFonts w:ascii="Arial (W1)" w:hAnsi="Arial (W1)"/>
                <w:sz w:val="20"/>
                <w:szCs w:val="20"/>
                <w:lang w:val="en"/>
              </w:rPr>
              <w:t>The Court of Appeal dismissed the appeal.</w:t>
            </w:r>
          </w:p>
        </w:tc>
      </w:tr>
    </w:tbl>
    <w:p w:rsidR="00270573" w:rsidRDefault="008D266B" w:rsidP="003944E3">
      <w:pPr>
        <w:jc w:val="both"/>
        <w:rPr>
          <w:sz w:val="20"/>
          <w:szCs w:val="20"/>
          <w:lang w:val="fr-CA"/>
        </w:rPr>
      </w:pPr>
      <w:r>
        <w:rPr>
          <w:sz w:val="20"/>
          <w:szCs w:val="20"/>
          <w:lang w:val="fr-CA"/>
        </w:rPr>
        <w:pict>
          <v:rect id="_x0000_i1087" style="width:2in;height:1pt" o:hrpct="0" o:hralign="center" o:hrstd="t" o:hrnoshade="t" o:hr="t" fillcolor="black [3213]" stroked="f"/>
        </w:pict>
      </w:r>
    </w:p>
    <w:p w:rsidR="00270573" w:rsidRDefault="00270573" w:rsidP="003944E3">
      <w:pPr>
        <w:jc w:val="both"/>
        <w:rPr>
          <w:sz w:val="20"/>
          <w:szCs w:val="20"/>
          <w:lang w:val="fr-CA"/>
        </w:rPr>
      </w:pPr>
    </w:p>
    <w:p w:rsidR="00270573" w:rsidRDefault="00270573" w:rsidP="003944E3">
      <w:pPr>
        <w:jc w:val="both"/>
        <w:rPr>
          <w:sz w:val="20"/>
          <w:szCs w:val="20"/>
          <w:lang w:val="fr-CA"/>
        </w:rPr>
      </w:pPr>
    </w:p>
    <w:tbl>
      <w:tblPr>
        <w:tblW w:w="5000" w:type="pct"/>
        <w:tblLayout w:type="fixed"/>
        <w:tblCellMar>
          <w:left w:w="0" w:type="dxa"/>
          <w:bottom w:w="99" w:type="dxa"/>
          <w:right w:w="0" w:type="dxa"/>
        </w:tblCellMar>
        <w:tblLook w:val="04A0" w:firstRow="1" w:lastRow="0" w:firstColumn="1" w:lastColumn="0" w:noHBand="0" w:noVBand="1"/>
      </w:tblPr>
      <w:tblGrid>
        <w:gridCol w:w="727"/>
        <w:gridCol w:w="8892"/>
      </w:tblGrid>
      <w:tr w:rsidR="00270573" w:rsidRPr="0096343C" w:rsidTr="004769A1">
        <w:tc>
          <w:tcPr>
            <w:tcW w:w="378" w:type="pct"/>
          </w:tcPr>
          <w:p w:rsidR="00270573" w:rsidRPr="00AB6218" w:rsidRDefault="00270573" w:rsidP="00917078">
            <w:pPr>
              <w:rPr>
                <w:sz w:val="20"/>
                <w:szCs w:val="20"/>
                <w:lang w:val="fr-CA"/>
              </w:rPr>
            </w:pPr>
            <w:r w:rsidRPr="00AB6218">
              <w:rPr>
                <w:rStyle w:val="SCCFileNumberChar"/>
                <w:sz w:val="20"/>
                <w:szCs w:val="20"/>
                <w:lang w:val="fr-CA"/>
              </w:rPr>
              <w:t>37513</w:t>
            </w:r>
          </w:p>
        </w:tc>
        <w:tc>
          <w:tcPr>
            <w:tcW w:w="4622" w:type="pct"/>
          </w:tcPr>
          <w:p w:rsidR="00270573" w:rsidRPr="00270573" w:rsidRDefault="00270573" w:rsidP="00270573">
            <w:pPr>
              <w:pStyle w:val="SCCLsocParty"/>
              <w:jc w:val="left"/>
              <w:rPr>
                <w:b/>
                <w:i/>
                <w:sz w:val="20"/>
                <w:szCs w:val="20"/>
              </w:rPr>
            </w:pPr>
            <w:r w:rsidRPr="00270573">
              <w:rPr>
                <w:b/>
                <w:i/>
                <w:sz w:val="20"/>
                <w:szCs w:val="20"/>
              </w:rPr>
              <w:t>Jeffery Thomas Raymond Seipp c. Sa Majesté la Reine</w:t>
            </w:r>
          </w:p>
          <w:p w:rsidR="00270573" w:rsidRPr="00AB6218" w:rsidRDefault="00270573" w:rsidP="00917078">
            <w:pPr>
              <w:rPr>
                <w:sz w:val="20"/>
                <w:szCs w:val="20"/>
                <w:lang w:val="fr-CA"/>
              </w:rPr>
            </w:pPr>
            <w:r w:rsidRPr="00AB6218">
              <w:rPr>
                <w:sz w:val="20"/>
                <w:szCs w:val="20"/>
                <w:lang w:val="fr-CA"/>
              </w:rPr>
              <w:t>(C.-B.) (Criminelle) (Sur autorisation)</w:t>
            </w:r>
          </w:p>
        </w:tc>
      </w:tr>
      <w:tr w:rsidR="00270573" w:rsidRPr="00AB6218" w:rsidTr="004769A1">
        <w:tc>
          <w:tcPr>
            <w:tcW w:w="5000" w:type="pct"/>
            <w:gridSpan w:val="2"/>
          </w:tcPr>
          <w:p w:rsidR="00270573" w:rsidRPr="00AB6218" w:rsidRDefault="00270573" w:rsidP="004769A1">
            <w:pPr>
              <w:jc w:val="both"/>
              <w:rPr>
                <w:sz w:val="20"/>
                <w:szCs w:val="20"/>
                <w:lang w:val="fr-CA"/>
              </w:rPr>
            </w:pPr>
            <w:r w:rsidRPr="00AB6218">
              <w:rPr>
                <w:sz w:val="20"/>
                <w:szCs w:val="20"/>
                <w:lang w:val="fr-CA"/>
              </w:rPr>
              <w:t xml:space="preserve">Droit criminel - Interprétation des lois - Éléments de l’infraction - Défaut d’arrêter lors d’un accident - Sens de l’expression « responsabilité civile ou criminelle » au par. 252(1) du </w:t>
            </w:r>
            <w:r w:rsidRPr="00AB6218">
              <w:rPr>
                <w:i/>
                <w:iCs/>
                <w:sz w:val="20"/>
                <w:szCs w:val="20"/>
                <w:lang w:val="fr-CA"/>
              </w:rPr>
              <w:t>Code criminel</w:t>
            </w:r>
            <w:r w:rsidRPr="00AB6218">
              <w:rPr>
                <w:sz w:val="20"/>
                <w:szCs w:val="20"/>
                <w:lang w:val="fr-CA"/>
              </w:rPr>
              <w:t xml:space="preserve"> - Comment les principes d’interprétation des lois doivent-ils s’appliquer à l’interprétation des lois pénales? - La déclaration de culpabilité de l’appelant pour défaut d’arrêter lors d’un accident de la route est-elle une erreur judiciaire? - </w:t>
            </w:r>
            <w:r w:rsidRPr="00AB6218">
              <w:rPr>
                <w:i/>
                <w:sz w:val="20"/>
                <w:szCs w:val="20"/>
                <w:lang w:val="fr-CA"/>
              </w:rPr>
              <w:t>Code criminel</w:t>
            </w:r>
            <w:r w:rsidRPr="00AB6218">
              <w:rPr>
                <w:sz w:val="20"/>
                <w:szCs w:val="20"/>
                <w:lang w:val="fr-CA"/>
              </w:rPr>
              <w:t>, L.R.C. 1985, ch. C-46, al. 252(1)b).</w:t>
            </w:r>
          </w:p>
          <w:p w:rsidR="00270573" w:rsidRPr="00AB6218" w:rsidRDefault="00270573" w:rsidP="004769A1">
            <w:pPr>
              <w:jc w:val="both"/>
              <w:rPr>
                <w:sz w:val="20"/>
                <w:szCs w:val="20"/>
                <w:lang w:val="fr-CA"/>
              </w:rPr>
            </w:pPr>
          </w:p>
        </w:tc>
      </w:tr>
      <w:tr w:rsidR="00270573" w:rsidRPr="00AB6218" w:rsidTr="004769A1">
        <w:tc>
          <w:tcPr>
            <w:tcW w:w="5000" w:type="pct"/>
            <w:gridSpan w:val="2"/>
          </w:tcPr>
          <w:p w:rsidR="00270573" w:rsidRPr="00AB6218" w:rsidRDefault="00270573" w:rsidP="004769A1">
            <w:pPr>
              <w:jc w:val="both"/>
              <w:rPr>
                <w:sz w:val="20"/>
                <w:szCs w:val="20"/>
                <w:lang w:val="fr-CA"/>
              </w:rPr>
            </w:pPr>
            <w:r w:rsidRPr="00AB6218">
              <w:rPr>
                <w:sz w:val="20"/>
                <w:szCs w:val="20"/>
                <w:lang w:val="fr-CA"/>
              </w:rPr>
              <w:t xml:space="preserve">Le 29 décembre 2013, M. Seipp a été impliqué dans un accident de la route alors qu’il conduisait un véhicule volé. Un passager dans l’autre véhicule a été blessé. Monsieur Seipp a fui les lieux sans donner son nom ou adresse. Il a été accusé d’un certain nombre d’infractions, y compris le délit de fuite, une infraction prévue à l’al. 252(1)b) du </w:t>
            </w:r>
            <w:r w:rsidRPr="00AB6218">
              <w:rPr>
                <w:i/>
                <w:sz w:val="20"/>
                <w:szCs w:val="20"/>
                <w:lang w:val="fr-CA"/>
              </w:rPr>
              <w:t>Code criminel</w:t>
            </w:r>
            <w:r w:rsidRPr="00AB6218">
              <w:rPr>
                <w:sz w:val="20"/>
                <w:szCs w:val="20"/>
                <w:lang w:val="fr-CA"/>
              </w:rPr>
              <w:t>, L.R.C. 1985, ch. C-46. Au procès, il a témoigné qu’une amie l’avait précédemment invité à faire une balade en voiture, qu’il l’avait déposée et qu’il avait continué de conduire le véhicule jusqu’à l’accident. Il a dit avoir fui les lieux parce qu’il soupçonnait que le véhicule avait été volé. Au terme de la preuve de la défense, la juge du procès a demandé à l’avocate de la défense si elle était disposée à admettre que la preuve établissait la culpabilité à l’égard de certains chefs d’accusation. L’avocate de la défense a notamment affirmé que l’infraction d’avoir omis de s’arrêter lors d’un accident et d’avoir donné son nom et adresse avait été prouvée</w:t>
            </w:r>
            <w:r w:rsidRPr="00AB6218">
              <w:rPr>
                <w:rFonts w:ascii="Arial (W1)" w:hAnsi="Arial (W1)"/>
                <w:sz w:val="20"/>
                <w:szCs w:val="20"/>
                <w:lang w:val="fr-CA"/>
              </w:rPr>
              <w:t>. La juge du procès a notamment déclaré M. Seipp coupable de cette infraction. Monsieur Seipp a interjeté appel de cette déclaration de culpabilité et d’autres. La Cour d’appel a rejeté l’appel.</w:t>
            </w:r>
          </w:p>
        </w:tc>
      </w:tr>
    </w:tbl>
    <w:p w:rsidR="00270573" w:rsidRDefault="008D266B" w:rsidP="003944E3">
      <w:pPr>
        <w:jc w:val="both"/>
        <w:rPr>
          <w:sz w:val="20"/>
          <w:szCs w:val="20"/>
          <w:lang w:val="fr-CA"/>
        </w:rPr>
      </w:pPr>
      <w:r>
        <w:rPr>
          <w:sz w:val="20"/>
          <w:szCs w:val="20"/>
          <w:lang w:val="fr-CA"/>
        </w:rPr>
        <w:pict>
          <v:rect id="_x0000_i1088" style="width:2in;height:1pt" o:hrpct="0" o:hralign="center" o:hrstd="t" o:hrnoshade="t" o:hr="t" fillcolor="black [3213]" stroked="f"/>
        </w:pict>
      </w:r>
    </w:p>
    <w:p w:rsidR="00270573" w:rsidRDefault="00270573" w:rsidP="003944E3">
      <w:pPr>
        <w:jc w:val="both"/>
        <w:rPr>
          <w:sz w:val="20"/>
          <w:szCs w:val="20"/>
          <w:lang w:val="fr-CA"/>
        </w:rPr>
      </w:pPr>
    </w:p>
    <w:p w:rsidR="0096343C" w:rsidRDefault="0096343C">
      <w:pPr>
        <w:rPr>
          <w:sz w:val="20"/>
          <w:szCs w:val="20"/>
          <w:lang w:val="fr-CA"/>
        </w:rPr>
      </w:pPr>
    </w:p>
    <w:p w:rsidR="0096343C" w:rsidRDefault="0096343C">
      <w:pPr>
        <w:rPr>
          <w:sz w:val="20"/>
          <w:szCs w:val="20"/>
          <w:lang w:val="fr-CA"/>
        </w:rPr>
      </w:pPr>
      <w:r>
        <w:rPr>
          <w:sz w:val="20"/>
          <w:szCs w:val="20"/>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96343C" w:rsidRPr="00676607" w:rsidTr="00CC077A">
        <w:tc>
          <w:tcPr>
            <w:tcW w:w="543" w:type="pct"/>
          </w:tcPr>
          <w:p w:rsidR="0096343C" w:rsidRPr="00676607" w:rsidRDefault="0096343C" w:rsidP="00CC077A">
            <w:pPr>
              <w:widowControl w:val="0"/>
              <w:outlineLvl w:val="0"/>
              <w:rPr>
                <w:sz w:val="20"/>
              </w:rPr>
            </w:pPr>
            <w:r w:rsidRPr="00676607">
              <w:rPr>
                <w:b/>
                <w:sz w:val="20"/>
              </w:rPr>
              <w:lastRenderedPageBreak/>
              <w:t>37779</w:t>
            </w:r>
          </w:p>
        </w:tc>
        <w:tc>
          <w:tcPr>
            <w:tcW w:w="4457" w:type="pct"/>
          </w:tcPr>
          <w:p w:rsidR="0096343C" w:rsidRPr="0096343C" w:rsidRDefault="0096343C" w:rsidP="00CC077A">
            <w:pPr>
              <w:widowControl w:val="0"/>
              <w:outlineLvl w:val="0"/>
              <w:rPr>
                <w:b/>
                <w:i/>
                <w:sz w:val="20"/>
              </w:rPr>
            </w:pPr>
            <w:r w:rsidRPr="0096343C">
              <w:rPr>
                <w:b/>
                <w:i/>
                <w:sz w:val="20"/>
              </w:rPr>
              <w:t xml:space="preserve">Michel </w:t>
            </w:r>
            <w:proofErr w:type="spellStart"/>
            <w:r w:rsidRPr="0096343C">
              <w:rPr>
                <w:b/>
                <w:i/>
                <w:sz w:val="20"/>
              </w:rPr>
              <w:t>Ledoux</w:t>
            </w:r>
            <w:proofErr w:type="spellEnd"/>
            <w:r w:rsidRPr="0096343C">
              <w:rPr>
                <w:b/>
                <w:i/>
                <w:sz w:val="20"/>
              </w:rPr>
              <w:t xml:space="preserve"> v. Her Majesty the Queen</w:t>
            </w:r>
          </w:p>
          <w:p w:rsidR="0096343C" w:rsidRPr="00676607" w:rsidRDefault="0096343C" w:rsidP="00CC077A">
            <w:pPr>
              <w:widowControl w:val="0"/>
              <w:outlineLvl w:val="0"/>
              <w:rPr>
                <w:sz w:val="20"/>
              </w:rPr>
            </w:pPr>
            <w:r w:rsidRPr="00676607">
              <w:rPr>
                <w:sz w:val="20"/>
              </w:rPr>
              <w:t>(Que.) (Criminal) (By Leave)</w:t>
            </w:r>
          </w:p>
        </w:tc>
      </w:tr>
      <w:tr w:rsidR="0096343C" w:rsidRPr="00676607" w:rsidTr="00CC077A">
        <w:tc>
          <w:tcPr>
            <w:tcW w:w="5000" w:type="pct"/>
            <w:gridSpan w:val="2"/>
          </w:tcPr>
          <w:p w:rsidR="0096343C" w:rsidRPr="00676607" w:rsidRDefault="0096343C" w:rsidP="00CC077A">
            <w:pPr>
              <w:widowControl w:val="0"/>
              <w:jc w:val="both"/>
              <w:outlineLvl w:val="0"/>
              <w:rPr>
                <w:sz w:val="20"/>
              </w:rPr>
            </w:pPr>
            <w:r w:rsidRPr="00676607">
              <w:rPr>
                <w:sz w:val="20"/>
              </w:rPr>
              <w:t>Criminal law — Interception of private communications — Director of police force wiretapping certain rooms in police station in response to being harassed — Self</w:t>
            </w:r>
            <w:r w:rsidRPr="00676607">
              <w:rPr>
                <w:sz w:val="20"/>
              </w:rPr>
              <w:noBreakHyphen/>
              <w:t>defence — Whether Court of Appeal erred in concluding that defence raised by applicant was defence of mistake of law, not mistake of fact — Whether Court of Appeal erred in concluding that trial judge had erred in law by leaving self</w:t>
            </w:r>
            <w:r w:rsidRPr="00676607">
              <w:rPr>
                <w:sz w:val="20"/>
              </w:rPr>
              <w:noBreakHyphen/>
              <w:t>defence to jury.</w:t>
            </w:r>
          </w:p>
        </w:tc>
      </w:tr>
      <w:tr w:rsidR="0096343C" w:rsidRPr="00676607" w:rsidTr="00CC077A">
        <w:tc>
          <w:tcPr>
            <w:tcW w:w="5000" w:type="pct"/>
            <w:gridSpan w:val="2"/>
          </w:tcPr>
          <w:p w:rsidR="0096343C" w:rsidRPr="00676607" w:rsidRDefault="0096343C" w:rsidP="00CC077A">
            <w:pPr>
              <w:widowControl w:val="0"/>
              <w:jc w:val="both"/>
              <w:outlineLvl w:val="0"/>
              <w:rPr>
                <w:sz w:val="20"/>
              </w:rPr>
            </w:pPr>
          </w:p>
        </w:tc>
      </w:tr>
      <w:tr w:rsidR="0096343C" w:rsidRPr="00676607" w:rsidTr="00CC077A">
        <w:tc>
          <w:tcPr>
            <w:tcW w:w="5000" w:type="pct"/>
            <w:gridSpan w:val="2"/>
          </w:tcPr>
          <w:p w:rsidR="0096343C" w:rsidRPr="00676607" w:rsidRDefault="0096343C" w:rsidP="00CC077A">
            <w:pPr>
              <w:widowControl w:val="0"/>
              <w:jc w:val="both"/>
              <w:outlineLvl w:val="0"/>
              <w:rPr>
                <w:sz w:val="20"/>
              </w:rPr>
            </w:pPr>
            <w:r w:rsidRPr="00676607">
              <w:rPr>
                <w:sz w:val="20"/>
              </w:rPr>
              <w:t>The accused was the director of the police force for the city of Mont</w:t>
            </w:r>
            <w:r w:rsidRPr="00676607">
              <w:rPr>
                <w:sz w:val="20"/>
              </w:rPr>
              <w:noBreakHyphen/>
            </w:r>
            <w:proofErr w:type="spellStart"/>
            <w:r w:rsidRPr="00676607">
              <w:rPr>
                <w:sz w:val="20"/>
              </w:rPr>
              <w:t>Tremblant</w:t>
            </w:r>
            <w:proofErr w:type="spellEnd"/>
            <w:r w:rsidRPr="00676607">
              <w:rPr>
                <w:sz w:val="20"/>
              </w:rPr>
              <w:t xml:space="preserve">. When the collective agreement expired, the work atmosphere became more acrimonious. The accused was repeatedly subjected to intimidation and acts of vandalism. In response, he installed recording devices at the police station and in the room where the negotiations with the union for the renewal of the collective agreement took place. He was charged with interception of private communications within the meaning of the </w:t>
            </w:r>
            <w:r w:rsidRPr="00676607">
              <w:rPr>
                <w:i/>
                <w:sz w:val="20"/>
              </w:rPr>
              <w:t>Criminal Code</w:t>
            </w:r>
            <w:r w:rsidRPr="00676607">
              <w:rPr>
                <w:sz w:val="20"/>
              </w:rPr>
              <w:t>.</w:t>
            </w:r>
          </w:p>
          <w:p w:rsidR="0096343C" w:rsidRPr="00676607" w:rsidRDefault="0096343C" w:rsidP="00CC077A">
            <w:pPr>
              <w:widowControl w:val="0"/>
              <w:jc w:val="both"/>
              <w:outlineLvl w:val="0"/>
              <w:rPr>
                <w:sz w:val="20"/>
              </w:rPr>
            </w:pPr>
          </w:p>
          <w:p w:rsidR="0096343C" w:rsidRPr="00676607" w:rsidRDefault="0096343C" w:rsidP="00CC077A">
            <w:pPr>
              <w:widowControl w:val="0"/>
              <w:jc w:val="both"/>
              <w:outlineLvl w:val="0"/>
              <w:rPr>
                <w:sz w:val="20"/>
              </w:rPr>
            </w:pPr>
            <w:r w:rsidRPr="00676607">
              <w:rPr>
                <w:sz w:val="20"/>
              </w:rPr>
              <w:t>The jury acquitted the accused. It was argued that he had made a mistake with respect to the facts that would entitle him to intercept the communications and that he had acted in self</w:t>
            </w:r>
            <w:r w:rsidRPr="00676607">
              <w:rPr>
                <w:sz w:val="20"/>
              </w:rPr>
              <w:noBreakHyphen/>
              <w:t xml:space="preserve">defence in response to the intimidation directed against him. The Court of Appeal set aside the acquittal and ordered a new trial. </w:t>
            </w:r>
          </w:p>
        </w:tc>
      </w:tr>
    </w:tbl>
    <w:p w:rsidR="0096343C" w:rsidRDefault="0096343C">
      <w:pPr>
        <w:rPr>
          <w:sz w:val="20"/>
          <w:szCs w:val="20"/>
        </w:rPr>
      </w:pPr>
      <w:r>
        <w:rPr>
          <w:sz w:val="20"/>
          <w:szCs w:val="20"/>
          <w:lang w:val="fr-CA"/>
        </w:rPr>
        <w:pict>
          <v:rect id="_x0000_i1093" style="width:2in;height:1pt" o:hrpct="0" o:hralign="center" o:hrstd="t" o:hrnoshade="t" o:hr="t" fillcolor="black [3213]" stroked="f"/>
        </w:pict>
      </w:r>
    </w:p>
    <w:p w:rsidR="0096343C" w:rsidRPr="0096343C" w:rsidRDefault="0096343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96343C" w:rsidRPr="00676607" w:rsidTr="00CC077A">
        <w:tc>
          <w:tcPr>
            <w:tcW w:w="543" w:type="pct"/>
          </w:tcPr>
          <w:p w:rsidR="0096343C" w:rsidRPr="00676607" w:rsidRDefault="0096343C" w:rsidP="00CC077A">
            <w:pPr>
              <w:widowControl w:val="0"/>
              <w:outlineLvl w:val="0"/>
              <w:rPr>
                <w:sz w:val="20"/>
                <w:lang w:val="fr-CA"/>
              </w:rPr>
            </w:pPr>
            <w:r w:rsidRPr="00676607">
              <w:rPr>
                <w:b/>
                <w:sz w:val="20"/>
              </w:rPr>
              <w:t>37779</w:t>
            </w:r>
          </w:p>
        </w:tc>
        <w:tc>
          <w:tcPr>
            <w:tcW w:w="4457" w:type="pct"/>
          </w:tcPr>
          <w:p w:rsidR="0096343C" w:rsidRPr="0096343C" w:rsidRDefault="0096343C" w:rsidP="00CC077A">
            <w:pPr>
              <w:widowControl w:val="0"/>
              <w:outlineLvl w:val="0"/>
              <w:rPr>
                <w:b/>
                <w:i/>
                <w:sz w:val="20"/>
                <w:lang w:val="fr-CA"/>
              </w:rPr>
            </w:pPr>
            <w:r w:rsidRPr="0096343C">
              <w:rPr>
                <w:b/>
                <w:i/>
                <w:sz w:val="20"/>
                <w:lang w:val="fr-CA"/>
              </w:rPr>
              <w:t>Michel Ledoux c. Sa Majesté la Reine</w:t>
            </w:r>
          </w:p>
          <w:p w:rsidR="0096343C" w:rsidRPr="00676607" w:rsidRDefault="0096343C" w:rsidP="00CC077A">
            <w:pPr>
              <w:widowControl w:val="0"/>
              <w:outlineLvl w:val="0"/>
              <w:rPr>
                <w:sz w:val="20"/>
                <w:lang w:val="fr-CA"/>
              </w:rPr>
            </w:pPr>
            <w:r w:rsidRPr="00676607">
              <w:rPr>
                <w:sz w:val="20"/>
                <w:lang w:val="fr-CA"/>
              </w:rPr>
              <w:t>(</w:t>
            </w:r>
            <w:proofErr w:type="spellStart"/>
            <w:r w:rsidRPr="00676607">
              <w:rPr>
                <w:sz w:val="20"/>
                <w:lang w:val="fr-CA"/>
              </w:rPr>
              <w:t>Qc</w:t>
            </w:r>
            <w:proofErr w:type="spellEnd"/>
            <w:r w:rsidRPr="00676607">
              <w:rPr>
                <w:sz w:val="20"/>
                <w:lang w:val="fr-CA"/>
              </w:rPr>
              <w:t>) (Criminelle) (Autorisation)</w:t>
            </w:r>
          </w:p>
        </w:tc>
      </w:tr>
      <w:tr w:rsidR="0096343C" w:rsidRPr="002F5D59" w:rsidTr="00CC077A">
        <w:tc>
          <w:tcPr>
            <w:tcW w:w="5000" w:type="pct"/>
            <w:gridSpan w:val="2"/>
          </w:tcPr>
          <w:p w:rsidR="0096343C" w:rsidRPr="00676607" w:rsidRDefault="0096343C" w:rsidP="00CC077A">
            <w:pPr>
              <w:widowControl w:val="0"/>
              <w:jc w:val="both"/>
              <w:outlineLvl w:val="0"/>
              <w:rPr>
                <w:sz w:val="20"/>
                <w:lang w:val="fr-CA"/>
              </w:rPr>
            </w:pPr>
            <w:r w:rsidRPr="00676607">
              <w:rPr>
                <w:sz w:val="20"/>
                <w:lang w:val="fr-CA"/>
              </w:rPr>
              <w:t xml:space="preserve">Droit criminel — Interception de communications </w:t>
            </w:r>
            <w:r w:rsidRPr="00676607">
              <w:rPr>
                <w:sz w:val="20"/>
                <w:lang w:val="fr-FR"/>
              </w:rPr>
              <w:t xml:space="preserve">privées </w:t>
            </w:r>
            <w:r w:rsidRPr="00676607">
              <w:rPr>
                <w:sz w:val="20"/>
                <w:lang w:val="fr-CA"/>
              </w:rPr>
              <w:t>— Directeur du service de police ayant mis sous écoute certaines salles du poste de police en réponse au harcèlement dont il était victime — Légitime défense — La Cour d’appel a-t-elle erré en concluant que la défense invoquée par le demandeur en était une d’erreur de droit et non de fait? — La Cour d’appel a-t-elle erré en concluant que la juge du procès avait erré en droit en laissant la légitime défense à l’appréciation du jury?</w:t>
            </w:r>
          </w:p>
        </w:tc>
      </w:tr>
      <w:tr w:rsidR="0096343C" w:rsidRPr="002F5D59" w:rsidTr="00CC077A">
        <w:tc>
          <w:tcPr>
            <w:tcW w:w="5000" w:type="pct"/>
            <w:gridSpan w:val="2"/>
          </w:tcPr>
          <w:p w:rsidR="0096343C" w:rsidRPr="00676607" w:rsidRDefault="0096343C" w:rsidP="00CC077A">
            <w:pPr>
              <w:widowControl w:val="0"/>
              <w:jc w:val="both"/>
              <w:outlineLvl w:val="0"/>
              <w:rPr>
                <w:sz w:val="20"/>
                <w:lang w:val="fr-CA"/>
              </w:rPr>
            </w:pPr>
          </w:p>
        </w:tc>
      </w:tr>
      <w:tr w:rsidR="0096343C" w:rsidRPr="002F5D59" w:rsidTr="00CC077A">
        <w:tc>
          <w:tcPr>
            <w:tcW w:w="5000" w:type="pct"/>
            <w:gridSpan w:val="2"/>
          </w:tcPr>
          <w:p w:rsidR="0096343C" w:rsidRPr="00676607" w:rsidRDefault="0096343C" w:rsidP="00CC077A">
            <w:pPr>
              <w:widowControl w:val="0"/>
              <w:jc w:val="both"/>
              <w:outlineLvl w:val="0"/>
              <w:rPr>
                <w:sz w:val="20"/>
                <w:lang w:val="fr-CA"/>
              </w:rPr>
            </w:pPr>
            <w:r w:rsidRPr="00676607">
              <w:rPr>
                <w:sz w:val="20"/>
                <w:lang w:val="fr-CA"/>
              </w:rPr>
              <w:t xml:space="preserve">L’accusé était directeur du service de police de la Ville de Mont-Tremblant. Alors que la convention collective vient à échéance, le climat de travail s’envenime. L’accusé devient victime d’intimidation et d’actes de vandalisme de manière récurrente. Il installe, en réponse à ces actes, des dispositifs d’enregistrement au poste de police et dans la salle où se déroulent les négociations avec le syndicat pour le renouvellement de la convention collective. Il est accusé d’avoir intercepté des communications privées au sens du </w:t>
            </w:r>
            <w:r w:rsidRPr="00676607">
              <w:rPr>
                <w:i/>
                <w:sz w:val="20"/>
                <w:lang w:val="fr-CA"/>
              </w:rPr>
              <w:t>Code criminel</w:t>
            </w:r>
            <w:r w:rsidRPr="00676607">
              <w:rPr>
                <w:sz w:val="20"/>
                <w:lang w:val="fr-CA"/>
              </w:rPr>
              <w:t>.</w:t>
            </w:r>
          </w:p>
          <w:p w:rsidR="0096343C" w:rsidRPr="00676607" w:rsidRDefault="0096343C" w:rsidP="00CC077A">
            <w:pPr>
              <w:widowControl w:val="0"/>
              <w:jc w:val="both"/>
              <w:outlineLvl w:val="0"/>
              <w:rPr>
                <w:sz w:val="20"/>
                <w:lang w:val="fr-CA"/>
              </w:rPr>
            </w:pPr>
          </w:p>
          <w:p w:rsidR="0096343C" w:rsidRPr="00676607" w:rsidRDefault="0096343C" w:rsidP="00CC077A">
            <w:pPr>
              <w:widowControl w:val="0"/>
              <w:jc w:val="both"/>
              <w:outlineLvl w:val="0"/>
              <w:rPr>
                <w:sz w:val="20"/>
                <w:lang w:val="fr-CA"/>
              </w:rPr>
            </w:pPr>
            <w:r w:rsidRPr="00676607">
              <w:rPr>
                <w:sz w:val="20"/>
                <w:lang w:val="fr-CA"/>
              </w:rPr>
              <w:t xml:space="preserve">Le jury acquitte l’accusé. Il est soumis que l’accusé a commis une erreur sur les faits donnant le droit d’intercepter ces communications et qu’il a agi en légitime défense en réponse aux actes d’intimidation dirigés vers lui. La Cour d’appel annule l’acquittement et ordonne un nouveau procès. </w:t>
            </w:r>
          </w:p>
        </w:tc>
      </w:tr>
    </w:tbl>
    <w:p w:rsidR="0096343C" w:rsidRPr="0096343C" w:rsidRDefault="0096343C">
      <w:pPr>
        <w:rPr>
          <w:sz w:val="20"/>
          <w:szCs w:val="20"/>
          <w:lang w:val="fr-CA"/>
        </w:rPr>
      </w:pPr>
    </w:p>
    <w:p w:rsidR="00270573" w:rsidRPr="0096343C" w:rsidRDefault="00270573">
      <w:pPr>
        <w:rPr>
          <w:sz w:val="20"/>
          <w:szCs w:val="20"/>
          <w:lang w:val="fr-CA"/>
        </w:rPr>
      </w:pPr>
      <w:r w:rsidRPr="0096343C">
        <w:rPr>
          <w:sz w:val="20"/>
          <w:szCs w:val="20"/>
          <w:lang w:val="fr-CA"/>
        </w:rPr>
        <w:br w:type="page"/>
      </w:r>
    </w:p>
    <w:p w:rsidR="00905ECB" w:rsidRPr="0080621C" w:rsidRDefault="00905ECB" w:rsidP="00905ECB">
      <w:pPr>
        <w:widowControl w:val="0"/>
        <w:ind w:hanging="22"/>
        <w:jc w:val="both"/>
        <w:rPr>
          <w:b/>
          <w:i/>
          <w:sz w:val="20"/>
          <w:szCs w:val="20"/>
        </w:rPr>
      </w:pPr>
      <w:r w:rsidRPr="0080621C">
        <w:rPr>
          <w:b/>
          <w:sz w:val="20"/>
          <w:szCs w:val="20"/>
        </w:rPr>
        <w:lastRenderedPageBreak/>
        <w:fldChar w:fldCharType="begin"/>
      </w:r>
      <w:r w:rsidRPr="0080621C">
        <w:rPr>
          <w:b/>
          <w:sz w:val="20"/>
          <w:szCs w:val="20"/>
        </w:rPr>
        <w:instrText xml:space="preserve"> SEQ CHAPTER \h \r 1</w:instrText>
      </w:r>
      <w:r w:rsidRPr="0080621C">
        <w:rPr>
          <w:b/>
          <w:sz w:val="20"/>
          <w:szCs w:val="20"/>
        </w:rPr>
        <w:fldChar w:fldCharType="end"/>
      </w:r>
      <w:r w:rsidRPr="0080621C">
        <w:rPr>
          <w:b/>
          <w:sz w:val="20"/>
          <w:szCs w:val="20"/>
        </w:rPr>
        <w:t>37524</w:t>
      </w:r>
      <w:r w:rsidRPr="0080621C">
        <w:rPr>
          <w:sz w:val="20"/>
          <w:szCs w:val="20"/>
        </w:rPr>
        <w:tab/>
      </w:r>
      <w:r w:rsidRPr="0080621C">
        <w:rPr>
          <w:b/>
          <w:i/>
          <w:sz w:val="20"/>
          <w:szCs w:val="20"/>
        </w:rPr>
        <w:t>Her Majesty the Queen in Right of British Columbia v. Philip Morris International, Inc.</w:t>
      </w:r>
    </w:p>
    <w:p w:rsidR="00905ECB" w:rsidRPr="0080621C" w:rsidRDefault="00905ECB" w:rsidP="00905ECB">
      <w:pPr>
        <w:pStyle w:val="SCCCaseDescriptor"/>
        <w:rPr>
          <w:b w:val="0"/>
          <w:sz w:val="20"/>
        </w:rPr>
      </w:pPr>
      <w:r w:rsidRPr="0080621C">
        <w:rPr>
          <w:sz w:val="20"/>
        </w:rPr>
        <w:tab/>
      </w:r>
      <w:r w:rsidRPr="0080621C">
        <w:rPr>
          <w:b w:val="0"/>
          <w:sz w:val="20"/>
        </w:rPr>
        <w:t>(B.C.) (Civil) (By Leave)</w:t>
      </w:r>
      <w:bookmarkStart w:id="6" w:name="4"/>
      <w:bookmarkEnd w:id="6"/>
    </w:p>
    <w:p w:rsidR="00905ECB" w:rsidRPr="0080621C" w:rsidRDefault="00905ECB" w:rsidP="00905ECB">
      <w:pPr>
        <w:widowControl w:val="0"/>
        <w:ind w:left="1440" w:hanging="1440"/>
        <w:jc w:val="both"/>
        <w:rPr>
          <w:sz w:val="20"/>
          <w:szCs w:val="20"/>
        </w:rPr>
      </w:pPr>
    </w:p>
    <w:p w:rsidR="00905ECB" w:rsidRPr="0080621C" w:rsidRDefault="00905ECB" w:rsidP="00905ECB">
      <w:pPr>
        <w:jc w:val="both"/>
        <w:rPr>
          <w:sz w:val="20"/>
          <w:szCs w:val="20"/>
        </w:rPr>
      </w:pPr>
      <w:r w:rsidRPr="0080621C">
        <w:rPr>
          <w:sz w:val="20"/>
          <w:szCs w:val="20"/>
        </w:rPr>
        <w:t xml:space="preserve">Legislation - Interpretation - Civil procedure - Discovery - Evidence - Case management judge ordering production of anonymized individual-level data from provincial health databases - Did the British Columbia Courts err in ordering, notwithstanding the privacy protections of the  </w:t>
      </w:r>
      <w:r w:rsidRPr="0080621C">
        <w:rPr>
          <w:i/>
          <w:sz w:val="20"/>
          <w:szCs w:val="20"/>
        </w:rPr>
        <w:t>Tobacco Damages and Health Care Costs Recovery Act</w:t>
      </w:r>
      <w:r w:rsidRPr="0080621C">
        <w:rPr>
          <w:sz w:val="20"/>
          <w:szCs w:val="20"/>
        </w:rPr>
        <w:t>, S.B.C. 2000, c. 30, (the “</w:t>
      </w:r>
      <w:r w:rsidRPr="0080621C">
        <w:rPr>
          <w:i/>
          <w:sz w:val="20"/>
          <w:szCs w:val="20"/>
        </w:rPr>
        <w:t>Act</w:t>
      </w:r>
      <w:r w:rsidRPr="0080621C">
        <w:rPr>
          <w:sz w:val="20"/>
          <w:szCs w:val="20"/>
        </w:rPr>
        <w:t xml:space="preserve">”), production of the databases containing health care information of the residents of British Columbia - Are the health care databases either “health care records and documents of particular individual insured persons” or “documents relating to the provision of health care benefits for particular individual insured persons” and therefore not compellable under the </w:t>
      </w:r>
      <w:r w:rsidRPr="0080621C">
        <w:rPr>
          <w:i/>
          <w:sz w:val="20"/>
          <w:szCs w:val="20"/>
        </w:rPr>
        <w:t xml:space="preserve">Act </w:t>
      </w:r>
      <w:r w:rsidRPr="0080621C">
        <w:rPr>
          <w:sz w:val="20"/>
          <w:szCs w:val="20"/>
        </w:rPr>
        <w:t xml:space="preserve">- Does an order removing the names or other identifiers from the databases mean that they are no longer either “health care records and documents of particular individual insured persons” or “documents relating to the provision of health care benefits for particular individual insured persons” - Does a court have an overriding discretion, notwithstanding the privacy protections of the </w:t>
      </w:r>
      <w:r w:rsidRPr="0080621C">
        <w:rPr>
          <w:i/>
          <w:sz w:val="20"/>
          <w:szCs w:val="20"/>
        </w:rPr>
        <w:t>Act</w:t>
      </w:r>
      <w:r w:rsidRPr="0080621C">
        <w:rPr>
          <w:sz w:val="20"/>
          <w:szCs w:val="20"/>
        </w:rPr>
        <w:t>, to order production of the health care databases on the basis of “trial fairness”.</w:t>
      </w:r>
    </w:p>
    <w:p w:rsidR="00905ECB" w:rsidRPr="0080621C" w:rsidRDefault="00905ECB" w:rsidP="00905ECB">
      <w:pPr>
        <w:widowControl w:val="0"/>
        <w:jc w:val="both"/>
        <w:rPr>
          <w:sz w:val="20"/>
          <w:szCs w:val="20"/>
        </w:rPr>
      </w:pPr>
    </w:p>
    <w:p w:rsidR="00905ECB" w:rsidRPr="0080621C" w:rsidRDefault="00905ECB" w:rsidP="00905ECB">
      <w:pPr>
        <w:jc w:val="both"/>
        <w:rPr>
          <w:i/>
          <w:sz w:val="20"/>
          <w:szCs w:val="20"/>
        </w:rPr>
      </w:pPr>
      <w:r w:rsidRPr="0080621C">
        <w:rPr>
          <w:sz w:val="20"/>
          <w:szCs w:val="20"/>
        </w:rPr>
        <w:t xml:space="preserve">The appellant brought an action pursuant to the </w:t>
      </w:r>
      <w:r w:rsidRPr="0080621C">
        <w:rPr>
          <w:i/>
          <w:sz w:val="20"/>
          <w:szCs w:val="20"/>
        </w:rPr>
        <w:t>Act</w:t>
      </w:r>
      <w:r w:rsidRPr="0080621C">
        <w:rPr>
          <w:sz w:val="20"/>
          <w:szCs w:val="20"/>
        </w:rPr>
        <w:t xml:space="preserve"> to recover tobacco-related health care costs from tobacco defendants. The legislation, which substitutes the normal rules of evidence and procedure for those specifically mandated by statute, was upheld by the Supreme Court of Canada as constitutional and not unduly interfering with judicial independence or the rule of law: </w:t>
      </w:r>
      <w:r w:rsidRPr="0080621C">
        <w:rPr>
          <w:i/>
          <w:sz w:val="20"/>
          <w:szCs w:val="20"/>
        </w:rPr>
        <w:t>British Columbia v. Imperial Tobacco Canada Ltd</w:t>
      </w:r>
      <w:r w:rsidRPr="0080621C">
        <w:rPr>
          <w:sz w:val="20"/>
          <w:szCs w:val="20"/>
        </w:rPr>
        <w:t xml:space="preserve">., [2005] 2 S.C.R. 473, 2005 SCC 49. The appellant offered to provide access to anonymized health information databases to the tobacco defendants, provided they agreed to the terms of a Statistics Canada Agreement whereby the experts of all signatories would have the same access and would be subject to the same restrictions. While some tobacco defendants entered into the agreement, the respondent brought an application for an order that the appellant produce anonymized individual-level data from provincial health databases. The appellant resists on the basis that the databases contain private health care information about millions of BC residents and that its compellability is barred by s. 2(5)(b) of the </w:t>
      </w:r>
      <w:r w:rsidRPr="0080621C">
        <w:rPr>
          <w:i/>
          <w:sz w:val="20"/>
          <w:szCs w:val="20"/>
        </w:rPr>
        <w:t>Act.</w:t>
      </w:r>
    </w:p>
    <w:p w:rsidR="00905ECB" w:rsidRPr="0080621C" w:rsidRDefault="00905ECB" w:rsidP="00905ECB">
      <w:pPr>
        <w:rPr>
          <w:sz w:val="20"/>
          <w:szCs w:val="20"/>
        </w:rPr>
      </w:pPr>
    </w:p>
    <w:p w:rsidR="00905ECB" w:rsidRPr="0080621C" w:rsidRDefault="00905ECB" w:rsidP="00905ECB">
      <w:pPr>
        <w:jc w:val="both"/>
        <w:rPr>
          <w:sz w:val="20"/>
          <w:szCs w:val="20"/>
        </w:rPr>
      </w:pPr>
      <w:r w:rsidRPr="0080621C">
        <w:rPr>
          <w:sz w:val="20"/>
          <w:szCs w:val="20"/>
        </w:rPr>
        <w:t xml:space="preserve">The Supreme Court of British Columbia granted the respondent’s application. Declining to follow a subsequent, contradictory decision in </w:t>
      </w:r>
      <w:r w:rsidRPr="0080621C">
        <w:rPr>
          <w:i/>
          <w:sz w:val="20"/>
          <w:szCs w:val="20"/>
        </w:rPr>
        <w:t>Rothmans et al. v. Her Majesty the Queen in Right of the province of New Brunswick</w:t>
      </w:r>
      <w:r w:rsidRPr="0080621C">
        <w:rPr>
          <w:sz w:val="20"/>
          <w:szCs w:val="20"/>
        </w:rPr>
        <w:t>, 2016 NBQB 106 (leave to appeal to NBCA and SCC dismissed July 29, 2016, and January 26, 2017, respectively), the appellate court dismissed the appeal.</w:t>
      </w:r>
    </w:p>
    <w:p w:rsidR="00270573" w:rsidRPr="00270573" w:rsidRDefault="008D266B" w:rsidP="003944E3">
      <w:pPr>
        <w:jc w:val="both"/>
        <w:rPr>
          <w:sz w:val="20"/>
          <w:szCs w:val="20"/>
        </w:rPr>
      </w:pPr>
      <w:r>
        <w:rPr>
          <w:sz w:val="20"/>
          <w:szCs w:val="20"/>
          <w:lang w:val="fr-CA"/>
        </w:rPr>
        <w:pict>
          <v:rect id="_x0000_i1089" style="width:2in;height:1pt" o:hrpct="0" o:hralign="center" o:hrstd="t" o:hrnoshade="t" o:hr="t" fillcolor="black [3213]" stroked="f"/>
        </w:pict>
      </w:r>
    </w:p>
    <w:p w:rsidR="004450E7" w:rsidRDefault="004450E7" w:rsidP="004A767C">
      <w:pPr>
        <w:jc w:val="both"/>
        <w:rPr>
          <w:sz w:val="20"/>
          <w:szCs w:val="20"/>
          <w:lang w:val="en-US"/>
        </w:rPr>
      </w:pPr>
    </w:p>
    <w:p w:rsidR="00905ECB" w:rsidRDefault="00905ECB">
      <w:pPr>
        <w:rPr>
          <w:sz w:val="20"/>
          <w:szCs w:val="20"/>
          <w:lang w:val="en-US"/>
        </w:rPr>
      </w:pPr>
      <w:r>
        <w:rPr>
          <w:sz w:val="20"/>
          <w:szCs w:val="20"/>
          <w:lang w:val="en-US"/>
        </w:rPr>
        <w:br w:type="page"/>
      </w:r>
    </w:p>
    <w:p w:rsidR="00905ECB" w:rsidRPr="00912F9C" w:rsidRDefault="00905ECB" w:rsidP="00905ECB">
      <w:pPr>
        <w:widowControl w:val="0"/>
        <w:ind w:left="713" w:hanging="735"/>
        <w:jc w:val="both"/>
        <w:rPr>
          <w:b/>
          <w:i/>
          <w:sz w:val="20"/>
          <w:szCs w:val="20"/>
          <w:lang w:val="fr-CA"/>
        </w:rPr>
      </w:pPr>
      <w:r w:rsidRPr="00912F9C">
        <w:rPr>
          <w:b/>
          <w:sz w:val="20"/>
          <w:szCs w:val="20"/>
          <w:lang w:val="fr-CA"/>
        </w:rPr>
        <w:lastRenderedPageBreak/>
        <w:fldChar w:fldCharType="begin"/>
      </w:r>
      <w:r w:rsidRPr="00912F9C">
        <w:rPr>
          <w:b/>
          <w:sz w:val="20"/>
          <w:szCs w:val="20"/>
          <w:lang w:val="fr-CA"/>
        </w:rPr>
        <w:instrText xml:space="preserve"> SEQ CHAPTER \h \r 1</w:instrText>
      </w:r>
      <w:r w:rsidRPr="00912F9C">
        <w:rPr>
          <w:b/>
          <w:sz w:val="20"/>
          <w:szCs w:val="20"/>
          <w:lang w:val="fr-CA"/>
        </w:rPr>
        <w:fldChar w:fldCharType="end"/>
      </w:r>
      <w:r w:rsidRPr="00912F9C">
        <w:rPr>
          <w:b/>
          <w:sz w:val="20"/>
          <w:szCs w:val="20"/>
          <w:lang w:val="fr-CA"/>
        </w:rPr>
        <w:t>37524</w:t>
      </w:r>
      <w:r w:rsidRPr="00912F9C">
        <w:rPr>
          <w:sz w:val="20"/>
          <w:szCs w:val="20"/>
          <w:lang w:val="fr-CA"/>
        </w:rPr>
        <w:tab/>
      </w:r>
      <w:r w:rsidRPr="00912F9C">
        <w:rPr>
          <w:b/>
          <w:i/>
          <w:sz w:val="20"/>
          <w:szCs w:val="20"/>
          <w:lang w:val="fr-CA"/>
        </w:rPr>
        <w:t>Sa Majesté la Reine du chef de la Colombie-Britannique c. Philip Morris International, Inc.</w:t>
      </w:r>
    </w:p>
    <w:p w:rsidR="00905ECB" w:rsidRPr="00912F9C" w:rsidRDefault="00905ECB" w:rsidP="00905ECB">
      <w:pPr>
        <w:pStyle w:val="SCCCaseDescriptor"/>
        <w:rPr>
          <w:b w:val="0"/>
          <w:sz w:val="20"/>
          <w:lang w:val="fr-CA"/>
        </w:rPr>
      </w:pPr>
      <w:r w:rsidRPr="00912F9C">
        <w:rPr>
          <w:sz w:val="20"/>
          <w:lang w:val="fr-CA"/>
        </w:rPr>
        <w:tab/>
      </w:r>
      <w:r w:rsidRPr="00912F9C">
        <w:rPr>
          <w:b w:val="0"/>
          <w:sz w:val="20"/>
          <w:lang w:val="fr-CA"/>
        </w:rPr>
        <w:t>(C.-B.) (Civile) (Sur autorisation)</w:t>
      </w:r>
    </w:p>
    <w:p w:rsidR="00905ECB" w:rsidRPr="00912F9C" w:rsidRDefault="00905ECB" w:rsidP="00905ECB">
      <w:pPr>
        <w:widowControl w:val="0"/>
        <w:ind w:left="1440" w:hanging="1440"/>
        <w:jc w:val="both"/>
        <w:rPr>
          <w:sz w:val="20"/>
          <w:szCs w:val="20"/>
          <w:lang w:val="fr-CA"/>
        </w:rPr>
      </w:pPr>
    </w:p>
    <w:p w:rsidR="00905ECB" w:rsidRPr="00912F9C" w:rsidRDefault="00905ECB" w:rsidP="00905ECB">
      <w:pPr>
        <w:jc w:val="both"/>
        <w:rPr>
          <w:sz w:val="20"/>
          <w:szCs w:val="20"/>
          <w:lang w:val="fr-CA"/>
        </w:rPr>
      </w:pPr>
      <w:r w:rsidRPr="00912F9C">
        <w:rPr>
          <w:sz w:val="20"/>
          <w:szCs w:val="20"/>
          <w:lang w:val="fr-CA"/>
        </w:rPr>
        <w:t xml:space="preserve">Législation - Interprétation - Procédure civile - Communication préalable de la preuve - Preuve - La juge chargée de la gestion d’instance a ordonné la production de données personnelles anonymisées provenant de bases de données sur la santé provinciales - Les tribunaux de la Colombie-Britannique ont-ils eu tort d’ordonner, malgré les protections de la vie privée prévues dans la </w:t>
      </w:r>
      <w:r w:rsidRPr="00912F9C">
        <w:rPr>
          <w:i/>
          <w:sz w:val="20"/>
          <w:szCs w:val="20"/>
          <w:lang w:val="fr-CA"/>
        </w:rPr>
        <w:t>Tobacco Damages and Health Care Costas Recoder Act</w:t>
      </w:r>
      <w:r w:rsidRPr="00912F9C">
        <w:rPr>
          <w:sz w:val="20"/>
          <w:szCs w:val="20"/>
          <w:lang w:val="fr-CA"/>
        </w:rPr>
        <w:t>, S.B.C. 2000, ch. 30, (la « </w:t>
      </w:r>
      <w:r w:rsidRPr="00912F9C">
        <w:rPr>
          <w:i/>
          <w:sz w:val="20"/>
          <w:szCs w:val="20"/>
          <w:lang w:val="fr-CA"/>
        </w:rPr>
        <w:t>Loi</w:t>
      </w:r>
      <w:r w:rsidRPr="00912F9C">
        <w:rPr>
          <w:sz w:val="20"/>
          <w:szCs w:val="20"/>
          <w:lang w:val="fr-CA"/>
        </w:rPr>
        <w:t> »), la production des bases de données renfermant les renseignements sur les soins de santé des résidents de la Colombie-Britannique? - Les bases de données sur les soins de santé sont-elles des [</w:t>
      </w:r>
      <w:r w:rsidRPr="00912F9C">
        <w:rPr>
          <w:smallCaps/>
          <w:sz w:val="20"/>
          <w:szCs w:val="20"/>
          <w:lang w:val="fr-CA"/>
        </w:rPr>
        <w:t>traduction</w:t>
      </w:r>
      <w:r w:rsidRPr="00912F9C">
        <w:rPr>
          <w:sz w:val="20"/>
          <w:szCs w:val="20"/>
          <w:lang w:val="fr-CA"/>
        </w:rPr>
        <w:t>] « dossiers et documents médicaux concernant des assurés en particulier » ou des [</w:t>
      </w:r>
      <w:r w:rsidRPr="00912F9C">
        <w:rPr>
          <w:smallCaps/>
          <w:sz w:val="20"/>
          <w:szCs w:val="20"/>
          <w:lang w:val="fr-CA"/>
        </w:rPr>
        <w:t>traduction</w:t>
      </w:r>
      <w:r w:rsidRPr="00912F9C">
        <w:rPr>
          <w:sz w:val="20"/>
          <w:szCs w:val="20"/>
          <w:lang w:val="fr-CA"/>
        </w:rPr>
        <w:t xml:space="preserve">] « documents relatifs aux soins de santé prodigués à ces assurés », si bien que, suivant la </w:t>
      </w:r>
      <w:r w:rsidRPr="00912F9C">
        <w:rPr>
          <w:i/>
          <w:sz w:val="20"/>
          <w:szCs w:val="20"/>
          <w:lang w:val="fr-CA"/>
        </w:rPr>
        <w:t>Loi</w:t>
      </w:r>
      <w:r w:rsidRPr="00912F9C">
        <w:rPr>
          <w:sz w:val="20"/>
          <w:szCs w:val="20"/>
          <w:lang w:val="fr-CA"/>
        </w:rPr>
        <w:t>, nul ne peut en exiger la production? - Une ordonnance expurgeant les noms ou autres identificateurs des bases de données fait-elle en sorte que les bases de données ne sont plus des [</w:t>
      </w:r>
      <w:r w:rsidRPr="00912F9C">
        <w:rPr>
          <w:smallCaps/>
          <w:sz w:val="20"/>
          <w:szCs w:val="20"/>
          <w:lang w:val="fr-CA"/>
        </w:rPr>
        <w:t>traduction</w:t>
      </w:r>
      <w:r w:rsidRPr="00912F9C">
        <w:rPr>
          <w:sz w:val="20"/>
          <w:szCs w:val="20"/>
          <w:lang w:val="fr-CA"/>
        </w:rPr>
        <w:t>] « dossiers et documents médicaux concernant des assurés en particulier » ou des [</w:t>
      </w:r>
      <w:r w:rsidRPr="00912F9C">
        <w:rPr>
          <w:smallCaps/>
          <w:sz w:val="20"/>
          <w:szCs w:val="20"/>
          <w:lang w:val="fr-CA"/>
        </w:rPr>
        <w:t>traduction</w:t>
      </w:r>
      <w:r w:rsidRPr="00912F9C">
        <w:rPr>
          <w:sz w:val="20"/>
          <w:szCs w:val="20"/>
          <w:lang w:val="fr-CA"/>
        </w:rPr>
        <w:t xml:space="preserve">] « documents relatifs aux soins de santé prodigués à ces assurés »? - Un tribunal jouit-il d’un pouvoir discrétionnaire prépondérant, malgré les protections de la vie privée prévues dans la </w:t>
      </w:r>
      <w:r w:rsidRPr="00912F9C">
        <w:rPr>
          <w:i/>
          <w:sz w:val="20"/>
          <w:szCs w:val="20"/>
          <w:lang w:val="fr-CA"/>
        </w:rPr>
        <w:t>Loi</w:t>
      </w:r>
      <w:r w:rsidRPr="00912F9C">
        <w:rPr>
          <w:sz w:val="20"/>
          <w:szCs w:val="20"/>
          <w:lang w:val="fr-CA"/>
        </w:rPr>
        <w:t>, d’ordonner la production de bases de données sur les soins de santé sur le fondement de l’« équité du procès ».</w:t>
      </w:r>
    </w:p>
    <w:p w:rsidR="00905ECB" w:rsidRPr="00912F9C" w:rsidRDefault="00905ECB" w:rsidP="00905ECB">
      <w:pPr>
        <w:widowControl w:val="0"/>
        <w:jc w:val="both"/>
        <w:rPr>
          <w:sz w:val="20"/>
          <w:szCs w:val="20"/>
          <w:lang w:val="fr-CA"/>
        </w:rPr>
      </w:pPr>
    </w:p>
    <w:p w:rsidR="00905ECB" w:rsidRPr="00912F9C" w:rsidRDefault="00905ECB" w:rsidP="00905ECB">
      <w:pPr>
        <w:jc w:val="both"/>
        <w:rPr>
          <w:sz w:val="20"/>
          <w:szCs w:val="20"/>
          <w:lang w:val="fr-CA"/>
        </w:rPr>
      </w:pPr>
      <w:r w:rsidRPr="00912F9C">
        <w:rPr>
          <w:sz w:val="20"/>
          <w:szCs w:val="20"/>
          <w:lang w:val="fr-CA"/>
        </w:rPr>
        <w:t xml:space="preserve">L’appelante a intenté une action sous le régime de la </w:t>
      </w:r>
      <w:r w:rsidRPr="00912F9C">
        <w:rPr>
          <w:i/>
          <w:sz w:val="20"/>
          <w:szCs w:val="20"/>
          <w:lang w:val="fr-CA"/>
        </w:rPr>
        <w:t>Loi</w:t>
      </w:r>
      <w:r w:rsidRPr="00912F9C">
        <w:rPr>
          <w:sz w:val="20"/>
          <w:szCs w:val="20"/>
          <w:lang w:val="fr-CA"/>
        </w:rPr>
        <w:t xml:space="preserve"> afin de recouvrer des fabricants de tabac défendeurs les coûts des soins de santé liés au tabac. La Cour suprême du Canada a statué que cette loi, qui remplace les règles habituelles de preuve et de procédure par celles qui sont prescrites par le texte de loi, était constitutionnelle et qu’elle ne faisait pas indûment obstacle à l’indépendance judiciaire ou à la primauté du droit : </w:t>
      </w:r>
      <w:r w:rsidRPr="00912F9C">
        <w:rPr>
          <w:i/>
          <w:sz w:val="20"/>
          <w:szCs w:val="20"/>
          <w:lang w:val="fr-CA"/>
        </w:rPr>
        <w:t>Colombie-Britannique c. Imperial Tobacco Canada Ltée</w:t>
      </w:r>
      <w:r w:rsidRPr="00912F9C">
        <w:rPr>
          <w:sz w:val="20"/>
          <w:szCs w:val="20"/>
          <w:lang w:val="fr-CA"/>
        </w:rPr>
        <w:t xml:space="preserve">, [2005] 2 R.C.S. 473, 2005 CSC 49. L’appelante a offert de donner aux fabricants de tabac défendeurs accès à des bases de données sur la santé anonymisées, pourvu qu’ils acceptent les conditions d’une entente avec Statistique Canada en vertu de laquelle les experts de tous les signataires auraient le même accès et feraient l’objet des mêmes restrictions. Bien que certains fabricants de tabac défendeurs aient signé l’entente, l’intimée a présenté une requête en vue d’obtenir une ordonnance enjoignant à l’appelante de produire des données personnelles anonymisées provenant de bases de données sur la santé provinciales. L’appelante s’y oppose, faisant valoir que les bases de données renferment des renseignements personnels sur les soins de santé de millions de résidents de la Colombie-Britannique et que l’al. 2(5)b) de la </w:t>
      </w:r>
      <w:r w:rsidRPr="00912F9C">
        <w:rPr>
          <w:i/>
          <w:sz w:val="20"/>
          <w:szCs w:val="20"/>
          <w:lang w:val="fr-CA"/>
        </w:rPr>
        <w:t xml:space="preserve">Loi </w:t>
      </w:r>
      <w:r w:rsidRPr="00912F9C">
        <w:rPr>
          <w:sz w:val="20"/>
          <w:szCs w:val="20"/>
          <w:lang w:val="fr-CA"/>
        </w:rPr>
        <w:t>fait obstacle à sa contraignabilité</w:t>
      </w:r>
      <w:r w:rsidRPr="00912F9C">
        <w:rPr>
          <w:i/>
          <w:sz w:val="20"/>
          <w:szCs w:val="20"/>
          <w:lang w:val="fr-CA"/>
        </w:rPr>
        <w:t>.</w:t>
      </w:r>
    </w:p>
    <w:p w:rsidR="00905ECB" w:rsidRPr="00912F9C" w:rsidRDefault="00905ECB" w:rsidP="00905ECB">
      <w:pPr>
        <w:rPr>
          <w:sz w:val="20"/>
          <w:szCs w:val="20"/>
          <w:lang w:val="fr-CA"/>
        </w:rPr>
      </w:pPr>
    </w:p>
    <w:p w:rsidR="00905ECB" w:rsidRDefault="00905ECB" w:rsidP="00905ECB">
      <w:pPr>
        <w:jc w:val="both"/>
        <w:rPr>
          <w:sz w:val="20"/>
          <w:szCs w:val="20"/>
          <w:lang w:val="fr-CA"/>
        </w:rPr>
      </w:pPr>
      <w:r w:rsidRPr="00912F9C">
        <w:rPr>
          <w:sz w:val="20"/>
          <w:szCs w:val="20"/>
          <w:lang w:val="fr-CA"/>
        </w:rPr>
        <w:t xml:space="preserve">La Cour suprême de la Colombie-Britannique a accueilli la requête de l’intimée. Refusant de suivre un jugement subséquent contradictoire, </w:t>
      </w:r>
      <w:r w:rsidRPr="00912F9C">
        <w:rPr>
          <w:i/>
          <w:sz w:val="20"/>
          <w:szCs w:val="20"/>
          <w:lang w:val="fr-CA"/>
        </w:rPr>
        <w:t>Rothmans et al. C. Sa Majesté la Reine du chef de la province du Nouveau-Brunswick</w:t>
      </w:r>
      <w:r w:rsidRPr="00912F9C">
        <w:rPr>
          <w:sz w:val="20"/>
          <w:szCs w:val="20"/>
          <w:lang w:val="fr-CA"/>
        </w:rPr>
        <w:t>, 2016 NBQB 106 (autorisation d’appel à la Cour d’appel du Nouveau-Brunswick et à la Cour suprême du Canada refusée le 29 juillet 2016 et le 26 janvier 2017, respectivement), la cour d’appel a rejeté l’appel.</w:t>
      </w:r>
    </w:p>
    <w:p w:rsidR="00905ECB" w:rsidRDefault="008D266B" w:rsidP="00905ECB">
      <w:pPr>
        <w:jc w:val="both"/>
        <w:rPr>
          <w:sz w:val="20"/>
          <w:szCs w:val="20"/>
          <w:lang w:val="fr-CA"/>
        </w:rPr>
      </w:pPr>
      <w:r>
        <w:rPr>
          <w:sz w:val="20"/>
          <w:szCs w:val="20"/>
          <w:lang w:val="fr-CA"/>
        </w:rPr>
        <w:pict>
          <v:rect id="_x0000_i1090" style="width:2in;height:1pt" o:hrpct="0" o:hralign="center" o:hrstd="t" o:hrnoshade="t" o:hr="t" fillcolor="black [3213]" stroked="f"/>
        </w:pict>
      </w:r>
    </w:p>
    <w:p w:rsidR="00147A11" w:rsidRDefault="00147A11" w:rsidP="00905ECB">
      <w:pPr>
        <w:jc w:val="both"/>
        <w:rPr>
          <w:sz w:val="20"/>
          <w:szCs w:val="20"/>
          <w:lang w:val="fr-CA"/>
        </w:rPr>
      </w:pPr>
    </w:p>
    <w:p w:rsidR="00147A11" w:rsidRDefault="00147A11" w:rsidP="00905ECB">
      <w:pPr>
        <w:jc w:val="both"/>
        <w:rPr>
          <w:sz w:val="20"/>
          <w:szCs w:val="20"/>
          <w:lang w:val="fr-CA"/>
        </w:rPr>
      </w:pPr>
    </w:p>
    <w:p w:rsidR="00147A11" w:rsidRDefault="00147A11" w:rsidP="00905ECB">
      <w:pPr>
        <w:jc w:val="both"/>
        <w:rPr>
          <w:sz w:val="20"/>
          <w:szCs w:val="20"/>
          <w:lang w:val="fr-CA"/>
        </w:rPr>
      </w:pPr>
    </w:p>
    <w:p w:rsidR="00147A11" w:rsidRPr="00DA06E0" w:rsidRDefault="00147A11" w:rsidP="00147A11">
      <w:pPr>
        <w:rPr>
          <w:sz w:val="20"/>
          <w:szCs w:val="20"/>
          <w:lang w:val="fr-CA"/>
        </w:rPr>
      </w:pPr>
    </w:p>
    <w:p w:rsidR="00147A11" w:rsidRPr="00DA06E0" w:rsidRDefault="00147A11" w:rsidP="00147A11">
      <w:pPr>
        <w:rPr>
          <w:sz w:val="20"/>
          <w:szCs w:val="20"/>
          <w:lang w:val="fr-CA"/>
        </w:rPr>
      </w:pPr>
    </w:p>
    <w:p w:rsidR="00147A11" w:rsidRPr="00DA06E0" w:rsidRDefault="00147A11" w:rsidP="00147A11">
      <w:pPr>
        <w:jc w:val="center"/>
        <w:rPr>
          <w:b/>
          <w:sz w:val="60"/>
          <w:szCs w:val="60"/>
        </w:rPr>
      </w:pPr>
      <w:r w:rsidRPr="00DA06E0">
        <w:rPr>
          <w:b/>
          <w:sz w:val="60"/>
          <w:szCs w:val="60"/>
        </w:rPr>
        <w:t>SEASON’S GREETINGS!</w:t>
      </w:r>
    </w:p>
    <w:p w:rsidR="00147A11" w:rsidRPr="00DA06E0" w:rsidRDefault="00147A11" w:rsidP="00147A11">
      <w:pPr>
        <w:rPr>
          <w:sz w:val="60"/>
          <w:szCs w:val="60"/>
        </w:rPr>
      </w:pPr>
    </w:p>
    <w:p w:rsidR="00147A11" w:rsidRPr="00DA06E0" w:rsidRDefault="00147A11" w:rsidP="00147A11">
      <w:pPr>
        <w:jc w:val="center"/>
        <w:rPr>
          <w:b/>
          <w:sz w:val="60"/>
          <w:szCs w:val="60"/>
        </w:rPr>
      </w:pPr>
      <w:r w:rsidRPr="00DA06E0">
        <w:rPr>
          <w:b/>
          <w:sz w:val="60"/>
          <w:szCs w:val="60"/>
        </w:rPr>
        <w:t>MEILLEURS VOEUX!</w:t>
      </w:r>
    </w:p>
    <w:p w:rsidR="00147A11" w:rsidRPr="00DA06E0" w:rsidRDefault="00147A11" w:rsidP="00147A11">
      <w:pPr>
        <w:rPr>
          <w:sz w:val="20"/>
          <w:szCs w:val="20"/>
        </w:rPr>
      </w:pPr>
    </w:p>
    <w:p w:rsidR="00147A11" w:rsidRPr="00912F9C" w:rsidRDefault="00147A11" w:rsidP="00905ECB">
      <w:pPr>
        <w:jc w:val="both"/>
        <w:rPr>
          <w:sz w:val="20"/>
          <w:szCs w:val="20"/>
          <w:lang w:val="fr-CA"/>
        </w:rPr>
      </w:pPr>
    </w:p>
    <w:p w:rsidR="00905ECB" w:rsidRPr="00905ECB" w:rsidRDefault="00905ECB" w:rsidP="004A767C">
      <w:pPr>
        <w:jc w:val="both"/>
        <w:rPr>
          <w:sz w:val="20"/>
          <w:szCs w:val="20"/>
          <w:lang w:val="fr-CA"/>
        </w:rPr>
      </w:pPr>
    </w:p>
    <w:p w:rsidR="004A767C" w:rsidRPr="00905ECB" w:rsidRDefault="004A767C" w:rsidP="004A767C">
      <w:pPr>
        <w:jc w:val="both"/>
        <w:rPr>
          <w:sz w:val="20"/>
          <w:szCs w:val="20"/>
          <w:lang w:val="fr-CA"/>
        </w:rPr>
        <w:sectPr w:rsidR="004A767C" w:rsidRPr="00905ECB" w:rsidSect="0022323B">
          <w:headerReference w:type="even" r:id="rId92"/>
          <w:headerReference w:type="default" r:id="rId93"/>
          <w:footerReference w:type="even" r:id="rId94"/>
          <w:footerReference w:type="default" r:id="rId95"/>
          <w:headerReference w:type="first" r:id="rId96"/>
          <w:footerReference w:type="first" r:id="rId97"/>
          <w:pgSz w:w="12240" w:h="15840"/>
          <w:pgMar w:top="720" w:right="965" w:bottom="1080" w:left="1656" w:header="720" w:footer="965" w:gutter="0"/>
          <w:cols w:space="720"/>
          <w:titlePg/>
          <w:docGrid w:linePitch="326"/>
        </w:sectPr>
      </w:pPr>
    </w:p>
    <w:p w:rsidR="00BB04F4" w:rsidRDefault="00BB04F4" w:rsidP="008902B1">
      <w:pPr>
        <w:widowControl w:val="0"/>
        <w:spacing w:line="180" w:lineRule="auto"/>
        <w:jc w:val="center"/>
        <w:rPr>
          <w:rFonts w:asciiTheme="minorHAnsi" w:hAnsiTheme="minorHAnsi" w:cstheme="minorHAnsi"/>
          <w:b/>
          <w:szCs w:val="24"/>
        </w:rPr>
      </w:pPr>
      <w:bookmarkStart w:id="7" w:name="QuickMark"/>
      <w:bookmarkEnd w:id="7"/>
    </w:p>
    <w:p w:rsidR="008902B1" w:rsidRPr="002E0C7E" w:rsidRDefault="008902B1" w:rsidP="008902B1">
      <w:pPr>
        <w:widowControl w:val="0"/>
        <w:spacing w:line="180" w:lineRule="auto"/>
        <w:jc w:val="center"/>
        <w:rPr>
          <w:rFonts w:asciiTheme="minorHAnsi" w:hAnsiTheme="minorHAnsi" w:cstheme="minorHAnsi"/>
          <w:b/>
          <w:szCs w:val="24"/>
        </w:rPr>
      </w:pPr>
      <w:r w:rsidRPr="002E0C7E">
        <w:rPr>
          <w:rFonts w:asciiTheme="minorHAnsi" w:hAnsiTheme="minorHAnsi" w:cstheme="minorHAnsi"/>
          <w:b/>
          <w:szCs w:val="24"/>
        </w:rPr>
        <w:fldChar w:fldCharType="begin"/>
      </w:r>
      <w:r w:rsidRPr="002E0C7E">
        <w:rPr>
          <w:rFonts w:asciiTheme="minorHAnsi" w:hAnsiTheme="minorHAnsi" w:cstheme="minorHAnsi"/>
          <w:b/>
          <w:szCs w:val="24"/>
        </w:rPr>
        <w:instrText xml:space="preserve"> SEQ CHAPTER \h \r 1</w:instrText>
      </w:r>
      <w:r w:rsidRPr="002E0C7E">
        <w:rPr>
          <w:rFonts w:asciiTheme="minorHAnsi" w:hAnsiTheme="minorHAnsi" w:cstheme="minorHAnsi"/>
          <w:b/>
          <w:szCs w:val="24"/>
        </w:rPr>
        <w:fldChar w:fldCharType="end"/>
      </w:r>
      <w:r w:rsidRPr="002E0C7E">
        <w:rPr>
          <w:rFonts w:asciiTheme="minorHAnsi" w:hAnsiTheme="minorHAnsi" w:cstheme="minorHAnsi"/>
          <w:b/>
          <w:szCs w:val="24"/>
        </w:rPr>
        <w:t>SUPREME COURT OF CANADA SCHEDULE / CALENDRIER DE LA COUR SUPREME</w:t>
      </w:r>
    </w:p>
    <w:p w:rsidR="0013595D" w:rsidRPr="002E0C7E" w:rsidRDefault="0013595D" w:rsidP="0013595D">
      <w:pPr>
        <w:widowControl w:val="0"/>
        <w:spacing w:line="180" w:lineRule="auto"/>
        <w:rPr>
          <w:rFonts w:asciiTheme="minorHAnsi" w:hAnsiTheme="minorHAnsi" w:cstheme="minorHAnsi"/>
          <w:szCs w:val="24"/>
        </w:rPr>
      </w:pPr>
    </w:p>
    <w:p w:rsidR="0013595D" w:rsidRPr="00C01FCB" w:rsidRDefault="0013595D" w:rsidP="00C01FCB">
      <w:pPr>
        <w:widowControl w:val="0"/>
        <w:tabs>
          <w:tab w:val="center" w:pos="5400"/>
          <w:tab w:val="right" w:pos="10440"/>
        </w:tabs>
        <w:jc w:val="center"/>
        <w:rPr>
          <w:rFonts w:ascii="Arial" w:hAnsi="Arial"/>
          <w:sz w:val="36"/>
          <w:szCs w:val="36"/>
        </w:rPr>
      </w:pPr>
      <w:r w:rsidRPr="00C01FCB">
        <w:rPr>
          <w:rFonts w:ascii="Arial" w:hAnsi="Arial"/>
          <w:i/>
          <w:sz w:val="36"/>
          <w:szCs w:val="36"/>
        </w:rPr>
        <w:t xml:space="preserve">- </w:t>
      </w:r>
      <w:r w:rsidRPr="00C01FCB">
        <w:rPr>
          <w:rFonts w:ascii="Arial" w:hAnsi="Arial"/>
          <w:b/>
          <w:i/>
          <w:sz w:val="36"/>
          <w:szCs w:val="36"/>
        </w:rPr>
        <w:t>201</w:t>
      </w:r>
      <w:r w:rsidR="007E6F25">
        <w:rPr>
          <w:rFonts w:ascii="Arial" w:hAnsi="Arial"/>
          <w:b/>
          <w:i/>
          <w:sz w:val="36"/>
          <w:szCs w:val="36"/>
        </w:rPr>
        <w:t>7</w:t>
      </w:r>
      <w:r w:rsidRPr="00C01FCB">
        <w:rPr>
          <w:rFonts w:ascii="Arial" w:hAnsi="Arial"/>
          <w:i/>
          <w:sz w:val="36"/>
          <w:szCs w:val="36"/>
        </w:rPr>
        <w:t xml:space="preserve"> </w:t>
      </w:r>
      <w:r w:rsidR="00C01FCB" w:rsidRPr="00C01FCB">
        <w:rPr>
          <w:rFonts w:ascii="Arial" w:hAnsi="Arial"/>
          <w:i/>
          <w:sz w:val="36"/>
          <w:szCs w:val="36"/>
        </w:rPr>
        <w:t>-</w:t>
      </w:r>
    </w:p>
    <w:tbl>
      <w:tblPr>
        <w:tblStyle w:val="TableGrid"/>
        <w:tblW w:w="5074" w:type="pct"/>
        <w:tblInd w:w="-23" w:type="dxa"/>
        <w:tblLayout w:type="fixed"/>
        <w:tblCellMar>
          <w:top w:w="58" w:type="dxa"/>
          <w:left w:w="29" w:type="dxa"/>
          <w:bottom w:w="58" w:type="dxa"/>
          <w:right w:w="29" w:type="dxa"/>
        </w:tblCellMar>
        <w:tblLook w:val="04A0" w:firstRow="1" w:lastRow="0" w:firstColumn="1" w:lastColumn="0" w:noHBand="0" w:noVBand="1"/>
      </w:tblPr>
      <w:tblGrid>
        <w:gridCol w:w="474"/>
        <w:gridCol w:w="478"/>
        <w:gridCol w:w="476"/>
        <w:gridCol w:w="475"/>
        <w:gridCol w:w="477"/>
        <w:gridCol w:w="475"/>
        <w:gridCol w:w="481"/>
        <w:gridCol w:w="287"/>
        <w:gridCol w:w="475"/>
        <w:gridCol w:w="477"/>
        <w:gridCol w:w="477"/>
        <w:gridCol w:w="477"/>
        <w:gridCol w:w="477"/>
        <w:gridCol w:w="477"/>
        <w:gridCol w:w="479"/>
        <w:gridCol w:w="293"/>
        <w:gridCol w:w="468"/>
        <w:gridCol w:w="468"/>
        <w:gridCol w:w="475"/>
        <w:gridCol w:w="470"/>
        <w:gridCol w:w="473"/>
        <w:gridCol w:w="473"/>
        <w:gridCol w:w="466"/>
      </w:tblGrid>
      <w:tr w:rsidR="007E6F25" w:rsidRPr="001A011F" w:rsidTr="005705B2">
        <w:trPr>
          <w:trHeight w:val="178"/>
        </w:trPr>
        <w:tc>
          <w:tcPr>
            <w:tcW w:w="158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7E6F25" w:rsidRPr="001A011F" w:rsidRDefault="007E6F25" w:rsidP="005705B2">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OCTOBER – OCTOBRE</w:t>
            </w:r>
          </w:p>
        </w:tc>
        <w:tc>
          <w:tcPr>
            <w:tcW w:w="136" w:type="pct"/>
            <w:tcBorders>
              <w:top w:val="nil"/>
              <w:left w:val="double" w:sz="6" w:space="0" w:color="auto"/>
              <w:bottom w:val="nil"/>
              <w:right w:val="double" w:sz="6" w:space="0" w:color="auto"/>
            </w:tcBorders>
            <w:tcMar>
              <w:top w:w="43" w:type="dxa"/>
              <w:bottom w:w="43" w:type="dxa"/>
            </w:tcMar>
            <w:vAlign w:val="center"/>
          </w:tcPr>
          <w:p w:rsidR="007E6F25" w:rsidRPr="001A011F" w:rsidRDefault="007E6F25" w:rsidP="005705B2">
            <w:pPr>
              <w:tabs>
                <w:tab w:val="center" w:pos="5220"/>
                <w:tab w:val="right" w:pos="10440"/>
              </w:tabs>
              <w:jc w:val="center"/>
              <w:rPr>
                <w:rFonts w:ascii="Arial" w:hAnsi="Arial" w:cs="Arial"/>
                <w:b/>
                <w:sz w:val="13"/>
                <w:szCs w:val="13"/>
                <w:lang w:val="fr-FR"/>
              </w:rPr>
            </w:pPr>
          </w:p>
        </w:tc>
        <w:tc>
          <w:tcPr>
            <w:tcW w:w="158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7E6F25" w:rsidRPr="001A011F" w:rsidRDefault="007E6F25" w:rsidP="005705B2">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NOVEMBER – NOVEMBRE</w:t>
            </w:r>
          </w:p>
        </w:tc>
        <w:tc>
          <w:tcPr>
            <w:tcW w:w="139" w:type="pct"/>
            <w:tcBorders>
              <w:top w:val="nil"/>
              <w:left w:val="double" w:sz="6" w:space="0" w:color="auto"/>
              <w:bottom w:val="nil"/>
              <w:right w:val="double" w:sz="6" w:space="0" w:color="auto"/>
            </w:tcBorders>
            <w:tcMar>
              <w:top w:w="43" w:type="dxa"/>
              <w:bottom w:w="43" w:type="dxa"/>
            </w:tcMar>
            <w:vAlign w:val="center"/>
          </w:tcPr>
          <w:p w:rsidR="007E6F25" w:rsidRPr="001A011F" w:rsidRDefault="007E6F25" w:rsidP="005705B2">
            <w:pPr>
              <w:tabs>
                <w:tab w:val="center" w:pos="5220"/>
                <w:tab w:val="right" w:pos="10440"/>
              </w:tabs>
              <w:jc w:val="center"/>
              <w:rPr>
                <w:rFonts w:ascii="Arial" w:hAnsi="Arial" w:cs="Arial"/>
                <w:b/>
                <w:sz w:val="13"/>
                <w:szCs w:val="13"/>
                <w:lang w:val="fr-FR"/>
              </w:rPr>
            </w:pPr>
          </w:p>
        </w:tc>
        <w:tc>
          <w:tcPr>
            <w:tcW w:w="1561"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7E6F25" w:rsidRPr="001A011F" w:rsidRDefault="007E6F25" w:rsidP="005705B2">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DECEMBER – DÉCEMBRE</w:t>
            </w:r>
          </w:p>
        </w:tc>
      </w:tr>
      <w:tr w:rsidR="007E6F25" w:rsidRPr="00256B02" w:rsidTr="005705B2">
        <w:trPr>
          <w:trHeight w:val="216"/>
        </w:trPr>
        <w:tc>
          <w:tcPr>
            <w:tcW w:w="225" w:type="pct"/>
            <w:tcBorders>
              <w:top w:val="double" w:sz="6" w:space="0" w:color="auto"/>
              <w:left w:val="double" w:sz="6" w:space="0" w:color="auto"/>
              <w:bottom w:val="single" w:sz="4" w:space="0" w:color="000000" w:themeColor="text1"/>
            </w:tcBorders>
            <w:tcMar>
              <w:bottom w:w="43" w:type="dxa"/>
            </w:tcMar>
            <w:vAlign w:val="center"/>
          </w:tcPr>
          <w:p w:rsidR="007E6F25" w:rsidRPr="001A011F" w:rsidRDefault="007E6F25" w:rsidP="005705B2">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S</w:t>
            </w:r>
          </w:p>
          <w:p w:rsidR="007E6F25" w:rsidRPr="001A011F" w:rsidRDefault="007E6F25" w:rsidP="005705B2">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D</w:t>
            </w:r>
          </w:p>
        </w:tc>
        <w:tc>
          <w:tcPr>
            <w:tcW w:w="227" w:type="pct"/>
            <w:tcBorders>
              <w:top w:val="double" w:sz="6" w:space="0" w:color="auto"/>
              <w:bottom w:val="single" w:sz="4" w:space="0" w:color="auto"/>
            </w:tcBorders>
            <w:tcMar>
              <w:bottom w:w="43" w:type="dxa"/>
            </w:tcMar>
            <w:vAlign w:val="center"/>
          </w:tcPr>
          <w:p w:rsidR="007E6F25" w:rsidRPr="001A011F" w:rsidRDefault="007E6F25" w:rsidP="005705B2">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M</w:t>
            </w:r>
          </w:p>
          <w:p w:rsidR="007E6F25" w:rsidRPr="001A011F" w:rsidRDefault="007E6F25" w:rsidP="005705B2">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L</w:t>
            </w:r>
          </w:p>
        </w:tc>
        <w:tc>
          <w:tcPr>
            <w:tcW w:w="226" w:type="pct"/>
            <w:tcBorders>
              <w:top w:val="double" w:sz="6" w:space="0" w:color="auto"/>
            </w:tcBorders>
            <w:tcMar>
              <w:bottom w:w="43" w:type="dxa"/>
            </w:tcMar>
            <w:vAlign w:val="center"/>
          </w:tcPr>
          <w:p w:rsidR="007E6F25" w:rsidRPr="001A011F" w:rsidRDefault="007E6F25" w:rsidP="005705B2">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T</w:t>
            </w:r>
          </w:p>
          <w:p w:rsidR="007E6F25" w:rsidRPr="001A011F" w:rsidRDefault="007E6F25" w:rsidP="005705B2">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M</w:t>
            </w:r>
          </w:p>
        </w:tc>
        <w:tc>
          <w:tcPr>
            <w:tcW w:w="225" w:type="pct"/>
            <w:tcBorders>
              <w:top w:val="double" w:sz="6" w:space="0" w:color="auto"/>
              <w:bottom w:val="single" w:sz="4" w:space="0" w:color="000000" w:themeColor="text1"/>
            </w:tcBorders>
            <w:tcMar>
              <w:bottom w:w="43" w:type="dxa"/>
            </w:tcMar>
            <w:vAlign w:val="center"/>
          </w:tcPr>
          <w:p w:rsidR="007E6F25" w:rsidRPr="001A011F" w:rsidRDefault="007E6F25" w:rsidP="005705B2">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W</w:t>
            </w:r>
          </w:p>
          <w:p w:rsidR="007E6F25" w:rsidRPr="001A011F" w:rsidRDefault="007E6F25" w:rsidP="005705B2">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M</w:t>
            </w:r>
          </w:p>
        </w:tc>
        <w:tc>
          <w:tcPr>
            <w:tcW w:w="226" w:type="pct"/>
            <w:tcBorders>
              <w:top w:val="double" w:sz="6" w:space="0" w:color="auto"/>
              <w:bottom w:val="single" w:sz="4" w:space="0" w:color="auto"/>
            </w:tcBorders>
            <w:tcMar>
              <w:bottom w:w="43" w:type="dxa"/>
            </w:tcMar>
            <w:vAlign w:val="center"/>
          </w:tcPr>
          <w:p w:rsidR="007E6F25" w:rsidRPr="001A011F" w:rsidRDefault="007E6F25" w:rsidP="005705B2">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T</w:t>
            </w:r>
          </w:p>
          <w:p w:rsidR="007E6F25" w:rsidRPr="001A011F" w:rsidRDefault="007E6F25" w:rsidP="005705B2">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J</w:t>
            </w:r>
          </w:p>
        </w:tc>
        <w:tc>
          <w:tcPr>
            <w:tcW w:w="225" w:type="pct"/>
            <w:tcBorders>
              <w:top w:val="double" w:sz="6" w:space="0" w:color="auto"/>
              <w:bottom w:val="single" w:sz="4" w:space="0" w:color="000000" w:themeColor="text1"/>
            </w:tcBorders>
            <w:tcMar>
              <w:bottom w:w="43" w:type="dxa"/>
            </w:tcMar>
            <w:vAlign w:val="center"/>
          </w:tcPr>
          <w:p w:rsidR="007E6F25" w:rsidRPr="001A011F" w:rsidRDefault="007E6F25" w:rsidP="005705B2">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F</w:t>
            </w:r>
          </w:p>
          <w:p w:rsidR="007E6F25" w:rsidRPr="001A011F" w:rsidRDefault="007E6F25" w:rsidP="005705B2">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V</w:t>
            </w:r>
          </w:p>
        </w:tc>
        <w:tc>
          <w:tcPr>
            <w:tcW w:w="227" w:type="pct"/>
            <w:tcBorders>
              <w:top w:val="double" w:sz="6" w:space="0" w:color="auto"/>
              <w:right w:val="double" w:sz="6" w:space="0" w:color="auto"/>
            </w:tcBorders>
            <w:tcMar>
              <w:bottom w:w="43" w:type="dxa"/>
            </w:tcMar>
            <w:vAlign w:val="center"/>
          </w:tcPr>
          <w:p w:rsidR="007E6F25" w:rsidRPr="001A011F" w:rsidRDefault="007E6F25" w:rsidP="005705B2">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S</w:t>
            </w:r>
          </w:p>
          <w:p w:rsidR="007E6F25" w:rsidRPr="001A011F" w:rsidRDefault="007E6F25" w:rsidP="005705B2">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S</w:t>
            </w:r>
          </w:p>
        </w:tc>
        <w:tc>
          <w:tcPr>
            <w:tcW w:w="136" w:type="pct"/>
            <w:tcBorders>
              <w:top w:val="nil"/>
              <w:left w:val="double" w:sz="6" w:space="0" w:color="auto"/>
              <w:bottom w:val="nil"/>
              <w:right w:val="double" w:sz="6" w:space="0" w:color="auto"/>
            </w:tcBorders>
            <w:tcMar>
              <w:bottom w:w="43" w:type="dxa"/>
            </w:tcMar>
            <w:vAlign w:val="center"/>
          </w:tcPr>
          <w:p w:rsidR="007E6F25" w:rsidRPr="001A011F" w:rsidRDefault="007E6F25" w:rsidP="005705B2">
            <w:pPr>
              <w:tabs>
                <w:tab w:val="center" w:pos="5220"/>
                <w:tab w:val="right" w:pos="10440"/>
              </w:tabs>
              <w:jc w:val="center"/>
              <w:rPr>
                <w:rFonts w:ascii="Arial" w:hAnsi="Arial" w:cs="Arial"/>
                <w:b/>
                <w:sz w:val="13"/>
                <w:szCs w:val="13"/>
                <w:lang w:val="fr-FR"/>
              </w:rPr>
            </w:pPr>
          </w:p>
        </w:tc>
        <w:tc>
          <w:tcPr>
            <w:tcW w:w="225" w:type="pct"/>
            <w:tcBorders>
              <w:top w:val="double" w:sz="6" w:space="0" w:color="auto"/>
              <w:left w:val="double" w:sz="6" w:space="0" w:color="auto"/>
            </w:tcBorders>
            <w:tcMar>
              <w:bottom w:w="43" w:type="dxa"/>
            </w:tcMar>
            <w:vAlign w:val="center"/>
          </w:tcPr>
          <w:p w:rsidR="007E6F25" w:rsidRPr="001A011F" w:rsidRDefault="007E6F25" w:rsidP="005705B2">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S</w:t>
            </w:r>
          </w:p>
          <w:p w:rsidR="007E6F25" w:rsidRPr="001A011F" w:rsidRDefault="007E6F25" w:rsidP="005705B2">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D</w:t>
            </w:r>
          </w:p>
        </w:tc>
        <w:tc>
          <w:tcPr>
            <w:tcW w:w="226" w:type="pct"/>
            <w:tcBorders>
              <w:top w:val="double" w:sz="6" w:space="0" w:color="auto"/>
            </w:tcBorders>
            <w:tcMar>
              <w:bottom w:w="43" w:type="dxa"/>
            </w:tcMar>
            <w:vAlign w:val="center"/>
          </w:tcPr>
          <w:p w:rsidR="007E6F25" w:rsidRPr="001A011F" w:rsidRDefault="007E6F25" w:rsidP="005705B2">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M</w:t>
            </w:r>
          </w:p>
          <w:p w:rsidR="007E6F25" w:rsidRPr="001A011F" w:rsidRDefault="007E6F25" w:rsidP="005705B2">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L</w:t>
            </w:r>
          </w:p>
        </w:tc>
        <w:tc>
          <w:tcPr>
            <w:tcW w:w="226" w:type="pct"/>
            <w:tcBorders>
              <w:top w:val="double" w:sz="6" w:space="0" w:color="auto"/>
            </w:tcBorders>
            <w:tcMar>
              <w:bottom w:w="43" w:type="dxa"/>
            </w:tcMar>
            <w:vAlign w:val="center"/>
          </w:tcPr>
          <w:p w:rsidR="007E6F25" w:rsidRPr="001A011F" w:rsidRDefault="007E6F25" w:rsidP="005705B2">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T</w:t>
            </w:r>
          </w:p>
          <w:p w:rsidR="007E6F25" w:rsidRPr="001A011F" w:rsidRDefault="007E6F25" w:rsidP="005705B2">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M</w:t>
            </w:r>
          </w:p>
        </w:tc>
        <w:tc>
          <w:tcPr>
            <w:tcW w:w="226" w:type="pct"/>
            <w:tcBorders>
              <w:top w:val="double" w:sz="6" w:space="0" w:color="auto"/>
            </w:tcBorders>
            <w:tcMar>
              <w:bottom w:w="43" w:type="dxa"/>
            </w:tcMar>
            <w:vAlign w:val="center"/>
          </w:tcPr>
          <w:p w:rsidR="007E6F25" w:rsidRPr="001A011F" w:rsidRDefault="007E6F25" w:rsidP="005705B2">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W</w:t>
            </w:r>
          </w:p>
          <w:p w:rsidR="007E6F25" w:rsidRPr="001A011F" w:rsidRDefault="007E6F25" w:rsidP="005705B2">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M</w:t>
            </w:r>
          </w:p>
        </w:tc>
        <w:tc>
          <w:tcPr>
            <w:tcW w:w="226" w:type="pct"/>
            <w:tcBorders>
              <w:top w:val="double" w:sz="6" w:space="0" w:color="auto"/>
            </w:tcBorders>
            <w:tcMar>
              <w:bottom w:w="43" w:type="dxa"/>
            </w:tcMar>
            <w:vAlign w:val="center"/>
          </w:tcPr>
          <w:p w:rsidR="007E6F25" w:rsidRPr="001A011F" w:rsidRDefault="007E6F25" w:rsidP="005705B2">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T</w:t>
            </w:r>
          </w:p>
          <w:p w:rsidR="007E6F25" w:rsidRPr="001A011F" w:rsidRDefault="007E6F25" w:rsidP="005705B2">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J</w:t>
            </w:r>
          </w:p>
        </w:tc>
        <w:tc>
          <w:tcPr>
            <w:tcW w:w="226" w:type="pct"/>
            <w:tcBorders>
              <w:top w:val="double" w:sz="6" w:space="0" w:color="auto"/>
            </w:tcBorders>
            <w:tcMar>
              <w:bottom w:w="43" w:type="dxa"/>
            </w:tcMar>
            <w:vAlign w:val="center"/>
          </w:tcPr>
          <w:p w:rsidR="007E6F25" w:rsidRPr="001A011F" w:rsidRDefault="007E6F25" w:rsidP="005705B2">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F</w:t>
            </w:r>
          </w:p>
          <w:p w:rsidR="007E6F25" w:rsidRPr="001A011F" w:rsidRDefault="007E6F25" w:rsidP="005705B2">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V</w:t>
            </w:r>
          </w:p>
        </w:tc>
        <w:tc>
          <w:tcPr>
            <w:tcW w:w="226" w:type="pct"/>
            <w:tcBorders>
              <w:top w:val="double" w:sz="6" w:space="0" w:color="auto"/>
              <w:right w:val="double" w:sz="6" w:space="0" w:color="auto"/>
            </w:tcBorders>
            <w:tcMar>
              <w:bottom w:w="43" w:type="dxa"/>
            </w:tcMar>
            <w:vAlign w:val="center"/>
          </w:tcPr>
          <w:p w:rsidR="007E6F25" w:rsidRPr="001A011F" w:rsidRDefault="007E6F25" w:rsidP="005705B2">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S</w:t>
            </w:r>
          </w:p>
          <w:p w:rsidR="007E6F25" w:rsidRPr="001A011F" w:rsidRDefault="007E6F25" w:rsidP="005705B2">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S</w:t>
            </w:r>
          </w:p>
        </w:tc>
        <w:tc>
          <w:tcPr>
            <w:tcW w:w="139" w:type="pct"/>
            <w:tcBorders>
              <w:top w:val="nil"/>
              <w:left w:val="double" w:sz="6" w:space="0" w:color="auto"/>
              <w:bottom w:val="nil"/>
              <w:right w:val="double" w:sz="6" w:space="0" w:color="auto"/>
            </w:tcBorders>
            <w:tcMar>
              <w:bottom w:w="43" w:type="dxa"/>
            </w:tcMar>
            <w:vAlign w:val="center"/>
          </w:tcPr>
          <w:p w:rsidR="007E6F25" w:rsidRPr="001A011F" w:rsidRDefault="007E6F25" w:rsidP="005705B2">
            <w:pPr>
              <w:tabs>
                <w:tab w:val="center" w:pos="5220"/>
                <w:tab w:val="right" w:pos="10440"/>
              </w:tabs>
              <w:jc w:val="center"/>
              <w:rPr>
                <w:rFonts w:ascii="Arial" w:hAnsi="Arial" w:cs="Arial"/>
                <w:b/>
                <w:sz w:val="13"/>
                <w:szCs w:val="13"/>
                <w:lang w:val="fr-FR"/>
              </w:rPr>
            </w:pPr>
          </w:p>
        </w:tc>
        <w:tc>
          <w:tcPr>
            <w:tcW w:w="222" w:type="pct"/>
            <w:tcBorders>
              <w:top w:val="double" w:sz="6" w:space="0" w:color="auto"/>
              <w:left w:val="double" w:sz="6" w:space="0" w:color="auto"/>
            </w:tcBorders>
            <w:tcMar>
              <w:bottom w:w="43" w:type="dxa"/>
            </w:tcMar>
            <w:vAlign w:val="center"/>
          </w:tcPr>
          <w:p w:rsidR="007E6F25" w:rsidRPr="001A011F" w:rsidRDefault="007E6F25" w:rsidP="005705B2">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S</w:t>
            </w:r>
          </w:p>
          <w:p w:rsidR="007E6F25" w:rsidRPr="001A011F" w:rsidRDefault="007E6F25" w:rsidP="005705B2">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D</w:t>
            </w:r>
          </w:p>
        </w:tc>
        <w:tc>
          <w:tcPr>
            <w:tcW w:w="222" w:type="pct"/>
            <w:tcBorders>
              <w:top w:val="double" w:sz="6" w:space="0" w:color="auto"/>
            </w:tcBorders>
            <w:tcMar>
              <w:bottom w:w="43" w:type="dxa"/>
            </w:tcMar>
            <w:vAlign w:val="center"/>
          </w:tcPr>
          <w:p w:rsidR="007E6F25" w:rsidRPr="001A011F" w:rsidRDefault="007E6F25" w:rsidP="005705B2">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M</w:t>
            </w:r>
          </w:p>
          <w:p w:rsidR="007E6F25" w:rsidRPr="001A011F" w:rsidRDefault="007E6F25" w:rsidP="005705B2">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L</w:t>
            </w:r>
          </w:p>
        </w:tc>
        <w:tc>
          <w:tcPr>
            <w:tcW w:w="225" w:type="pct"/>
            <w:tcBorders>
              <w:top w:val="double" w:sz="6" w:space="0" w:color="auto"/>
            </w:tcBorders>
            <w:tcMar>
              <w:bottom w:w="43" w:type="dxa"/>
            </w:tcMar>
            <w:vAlign w:val="center"/>
          </w:tcPr>
          <w:p w:rsidR="007E6F25" w:rsidRPr="001A011F" w:rsidRDefault="007E6F25" w:rsidP="005705B2">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T</w:t>
            </w:r>
          </w:p>
          <w:p w:rsidR="007E6F25" w:rsidRPr="00256B02" w:rsidRDefault="007E6F25" w:rsidP="005705B2">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3" w:type="pct"/>
            <w:tcBorders>
              <w:top w:val="double" w:sz="6" w:space="0" w:color="auto"/>
            </w:tcBorders>
            <w:tcMar>
              <w:bottom w:w="43" w:type="dxa"/>
            </w:tcMar>
            <w:vAlign w:val="center"/>
          </w:tcPr>
          <w:p w:rsidR="007E6F25" w:rsidRPr="00256B02" w:rsidRDefault="007E6F25" w:rsidP="005705B2">
            <w:pPr>
              <w:tabs>
                <w:tab w:val="center" w:pos="5220"/>
                <w:tab w:val="right" w:pos="10440"/>
              </w:tabs>
              <w:jc w:val="center"/>
              <w:rPr>
                <w:rFonts w:ascii="Arial" w:hAnsi="Arial" w:cs="Arial"/>
                <w:b/>
                <w:sz w:val="13"/>
                <w:szCs w:val="13"/>
              </w:rPr>
            </w:pPr>
            <w:r w:rsidRPr="00256B02">
              <w:rPr>
                <w:rFonts w:ascii="Arial" w:hAnsi="Arial" w:cs="Arial"/>
                <w:b/>
                <w:sz w:val="13"/>
                <w:szCs w:val="13"/>
              </w:rPr>
              <w:t>W</w:t>
            </w:r>
          </w:p>
          <w:p w:rsidR="007E6F25" w:rsidRPr="00256B02" w:rsidRDefault="007E6F25" w:rsidP="005705B2">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4" w:type="pct"/>
            <w:tcBorders>
              <w:top w:val="double" w:sz="6" w:space="0" w:color="auto"/>
            </w:tcBorders>
            <w:tcMar>
              <w:bottom w:w="43" w:type="dxa"/>
            </w:tcMar>
            <w:vAlign w:val="center"/>
          </w:tcPr>
          <w:p w:rsidR="007E6F25" w:rsidRPr="00256B02" w:rsidRDefault="007E6F25" w:rsidP="005705B2">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7E6F25" w:rsidRPr="00256B02" w:rsidRDefault="007E6F25" w:rsidP="005705B2">
            <w:pPr>
              <w:tabs>
                <w:tab w:val="center" w:pos="5220"/>
                <w:tab w:val="right" w:pos="10440"/>
              </w:tabs>
              <w:jc w:val="center"/>
              <w:rPr>
                <w:rFonts w:ascii="Arial" w:hAnsi="Arial" w:cs="Arial"/>
                <w:b/>
                <w:sz w:val="13"/>
                <w:szCs w:val="13"/>
              </w:rPr>
            </w:pPr>
            <w:r w:rsidRPr="00256B02">
              <w:rPr>
                <w:rFonts w:ascii="Arial" w:hAnsi="Arial" w:cs="Arial"/>
                <w:b/>
                <w:sz w:val="13"/>
                <w:szCs w:val="13"/>
              </w:rPr>
              <w:t>J</w:t>
            </w:r>
          </w:p>
        </w:tc>
        <w:tc>
          <w:tcPr>
            <w:tcW w:w="224" w:type="pct"/>
            <w:tcBorders>
              <w:top w:val="double" w:sz="6" w:space="0" w:color="auto"/>
            </w:tcBorders>
            <w:tcMar>
              <w:bottom w:w="43" w:type="dxa"/>
            </w:tcMar>
            <w:vAlign w:val="center"/>
          </w:tcPr>
          <w:p w:rsidR="007E6F25" w:rsidRPr="00256B02" w:rsidRDefault="007E6F25" w:rsidP="005705B2">
            <w:pPr>
              <w:tabs>
                <w:tab w:val="center" w:pos="5220"/>
                <w:tab w:val="right" w:pos="10440"/>
              </w:tabs>
              <w:jc w:val="center"/>
              <w:rPr>
                <w:rFonts w:ascii="Arial" w:hAnsi="Arial" w:cs="Arial"/>
                <w:b/>
                <w:sz w:val="13"/>
                <w:szCs w:val="13"/>
              </w:rPr>
            </w:pPr>
            <w:r w:rsidRPr="00256B02">
              <w:rPr>
                <w:rFonts w:ascii="Arial" w:hAnsi="Arial" w:cs="Arial"/>
                <w:b/>
                <w:sz w:val="13"/>
                <w:szCs w:val="13"/>
              </w:rPr>
              <w:t>F</w:t>
            </w:r>
          </w:p>
          <w:p w:rsidR="007E6F25" w:rsidRPr="00256B02" w:rsidRDefault="007E6F25" w:rsidP="005705B2">
            <w:pPr>
              <w:tabs>
                <w:tab w:val="center" w:pos="5220"/>
                <w:tab w:val="right" w:pos="10440"/>
              </w:tabs>
              <w:jc w:val="center"/>
              <w:rPr>
                <w:rFonts w:ascii="Arial" w:hAnsi="Arial" w:cs="Arial"/>
                <w:b/>
                <w:sz w:val="13"/>
                <w:szCs w:val="13"/>
              </w:rPr>
            </w:pPr>
            <w:r w:rsidRPr="00256B02">
              <w:rPr>
                <w:rFonts w:ascii="Arial" w:hAnsi="Arial" w:cs="Arial"/>
                <w:b/>
                <w:sz w:val="13"/>
                <w:szCs w:val="13"/>
              </w:rPr>
              <w:t>V</w:t>
            </w:r>
          </w:p>
        </w:tc>
        <w:tc>
          <w:tcPr>
            <w:tcW w:w="221" w:type="pct"/>
            <w:tcBorders>
              <w:top w:val="double" w:sz="6" w:space="0" w:color="auto"/>
              <w:right w:val="double" w:sz="6" w:space="0" w:color="auto"/>
            </w:tcBorders>
            <w:tcMar>
              <w:bottom w:w="43" w:type="dxa"/>
            </w:tcMar>
            <w:vAlign w:val="center"/>
          </w:tcPr>
          <w:p w:rsidR="007E6F25" w:rsidRPr="00256B02" w:rsidRDefault="007E6F25" w:rsidP="005705B2">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7E6F25" w:rsidRPr="00256B02" w:rsidRDefault="007E6F25" w:rsidP="005705B2">
            <w:pPr>
              <w:tabs>
                <w:tab w:val="center" w:pos="5220"/>
                <w:tab w:val="right" w:pos="10440"/>
              </w:tabs>
              <w:jc w:val="center"/>
              <w:rPr>
                <w:rFonts w:ascii="Arial" w:hAnsi="Arial" w:cs="Arial"/>
                <w:b/>
                <w:sz w:val="13"/>
                <w:szCs w:val="13"/>
              </w:rPr>
            </w:pPr>
            <w:r w:rsidRPr="00256B02">
              <w:rPr>
                <w:rFonts w:ascii="Arial" w:hAnsi="Arial" w:cs="Arial"/>
                <w:b/>
                <w:sz w:val="13"/>
                <w:szCs w:val="13"/>
              </w:rPr>
              <w:t>S</w:t>
            </w:r>
          </w:p>
        </w:tc>
      </w:tr>
      <w:tr w:rsidR="007E6F25" w:rsidRPr="00C33804" w:rsidTr="005705B2">
        <w:trPr>
          <w:trHeight w:val="346"/>
        </w:trPr>
        <w:tc>
          <w:tcPr>
            <w:tcW w:w="225" w:type="pct"/>
            <w:tcBorders>
              <w:top w:val="single" w:sz="4" w:space="0" w:color="000000" w:themeColor="text1"/>
              <w:left w:val="double" w:sz="6" w:space="0" w:color="auto"/>
              <w:bottom w:val="single" w:sz="4" w:space="0" w:color="000000" w:themeColor="text1"/>
              <w:right w:val="single" w:sz="4" w:space="0" w:color="auto"/>
            </w:tcBorders>
            <w:tcMar>
              <w:bottom w:w="43" w:type="dxa"/>
            </w:tcMar>
            <w:vAlign w:val="bottom"/>
          </w:tcPr>
          <w:p w:rsidR="007E6F25" w:rsidRPr="00C33804" w:rsidRDefault="007E6F25" w:rsidP="005705B2">
            <w:pPr>
              <w:jc w:val="center"/>
              <w:rPr>
                <w:rFonts w:ascii="Arial" w:hAnsi="Arial" w:cs="Arial"/>
                <w:sz w:val="13"/>
                <w:szCs w:val="13"/>
              </w:rPr>
            </w:pPr>
            <w:r>
              <w:rPr>
                <w:rFonts w:ascii="Arial" w:hAnsi="Arial" w:cs="Arial"/>
                <w:sz w:val="13"/>
                <w:szCs w:val="13"/>
              </w:rPr>
              <w:t>1</w:t>
            </w:r>
          </w:p>
        </w:tc>
        <w:tc>
          <w:tcPr>
            <w:tcW w:w="227" w:type="pct"/>
            <w:tcBorders>
              <w:top w:val="single" w:sz="4" w:space="0" w:color="auto"/>
              <w:left w:val="single" w:sz="4" w:space="0" w:color="auto"/>
              <w:bottom w:val="double" w:sz="6" w:space="0" w:color="auto"/>
              <w:right w:val="single" w:sz="4" w:space="0" w:color="auto"/>
            </w:tcBorders>
            <w:shd w:val="clear" w:color="auto" w:fill="BFBFBF" w:themeFill="background1" w:themeFillShade="BF"/>
            <w:tcMar>
              <w:bottom w:w="43" w:type="dxa"/>
            </w:tcMar>
            <w:vAlign w:val="bottom"/>
          </w:tcPr>
          <w:p w:rsidR="007E6F25" w:rsidRPr="00800AD6" w:rsidRDefault="007E6F25" w:rsidP="005705B2">
            <w:pPr>
              <w:jc w:val="center"/>
              <w:rPr>
                <w:rFonts w:ascii="Arial" w:hAnsi="Arial" w:cs="Arial"/>
                <w:b/>
                <w:sz w:val="13"/>
                <w:szCs w:val="13"/>
              </w:rPr>
            </w:pPr>
          </w:p>
          <w:p w:rsidR="007E6F25" w:rsidRPr="00C33804" w:rsidRDefault="007E6F25" w:rsidP="005705B2">
            <w:pPr>
              <w:jc w:val="center"/>
              <w:rPr>
                <w:rFonts w:ascii="Arial" w:hAnsi="Arial" w:cs="Arial"/>
                <w:sz w:val="13"/>
                <w:szCs w:val="13"/>
              </w:rPr>
            </w:pPr>
            <w:r>
              <w:rPr>
                <w:rFonts w:ascii="Arial" w:hAnsi="Arial" w:cs="Arial"/>
                <w:sz w:val="13"/>
                <w:szCs w:val="13"/>
              </w:rPr>
              <w:t>2</w:t>
            </w:r>
          </w:p>
        </w:tc>
        <w:tc>
          <w:tcPr>
            <w:tcW w:w="226" w:type="pct"/>
            <w:tcBorders>
              <w:left w:val="single" w:sz="4" w:space="0" w:color="auto"/>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C33804" w:rsidRDefault="007E6F25" w:rsidP="005705B2">
            <w:pPr>
              <w:jc w:val="center"/>
              <w:rPr>
                <w:rFonts w:ascii="Arial" w:hAnsi="Arial" w:cs="Arial"/>
                <w:sz w:val="13"/>
                <w:szCs w:val="13"/>
              </w:rPr>
            </w:pPr>
            <w:r>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bottom w:w="43" w:type="dxa"/>
            </w:tcMar>
            <w:vAlign w:val="bottom"/>
          </w:tcPr>
          <w:p w:rsidR="007E6F25" w:rsidRPr="00C33804" w:rsidRDefault="007E6F25" w:rsidP="005705B2">
            <w:pPr>
              <w:jc w:val="center"/>
              <w:rPr>
                <w:rFonts w:ascii="Arial" w:hAnsi="Arial" w:cs="Arial"/>
                <w:sz w:val="13"/>
                <w:szCs w:val="13"/>
              </w:rPr>
            </w:pPr>
            <w:r>
              <w:rPr>
                <w:rFonts w:ascii="Arial" w:hAnsi="Arial" w:cs="Arial"/>
                <w:sz w:val="13"/>
                <w:szCs w:val="13"/>
              </w:rPr>
              <w:t>4</w:t>
            </w:r>
          </w:p>
        </w:tc>
        <w:tc>
          <w:tcPr>
            <w:tcW w:w="226" w:type="pct"/>
            <w:tcBorders>
              <w:top w:val="single" w:sz="4" w:space="0" w:color="auto"/>
              <w:left w:val="single" w:sz="4" w:space="0" w:color="auto"/>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C33804" w:rsidRDefault="007E6F25" w:rsidP="005705B2">
            <w:pPr>
              <w:jc w:val="center"/>
              <w:rPr>
                <w:rFonts w:ascii="Arial" w:hAnsi="Arial" w:cs="Arial"/>
                <w:sz w:val="13"/>
                <w:szCs w:val="13"/>
              </w:rPr>
            </w:pPr>
            <w:r>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C33804" w:rsidRDefault="007E6F25" w:rsidP="005705B2">
            <w:pPr>
              <w:jc w:val="center"/>
              <w:rPr>
                <w:rFonts w:ascii="Arial" w:hAnsi="Arial" w:cs="Arial"/>
                <w:sz w:val="13"/>
                <w:szCs w:val="13"/>
              </w:rPr>
            </w:pPr>
            <w:r>
              <w:rPr>
                <w:rFonts w:ascii="Arial" w:hAnsi="Arial" w:cs="Arial"/>
                <w:sz w:val="13"/>
                <w:szCs w:val="13"/>
              </w:rPr>
              <w:t>6</w:t>
            </w:r>
          </w:p>
        </w:tc>
        <w:tc>
          <w:tcPr>
            <w:tcW w:w="227" w:type="pct"/>
            <w:tcBorders>
              <w:left w:val="single" w:sz="4" w:space="0" w:color="000000" w:themeColor="text1"/>
              <w:right w:val="double" w:sz="6" w:space="0" w:color="auto"/>
            </w:tcBorders>
            <w:tcMar>
              <w:bottom w:w="43" w:type="dxa"/>
            </w:tcMar>
            <w:vAlign w:val="bottom"/>
          </w:tcPr>
          <w:p w:rsidR="007E6F25" w:rsidRPr="00C33804" w:rsidRDefault="007E6F25" w:rsidP="005705B2">
            <w:pPr>
              <w:jc w:val="center"/>
              <w:rPr>
                <w:rFonts w:ascii="Arial" w:hAnsi="Arial" w:cs="Arial"/>
                <w:sz w:val="13"/>
                <w:szCs w:val="13"/>
              </w:rPr>
            </w:pPr>
            <w:r>
              <w:rPr>
                <w:rFonts w:ascii="Arial" w:hAnsi="Arial" w:cs="Arial"/>
                <w:sz w:val="13"/>
                <w:szCs w:val="13"/>
              </w:rPr>
              <w:t>7</w:t>
            </w:r>
          </w:p>
        </w:tc>
        <w:tc>
          <w:tcPr>
            <w:tcW w:w="136" w:type="pct"/>
            <w:tcBorders>
              <w:top w:val="nil"/>
              <w:left w:val="double" w:sz="6" w:space="0" w:color="auto"/>
              <w:bottom w:val="nil"/>
              <w:right w:val="double" w:sz="6" w:space="0" w:color="auto"/>
            </w:tcBorders>
            <w:tcMar>
              <w:bottom w:w="43" w:type="dxa"/>
            </w:tcMar>
            <w:vAlign w:val="bottom"/>
          </w:tcPr>
          <w:p w:rsidR="007E6F25" w:rsidRPr="00C33804" w:rsidRDefault="007E6F25" w:rsidP="005705B2">
            <w:pPr>
              <w:tabs>
                <w:tab w:val="center" w:pos="5220"/>
                <w:tab w:val="right" w:pos="10440"/>
              </w:tabs>
              <w:jc w:val="center"/>
              <w:rPr>
                <w:rFonts w:ascii="Arial" w:hAnsi="Arial" w:cs="Arial"/>
                <w:sz w:val="13"/>
                <w:szCs w:val="13"/>
              </w:rPr>
            </w:pPr>
          </w:p>
        </w:tc>
        <w:tc>
          <w:tcPr>
            <w:tcW w:w="225" w:type="pct"/>
            <w:tcBorders>
              <w:left w:val="double" w:sz="6" w:space="0" w:color="auto"/>
            </w:tcBorders>
            <w:tcMar>
              <w:bottom w:w="43" w:type="dxa"/>
            </w:tcMar>
            <w:vAlign w:val="bottom"/>
          </w:tcPr>
          <w:p w:rsidR="007E6F25" w:rsidRPr="00C33804" w:rsidRDefault="007E6F25" w:rsidP="005705B2">
            <w:pPr>
              <w:jc w:val="center"/>
              <w:rPr>
                <w:rFonts w:ascii="Arial" w:hAnsi="Arial" w:cs="Arial"/>
                <w:sz w:val="13"/>
                <w:szCs w:val="13"/>
              </w:rPr>
            </w:pPr>
          </w:p>
        </w:tc>
        <w:tc>
          <w:tcPr>
            <w:tcW w:w="226" w:type="pct"/>
            <w:tcBorders>
              <w:bottom w:val="single" w:sz="4" w:space="0" w:color="auto"/>
            </w:tcBorders>
            <w:tcMar>
              <w:bottom w:w="43" w:type="dxa"/>
            </w:tcMar>
            <w:vAlign w:val="bottom"/>
          </w:tcPr>
          <w:p w:rsidR="007E6F25" w:rsidRPr="00C33804" w:rsidRDefault="007E6F25" w:rsidP="005705B2">
            <w:pPr>
              <w:jc w:val="center"/>
              <w:rPr>
                <w:rFonts w:ascii="Arial" w:hAnsi="Arial" w:cs="Arial"/>
                <w:sz w:val="13"/>
                <w:szCs w:val="13"/>
              </w:rPr>
            </w:pPr>
          </w:p>
        </w:tc>
        <w:tc>
          <w:tcPr>
            <w:tcW w:w="226" w:type="pct"/>
            <w:tcBorders>
              <w:bottom w:val="single" w:sz="4" w:space="0" w:color="000000" w:themeColor="text1"/>
            </w:tcBorders>
            <w:tcMar>
              <w:bottom w:w="43" w:type="dxa"/>
            </w:tcMar>
            <w:vAlign w:val="bottom"/>
          </w:tcPr>
          <w:p w:rsidR="007E6F25" w:rsidRPr="00C33804" w:rsidRDefault="007E6F25" w:rsidP="005705B2">
            <w:pPr>
              <w:jc w:val="center"/>
              <w:rPr>
                <w:rFonts w:ascii="Arial" w:hAnsi="Arial" w:cs="Arial"/>
                <w:sz w:val="13"/>
                <w:szCs w:val="13"/>
              </w:rPr>
            </w:pP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5705B2">
            <w:pPr>
              <w:jc w:val="center"/>
              <w:rPr>
                <w:rFonts w:ascii="Arial" w:hAnsi="Arial" w:cs="Arial"/>
                <w:sz w:val="13"/>
                <w:szCs w:val="13"/>
              </w:rPr>
            </w:pPr>
            <w:r>
              <w:rPr>
                <w:rFonts w:ascii="Arial" w:hAnsi="Arial" w:cs="Arial"/>
                <w:sz w:val="13"/>
                <w:szCs w:val="13"/>
              </w:rPr>
              <w:t>1</w:t>
            </w: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5705B2">
            <w:pPr>
              <w:jc w:val="center"/>
              <w:rPr>
                <w:rFonts w:ascii="Arial" w:hAnsi="Arial" w:cs="Arial"/>
                <w:sz w:val="13"/>
                <w:szCs w:val="13"/>
              </w:rPr>
            </w:pPr>
            <w:r>
              <w:rPr>
                <w:rFonts w:ascii="Arial" w:hAnsi="Arial" w:cs="Arial"/>
                <w:sz w:val="13"/>
                <w:szCs w:val="13"/>
              </w:rPr>
              <w:t>2</w:t>
            </w: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5705B2">
            <w:pPr>
              <w:jc w:val="center"/>
              <w:rPr>
                <w:rFonts w:ascii="Arial" w:hAnsi="Arial" w:cs="Arial"/>
                <w:sz w:val="13"/>
                <w:szCs w:val="13"/>
              </w:rPr>
            </w:pPr>
            <w:r>
              <w:rPr>
                <w:rFonts w:ascii="Arial" w:hAnsi="Arial" w:cs="Arial"/>
                <w:sz w:val="13"/>
                <w:szCs w:val="13"/>
              </w:rPr>
              <w:t>3</w:t>
            </w:r>
          </w:p>
        </w:tc>
        <w:tc>
          <w:tcPr>
            <w:tcW w:w="226" w:type="pct"/>
            <w:tcBorders>
              <w:bottom w:val="single" w:sz="4" w:space="0" w:color="auto"/>
              <w:right w:val="double" w:sz="6" w:space="0" w:color="auto"/>
            </w:tcBorders>
            <w:tcMar>
              <w:bottom w:w="43" w:type="dxa"/>
            </w:tcMar>
            <w:vAlign w:val="bottom"/>
          </w:tcPr>
          <w:p w:rsidR="007E6F25" w:rsidRPr="00C33804" w:rsidRDefault="007E6F25" w:rsidP="005705B2">
            <w:pPr>
              <w:jc w:val="center"/>
              <w:rPr>
                <w:rFonts w:ascii="Arial" w:hAnsi="Arial" w:cs="Arial"/>
                <w:sz w:val="13"/>
                <w:szCs w:val="13"/>
              </w:rPr>
            </w:pPr>
            <w:r>
              <w:rPr>
                <w:rFonts w:ascii="Arial" w:hAnsi="Arial" w:cs="Arial"/>
                <w:sz w:val="13"/>
                <w:szCs w:val="13"/>
              </w:rPr>
              <w:t>4</w:t>
            </w:r>
          </w:p>
        </w:tc>
        <w:tc>
          <w:tcPr>
            <w:tcW w:w="139" w:type="pct"/>
            <w:tcBorders>
              <w:top w:val="nil"/>
              <w:left w:val="double" w:sz="6" w:space="0" w:color="auto"/>
              <w:bottom w:val="nil"/>
              <w:right w:val="double" w:sz="6" w:space="0" w:color="auto"/>
            </w:tcBorders>
            <w:tcMar>
              <w:bottom w:w="43" w:type="dxa"/>
            </w:tcMar>
            <w:vAlign w:val="bottom"/>
          </w:tcPr>
          <w:p w:rsidR="007E6F25" w:rsidRPr="00C33804" w:rsidRDefault="007E6F25" w:rsidP="005705B2">
            <w:pPr>
              <w:tabs>
                <w:tab w:val="center" w:pos="5220"/>
                <w:tab w:val="right" w:pos="10440"/>
              </w:tabs>
              <w:jc w:val="center"/>
              <w:rPr>
                <w:rFonts w:ascii="Arial" w:hAnsi="Arial" w:cs="Arial"/>
                <w:sz w:val="13"/>
                <w:szCs w:val="13"/>
              </w:rPr>
            </w:pPr>
          </w:p>
        </w:tc>
        <w:tc>
          <w:tcPr>
            <w:tcW w:w="222" w:type="pct"/>
            <w:tcBorders>
              <w:left w:val="double" w:sz="6" w:space="0" w:color="auto"/>
            </w:tcBorders>
            <w:tcMar>
              <w:bottom w:w="43" w:type="dxa"/>
            </w:tcMar>
            <w:vAlign w:val="bottom"/>
          </w:tcPr>
          <w:p w:rsidR="007E6F25" w:rsidRPr="00C33804" w:rsidRDefault="007E6F25" w:rsidP="005705B2">
            <w:pPr>
              <w:jc w:val="center"/>
              <w:rPr>
                <w:rFonts w:ascii="Arial" w:hAnsi="Arial" w:cs="Arial"/>
                <w:sz w:val="13"/>
                <w:szCs w:val="13"/>
              </w:rPr>
            </w:pPr>
          </w:p>
        </w:tc>
        <w:tc>
          <w:tcPr>
            <w:tcW w:w="222" w:type="pct"/>
            <w:tcMar>
              <w:bottom w:w="43" w:type="dxa"/>
            </w:tcMar>
            <w:vAlign w:val="bottom"/>
          </w:tcPr>
          <w:p w:rsidR="007E6F25" w:rsidRPr="00C33804" w:rsidRDefault="007E6F25" w:rsidP="005705B2">
            <w:pPr>
              <w:jc w:val="center"/>
              <w:rPr>
                <w:rFonts w:ascii="Arial" w:hAnsi="Arial" w:cs="Arial"/>
                <w:sz w:val="13"/>
                <w:szCs w:val="13"/>
              </w:rPr>
            </w:pPr>
          </w:p>
        </w:tc>
        <w:tc>
          <w:tcPr>
            <w:tcW w:w="225" w:type="pct"/>
            <w:tcMar>
              <w:bottom w:w="43" w:type="dxa"/>
            </w:tcMar>
            <w:vAlign w:val="bottom"/>
          </w:tcPr>
          <w:p w:rsidR="007E6F25" w:rsidRPr="00C33804" w:rsidRDefault="007E6F25" w:rsidP="005705B2">
            <w:pPr>
              <w:jc w:val="center"/>
              <w:rPr>
                <w:rFonts w:ascii="Arial" w:hAnsi="Arial" w:cs="Arial"/>
                <w:sz w:val="13"/>
                <w:szCs w:val="13"/>
              </w:rPr>
            </w:pPr>
          </w:p>
        </w:tc>
        <w:tc>
          <w:tcPr>
            <w:tcW w:w="223" w:type="pct"/>
            <w:tcMar>
              <w:bottom w:w="43" w:type="dxa"/>
            </w:tcMar>
            <w:vAlign w:val="bottom"/>
          </w:tcPr>
          <w:p w:rsidR="007E6F25" w:rsidRPr="00C33804" w:rsidRDefault="007E6F25" w:rsidP="005705B2">
            <w:pPr>
              <w:jc w:val="center"/>
              <w:rPr>
                <w:rFonts w:ascii="Arial" w:hAnsi="Arial" w:cs="Arial"/>
                <w:sz w:val="13"/>
                <w:szCs w:val="13"/>
              </w:rPr>
            </w:pPr>
          </w:p>
        </w:tc>
        <w:tc>
          <w:tcPr>
            <w:tcW w:w="224" w:type="pct"/>
            <w:tcMar>
              <w:bottom w:w="43" w:type="dxa"/>
            </w:tcMar>
            <w:vAlign w:val="bottom"/>
          </w:tcPr>
          <w:p w:rsidR="007E6F25" w:rsidRPr="00C33804" w:rsidRDefault="007E6F25" w:rsidP="005705B2">
            <w:pPr>
              <w:jc w:val="center"/>
              <w:rPr>
                <w:rFonts w:ascii="Arial" w:hAnsi="Arial" w:cs="Arial"/>
                <w:sz w:val="13"/>
                <w:szCs w:val="13"/>
              </w:rPr>
            </w:pPr>
          </w:p>
        </w:tc>
        <w:tc>
          <w:tcPr>
            <w:tcW w:w="224" w:type="pct"/>
            <w:shd w:val="clear" w:color="auto" w:fill="BFBFBF" w:themeFill="background1" w:themeFillShade="BF"/>
            <w:tcMar>
              <w:bottom w:w="43" w:type="dxa"/>
            </w:tcMar>
            <w:vAlign w:val="bottom"/>
          </w:tcPr>
          <w:p w:rsidR="007E6F25" w:rsidRPr="00C33804" w:rsidRDefault="007E6F25" w:rsidP="005705B2">
            <w:pPr>
              <w:jc w:val="center"/>
              <w:rPr>
                <w:rFonts w:ascii="Arial" w:hAnsi="Arial" w:cs="Arial"/>
                <w:sz w:val="13"/>
                <w:szCs w:val="13"/>
              </w:rPr>
            </w:pPr>
            <w:r>
              <w:rPr>
                <w:rFonts w:ascii="Arial" w:hAnsi="Arial" w:cs="Arial"/>
                <w:sz w:val="13"/>
                <w:szCs w:val="13"/>
              </w:rPr>
              <w:t>1</w:t>
            </w:r>
          </w:p>
        </w:tc>
        <w:tc>
          <w:tcPr>
            <w:tcW w:w="221" w:type="pct"/>
            <w:tcBorders>
              <w:right w:val="double" w:sz="6" w:space="0" w:color="auto"/>
            </w:tcBorders>
            <w:tcMar>
              <w:bottom w:w="43" w:type="dxa"/>
            </w:tcMar>
            <w:vAlign w:val="bottom"/>
          </w:tcPr>
          <w:p w:rsidR="007E6F25" w:rsidRPr="00C33804" w:rsidRDefault="007E6F25" w:rsidP="005705B2">
            <w:pPr>
              <w:jc w:val="center"/>
              <w:rPr>
                <w:rFonts w:ascii="Arial" w:hAnsi="Arial" w:cs="Arial"/>
                <w:sz w:val="13"/>
                <w:szCs w:val="13"/>
              </w:rPr>
            </w:pPr>
            <w:r>
              <w:rPr>
                <w:rFonts w:ascii="Arial" w:hAnsi="Arial" w:cs="Arial"/>
                <w:sz w:val="13"/>
                <w:szCs w:val="13"/>
              </w:rPr>
              <w:t>2</w:t>
            </w:r>
          </w:p>
        </w:tc>
      </w:tr>
      <w:tr w:rsidR="007E6F25" w:rsidRPr="00C33804" w:rsidTr="005705B2">
        <w:trPr>
          <w:trHeight w:val="346"/>
        </w:trPr>
        <w:tc>
          <w:tcPr>
            <w:tcW w:w="225" w:type="pct"/>
            <w:tcBorders>
              <w:top w:val="single" w:sz="4" w:space="0" w:color="000000" w:themeColor="text1"/>
              <w:left w:val="double" w:sz="6" w:space="0" w:color="auto"/>
              <w:right w:val="double" w:sz="6" w:space="0" w:color="auto"/>
            </w:tcBorders>
            <w:shd w:val="clear" w:color="auto" w:fill="auto"/>
            <w:tcMar>
              <w:bottom w:w="43" w:type="dxa"/>
            </w:tcMar>
            <w:vAlign w:val="bottom"/>
          </w:tcPr>
          <w:p w:rsidR="007E6F25" w:rsidRPr="00CB2402" w:rsidRDefault="007E6F25" w:rsidP="005705B2">
            <w:pPr>
              <w:jc w:val="center"/>
              <w:rPr>
                <w:rFonts w:ascii="Arial" w:hAnsi="Arial" w:cs="Arial"/>
                <w:sz w:val="13"/>
                <w:szCs w:val="13"/>
              </w:rPr>
            </w:pPr>
            <w:r w:rsidRPr="00CB2402">
              <w:rPr>
                <w:rFonts w:ascii="Arial" w:hAnsi="Arial" w:cs="Arial"/>
                <w:sz w:val="13"/>
                <w:szCs w:val="13"/>
              </w:rPr>
              <w:t>8</w:t>
            </w:r>
          </w:p>
        </w:tc>
        <w:tc>
          <w:tcPr>
            <w:tcW w:w="227" w:type="pct"/>
            <w:tcBorders>
              <w:top w:val="double" w:sz="6" w:space="0" w:color="auto"/>
              <w:left w:val="double" w:sz="6" w:space="0" w:color="auto"/>
              <w:bottom w:val="double" w:sz="6" w:space="0" w:color="auto"/>
              <w:right w:val="double" w:sz="6" w:space="0" w:color="auto"/>
            </w:tcBorders>
            <w:shd w:val="clear" w:color="auto" w:fill="auto"/>
            <w:tcMar>
              <w:bottom w:w="43" w:type="dxa"/>
            </w:tcMar>
            <w:vAlign w:val="bottom"/>
          </w:tcPr>
          <w:p w:rsidR="007E6F25" w:rsidRPr="00CB2402" w:rsidRDefault="007E6F25" w:rsidP="005705B2">
            <w:pPr>
              <w:jc w:val="center"/>
              <w:rPr>
                <w:rFonts w:ascii="Arial" w:hAnsi="Arial" w:cs="Arial"/>
                <w:b/>
                <w:sz w:val="13"/>
                <w:szCs w:val="13"/>
              </w:rPr>
            </w:pPr>
            <w:r w:rsidRPr="00CB2402">
              <w:rPr>
                <w:rFonts w:ascii="Arial" w:hAnsi="Arial" w:cs="Arial"/>
                <w:b/>
                <w:sz w:val="13"/>
                <w:szCs w:val="13"/>
              </w:rPr>
              <w:t>H</w:t>
            </w:r>
          </w:p>
          <w:p w:rsidR="007E6F25" w:rsidRPr="00CB2402" w:rsidRDefault="007E6F25" w:rsidP="005705B2">
            <w:pPr>
              <w:jc w:val="center"/>
              <w:rPr>
                <w:rFonts w:ascii="Arial" w:hAnsi="Arial" w:cs="Arial"/>
                <w:sz w:val="13"/>
                <w:szCs w:val="13"/>
              </w:rPr>
            </w:pPr>
            <w:r w:rsidRPr="00CB2402">
              <w:rPr>
                <w:rFonts w:ascii="Arial" w:hAnsi="Arial" w:cs="Arial"/>
                <w:sz w:val="13"/>
                <w:szCs w:val="13"/>
              </w:rPr>
              <w:t>9</w:t>
            </w:r>
          </w:p>
        </w:tc>
        <w:tc>
          <w:tcPr>
            <w:tcW w:w="226" w:type="pct"/>
            <w:tcBorders>
              <w:top w:val="single" w:sz="4" w:space="0" w:color="000000" w:themeColor="text1"/>
              <w:left w:val="double" w:sz="6" w:space="0" w:color="auto"/>
              <w:bottom w:val="single" w:sz="4" w:space="0" w:color="000000" w:themeColor="text1"/>
            </w:tcBorders>
            <w:shd w:val="clear" w:color="auto" w:fill="BFBFBF" w:themeFill="background1" w:themeFillShade="BF"/>
            <w:tcMar>
              <w:bottom w:w="43" w:type="dxa"/>
            </w:tcMar>
            <w:vAlign w:val="bottom"/>
          </w:tcPr>
          <w:p w:rsidR="007E6F25" w:rsidRPr="00CB2402" w:rsidRDefault="007E6F25" w:rsidP="005705B2">
            <w:pPr>
              <w:jc w:val="center"/>
              <w:rPr>
                <w:rFonts w:ascii="Arial" w:hAnsi="Arial" w:cs="Arial"/>
                <w:sz w:val="13"/>
                <w:szCs w:val="13"/>
              </w:rPr>
            </w:pPr>
            <w:r w:rsidRPr="00CB2402">
              <w:rPr>
                <w:rFonts w:ascii="Arial" w:hAnsi="Arial" w:cs="Arial"/>
                <w:sz w:val="13"/>
                <w:szCs w:val="13"/>
              </w:rPr>
              <w:t>10</w:t>
            </w:r>
          </w:p>
        </w:tc>
        <w:tc>
          <w:tcPr>
            <w:tcW w:w="225"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B2402" w:rsidRDefault="007E6F25" w:rsidP="005705B2">
            <w:pPr>
              <w:jc w:val="center"/>
              <w:rPr>
                <w:rFonts w:ascii="Arial" w:hAnsi="Arial" w:cs="Arial"/>
                <w:sz w:val="13"/>
                <w:szCs w:val="13"/>
              </w:rPr>
            </w:pPr>
            <w:r w:rsidRPr="00CB2402">
              <w:rPr>
                <w:rFonts w:ascii="Arial" w:hAnsi="Arial" w:cs="Arial"/>
                <w:sz w:val="13"/>
                <w:szCs w:val="13"/>
              </w:rPr>
              <w:t>11</w:t>
            </w:r>
          </w:p>
        </w:tc>
        <w:tc>
          <w:tcPr>
            <w:tcW w:w="226"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5705B2">
            <w:pPr>
              <w:jc w:val="center"/>
              <w:rPr>
                <w:rFonts w:ascii="Arial" w:hAnsi="Arial" w:cs="Arial"/>
                <w:sz w:val="13"/>
                <w:szCs w:val="13"/>
              </w:rPr>
            </w:pPr>
            <w:r>
              <w:rPr>
                <w:rFonts w:ascii="Arial" w:hAnsi="Arial" w:cs="Arial"/>
                <w:sz w:val="13"/>
                <w:szCs w:val="13"/>
              </w:rPr>
              <w:t>12</w:t>
            </w:r>
          </w:p>
        </w:tc>
        <w:tc>
          <w:tcPr>
            <w:tcW w:w="225"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5705B2">
            <w:pPr>
              <w:jc w:val="center"/>
              <w:rPr>
                <w:rFonts w:ascii="Arial" w:hAnsi="Arial" w:cs="Arial"/>
                <w:sz w:val="13"/>
                <w:szCs w:val="13"/>
              </w:rPr>
            </w:pPr>
            <w:r>
              <w:rPr>
                <w:rFonts w:ascii="Arial" w:hAnsi="Arial" w:cs="Arial"/>
                <w:sz w:val="13"/>
                <w:szCs w:val="13"/>
              </w:rPr>
              <w:t>13</w:t>
            </w:r>
          </w:p>
        </w:tc>
        <w:tc>
          <w:tcPr>
            <w:tcW w:w="227" w:type="pct"/>
            <w:tcBorders>
              <w:right w:val="double" w:sz="6" w:space="0" w:color="auto"/>
            </w:tcBorders>
            <w:shd w:val="clear" w:color="auto" w:fill="auto"/>
            <w:tcMar>
              <w:bottom w:w="43" w:type="dxa"/>
            </w:tcMar>
            <w:vAlign w:val="bottom"/>
          </w:tcPr>
          <w:p w:rsidR="007E6F25" w:rsidRPr="00C33804" w:rsidRDefault="007E6F25" w:rsidP="005705B2">
            <w:pPr>
              <w:jc w:val="center"/>
              <w:rPr>
                <w:rFonts w:ascii="Arial" w:hAnsi="Arial" w:cs="Arial"/>
                <w:sz w:val="13"/>
                <w:szCs w:val="13"/>
              </w:rPr>
            </w:pPr>
            <w:r>
              <w:rPr>
                <w:rFonts w:ascii="Arial" w:hAnsi="Arial" w:cs="Arial"/>
                <w:sz w:val="13"/>
                <w:szCs w:val="13"/>
              </w:rPr>
              <w:t>14</w:t>
            </w:r>
          </w:p>
        </w:tc>
        <w:tc>
          <w:tcPr>
            <w:tcW w:w="136" w:type="pct"/>
            <w:tcBorders>
              <w:top w:val="nil"/>
              <w:left w:val="double" w:sz="6" w:space="0" w:color="auto"/>
              <w:bottom w:val="nil"/>
              <w:right w:val="double" w:sz="6" w:space="0" w:color="auto"/>
            </w:tcBorders>
            <w:tcMar>
              <w:bottom w:w="43" w:type="dxa"/>
            </w:tcMar>
            <w:vAlign w:val="bottom"/>
          </w:tcPr>
          <w:p w:rsidR="007E6F25" w:rsidRPr="00C33804" w:rsidRDefault="007E6F25" w:rsidP="005705B2">
            <w:pPr>
              <w:tabs>
                <w:tab w:val="center" w:pos="5220"/>
                <w:tab w:val="right" w:pos="10440"/>
              </w:tabs>
              <w:jc w:val="center"/>
              <w:rPr>
                <w:rFonts w:ascii="Arial" w:hAnsi="Arial" w:cs="Arial"/>
                <w:sz w:val="13"/>
                <w:szCs w:val="13"/>
              </w:rPr>
            </w:pPr>
          </w:p>
        </w:tc>
        <w:tc>
          <w:tcPr>
            <w:tcW w:w="225" w:type="pct"/>
            <w:tcBorders>
              <w:left w:val="double" w:sz="6" w:space="0" w:color="auto"/>
              <w:right w:val="single" w:sz="4" w:space="0" w:color="auto"/>
            </w:tcBorders>
            <w:tcMar>
              <w:bottom w:w="43" w:type="dxa"/>
            </w:tcMar>
            <w:vAlign w:val="bottom"/>
          </w:tcPr>
          <w:p w:rsidR="007E6F25" w:rsidRPr="00C33804" w:rsidRDefault="007E6F25" w:rsidP="005705B2">
            <w:pPr>
              <w:jc w:val="center"/>
              <w:rPr>
                <w:rFonts w:ascii="Arial" w:hAnsi="Arial" w:cs="Arial"/>
                <w:sz w:val="13"/>
                <w:szCs w:val="13"/>
              </w:rPr>
            </w:pPr>
            <w:r>
              <w:rPr>
                <w:rFonts w:ascii="Arial" w:hAnsi="Arial" w:cs="Arial"/>
                <w:sz w:val="13"/>
                <w:szCs w:val="13"/>
              </w:rPr>
              <w:t>5</w:t>
            </w:r>
          </w:p>
        </w:tc>
        <w:tc>
          <w:tcPr>
            <w:tcW w:w="226" w:type="pct"/>
            <w:tcBorders>
              <w:top w:val="single" w:sz="4" w:space="0" w:color="auto"/>
              <w:left w:val="single" w:sz="4" w:space="0" w:color="auto"/>
              <w:bottom w:val="double" w:sz="6" w:space="0" w:color="auto"/>
              <w:right w:val="single" w:sz="4" w:space="0" w:color="auto"/>
            </w:tcBorders>
            <w:shd w:val="clear" w:color="auto" w:fill="BFBFBF" w:themeFill="background1" w:themeFillShade="BF"/>
            <w:tcMar>
              <w:bottom w:w="43" w:type="dxa"/>
            </w:tcMar>
            <w:vAlign w:val="bottom"/>
          </w:tcPr>
          <w:p w:rsidR="007E6F25" w:rsidRPr="00C33804" w:rsidRDefault="007E6F25" w:rsidP="005705B2">
            <w:pPr>
              <w:jc w:val="center"/>
              <w:rPr>
                <w:rFonts w:ascii="Arial" w:hAnsi="Arial" w:cs="Arial"/>
                <w:sz w:val="13"/>
                <w:szCs w:val="13"/>
              </w:rPr>
            </w:pPr>
            <w:r>
              <w:rPr>
                <w:rFonts w:ascii="Arial" w:hAnsi="Arial" w:cs="Arial"/>
                <w:b/>
                <w:sz w:val="13"/>
                <w:szCs w:val="13"/>
              </w:rPr>
              <w:t>6</w:t>
            </w:r>
          </w:p>
        </w:tc>
        <w:tc>
          <w:tcPr>
            <w:tcW w:w="226" w:type="pct"/>
            <w:tcBorders>
              <w:left w:val="single" w:sz="4" w:space="0" w:color="auto"/>
              <w:bottom w:val="single" w:sz="4" w:space="0" w:color="000000" w:themeColor="text1"/>
            </w:tcBorders>
            <w:shd w:val="clear" w:color="auto" w:fill="BFBFBF" w:themeFill="background1" w:themeFillShade="BF"/>
            <w:tcMar>
              <w:bottom w:w="43" w:type="dxa"/>
            </w:tcMar>
            <w:vAlign w:val="bottom"/>
          </w:tcPr>
          <w:p w:rsidR="007E6F25" w:rsidRPr="00C33804" w:rsidRDefault="007E6F25" w:rsidP="005705B2">
            <w:pPr>
              <w:jc w:val="center"/>
              <w:rPr>
                <w:rFonts w:ascii="Arial" w:hAnsi="Arial" w:cs="Arial"/>
                <w:sz w:val="13"/>
                <w:szCs w:val="13"/>
              </w:rPr>
            </w:pPr>
            <w:r>
              <w:rPr>
                <w:rFonts w:ascii="Arial" w:hAnsi="Arial" w:cs="Arial"/>
                <w:sz w:val="13"/>
                <w:szCs w:val="13"/>
              </w:rPr>
              <w:t>7</w:t>
            </w: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5705B2">
            <w:pPr>
              <w:jc w:val="center"/>
              <w:rPr>
                <w:rFonts w:ascii="Arial" w:hAnsi="Arial" w:cs="Arial"/>
                <w:sz w:val="13"/>
                <w:szCs w:val="13"/>
              </w:rPr>
            </w:pPr>
            <w:r>
              <w:rPr>
                <w:rFonts w:ascii="Arial" w:hAnsi="Arial" w:cs="Arial"/>
                <w:sz w:val="13"/>
                <w:szCs w:val="13"/>
              </w:rPr>
              <w:t>8</w:t>
            </w: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5705B2">
            <w:pPr>
              <w:jc w:val="center"/>
              <w:rPr>
                <w:rFonts w:ascii="Arial" w:hAnsi="Arial" w:cs="Arial"/>
                <w:sz w:val="13"/>
                <w:szCs w:val="13"/>
              </w:rPr>
            </w:pPr>
            <w:r>
              <w:rPr>
                <w:rFonts w:ascii="Arial" w:hAnsi="Arial" w:cs="Arial"/>
                <w:sz w:val="13"/>
                <w:szCs w:val="13"/>
              </w:rPr>
              <w:t>9</w:t>
            </w:r>
          </w:p>
        </w:tc>
        <w:tc>
          <w:tcPr>
            <w:tcW w:w="226" w:type="pct"/>
            <w:tcBorders>
              <w:bottom w:val="single" w:sz="4" w:space="0" w:color="000000" w:themeColor="text1"/>
              <w:right w:val="single" w:sz="4" w:space="0" w:color="auto"/>
            </w:tcBorders>
            <w:shd w:val="clear" w:color="auto" w:fill="BFBFBF" w:themeFill="background1" w:themeFillShade="BF"/>
            <w:tcMar>
              <w:bottom w:w="43" w:type="dxa"/>
            </w:tcMar>
            <w:vAlign w:val="bottom"/>
          </w:tcPr>
          <w:p w:rsidR="007E6F25" w:rsidRPr="00CB2402" w:rsidRDefault="007E6F25" w:rsidP="005705B2">
            <w:pPr>
              <w:jc w:val="center"/>
              <w:rPr>
                <w:rFonts w:ascii="Arial" w:hAnsi="Arial" w:cs="Arial"/>
                <w:sz w:val="13"/>
                <w:szCs w:val="13"/>
              </w:rPr>
            </w:pPr>
            <w:r w:rsidRPr="00CB2402">
              <w:rPr>
                <w:rFonts w:ascii="Arial" w:hAnsi="Arial" w:cs="Arial"/>
                <w:sz w:val="13"/>
                <w:szCs w:val="13"/>
              </w:rPr>
              <w:t>10</w:t>
            </w:r>
          </w:p>
        </w:tc>
        <w:tc>
          <w:tcPr>
            <w:tcW w:w="226" w:type="pct"/>
            <w:tcBorders>
              <w:top w:val="single" w:sz="4" w:space="0" w:color="auto"/>
              <w:left w:val="single" w:sz="4" w:space="0" w:color="auto"/>
              <w:bottom w:val="single" w:sz="4" w:space="0" w:color="auto"/>
              <w:right w:val="double" w:sz="6" w:space="0" w:color="auto"/>
            </w:tcBorders>
            <w:tcMar>
              <w:bottom w:w="43" w:type="dxa"/>
            </w:tcMar>
            <w:vAlign w:val="bottom"/>
          </w:tcPr>
          <w:p w:rsidR="007E6F25" w:rsidRPr="00CB2402" w:rsidRDefault="007E6F25" w:rsidP="005705B2">
            <w:pPr>
              <w:jc w:val="center"/>
              <w:rPr>
                <w:rFonts w:ascii="Arial" w:hAnsi="Arial" w:cs="Arial"/>
                <w:sz w:val="13"/>
                <w:szCs w:val="13"/>
              </w:rPr>
            </w:pPr>
            <w:r w:rsidRPr="00CB2402">
              <w:rPr>
                <w:rFonts w:ascii="Arial" w:hAnsi="Arial" w:cs="Arial"/>
                <w:sz w:val="13"/>
                <w:szCs w:val="13"/>
              </w:rPr>
              <w:t>11</w:t>
            </w:r>
          </w:p>
        </w:tc>
        <w:tc>
          <w:tcPr>
            <w:tcW w:w="139" w:type="pct"/>
            <w:tcBorders>
              <w:top w:val="nil"/>
              <w:left w:val="double" w:sz="6" w:space="0" w:color="auto"/>
              <w:bottom w:val="nil"/>
              <w:right w:val="double" w:sz="6" w:space="0" w:color="auto"/>
            </w:tcBorders>
            <w:tcMar>
              <w:bottom w:w="43" w:type="dxa"/>
            </w:tcMar>
            <w:vAlign w:val="bottom"/>
          </w:tcPr>
          <w:p w:rsidR="007E6F25" w:rsidRPr="00CB2402" w:rsidRDefault="007E6F25" w:rsidP="005705B2">
            <w:pPr>
              <w:tabs>
                <w:tab w:val="center" w:pos="5220"/>
                <w:tab w:val="right" w:pos="10440"/>
              </w:tabs>
              <w:jc w:val="center"/>
              <w:rPr>
                <w:rFonts w:ascii="Arial" w:hAnsi="Arial" w:cs="Arial"/>
                <w:sz w:val="13"/>
                <w:szCs w:val="13"/>
              </w:rPr>
            </w:pPr>
          </w:p>
        </w:tc>
        <w:tc>
          <w:tcPr>
            <w:tcW w:w="222" w:type="pct"/>
            <w:tcBorders>
              <w:left w:val="double" w:sz="6" w:space="0" w:color="auto"/>
            </w:tcBorders>
            <w:tcMar>
              <w:bottom w:w="43" w:type="dxa"/>
            </w:tcMar>
            <w:vAlign w:val="bottom"/>
          </w:tcPr>
          <w:p w:rsidR="007E6F25" w:rsidRPr="00C33804" w:rsidRDefault="007E6F25" w:rsidP="005705B2">
            <w:pPr>
              <w:jc w:val="center"/>
              <w:rPr>
                <w:rFonts w:ascii="Arial" w:hAnsi="Arial" w:cs="Arial"/>
                <w:sz w:val="13"/>
                <w:szCs w:val="13"/>
              </w:rPr>
            </w:pPr>
            <w:r>
              <w:rPr>
                <w:rFonts w:ascii="Arial" w:hAnsi="Arial" w:cs="Arial"/>
                <w:sz w:val="13"/>
                <w:szCs w:val="13"/>
              </w:rPr>
              <w:t>3</w:t>
            </w:r>
          </w:p>
        </w:tc>
        <w:tc>
          <w:tcPr>
            <w:tcW w:w="222" w:type="pct"/>
            <w:tcBorders>
              <w:bottom w:val="single" w:sz="4" w:space="0" w:color="auto"/>
            </w:tcBorders>
            <w:shd w:val="clear" w:color="auto" w:fill="BFBFBF" w:themeFill="background1" w:themeFillShade="BF"/>
            <w:tcMar>
              <w:bottom w:w="43" w:type="dxa"/>
            </w:tcMar>
            <w:vAlign w:val="bottom"/>
          </w:tcPr>
          <w:p w:rsidR="007E6F25" w:rsidRPr="00C33804" w:rsidRDefault="007E6F25" w:rsidP="005705B2">
            <w:pPr>
              <w:jc w:val="center"/>
              <w:rPr>
                <w:rFonts w:ascii="Arial" w:hAnsi="Arial" w:cs="Arial"/>
                <w:sz w:val="13"/>
                <w:szCs w:val="13"/>
              </w:rPr>
            </w:pPr>
            <w:r>
              <w:rPr>
                <w:rFonts w:ascii="Arial" w:hAnsi="Arial" w:cs="Arial"/>
                <w:sz w:val="13"/>
                <w:szCs w:val="13"/>
              </w:rPr>
              <w:t>4</w:t>
            </w:r>
          </w:p>
        </w:tc>
        <w:tc>
          <w:tcPr>
            <w:tcW w:w="225"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5705B2">
            <w:pPr>
              <w:jc w:val="center"/>
              <w:rPr>
                <w:rFonts w:ascii="Arial" w:hAnsi="Arial" w:cs="Arial"/>
                <w:sz w:val="13"/>
                <w:szCs w:val="13"/>
              </w:rPr>
            </w:pPr>
            <w:r>
              <w:rPr>
                <w:rFonts w:ascii="Arial" w:hAnsi="Arial" w:cs="Arial"/>
                <w:sz w:val="13"/>
                <w:szCs w:val="13"/>
              </w:rPr>
              <w:t>5</w:t>
            </w:r>
          </w:p>
        </w:tc>
        <w:tc>
          <w:tcPr>
            <w:tcW w:w="223"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5705B2">
            <w:pPr>
              <w:jc w:val="center"/>
              <w:rPr>
                <w:rFonts w:ascii="Arial" w:hAnsi="Arial" w:cs="Arial"/>
                <w:sz w:val="13"/>
                <w:szCs w:val="13"/>
              </w:rPr>
            </w:pPr>
            <w:r>
              <w:rPr>
                <w:rFonts w:ascii="Arial" w:hAnsi="Arial" w:cs="Arial"/>
                <w:sz w:val="13"/>
                <w:szCs w:val="13"/>
              </w:rPr>
              <w:t>6</w:t>
            </w:r>
          </w:p>
        </w:tc>
        <w:tc>
          <w:tcPr>
            <w:tcW w:w="224"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5705B2">
            <w:pPr>
              <w:jc w:val="center"/>
              <w:rPr>
                <w:rFonts w:ascii="Arial" w:hAnsi="Arial" w:cs="Arial"/>
                <w:sz w:val="13"/>
                <w:szCs w:val="13"/>
              </w:rPr>
            </w:pPr>
            <w:r>
              <w:rPr>
                <w:rFonts w:ascii="Arial" w:hAnsi="Arial" w:cs="Arial"/>
                <w:sz w:val="13"/>
                <w:szCs w:val="13"/>
              </w:rPr>
              <w:t>7</w:t>
            </w:r>
          </w:p>
        </w:tc>
        <w:tc>
          <w:tcPr>
            <w:tcW w:w="224"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5705B2">
            <w:pPr>
              <w:jc w:val="center"/>
              <w:rPr>
                <w:rFonts w:ascii="Arial" w:hAnsi="Arial" w:cs="Arial"/>
                <w:sz w:val="13"/>
                <w:szCs w:val="13"/>
              </w:rPr>
            </w:pPr>
            <w:r>
              <w:rPr>
                <w:rFonts w:ascii="Arial" w:hAnsi="Arial" w:cs="Arial"/>
                <w:sz w:val="13"/>
                <w:szCs w:val="13"/>
              </w:rPr>
              <w:t>8</w:t>
            </w:r>
          </w:p>
        </w:tc>
        <w:tc>
          <w:tcPr>
            <w:tcW w:w="221" w:type="pct"/>
            <w:tcBorders>
              <w:right w:val="double" w:sz="6" w:space="0" w:color="auto"/>
            </w:tcBorders>
            <w:tcMar>
              <w:bottom w:w="43" w:type="dxa"/>
            </w:tcMar>
            <w:vAlign w:val="bottom"/>
          </w:tcPr>
          <w:p w:rsidR="007E6F25" w:rsidRPr="00C33804" w:rsidRDefault="007E6F25" w:rsidP="005705B2">
            <w:pPr>
              <w:jc w:val="center"/>
              <w:rPr>
                <w:rFonts w:ascii="Arial" w:hAnsi="Arial" w:cs="Arial"/>
                <w:sz w:val="13"/>
                <w:szCs w:val="13"/>
              </w:rPr>
            </w:pPr>
            <w:r>
              <w:rPr>
                <w:rFonts w:ascii="Arial" w:hAnsi="Arial" w:cs="Arial"/>
                <w:sz w:val="13"/>
                <w:szCs w:val="13"/>
              </w:rPr>
              <w:t>9</w:t>
            </w:r>
          </w:p>
        </w:tc>
      </w:tr>
      <w:tr w:rsidR="007E6F25" w:rsidRPr="00C33804" w:rsidTr="005705B2">
        <w:trPr>
          <w:trHeight w:val="346"/>
        </w:trPr>
        <w:tc>
          <w:tcPr>
            <w:tcW w:w="225" w:type="pct"/>
            <w:tcBorders>
              <w:left w:val="double" w:sz="6" w:space="0" w:color="auto"/>
              <w:right w:val="single" w:sz="4" w:space="0" w:color="000000" w:themeColor="text1"/>
            </w:tcBorders>
            <w:shd w:val="clear" w:color="auto" w:fill="auto"/>
            <w:tcMar>
              <w:bottom w:w="43" w:type="dxa"/>
            </w:tcMar>
            <w:vAlign w:val="bottom"/>
          </w:tcPr>
          <w:p w:rsidR="007E6F25" w:rsidRPr="00C33804" w:rsidRDefault="007E6F25" w:rsidP="005705B2">
            <w:pPr>
              <w:jc w:val="center"/>
              <w:rPr>
                <w:rFonts w:ascii="Arial" w:hAnsi="Arial" w:cs="Arial"/>
                <w:sz w:val="13"/>
                <w:szCs w:val="13"/>
              </w:rPr>
            </w:pPr>
            <w:r>
              <w:rPr>
                <w:rFonts w:ascii="Arial" w:hAnsi="Arial" w:cs="Arial"/>
                <w:sz w:val="13"/>
                <w:szCs w:val="13"/>
              </w:rPr>
              <w:t>15</w:t>
            </w:r>
          </w:p>
        </w:tc>
        <w:tc>
          <w:tcPr>
            <w:tcW w:w="227" w:type="pct"/>
            <w:tcBorders>
              <w:top w:val="double" w:sz="6" w:space="0" w:color="auto"/>
              <w:left w:val="single" w:sz="4" w:space="0" w:color="000000" w:themeColor="text1"/>
              <w:bottom w:val="single" w:sz="4" w:space="0" w:color="000000" w:themeColor="text1"/>
              <w:right w:val="single" w:sz="4" w:space="0" w:color="000000" w:themeColor="text1"/>
            </w:tcBorders>
            <w:shd w:val="clear" w:color="auto" w:fill="auto"/>
            <w:tcMar>
              <w:bottom w:w="43" w:type="dxa"/>
            </w:tcMar>
            <w:vAlign w:val="bottom"/>
          </w:tcPr>
          <w:p w:rsidR="007E6F25" w:rsidRPr="00C33804" w:rsidRDefault="007E6F25" w:rsidP="005705B2">
            <w:pPr>
              <w:jc w:val="center"/>
              <w:rPr>
                <w:rFonts w:ascii="Arial" w:hAnsi="Arial" w:cs="Arial"/>
                <w:sz w:val="13"/>
                <w:szCs w:val="13"/>
              </w:rPr>
            </w:pPr>
            <w:r>
              <w:rPr>
                <w:rFonts w:ascii="Arial" w:hAnsi="Arial" w:cs="Arial"/>
                <w:sz w:val="13"/>
                <w:szCs w:val="13"/>
              </w:rPr>
              <w:t>16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bottom w:w="43" w:type="dxa"/>
            </w:tcMar>
            <w:vAlign w:val="bottom"/>
          </w:tcPr>
          <w:p w:rsidR="007E6F25" w:rsidRPr="00C33804" w:rsidRDefault="007E6F25" w:rsidP="005705B2">
            <w:pPr>
              <w:jc w:val="center"/>
              <w:rPr>
                <w:rFonts w:ascii="Arial" w:hAnsi="Arial" w:cs="Arial"/>
                <w:sz w:val="13"/>
                <w:szCs w:val="13"/>
              </w:rPr>
            </w:pPr>
            <w:r>
              <w:rPr>
                <w:rFonts w:ascii="Arial" w:hAnsi="Arial" w:cs="Arial"/>
                <w:sz w:val="13"/>
                <w:szCs w:val="13"/>
              </w:rPr>
              <w:t>17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bottom w:w="43" w:type="dxa"/>
            </w:tcMar>
            <w:vAlign w:val="bottom"/>
          </w:tcPr>
          <w:p w:rsidR="007E6F25" w:rsidRPr="00C33804" w:rsidRDefault="007E6F25" w:rsidP="005705B2">
            <w:pPr>
              <w:jc w:val="center"/>
              <w:rPr>
                <w:rFonts w:ascii="Arial" w:hAnsi="Arial" w:cs="Arial"/>
                <w:sz w:val="13"/>
                <w:szCs w:val="13"/>
              </w:rPr>
            </w:pPr>
            <w:r>
              <w:rPr>
                <w:rFonts w:ascii="Arial" w:hAnsi="Arial" w:cs="Arial"/>
                <w:sz w:val="13"/>
                <w:szCs w:val="13"/>
              </w:rPr>
              <w:t>18</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bottom w:w="43" w:type="dxa"/>
            </w:tcMar>
            <w:vAlign w:val="bottom"/>
          </w:tcPr>
          <w:p w:rsidR="007E6F25" w:rsidRPr="00C33804" w:rsidRDefault="007E6F25" w:rsidP="005705B2">
            <w:pPr>
              <w:jc w:val="center"/>
              <w:rPr>
                <w:rFonts w:ascii="Arial" w:hAnsi="Arial" w:cs="Arial"/>
                <w:sz w:val="13"/>
                <w:szCs w:val="13"/>
              </w:rPr>
            </w:pPr>
            <w:r>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tcBorders>
            <w:shd w:val="clear" w:color="auto" w:fill="auto"/>
            <w:tcMar>
              <w:bottom w:w="43" w:type="dxa"/>
            </w:tcMar>
            <w:vAlign w:val="bottom"/>
          </w:tcPr>
          <w:p w:rsidR="007E6F25" w:rsidRPr="00C33804" w:rsidRDefault="007E6F25" w:rsidP="005705B2">
            <w:pPr>
              <w:jc w:val="center"/>
              <w:rPr>
                <w:rFonts w:ascii="Arial" w:hAnsi="Arial" w:cs="Arial"/>
                <w:sz w:val="13"/>
                <w:szCs w:val="13"/>
              </w:rPr>
            </w:pPr>
            <w:r>
              <w:rPr>
                <w:rFonts w:ascii="Arial" w:hAnsi="Arial" w:cs="Arial"/>
                <w:sz w:val="13"/>
                <w:szCs w:val="13"/>
              </w:rPr>
              <w:t>20</w:t>
            </w:r>
          </w:p>
        </w:tc>
        <w:tc>
          <w:tcPr>
            <w:tcW w:w="227" w:type="pct"/>
            <w:tcBorders>
              <w:right w:val="double" w:sz="6" w:space="0" w:color="auto"/>
            </w:tcBorders>
            <w:shd w:val="clear" w:color="auto" w:fill="auto"/>
            <w:tcMar>
              <w:bottom w:w="43" w:type="dxa"/>
            </w:tcMar>
            <w:vAlign w:val="bottom"/>
          </w:tcPr>
          <w:p w:rsidR="007E6F25" w:rsidRPr="00C33804" w:rsidRDefault="007E6F25" w:rsidP="005705B2">
            <w:pPr>
              <w:jc w:val="center"/>
              <w:rPr>
                <w:rFonts w:ascii="Arial" w:hAnsi="Arial" w:cs="Arial"/>
                <w:sz w:val="13"/>
                <w:szCs w:val="13"/>
              </w:rPr>
            </w:pPr>
            <w:r>
              <w:rPr>
                <w:rFonts w:ascii="Arial" w:hAnsi="Arial" w:cs="Arial"/>
                <w:sz w:val="13"/>
                <w:szCs w:val="13"/>
              </w:rPr>
              <w:t>21</w:t>
            </w:r>
          </w:p>
        </w:tc>
        <w:tc>
          <w:tcPr>
            <w:tcW w:w="136" w:type="pct"/>
            <w:tcBorders>
              <w:top w:val="nil"/>
              <w:left w:val="double" w:sz="6" w:space="0" w:color="auto"/>
              <w:bottom w:val="nil"/>
              <w:right w:val="double" w:sz="6" w:space="0" w:color="auto"/>
            </w:tcBorders>
            <w:shd w:val="clear" w:color="auto" w:fill="FFFFFF" w:themeFill="background1"/>
            <w:tcMar>
              <w:bottom w:w="43" w:type="dxa"/>
            </w:tcMar>
            <w:vAlign w:val="bottom"/>
          </w:tcPr>
          <w:p w:rsidR="007E6F25" w:rsidRPr="00C33804" w:rsidRDefault="007E6F25" w:rsidP="005705B2">
            <w:pPr>
              <w:tabs>
                <w:tab w:val="center" w:pos="5220"/>
                <w:tab w:val="right" w:pos="10440"/>
              </w:tabs>
              <w:jc w:val="center"/>
              <w:rPr>
                <w:rFonts w:ascii="Arial" w:hAnsi="Arial" w:cs="Arial"/>
                <w:sz w:val="13"/>
                <w:szCs w:val="13"/>
              </w:rPr>
            </w:pPr>
          </w:p>
        </w:tc>
        <w:tc>
          <w:tcPr>
            <w:tcW w:w="225" w:type="pct"/>
            <w:tcBorders>
              <w:left w:val="double" w:sz="6" w:space="0" w:color="auto"/>
              <w:right w:val="double" w:sz="6" w:space="0" w:color="auto"/>
            </w:tcBorders>
            <w:shd w:val="clear" w:color="auto" w:fill="auto"/>
            <w:tcMar>
              <w:bottom w:w="43" w:type="dxa"/>
            </w:tcMar>
            <w:vAlign w:val="bottom"/>
          </w:tcPr>
          <w:p w:rsidR="007E6F25" w:rsidRPr="00C33804" w:rsidRDefault="007E6F25" w:rsidP="005705B2">
            <w:pPr>
              <w:jc w:val="center"/>
              <w:rPr>
                <w:rFonts w:ascii="Arial" w:hAnsi="Arial" w:cs="Arial"/>
                <w:sz w:val="13"/>
                <w:szCs w:val="13"/>
              </w:rPr>
            </w:pPr>
            <w:r>
              <w:rPr>
                <w:rFonts w:ascii="Arial" w:hAnsi="Arial" w:cs="Arial"/>
                <w:sz w:val="13"/>
                <w:szCs w:val="13"/>
              </w:rPr>
              <w:t>12</w:t>
            </w:r>
          </w:p>
        </w:tc>
        <w:tc>
          <w:tcPr>
            <w:tcW w:w="226" w:type="pct"/>
            <w:tcBorders>
              <w:top w:val="double" w:sz="6" w:space="0" w:color="auto"/>
              <w:left w:val="double" w:sz="6" w:space="0" w:color="auto"/>
              <w:bottom w:val="double" w:sz="6" w:space="0" w:color="auto"/>
              <w:right w:val="double" w:sz="6" w:space="0" w:color="auto"/>
            </w:tcBorders>
            <w:shd w:val="clear" w:color="auto" w:fill="auto"/>
            <w:tcMar>
              <w:bottom w:w="43" w:type="dxa"/>
            </w:tcMar>
            <w:vAlign w:val="bottom"/>
          </w:tcPr>
          <w:p w:rsidR="007E6F25" w:rsidRDefault="007E6F25" w:rsidP="005705B2">
            <w:pPr>
              <w:jc w:val="center"/>
              <w:rPr>
                <w:rFonts w:ascii="Arial" w:hAnsi="Arial" w:cs="Arial"/>
                <w:b/>
                <w:sz w:val="13"/>
                <w:szCs w:val="13"/>
              </w:rPr>
            </w:pPr>
            <w:r>
              <w:rPr>
                <w:rFonts w:ascii="Arial" w:hAnsi="Arial" w:cs="Arial"/>
                <w:b/>
                <w:sz w:val="13"/>
                <w:szCs w:val="13"/>
              </w:rPr>
              <w:t>H</w:t>
            </w:r>
          </w:p>
          <w:p w:rsidR="007E6F25" w:rsidRPr="00C33804" w:rsidRDefault="007E6F25" w:rsidP="005705B2">
            <w:pPr>
              <w:jc w:val="center"/>
              <w:rPr>
                <w:rFonts w:ascii="Arial" w:hAnsi="Arial" w:cs="Arial"/>
                <w:sz w:val="13"/>
                <w:szCs w:val="13"/>
              </w:rPr>
            </w:pPr>
            <w:r>
              <w:rPr>
                <w:rFonts w:ascii="Arial" w:hAnsi="Arial" w:cs="Arial"/>
                <w:sz w:val="13"/>
                <w:szCs w:val="13"/>
              </w:rPr>
              <w:t>13</w:t>
            </w:r>
          </w:p>
        </w:tc>
        <w:tc>
          <w:tcPr>
            <w:tcW w:w="226" w:type="pct"/>
            <w:tcBorders>
              <w:top w:val="single" w:sz="4" w:space="0" w:color="000000" w:themeColor="text1"/>
              <w:left w:val="double" w:sz="6" w:space="0" w:color="auto"/>
              <w:bottom w:val="single" w:sz="4" w:space="0" w:color="000000" w:themeColor="text1"/>
            </w:tcBorders>
            <w:shd w:val="clear" w:color="auto" w:fill="auto"/>
            <w:tcMar>
              <w:bottom w:w="43" w:type="dxa"/>
            </w:tcMar>
            <w:vAlign w:val="bottom"/>
          </w:tcPr>
          <w:p w:rsidR="007E6F25" w:rsidRPr="00C33804" w:rsidRDefault="007E6F25" w:rsidP="005705B2">
            <w:pPr>
              <w:jc w:val="center"/>
              <w:rPr>
                <w:rFonts w:ascii="Arial" w:hAnsi="Arial" w:cs="Arial"/>
                <w:sz w:val="13"/>
                <w:szCs w:val="13"/>
              </w:rPr>
            </w:pPr>
            <w:r>
              <w:rPr>
                <w:rFonts w:ascii="Arial" w:hAnsi="Arial" w:cs="Arial"/>
                <w:sz w:val="13"/>
                <w:szCs w:val="13"/>
              </w:rPr>
              <w:t>14</w:t>
            </w:r>
          </w:p>
        </w:tc>
        <w:tc>
          <w:tcPr>
            <w:tcW w:w="226" w:type="pct"/>
            <w:tcBorders>
              <w:top w:val="single" w:sz="4" w:space="0" w:color="000000" w:themeColor="text1"/>
              <w:bottom w:val="single" w:sz="4" w:space="0" w:color="000000" w:themeColor="text1"/>
            </w:tcBorders>
            <w:shd w:val="clear" w:color="auto" w:fill="auto"/>
            <w:tcMar>
              <w:bottom w:w="43" w:type="dxa"/>
            </w:tcMar>
            <w:vAlign w:val="bottom"/>
          </w:tcPr>
          <w:p w:rsidR="007E6F25" w:rsidRPr="00C33804" w:rsidRDefault="007E6F25" w:rsidP="005705B2">
            <w:pPr>
              <w:jc w:val="center"/>
              <w:rPr>
                <w:rFonts w:ascii="Arial" w:hAnsi="Arial" w:cs="Arial"/>
                <w:sz w:val="13"/>
                <w:szCs w:val="13"/>
              </w:rPr>
            </w:pPr>
            <w:r>
              <w:rPr>
                <w:rFonts w:ascii="Arial" w:hAnsi="Arial" w:cs="Arial"/>
                <w:sz w:val="13"/>
                <w:szCs w:val="13"/>
              </w:rPr>
              <w:t>15</w:t>
            </w:r>
          </w:p>
        </w:tc>
        <w:tc>
          <w:tcPr>
            <w:tcW w:w="226" w:type="pct"/>
            <w:tcBorders>
              <w:top w:val="single" w:sz="4" w:space="0" w:color="000000" w:themeColor="text1"/>
              <w:bottom w:val="single" w:sz="4" w:space="0" w:color="000000" w:themeColor="text1"/>
            </w:tcBorders>
            <w:shd w:val="clear" w:color="auto" w:fill="auto"/>
            <w:tcMar>
              <w:bottom w:w="43" w:type="dxa"/>
            </w:tcMar>
            <w:vAlign w:val="bottom"/>
          </w:tcPr>
          <w:p w:rsidR="007E6F25" w:rsidRPr="00C33804" w:rsidRDefault="007E6F25" w:rsidP="005705B2">
            <w:pPr>
              <w:jc w:val="center"/>
              <w:rPr>
                <w:rFonts w:ascii="Arial" w:hAnsi="Arial" w:cs="Arial"/>
                <w:sz w:val="13"/>
                <w:szCs w:val="13"/>
              </w:rPr>
            </w:pPr>
            <w:r>
              <w:rPr>
                <w:rFonts w:ascii="Arial" w:hAnsi="Arial" w:cs="Arial"/>
                <w:sz w:val="13"/>
                <w:szCs w:val="13"/>
              </w:rPr>
              <w:t>16</w:t>
            </w:r>
          </w:p>
        </w:tc>
        <w:tc>
          <w:tcPr>
            <w:tcW w:w="226" w:type="pct"/>
            <w:tcBorders>
              <w:top w:val="single" w:sz="4" w:space="0" w:color="000000" w:themeColor="text1"/>
              <w:bottom w:val="single" w:sz="4" w:space="0" w:color="000000" w:themeColor="text1"/>
            </w:tcBorders>
            <w:shd w:val="clear" w:color="auto" w:fill="auto"/>
            <w:tcMar>
              <w:bottom w:w="43" w:type="dxa"/>
            </w:tcMar>
            <w:vAlign w:val="bottom"/>
          </w:tcPr>
          <w:p w:rsidR="007E6F25" w:rsidRPr="00C33804" w:rsidRDefault="007E6F25" w:rsidP="005705B2">
            <w:pPr>
              <w:jc w:val="center"/>
              <w:rPr>
                <w:rFonts w:ascii="Arial" w:hAnsi="Arial" w:cs="Arial"/>
                <w:sz w:val="13"/>
                <w:szCs w:val="13"/>
              </w:rPr>
            </w:pPr>
            <w:r>
              <w:rPr>
                <w:rFonts w:ascii="Arial" w:hAnsi="Arial" w:cs="Arial"/>
                <w:sz w:val="13"/>
                <w:szCs w:val="13"/>
              </w:rPr>
              <w:t>17</w:t>
            </w:r>
          </w:p>
        </w:tc>
        <w:tc>
          <w:tcPr>
            <w:tcW w:w="226" w:type="pct"/>
            <w:tcBorders>
              <w:top w:val="single" w:sz="4" w:space="0" w:color="auto"/>
              <w:right w:val="double" w:sz="6" w:space="0" w:color="auto"/>
            </w:tcBorders>
            <w:shd w:val="clear" w:color="auto" w:fill="auto"/>
            <w:tcMar>
              <w:bottom w:w="43" w:type="dxa"/>
            </w:tcMar>
            <w:vAlign w:val="bottom"/>
          </w:tcPr>
          <w:p w:rsidR="007E6F25" w:rsidRPr="00C33804" w:rsidRDefault="007E6F25" w:rsidP="005705B2">
            <w:pPr>
              <w:jc w:val="center"/>
              <w:rPr>
                <w:rFonts w:ascii="Arial" w:hAnsi="Arial" w:cs="Arial"/>
                <w:sz w:val="13"/>
                <w:szCs w:val="13"/>
              </w:rPr>
            </w:pPr>
            <w:r>
              <w:rPr>
                <w:rFonts w:ascii="Arial" w:hAnsi="Arial" w:cs="Arial"/>
                <w:sz w:val="13"/>
                <w:szCs w:val="13"/>
              </w:rPr>
              <w:t>18</w:t>
            </w:r>
          </w:p>
        </w:tc>
        <w:tc>
          <w:tcPr>
            <w:tcW w:w="139" w:type="pct"/>
            <w:tcBorders>
              <w:top w:val="nil"/>
              <w:left w:val="double" w:sz="6" w:space="0" w:color="auto"/>
              <w:bottom w:val="nil"/>
              <w:right w:val="double" w:sz="6" w:space="0" w:color="auto"/>
            </w:tcBorders>
            <w:tcMar>
              <w:bottom w:w="43" w:type="dxa"/>
            </w:tcMar>
            <w:vAlign w:val="bottom"/>
          </w:tcPr>
          <w:p w:rsidR="007E6F25" w:rsidRPr="00C33804" w:rsidRDefault="007E6F25" w:rsidP="005705B2">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auto"/>
            </w:tcBorders>
            <w:tcMar>
              <w:bottom w:w="43" w:type="dxa"/>
            </w:tcMar>
            <w:vAlign w:val="bottom"/>
          </w:tcPr>
          <w:p w:rsidR="007E6F25" w:rsidRPr="001D41E3" w:rsidRDefault="007E6F25" w:rsidP="005705B2">
            <w:pPr>
              <w:jc w:val="center"/>
              <w:rPr>
                <w:rFonts w:ascii="Arial" w:hAnsi="Arial" w:cs="Arial"/>
                <w:sz w:val="13"/>
                <w:szCs w:val="13"/>
              </w:rPr>
            </w:pPr>
            <w:r w:rsidRPr="001D41E3">
              <w:rPr>
                <w:rFonts w:ascii="Arial" w:hAnsi="Arial" w:cs="Arial"/>
                <w:sz w:val="13"/>
                <w:szCs w:val="13"/>
              </w:rPr>
              <w:t>10</w:t>
            </w:r>
          </w:p>
        </w:tc>
        <w:tc>
          <w:tcPr>
            <w:tcW w:w="222" w:type="pct"/>
            <w:tcBorders>
              <w:top w:val="single" w:sz="4" w:space="0" w:color="auto"/>
              <w:left w:val="single" w:sz="4" w:space="0" w:color="auto"/>
              <w:bottom w:val="single" w:sz="4" w:space="0" w:color="000000" w:themeColor="text1"/>
              <w:right w:val="single" w:sz="4" w:space="0" w:color="auto"/>
            </w:tcBorders>
            <w:shd w:val="clear" w:color="auto" w:fill="auto"/>
            <w:tcMar>
              <w:bottom w:w="43" w:type="dxa"/>
            </w:tcMar>
            <w:vAlign w:val="bottom"/>
          </w:tcPr>
          <w:p w:rsidR="007E6F25" w:rsidRPr="001D41E3" w:rsidRDefault="007E6F25" w:rsidP="005705B2">
            <w:pPr>
              <w:jc w:val="center"/>
              <w:rPr>
                <w:rFonts w:ascii="Arial" w:hAnsi="Arial" w:cs="Arial"/>
                <w:sz w:val="13"/>
                <w:szCs w:val="13"/>
              </w:rPr>
            </w:pPr>
            <w:r w:rsidRPr="001D41E3">
              <w:rPr>
                <w:rFonts w:ascii="Arial" w:hAnsi="Arial" w:cs="Arial"/>
                <w:sz w:val="13"/>
                <w:szCs w:val="13"/>
              </w:rPr>
              <w:t>11</w:t>
            </w:r>
          </w:p>
        </w:tc>
        <w:tc>
          <w:tcPr>
            <w:tcW w:w="225" w:type="pct"/>
            <w:tcBorders>
              <w:left w:val="single" w:sz="4" w:space="0" w:color="auto"/>
              <w:bottom w:val="single" w:sz="4" w:space="0" w:color="000000" w:themeColor="text1"/>
            </w:tcBorders>
            <w:shd w:val="clear" w:color="auto" w:fill="auto"/>
            <w:tcMar>
              <w:bottom w:w="43" w:type="dxa"/>
            </w:tcMar>
            <w:vAlign w:val="bottom"/>
          </w:tcPr>
          <w:p w:rsidR="007E6F25" w:rsidRPr="00C33804" w:rsidRDefault="007E6F25" w:rsidP="005705B2">
            <w:pPr>
              <w:jc w:val="center"/>
              <w:rPr>
                <w:rFonts w:ascii="Arial" w:hAnsi="Arial" w:cs="Arial"/>
                <w:sz w:val="13"/>
                <w:szCs w:val="13"/>
              </w:rPr>
            </w:pPr>
            <w:r>
              <w:rPr>
                <w:rFonts w:ascii="Arial" w:hAnsi="Arial" w:cs="Arial"/>
                <w:sz w:val="13"/>
                <w:szCs w:val="13"/>
              </w:rPr>
              <w:t>12</w:t>
            </w:r>
          </w:p>
        </w:tc>
        <w:tc>
          <w:tcPr>
            <w:tcW w:w="223" w:type="pct"/>
            <w:tcBorders>
              <w:bottom w:val="single" w:sz="4" w:space="0" w:color="000000" w:themeColor="text1"/>
            </w:tcBorders>
            <w:shd w:val="clear" w:color="auto" w:fill="auto"/>
            <w:tcMar>
              <w:bottom w:w="43" w:type="dxa"/>
            </w:tcMar>
            <w:vAlign w:val="bottom"/>
          </w:tcPr>
          <w:p w:rsidR="007E6F25" w:rsidRPr="00C33804" w:rsidRDefault="007E6F25" w:rsidP="005705B2">
            <w:pPr>
              <w:jc w:val="center"/>
              <w:rPr>
                <w:rFonts w:ascii="Arial" w:hAnsi="Arial" w:cs="Arial"/>
                <w:sz w:val="13"/>
                <w:szCs w:val="13"/>
              </w:rPr>
            </w:pPr>
            <w:r>
              <w:rPr>
                <w:rFonts w:ascii="Arial" w:hAnsi="Arial" w:cs="Arial"/>
                <w:sz w:val="13"/>
                <w:szCs w:val="13"/>
              </w:rPr>
              <w:t>13</w:t>
            </w:r>
          </w:p>
        </w:tc>
        <w:tc>
          <w:tcPr>
            <w:tcW w:w="224" w:type="pct"/>
            <w:tcBorders>
              <w:bottom w:val="single" w:sz="4" w:space="0" w:color="000000" w:themeColor="text1"/>
            </w:tcBorders>
            <w:shd w:val="clear" w:color="auto" w:fill="auto"/>
            <w:tcMar>
              <w:bottom w:w="43" w:type="dxa"/>
            </w:tcMar>
            <w:vAlign w:val="bottom"/>
          </w:tcPr>
          <w:p w:rsidR="007E6F25" w:rsidRPr="00C33804" w:rsidRDefault="007E6F25" w:rsidP="005705B2">
            <w:pPr>
              <w:jc w:val="center"/>
              <w:rPr>
                <w:rFonts w:ascii="Arial" w:hAnsi="Arial" w:cs="Arial"/>
                <w:sz w:val="13"/>
                <w:szCs w:val="13"/>
              </w:rPr>
            </w:pPr>
            <w:r>
              <w:rPr>
                <w:rFonts w:ascii="Arial" w:hAnsi="Arial" w:cs="Arial"/>
                <w:sz w:val="13"/>
                <w:szCs w:val="13"/>
              </w:rPr>
              <w:t>14</w:t>
            </w:r>
          </w:p>
        </w:tc>
        <w:tc>
          <w:tcPr>
            <w:tcW w:w="224" w:type="pct"/>
            <w:tcBorders>
              <w:bottom w:val="single" w:sz="4" w:space="0" w:color="000000" w:themeColor="text1"/>
            </w:tcBorders>
            <w:shd w:val="clear" w:color="auto" w:fill="auto"/>
            <w:tcMar>
              <w:bottom w:w="43" w:type="dxa"/>
            </w:tcMar>
            <w:vAlign w:val="bottom"/>
          </w:tcPr>
          <w:p w:rsidR="007E6F25" w:rsidRPr="00C33804" w:rsidRDefault="007E6F25" w:rsidP="005705B2">
            <w:pPr>
              <w:jc w:val="center"/>
              <w:rPr>
                <w:rFonts w:ascii="Arial" w:hAnsi="Arial" w:cs="Arial"/>
                <w:sz w:val="13"/>
                <w:szCs w:val="13"/>
              </w:rPr>
            </w:pPr>
            <w:r>
              <w:rPr>
                <w:rFonts w:ascii="Arial" w:hAnsi="Arial" w:cs="Arial"/>
                <w:sz w:val="13"/>
                <w:szCs w:val="13"/>
              </w:rPr>
              <w:t>15</w:t>
            </w:r>
          </w:p>
        </w:tc>
        <w:tc>
          <w:tcPr>
            <w:tcW w:w="221" w:type="pct"/>
            <w:tcBorders>
              <w:right w:val="double" w:sz="6" w:space="0" w:color="auto"/>
            </w:tcBorders>
            <w:tcMar>
              <w:bottom w:w="43" w:type="dxa"/>
            </w:tcMar>
            <w:vAlign w:val="bottom"/>
          </w:tcPr>
          <w:p w:rsidR="007E6F25" w:rsidRPr="00C33804" w:rsidRDefault="007E6F25" w:rsidP="005705B2">
            <w:pPr>
              <w:jc w:val="center"/>
              <w:rPr>
                <w:rFonts w:ascii="Arial" w:hAnsi="Arial" w:cs="Arial"/>
                <w:sz w:val="13"/>
                <w:szCs w:val="13"/>
              </w:rPr>
            </w:pPr>
            <w:r>
              <w:rPr>
                <w:rFonts w:ascii="Arial" w:hAnsi="Arial" w:cs="Arial"/>
                <w:sz w:val="13"/>
                <w:szCs w:val="13"/>
              </w:rPr>
              <w:t>16</w:t>
            </w:r>
          </w:p>
        </w:tc>
      </w:tr>
      <w:tr w:rsidR="007E6F25" w:rsidRPr="00C33804" w:rsidTr="005705B2">
        <w:trPr>
          <w:trHeight w:val="346"/>
        </w:trPr>
        <w:tc>
          <w:tcPr>
            <w:tcW w:w="225" w:type="pct"/>
            <w:tcBorders>
              <w:left w:val="double" w:sz="6" w:space="0" w:color="auto"/>
            </w:tcBorders>
            <w:tcMar>
              <w:bottom w:w="43" w:type="dxa"/>
            </w:tcMar>
            <w:vAlign w:val="bottom"/>
          </w:tcPr>
          <w:p w:rsidR="007E6F25" w:rsidRPr="00C33804" w:rsidRDefault="007E6F25" w:rsidP="005705B2">
            <w:pPr>
              <w:jc w:val="center"/>
              <w:rPr>
                <w:rFonts w:ascii="Arial" w:hAnsi="Arial" w:cs="Arial"/>
                <w:sz w:val="13"/>
                <w:szCs w:val="13"/>
              </w:rPr>
            </w:pPr>
            <w:r>
              <w:rPr>
                <w:rFonts w:ascii="Arial" w:hAnsi="Arial" w:cs="Arial"/>
                <w:sz w:val="13"/>
                <w:szCs w:val="13"/>
              </w:rPr>
              <w:t>22</w:t>
            </w:r>
          </w:p>
        </w:tc>
        <w:tc>
          <w:tcPr>
            <w:tcW w:w="227" w:type="pct"/>
            <w:tcBorders>
              <w:top w:val="single" w:sz="4" w:space="0" w:color="000000" w:themeColor="text1"/>
            </w:tcBorders>
            <w:shd w:val="clear" w:color="auto" w:fill="FFFFFF" w:themeFill="background1"/>
            <w:tcMar>
              <w:bottom w:w="43" w:type="dxa"/>
            </w:tcMar>
            <w:vAlign w:val="bottom"/>
          </w:tcPr>
          <w:p w:rsidR="007E6F25" w:rsidRPr="00C33804" w:rsidRDefault="007E6F25" w:rsidP="005705B2">
            <w:pPr>
              <w:jc w:val="center"/>
              <w:rPr>
                <w:rFonts w:ascii="Arial" w:hAnsi="Arial" w:cs="Arial"/>
                <w:sz w:val="13"/>
                <w:szCs w:val="13"/>
              </w:rPr>
            </w:pPr>
            <w:r>
              <w:rPr>
                <w:rFonts w:ascii="Arial" w:hAnsi="Arial" w:cs="Arial"/>
                <w:sz w:val="13"/>
                <w:szCs w:val="13"/>
              </w:rPr>
              <w:t>23</w:t>
            </w:r>
          </w:p>
        </w:tc>
        <w:tc>
          <w:tcPr>
            <w:tcW w:w="226" w:type="pct"/>
            <w:tcBorders>
              <w:top w:val="single" w:sz="4" w:space="0" w:color="000000" w:themeColor="text1"/>
            </w:tcBorders>
            <w:shd w:val="clear" w:color="auto" w:fill="FFFFFF" w:themeFill="background1"/>
            <w:tcMar>
              <w:bottom w:w="43" w:type="dxa"/>
            </w:tcMar>
            <w:vAlign w:val="bottom"/>
          </w:tcPr>
          <w:p w:rsidR="007E6F25" w:rsidRPr="00C33804" w:rsidRDefault="007E6F25" w:rsidP="005705B2">
            <w:pPr>
              <w:jc w:val="center"/>
              <w:rPr>
                <w:rFonts w:ascii="Arial" w:hAnsi="Arial" w:cs="Arial"/>
                <w:sz w:val="13"/>
                <w:szCs w:val="13"/>
              </w:rPr>
            </w:pPr>
            <w:r>
              <w:rPr>
                <w:rFonts w:ascii="Arial" w:hAnsi="Arial" w:cs="Arial"/>
                <w:sz w:val="13"/>
                <w:szCs w:val="13"/>
              </w:rPr>
              <w:t>24</w:t>
            </w:r>
          </w:p>
        </w:tc>
        <w:tc>
          <w:tcPr>
            <w:tcW w:w="225" w:type="pct"/>
            <w:tcBorders>
              <w:top w:val="single" w:sz="4" w:space="0" w:color="000000" w:themeColor="text1"/>
            </w:tcBorders>
            <w:shd w:val="clear" w:color="auto" w:fill="FFFFFF" w:themeFill="background1"/>
            <w:tcMar>
              <w:bottom w:w="43" w:type="dxa"/>
            </w:tcMar>
            <w:vAlign w:val="bottom"/>
          </w:tcPr>
          <w:p w:rsidR="007E6F25" w:rsidRPr="00C33804" w:rsidRDefault="007E6F25" w:rsidP="005705B2">
            <w:pPr>
              <w:jc w:val="center"/>
              <w:rPr>
                <w:rFonts w:ascii="Arial" w:hAnsi="Arial" w:cs="Arial"/>
                <w:sz w:val="13"/>
                <w:szCs w:val="13"/>
              </w:rPr>
            </w:pPr>
            <w:r>
              <w:rPr>
                <w:rFonts w:ascii="Arial" w:hAnsi="Arial" w:cs="Arial"/>
                <w:sz w:val="13"/>
                <w:szCs w:val="13"/>
              </w:rPr>
              <w:t>25</w:t>
            </w:r>
          </w:p>
        </w:tc>
        <w:tc>
          <w:tcPr>
            <w:tcW w:w="226" w:type="pct"/>
            <w:tcBorders>
              <w:top w:val="single" w:sz="4" w:space="0" w:color="000000" w:themeColor="text1"/>
            </w:tcBorders>
            <w:shd w:val="clear" w:color="auto" w:fill="FFFFFF" w:themeFill="background1"/>
            <w:tcMar>
              <w:bottom w:w="43" w:type="dxa"/>
            </w:tcMar>
            <w:vAlign w:val="bottom"/>
          </w:tcPr>
          <w:p w:rsidR="007E6F25" w:rsidRPr="00C33804" w:rsidRDefault="007E6F25" w:rsidP="005705B2">
            <w:pPr>
              <w:jc w:val="center"/>
              <w:rPr>
                <w:rFonts w:ascii="Arial" w:hAnsi="Arial" w:cs="Arial"/>
                <w:sz w:val="13"/>
                <w:szCs w:val="13"/>
              </w:rPr>
            </w:pPr>
            <w:r>
              <w:rPr>
                <w:rFonts w:ascii="Arial" w:hAnsi="Arial" w:cs="Arial"/>
                <w:sz w:val="13"/>
                <w:szCs w:val="13"/>
              </w:rPr>
              <w:t>26</w:t>
            </w:r>
          </w:p>
        </w:tc>
        <w:tc>
          <w:tcPr>
            <w:tcW w:w="225" w:type="pct"/>
            <w:tcBorders>
              <w:top w:val="single" w:sz="4" w:space="0" w:color="000000" w:themeColor="text1"/>
            </w:tcBorders>
            <w:shd w:val="clear" w:color="auto" w:fill="FFFFFF" w:themeFill="background1"/>
            <w:tcMar>
              <w:bottom w:w="43" w:type="dxa"/>
            </w:tcMar>
            <w:vAlign w:val="bottom"/>
          </w:tcPr>
          <w:p w:rsidR="007E6F25" w:rsidRPr="00C33804" w:rsidRDefault="007E6F25" w:rsidP="005705B2">
            <w:pPr>
              <w:jc w:val="center"/>
              <w:rPr>
                <w:rFonts w:ascii="Arial" w:hAnsi="Arial" w:cs="Arial"/>
                <w:sz w:val="13"/>
                <w:szCs w:val="13"/>
              </w:rPr>
            </w:pPr>
            <w:r>
              <w:rPr>
                <w:rFonts w:ascii="Arial" w:hAnsi="Arial" w:cs="Arial"/>
                <w:sz w:val="13"/>
                <w:szCs w:val="13"/>
              </w:rPr>
              <w:t>27</w:t>
            </w:r>
          </w:p>
        </w:tc>
        <w:tc>
          <w:tcPr>
            <w:tcW w:w="227" w:type="pct"/>
            <w:tcBorders>
              <w:right w:val="double" w:sz="6" w:space="0" w:color="auto"/>
            </w:tcBorders>
            <w:shd w:val="clear" w:color="auto" w:fill="FFFFFF" w:themeFill="background1"/>
            <w:tcMar>
              <w:bottom w:w="43" w:type="dxa"/>
            </w:tcMar>
            <w:vAlign w:val="bottom"/>
          </w:tcPr>
          <w:p w:rsidR="007E6F25" w:rsidRPr="00C33804" w:rsidRDefault="007E6F25" w:rsidP="005705B2">
            <w:pPr>
              <w:jc w:val="center"/>
              <w:rPr>
                <w:rFonts w:ascii="Arial" w:hAnsi="Arial" w:cs="Arial"/>
                <w:sz w:val="13"/>
                <w:szCs w:val="13"/>
              </w:rPr>
            </w:pPr>
            <w:r>
              <w:rPr>
                <w:rFonts w:ascii="Arial" w:hAnsi="Arial" w:cs="Arial"/>
                <w:sz w:val="13"/>
                <w:szCs w:val="13"/>
              </w:rPr>
              <w:t>28</w:t>
            </w:r>
          </w:p>
        </w:tc>
        <w:tc>
          <w:tcPr>
            <w:tcW w:w="136" w:type="pct"/>
            <w:tcBorders>
              <w:top w:val="nil"/>
              <w:left w:val="double" w:sz="6" w:space="0" w:color="auto"/>
              <w:bottom w:val="nil"/>
              <w:right w:val="double" w:sz="6" w:space="0" w:color="auto"/>
            </w:tcBorders>
            <w:shd w:val="clear" w:color="auto" w:fill="FFFFFF" w:themeFill="background1"/>
            <w:tcMar>
              <w:bottom w:w="43" w:type="dxa"/>
            </w:tcMar>
            <w:vAlign w:val="bottom"/>
          </w:tcPr>
          <w:p w:rsidR="007E6F25" w:rsidRPr="00C33804" w:rsidRDefault="007E6F25" w:rsidP="005705B2">
            <w:pPr>
              <w:tabs>
                <w:tab w:val="center" w:pos="5220"/>
                <w:tab w:val="right" w:pos="10440"/>
              </w:tabs>
              <w:jc w:val="center"/>
              <w:rPr>
                <w:rFonts w:ascii="Arial" w:hAnsi="Arial" w:cs="Arial"/>
                <w:sz w:val="13"/>
                <w:szCs w:val="13"/>
              </w:rPr>
            </w:pPr>
          </w:p>
        </w:tc>
        <w:tc>
          <w:tcPr>
            <w:tcW w:w="225" w:type="pct"/>
            <w:tcBorders>
              <w:left w:val="double" w:sz="6" w:space="0" w:color="auto"/>
            </w:tcBorders>
            <w:shd w:val="clear" w:color="auto" w:fill="auto"/>
            <w:tcMar>
              <w:bottom w:w="43" w:type="dxa"/>
            </w:tcMar>
            <w:vAlign w:val="bottom"/>
          </w:tcPr>
          <w:p w:rsidR="007E6F25" w:rsidRPr="00C33804" w:rsidRDefault="007E6F25" w:rsidP="005705B2">
            <w:pPr>
              <w:jc w:val="center"/>
              <w:rPr>
                <w:rFonts w:ascii="Arial" w:hAnsi="Arial" w:cs="Arial"/>
                <w:sz w:val="13"/>
                <w:szCs w:val="13"/>
              </w:rPr>
            </w:pPr>
            <w:r>
              <w:rPr>
                <w:rFonts w:ascii="Arial" w:hAnsi="Arial" w:cs="Arial"/>
                <w:sz w:val="13"/>
                <w:szCs w:val="13"/>
              </w:rPr>
              <w:t>19</w:t>
            </w:r>
          </w:p>
        </w:tc>
        <w:tc>
          <w:tcPr>
            <w:tcW w:w="226" w:type="pct"/>
            <w:tcBorders>
              <w:top w:val="double" w:sz="6" w:space="0" w:color="auto"/>
            </w:tcBorders>
            <w:shd w:val="clear" w:color="auto" w:fill="auto"/>
            <w:tcMar>
              <w:bottom w:w="43" w:type="dxa"/>
            </w:tcMar>
            <w:vAlign w:val="bottom"/>
          </w:tcPr>
          <w:p w:rsidR="007E6F25" w:rsidRPr="00C33804" w:rsidRDefault="007E6F25" w:rsidP="005705B2">
            <w:pPr>
              <w:jc w:val="center"/>
              <w:rPr>
                <w:rFonts w:ascii="Arial" w:hAnsi="Arial" w:cs="Arial"/>
                <w:sz w:val="13"/>
                <w:szCs w:val="13"/>
              </w:rPr>
            </w:pPr>
            <w:r>
              <w:rPr>
                <w:rFonts w:ascii="Arial" w:hAnsi="Arial" w:cs="Arial"/>
                <w:sz w:val="13"/>
                <w:szCs w:val="13"/>
              </w:rPr>
              <w:t>20</w:t>
            </w:r>
          </w:p>
        </w:tc>
        <w:tc>
          <w:tcPr>
            <w:tcW w:w="226" w:type="pct"/>
            <w:shd w:val="clear" w:color="auto" w:fill="auto"/>
            <w:tcMar>
              <w:bottom w:w="43" w:type="dxa"/>
            </w:tcMar>
            <w:vAlign w:val="bottom"/>
          </w:tcPr>
          <w:p w:rsidR="007E6F25" w:rsidRPr="00C33804" w:rsidRDefault="007E6F25" w:rsidP="005705B2">
            <w:pPr>
              <w:jc w:val="center"/>
              <w:rPr>
                <w:rFonts w:ascii="Arial" w:hAnsi="Arial" w:cs="Arial"/>
                <w:sz w:val="13"/>
                <w:szCs w:val="13"/>
              </w:rPr>
            </w:pPr>
            <w:r>
              <w:rPr>
                <w:rFonts w:ascii="Arial" w:hAnsi="Arial" w:cs="Arial"/>
                <w:sz w:val="13"/>
                <w:szCs w:val="13"/>
              </w:rPr>
              <w:t>21</w:t>
            </w:r>
          </w:p>
        </w:tc>
        <w:tc>
          <w:tcPr>
            <w:tcW w:w="226" w:type="pct"/>
            <w:shd w:val="clear" w:color="auto" w:fill="auto"/>
            <w:tcMar>
              <w:bottom w:w="43" w:type="dxa"/>
            </w:tcMar>
            <w:vAlign w:val="bottom"/>
          </w:tcPr>
          <w:p w:rsidR="007E6F25" w:rsidRPr="00C33804" w:rsidRDefault="007E6F25" w:rsidP="005705B2">
            <w:pPr>
              <w:jc w:val="center"/>
              <w:rPr>
                <w:rFonts w:ascii="Arial" w:hAnsi="Arial" w:cs="Arial"/>
                <w:sz w:val="13"/>
                <w:szCs w:val="13"/>
              </w:rPr>
            </w:pPr>
            <w:r>
              <w:rPr>
                <w:rFonts w:ascii="Arial" w:hAnsi="Arial" w:cs="Arial"/>
                <w:sz w:val="13"/>
                <w:szCs w:val="13"/>
              </w:rPr>
              <w:t>22</w:t>
            </w:r>
          </w:p>
        </w:tc>
        <w:tc>
          <w:tcPr>
            <w:tcW w:w="226" w:type="pct"/>
            <w:shd w:val="clear" w:color="auto" w:fill="auto"/>
            <w:tcMar>
              <w:bottom w:w="43" w:type="dxa"/>
            </w:tcMar>
            <w:vAlign w:val="bottom"/>
          </w:tcPr>
          <w:p w:rsidR="007E6F25" w:rsidRPr="00C33804" w:rsidRDefault="007E6F25" w:rsidP="005705B2">
            <w:pPr>
              <w:jc w:val="center"/>
              <w:rPr>
                <w:rFonts w:ascii="Arial" w:hAnsi="Arial" w:cs="Arial"/>
                <w:sz w:val="13"/>
                <w:szCs w:val="13"/>
              </w:rPr>
            </w:pPr>
            <w:r>
              <w:rPr>
                <w:rFonts w:ascii="Arial" w:hAnsi="Arial" w:cs="Arial"/>
                <w:sz w:val="13"/>
                <w:szCs w:val="13"/>
              </w:rPr>
              <w:t>23</w:t>
            </w:r>
          </w:p>
        </w:tc>
        <w:tc>
          <w:tcPr>
            <w:tcW w:w="226" w:type="pct"/>
            <w:shd w:val="clear" w:color="auto" w:fill="auto"/>
            <w:tcMar>
              <w:bottom w:w="43" w:type="dxa"/>
            </w:tcMar>
            <w:vAlign w:val="bottom"/>
          </w:tcPr>
          <w:p w:rsidR="007E6F25" w:rsidRPr="00C33804" w:rsidRDefault="007E6F25" w:rsidP="005705B2">
            <w:pPr>
              <w:jc w:val="center"/>
              <w:rPr>
                <w:rFonts w:ascii="Arial" w:hAnsi="Arial" w:cs="Arial"/>
                <w:sz w:val="13"/>
                <w:szCs w:val="13"/>
              </w:rPr>
            </w:pPr>
            <w:r>
              <w:rPr>
                <w:rFonts w:ascii="Arial" w:hAnsi="Arial" w:cs="Arial"/>
                <w:sz w:val="13"/>
                <w:szCs w:val="13"/>
              </w:rPr>
              <w:t>24</w:t>
            </w:r>
          </w:p>
        </w:tc>
        <w:tc>
          <w:tcPr>
            <w:tcW w:w="226" w:type="pct"/>
            <w:tcBorders>
              <w:right w:val="double" w:sz="6" w:space="0" w:color="auto"/>
            </w:tcBorders>
            <w:shd w:val="clear" w:color="auto" w:fill="auto"/>
            <w:tcMar>
              <w:bottom w:w="43" w:type="dxa"/>
            </w:tcMar>
            <w:vAlign w:val="bottom"/>
          </w:tcPr>
          <w:p w:rsidR="007E6F25" w:rsidRPr="00C33804" w:rsidRDefault="007E6F25" w:rsidP="005705B2">
            <w:pPr>
              <w:jc w:val="center"/>
              <w:rPr>
                <w:rFonts w:ascii="Arial" w:hAnsi="Arial" w:cs="Arial"/>
                <w:sz w:val="13"/>
                <w:szCs w:val="13"/>
              </w:rPr>
            </w:pPr>
            <w:r>
              <w:rPr>
                <w:rFonts w:ascii="Arial" w:hAnsi="Arial" w:cs="Arial"/>
                <w:sz w:val="13"/>
                <w:szCs w:val="13"/>
              </w:rPr>
              <w:t>25</w:t>
            </w:r>
          </w:p>
        </w:tc>
        <w:tc>
          <w:tcPr>
            <w:tcW w:w="139" w:type="pct"/>
            <w:tcBorders>
              <w:top w:val="nil"/>
              <w:left w:val="double" w:sz="6" w:space="0" w:color="auto"/>
              <w:bottom w:val="nil"/>
              <w:right w:val="double" w:sz="6" w:space="0" w:color="auto"/>
            </w:tcBorders>
            <w:tcMar>
              <w:bottom w:w="43" w:type="dxa"/>
            </w:tcMar>
            <w:vAlign w:val="bottom"/>
          </w:tcPr>
          <w:p w:rsidR="007E6F25" w:rsidRPr="00C33804" w:rsidRDefault="007E6F25" w:rsidP="005705B2">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000000" w:themeColor="text1"/>
            </w:tcBorders>
            <w:tcMar>
              <w:bottom w:w="43" w:type="dxa"/>
            </w:tcMar>
            <w:vAlign w:val="bottom"/>
          </w:tcPr>
          <w:p w:rsidR="007E6F25" w:rsidRPr="00C33804" w:rsidRDefault="007E6F25" w:rsidP="005705B2">
            <w:pPr>
              <w:jc w:val="center"/>
              <w:rPr>
                <w:rFonts w:ascii="Arial" w:hAnsi="Arial" w:cs="Arial"/>
                <w:sz w:val="13"/>
                <w:szCs w:val="13"/>
              </w:rPr>
            </w:pPr>
            <w:r>
              <w:rPr>
                <w:rFonts w:ascii="Arial" w:hAnsi="Arial" w:cs="Arial"/>
                <w:sz w:val="13"/>
                <w:szCs w:val="13"/>
              </w:rPr>
              <w:t>17</w:t>
            </w:r>
          </w:p>
        </w:tc>
        <w:tc>
          <w:tcPr>
            <w:tcW w:w="222" w:type="pct"/>
            <w:tcBorders>
              <w:top w:val="single" w:sz="4" w:space="0" w:color="000000" w:themeColor="text1"/>
              <w:left w:val="single" w:sz="4" w:space="0" w:color="000000" w:themeColor="text1"/>
              <w:bottom w:val="double" w:sz="6" w:space="0" w:color="auto"/>
              <w:right w:val="single" w:sz="4" w:space="0" w:color="000000" w:themeColor="text1"/>
            </w:tcBorders>
            <w:shd w:val="clear" w:color="auto" w:fill="auto"/>
            <w:tcMar>
              <w:bottom w:w="43" w:type="dxa"/>
            </w:tcMar>
            <w:vAlign w:val="bottom"/>
          </w:tcPr>
          <w:p w:rsidR="007E6F25" w:rsidRPr="00C33804" w:rsidRDefault="007E6F25" w:rsidP="005705B2">
            <w:pPr>
              <w:jc w:val="center"/>
              <w:rPr>
                <w:rFonts w:ascii="Arial" w:hAnsi="Arial" w:cs="Arial"/>
                <w:sz w:val="13"/>
                <w:szCs w:val="13"/>
              </w:rPr>
            </w:pPr>
            <w:r>
              <w:rPr>
                <w:rFonts w:ascii="Arial" w:hAnsi="Arial" w:cs="Arial"/>
                <w:sz w:val="13"/>
                <w:szCs w:val="13"/>
              </w:rPr>
              <w:t>18</w:t>
            </w:r>
          </w:p>
        </w:tc>
        <w:tc>
          <w:tcPr>
            <w:tcW w:w="225" w:type="pct"/>
            <w:tcBorders>
              <w:left w:val="single" w:sz="4" w:space="0" w:color="000000" w:themeColor="text1"/>
              <w:bottom w:val="double" w:sz="6" w:space="0" w:color="auto"/>
            </w:tcBorders>
            <w:shd w:val="clear" w:color="auto" w:fill="auto"/>
            <w:tcMar>
              <w:bottom w:w="43" w:type="dxa"/>
            </w:tcMar>
            <w:vAlign w:val="bottom"/>
          </w:tcPr>
          <w:p w:rsidR="007E6F25" w:rsidRPr="00C33804" w:rsidRDefault="007E6F25" w:rsidP="005705B2">
            <w:pPr>
              <w:jc w:val="center"/>
              <w:rPr>
                <w:rFonts w:ascii="Arial" w:hAnsi="Arial" w:cs="Arial"/>
                <w:sz w:val="13"/>
                <w:szCs w:val="13"/>
              </w:rPr>
            </w:pPr>
            <w:r>
              <w:rPr>
                <w:rFonts w:ascii="Arial" w:hAnsi="Arial" w:cs="Arial"/>
                <w:sz w:val="13"/>
                <w:szCs w:val="13"/>
              </w:rPr>
              <w:t>19</w:t>
            </w:r>
          </w:p>
        </w:tc>
        <w:tc>
          <w:tcPr>
            <w:tcW w:w="223" w:type="pct"/>
            <w:tcBorders>
              <w:bottom w:val="single" w:sz="4" w:space="0" w:color="000000" w:themeColor="text1"/>
            </w:tcBorders>
            <w:shd w:val="clear" w:color="auto" w:fill="auto"/>
            <w:tcMar>
              <w:bottom w:w="43" w:type="dxa"/>
            </w:tcMar>
            <w:vAlign w:val="bottom"/>
          </w:tcPr>
          <w:p w:rsidR="007E6F25" w:rsidRPr="00C33804" w:rsidRDefault="007E6F25" w:rsidP="005705B2">
            <w:pPr>
              <w:jc w:val="center"/>
              <w:rPr>
                <w:rFonts w:ascii="Arial" w:hAnsi="Arial" w:cs="Arial"/>
                <w:sz w:val="13"/>
                <w:szCs w:val="13"/>
              </w:rPr>
            </w:pPr>
            <w:r>
              <w:rPr>
                <w:rFonts w:ascii="Arial" w:hAnsi="Arial" w:cs="Arial"/>
                <w:sz w:val="13"/>
                <w:szCs w:val="13"/>
              </w:rPr>
              <w:t>20</w:t>
            </w:r>
          </w:p>
        </w:tc>
        <w:tc>
          <w:tcPr>
            <w:tcW w:w="224" w:type="pct"/>
            <w:tcBorders>
              <w:bottom w:val="single" w:sz="4" w:space="0" w:color="000000" w:themeColor="text1"/>
              <w:right w:val="single" w:sz="4" w:space="0" w:color="000000" w:themeColor="text1"/>
            </w:tcBorders>
            <w:shd w:val="clear" w:color="auto" w:fill="auto"/>
            <w:tcMar>
              <w:bottom w:w="43" w:type="dxa"/>
            </w:tcMar>
            <w:vAlign w:val="bottom"/>
          </w:tcPr>
          <w:p w:rsidR="007E6F25" w:rsidRPr="00C33804" w:rsidRDefault="007E6F25" w:rsidP="005705B2">
            <w:pPr>
              <w:jc w:val="center"/>
              <w:rPr>
                <w:rFonts w:ascii="Arial" w:hAnsi="Arial" w:cs="Arial"/>
                <w:sz w:val="13"/>
                <w:szCs w:val="13"/>
              </w:rPr>
            </w:pPr>
            <w:r>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Mar>
              <w:bottom w:w="43" w:type="dxa"/>
            </w:tcMar>
            <w:vAlign w:val="bottom"/>
          </w:tcPr>
          <w:p w:rsidR="007E6F25" w:rsidRPr="00C33804" w:rsidRDefault="007E6F25" w:rsidP="005705B2">
            <w:pPr>
              <w:jc w:val="center"/>
              <w:rPr>
                <w:rFonts w:ascii="Arial" w:hAnsi="Arial" w:cs="Arial"/>
                <w:sz w:val="13"/>
                <w:szCs w:val="13"/>
              </w:rPr>
            </w:pPr>
            <w:r>
              <w:rPr>
                <w:rFonts w:ascii="Arial" w:hAnsi="Arial" w:cs="Arial"/>
                <w:sz w:val="13"/>
                <w:szCs w:val="13"/>
              </w:rPr>
              <w:t>22</w:t>
            </w:r>
          </w:p>
        </w:tc>
        <w:tc>
          <w:tcPr>
            <w:tcW w:w="221" w:type="pct"/>
            <w:tcBorders>
              <w:left w:val="single" w:sz="4" w:space="0" w:color="000000" w:themeColor="text1"/>
              <w:right w:val="double" w:sz="6" w:space="0" w:color="auto"/>
            </w:tcBorders>
            <w:tcMar>
              <w:bottom w:w="43" w:type="dxa"/>
            </w:tcMar>
            <w:vAlign w:val="bottom"/>
          </w:tcPr>
          <w:p w:rsidR="007E6F25" w:rsidRPr="00C33804" w:rsidRDefault="007E6F25" w:rsidP="005705B2">
            <w:pPr>
              <w:jc w:val="center"/>
              <w:rPr>
                <w:rFonts w:ascii="Arial" w:hAnsi="Arial" w:cs="Arial"/>
                <w:sz w:val="13"/>
                <w:szCs w:val="13"/>
              </w:rPr>
            </w:pPr>
            <w:r>
              <w:rPr>
                <w:rFonts w:ascii="Arial" w:hAnsi="Arial" w:cs="Arial"/>
                <w:sz w:val="13"/>
                <w:szCs w:val="13"/>
              </w:rPr>
              <w:t>23</w:t>
            </w:r>
          </w:p>
        </w:tc>
      </w:tr>
      <w:tr w:rsidR="007E6F25" w:rsidRPr="00C33804" w:rsidTr="005705B2">
        <w:trPr>
          <w:trHeight w:val="346"/>
        </w:trPr>
        <w:tc>
          <w:tcPr>
            <w:tcW w:w="225" w:type="pct"/>
            <w:tcBorders>
              <w:left w:val="double" w:sz="6" w:space="0" w:color="auto"/>
              <w:bottom w:val="double" w:sz="6" w:space="0" w:color="auto"/>
            </w:tcBorders>
            <w:tcMar>
              <w:bottom w:w="43" w:type="dxa"/>
            </w:tcMar>
            <w:vAlign w:val="bottom"/>
          </w:tcPr>
          <w:p w:rsidR="007E6F25" w:rsidRPr="00C33804" w:rsidRDefault="007E6F25" w:rsidP="005705B2">
            <w:pPr>
              <w:jc w:val="center"/>
              <w:rPr>
                <w:rFonts w:ascii="Arial" w:hAnsi="Arial" w:cs="Arial"/>
                <w:sz w:val="13"/>
                <w:szCs w:val="13"/>
              </w:rPr>
            </w:pPr>
            <w:r>
              <w:rPr>
                <w:rFonts w:ascii="Arial" w:hAnsi="Arial" w:cs="Arial"/>
                <w:sz w:val="13"/>
                <w:szCs w:val="13"/>
              </w:rPr>
              <w:t>29</w:t>
            </w:r>
          </w:p>
        </w:tc>
        <w:tc>
          <w:tcPr>
            <w:tcW w:w="227" w:type="pct"/>
            <w:tcBorders>
              <w:bottom w:val="double" w:sz="6" w:space="0" w:color="auto"/>
            </w:tcBorders>
            <w:shd w:val="clear" w:color="auto" w:fill="BFBFBF" w:themeFill="background1" w:themeFillShade="BF"/>
            <w:tcMar>
              <w:bottom w:w="43" w:type="dxa"/>
            </w:tcMar>
            <w:vAlign w:val="bottom"/>
          </w:tcPr>
          <w:p w:rsidR="007E6F25" w:rsidRPr="00C33804" w:rsidRDefault="007E6F25" w:rsidP="005705B2">
            <w:pPr>
              <w:jc w:val="center"/>
              <w:rPr>
                <w:rFonts w:ascii="Arial" w:hAnsi="Arial" w:cs="Arial"/>
                <w:sz w:val="13"/>
                <w:szCs w:val="13"/>
              </w:rPr>
            </w:pPr>
            <w:r w:rsidRPr="001D41E3">
              <w:rPr>
                <w:rFonts w:ascii="Arial" w:hAnsi="Arial" w:cs="Arial"/>
                <w:sz w:val="13"/>
                <w:szCs w:val="13"/>
              </w:rPr>
              <w:t>30</w:t>
            </w:r>
          </w:p>
        </w:tc>
        <w:tc>
          <w:tcPr>
            <w:tcW w:w="226" w:type="pct"/>
            <w:tcBorders>
              <w:bottom w:val="double" w:sz="6" w:space="0" w:color="auto"/>
            </w:tcBorders>
            <w:shd w:val="clear" w:color="auto" w:fill="BFBFBF" w:themeFill="background1" w:themeFillShade="BF"/>
            <w:tcMar>
              <w:bottom w:w="43" w:type="dxa"/>
            </w:tcMar>
            <w:vAlign w:val="bottom"/>
          </w:tcPr>
          <w:p w:rsidR="007E6F25" w:rsidRPr="00C33804" w:rsidRDefault="007E6F25" w:rsidP="005705B2">
            <w:pPr>
              <w:jc w:val="center"/>
              <w:rPr>
                <w:rFonts w:ascii="Arial" w:hAnsi="Arial" w:cs="Arial"/>
                <w:sz w:val="13"/>
                <w:szCs w:val="13"/>
              </w:rPr>
            </w:pPr>
            <w:r>
              <w:rPr>
                <w:rFonts w:ascii="Arial" w:hAnsi="Arial" w:cs="Arial"/>
                <w:sz w:val="13"/>
                <w:szCs w:val="13"/>
              </w:rPr>
              <w:t>31</w:t>
            </w:r>
          </w:p>
        </w:tc>
        <w:tc>
          <w:tcPr>
            <w:tcW w:w="225" w:type="pct"/>
            <w:tcBorders>
              <w:bottom w:val="double" w:sz="6" w:space="0" w:color="auto"/>
            </w:tcBorders>
            <w:tcMar>
              <w:bottom w:w="43" w:type="dxa"/>
            </w:tcMar>
            <w:vAlign w:val="bottom"/>
          </w:tcPr>
          <w:p w:rsidR="007E6F25" w:rsidRPr="00C33804" w:rsidRDefault="007E6F25" w:rsidP="005705B2">
            <w:pPr>
              <w:jc w:val="center"/>
              <w:rPr>
                <w:rFonts w:ascii="Arial" w:hAnsi="Arial" w:cs="Arial"/>
                <w:sz w:val="13"/>
                <w:szCs w:val="13"/>
              </w:rPr>
            </w:pPr>
          </w:p>
        </w:tc>
        <w:tc>
          <w:tcPr>
            <w:tcW w:w="226" w:type="pct"/>
            <w:tcBorders>
              <w:bottom w:val="double" w:sz="6" w:space="0" w:color="auto"/>
            </w:tcBorders>
            <w:tcMar>
              <w:bottom w:w="43" w:type="dxa"/>
            </w:tcMar>
            <w:vAlign w:val="bottom"/>
          </w:tcPr>
          <w:p w:rsidR="007E6F25" w:rsidRPr="00C33804" w:rsidRDefault="007E6F25" w:rsidP="005705B2">
            <w:pPr>
              <w:jc w:val="center"/>
              <w:rPr>
                <w:rFonts w:ascii="Arial" w:hAnsi="Arial" w:cs="Arial"/>
                <w:sz w:val="13"/>
                <w:szCs w:val="13"/>
              </w:rPr>
            </w:pPr>
          </w:p>
        </w:tc>
        <w:tc>
          <w:tcPr>
            <w:tcW w:w="225" w:type="pct"/>
            <w:tcBorders>
              <w:bottom w:val="double" w:sz="6" w:space="0" w:color="auto"/>
            </w:tcBorders>
            <w:tcMar>
              <w:bottom w:w="43" w:type="dxa"/>
            </w:tcMar>
            <w:vAlign w:val="bottom"/>
          </w:tcPr>
          <w:p w:rsidR="007E6F25" w:rsidRPr="00C33804" w:rsidRDefault="007E6F25" w:rsidP="005705B2">
            <w:pPr>
              <w:jc w:val="center"/>
              <w:rPr>
                <w:rFonts w:ascii="Arial" w:hAnsi="Arial" w:cs="Arial"/>
                <w:sz w:val="13"/>
                <w:szCs w:val="13"/>
              </w:rPr>
            </w:pPr>
          </w:p>
        </w:tc>
        <w:tc>
          <w:tcPr>
            <w:tcW w:w="227" w:type="pct"/>
            <w:tcBorders>
              <w:bottom w:val="double" w:sz="6" w:space="0" w:color="auto"/>
              <w:right w:val="double" w:sz="6" w:space="0" w:color="auto"/>
            </w:tcBorders>
            <w:tcMar>
              <w:bottom w:w="43" w:type="dxa"/>
            </w:tcMar>
            <w:vAlign w:val="bottom"/>
          </w:tcPr>
          <w:p w:rsidR="007E6F25" w:rsidRPr="00C33804" w:rsidRDefault="007E6F25" w:rsidP="005705B2">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bottom w:w="43" w:type="dxa"/>
            </w:tcMar>
            <w:vAlign w:val="bottom"/>
          </w:tcPr>
          <w:p w:rsidR="007E6F25" w:rsidRPr="00C33804" w:rsidRDefault="007E6F25" w:rsidP="005705B2">
            <w:pPr>
              <w:tabs>
                <w:tab w:val="center" w:pos="5220"/>
                <w:tab w:val="right" w:pos="10440"/>
              </w:tabs>
              <w:jc w:val="center"/>
              <w:rPr>
                <w:rFonts w:ascii="Arial" w:hAnsi="Arial" w:cs="Arial"/>
                <w:sz w:val="13"/>
                <w:szCs w:val="13"/>
              </w:rPr>
            </w:pPr>
          </w:p>
        </w:tc>
        <w:tc>
          <w:tcPr>
            <w:tcW w:w="225" w:type="pct"/>
            <w:tcBorders>
              <w:left w:val="double" w:sz="6" w:space="0" w:color="auto"/>
              <w:bottom w:val="double" w:sz="6" w:space="0" w:color="auto"/>
            </w:tcBorders>
            <w:tcMar>
              <w:bottom w:w="43" w:type="dxa"/>
            </w:tcMar>
            <w:vAlign w:val="bottom"/>
          </w:tcPr>
          <w:p w:rsidR="007E6F25" w:rsidRPr="00C33804" w:rsidRDefault="007E6F25" w:rsidP="005705B2">
            <w:pPr>
              <w:jc w:val="center"/>
              <w:rPr>
                <w:rFonts w:ascii="Arial" w:hAnsi="Arial" w:cs="Arial"/>
                <w:sz w:val="13"/>
                <w:szCs w:val="13"/>
              </w:rPr>
            </w:pPr>
            <w:r>
              <w:rPr>
                <w:rFonts w:ascii="Arial" w:hAnsi="Arial" w:cs="Arial"/>
                <w:sz w:val="13"/>
                <w:szCs w:val="13"/>
              </w:rPr>
              <w:t>26</w:t>
            </w:r>
          </w:p>
        </w:tc>
        <w:tc>
          <w:tcPr>
            <w:tcW w:w="226" w:type="pct"/>
            <w:tcBorders>
              <w:bottom w:val="double" w:sz="6" w:space="0" w:color="auto"/>
            </w:tcBorders>
            <w:shd w:val="clear" w:color="auto" w:fill="BFBFBF" w:themeFill="background1" w:themeFillShade="BF"/>
            <w:tcMar>
              <w:bottom w:w="43" w:type="dxa"/>
            </w:tcMar>
            <w:vAlign w:val="bottom"/>
          </w:tcPr>
          <w:p w:rsidR="007E6F25" w:rsidRPr="00C33804" w:rsidRDefault="007E6F25" w:rsidP="005705B2">
            <w:pPr>
              <w:jc w:val="center"/>
              <w:rPr>
                <w:rFonts w:ascii="Arial" w:hAnsi="Arial" w:cs="Arial"/>
                <w:sz w:val="13"/>
                <w:szCs w:val="13"/>
              </w:rPr>
            </w:pPr>
            <w:r>
              <w:rPr>
                <w:rFonts w:ascii="Arial" w:hAnsi="Arial" w:cs="Arial"/>
                <w:sz w:val="13"/>
                <w:szCs w:val="13"/>
              </w:rPr>
              <w:t>27</w:t>
            </w:r>
          </w:p>
        </w:tc>
        <w:tc>
          <w:tcPr>
            <w:tcW w:w="226" w:type="pct"/>
            <w:tcBorders>
              <w:bottom w:val="double" w:sz="6" w:space="0" w:color="auto"/>
            </w:tcBorders>
            <w:shd w:val="clear" w:color="auto" w:fill="BFBFBF" w:themeFill="background1" w:themeFillShade="BF"/>
            <w:tcMar>
              <w:bottom w:w="43" w:type="dxa"/>
            </w:tcMar>
            <w:vAlign w:val="bottom"/>
          </w:tcPr>
          <w:p w:rsidR="007E6F25" w:rsidRPr="00C33804" w:rsidRDefault="007E6F25" w:rsidP="005705B2">
            <w:pPr>
              <w:jc w:val="center"/>
              <w:rPr>
                <w:rFonts w:ascii="Arial" w:hAnsi="Arial" w:cs="Arial"/>
                <w:sz w:val="13"/>
                <w:szCs w:val="13"/>
              </w:rPr>
            </w:pPr>
            <w:r>
              <w:rPr>
                <w:rFonts w:ascii="Arial" w:hAnsi="Arial" w:cs="Arial"/>
                <w:sz w:val="13"/>
                <w:szCs w:val="13"/>
              </w:rPr>
              <w:t>28</w:t>
            </w:r>
          </w:p>
        </w:tc>
        <w:tc>
          <w:tcPr>
            <w:tcW w:w="226" w:type="pct"/>
            <w:tcBorders>
              <w:bottom w:val="double" w:sz="6" w:space="0" w:color="auto"/>
            </w:tcBorders>
            <w:shd w:val="clear" w:color="auto" w:fill="BFBFBF" w:themeFill="background1" w:themeFillShade="BF"/>
            <w:tcMar>
              <w:bottom w:w="43" w:type="dxa"/>
            </w:tcMar>
            <w:vAlign w:val="bottom"/>
          </w:tcPr>
          <w:p w:rsidR="007E6F25" w:rsidRPr="00C33804" w:rsidRDefault="007E6F25" w:rsidP="005705B2">
            <w:pPr>
              <w:jc w:val="center"/>
              <w:rPr>
                <w:rFonts w:ascii="Arial" w:hAnsi="Arial" w:cs="Arial"/>
                <w:sz w:val="13"/>
                <w:szCs w:val="13"/>
              </w:rPr>
            </w:pPr>
            <w:r>
              <w:rPr>
                <w:rFonts w:ascii="Arial" w:hAnsi="Arial" w:cs="Arial"/>
                <w:sz w:val="13"/>
                <w:szCs w:val="13"/>
              </w:rPr>
              <w:t>29</w:t>
            </w:r>
          </w:p>
        </w:tc>
        <w:tc>
          <w:tcPr>
            <w:tcW w:w="226" w:type="pct"/>
            <w:tcBorders>
              <w:bottom w:val="double" w:sz="6" w:space="0" w:color="auto"/>
            </w:tcBorders>
            <w:shd w:val="clear" w:color="auto" w:fill="BFBFBF" w:themeFill="background1" w:themeFillShade="BF"/>
            <w:tcMar>
              <w:bottom w:w="43" w:type="dxa"/>
            </w:tcMar>
            <w:vAlign w:val="bottom"/>
          </w:tcPr>
          <w:p w:rsidR="007E6F25" w:rsidRPr="00C33804" w:rsidRDefault="007E6F25" w:rsidP="005705B2">
            <w:pPr>
              <w:jc w:val="center"/>
              <w:rPr>
                <w:rFonts w:ascii="Arial" w:hAnsi="Arial" w:cs="Arial"/>
                <w:sz w:val="13"/>
                <w:szCs w:val="13"/>
              </w:rPr>
            </w:pPr>
            <w:r>
              <w:rPr>
                <w:rFonts w:ascii="Arial" w:hAnsi="Arial" w:cs="Arial"/>
                <w:sz w:val="13"/>
                <w:szCs w:val="13"/>
              </w:rPr>
              <w:t>30</w:t>
            </w:r>
          </w:p>
        </w:tc>
        <w:tc>
          <w:tcPr>
            <w:tcW w:w="226" w:type="pct"/>
            <w:tcBorders>
              <w:bottom w:val="double" w:sz="6" w:space="0" w:color="auto"/>
            </w:tcBorders>
            <w:tcMar>
              <w:bottom w:w="43" w:type="dxa"/>
            </w:tcMar>
            <w:vAlign w:val="bottom"/>
          </w:tcPr>
          <w:p w:rsidR="007E6F25" w:rsidRPr="00C33804" w:rsidRDefault="007E6F25" w:rsidP="005705B2">
            <w:pPr>
              <w:jc w:val="center"/>
              <w:rPr>
                <w:rFonts w:ascii="Arial" w:hAnsi="Arial" w:cs="Arial"/>
                <w:sz w:val="13"/>
                <w:szCs w:val="13"/>
              </w:rPr>
            </w:pPr>
          </w:p>
        </w:tc>
        <w:tc>
          <w:tcPr>
            <w:tcW w:w="226" w:type="pct"/>
            <w:tcBorders>
              <w:bottom w:val="double" w:sz="6" w:space="0" w:color="auto"/>
              <w:right w:val="double" w:sz="6" w:space="0" w:color="auto"/>
            </w:tcBorders>
            <w:tcMar>
              <w:bottom w:w="43" w:type="dxa"/>
            </w:tcMar>
            <w:vAlign w:val="bottom"/>
          </w:tcPr>
          <w:p w:rsidR="007E6F25" w:rsidRPr="00C33804" w:rsidRDefault="007E6F25" w:rsidP="005705B2">
            <w:pPr>
              <w:jc w:val="center"/>
              <w:rPr>
                <w:rFonts w:ascii="Arial" w:hAnsi="Arial" w:cs="Arial"/>
                <w:sz w:val="13"/>
                <w:szCs w:val="13"/>
              </w:rPr>
            </w:pPr>
          </w:p>
        </w:tc>
        <w:tc>
          <w:tcPr>
            <w:tcW w:w="139" w:type="pct"/>
            <w:tcBorders>
              <w:top w:val="nil"/>
              <w:left w:val="double" w:sz="6" w:space="0" w:color="auto"/>
              <w:bottom w:val="nil"/>
              <w:right w:val="double" w:sz="6" w:space="0" w:color="auto"/>
            </w:tcBorders>
            <w:tcMar>
              <w:bottom w:w="43" w:type="dxa"/>
            </w:tcMar>
            <w:vAlign w:val="bottom"/>
          </w:tcPr>
          <w:p w:rsidR="007E6F25" w:rsidRPr="00C33804" w:rsidRDefault="007E6F25" w:rsidP="005705B2">
            <w:pPr>
              <w:tabs>
                <w:tab w:val="center" w:pos="5220"/>
                <w:tab w:val="right" w:pos="10440"/>
              </w:tabs>
              <w:jc w:val="center"/>
              <w:rPr>
                <w:rFonts w:ascii="Arial" w:hAnsi="Arial" w:cs="Arial"/>
                <w:sz w:val="13"/>
                <w:szCs w:val="13"/>
              </w:rPr>
            </w:pPr>
          </w:p>
        </w:tc>
        <w:tc>
          <w:tcPr>
            <w:tcW w:w="222" w:type="pct"/>
            <w:tcBorders>
              <w:left w:val="double" w:sz="6" w:space="0" w:color="auto"/>
              <w:bottom w:val="double" w:sz="6" w:space="0" w:color="auto"/>
              <w:right w:val="double" w:sz="6" w:space="0" w:color="auto"/>
            </w:tcBorders>
            <w:tcMar>
              <w:bottom w:w="43" w:type="dxa"/>
            </w:tcMar>
            <w:vAlign w:val="bottom"/>
          </w:tcPr>
          <w:p w:rsidR="007E6F25" w:rsidRPr="00CB2402" w:rsidRDefault="007E6F25" w:rsidP="005705B2">
            <w:pPr>
              <w:rPr>
                <w:rFonts w:ascii="Arial" w:hAnsi="Arial" w:cs="Arial"/>
                <w:sz w:val="13"/>
                <w:szCs w:val="13"/>
              </w:rPr>
            </w:pPr>
            <w:r w:rsidRPr="00CB2402">
              <w:rPr>
                <w:rFonts w:ascii="Arial" w:hAnsi="Arial" w:cs="Arial"/>
                <w:sz w:val="13"/>
                <w:szCs w:val="13"/>
              </w:rPr>
              <w:t xml:space="preserve"> 24 /</w:t>
            </w:r>
          </w:p>
          <w:p w:rsidR="007E6F25" w:rsidRPr="00CB2402" w:rsidRDefault="007E6F25" w:rsidP="005705B2">
            <w:pPr>
              <w:jc w:val="center"/>
              <w:rPr>
                <w:rFonts w:ascii="Arial" w:hAnsi="Arial" w:cs="Arial"/>
                <w:sz w:val="13"/>
                <w:szCs w:val="13"/>
              </w:rPr>
            </w:pPr>
            <w:r w:rsidRPr="00CB2402">
              <w:rPr>
                <w:rFonts w:ascii="Arial" w:hAnsi="Arial" w:cs="Arial"/>
                <w:sz w:val="13"/>
                <w:szCs w:val="13"/>
              </w:rPr>
              <w:t xml:space="preserve">     </w:t>
            </w:r>
            <w:r>
              <w:rPr>
                <w:rFonts w:ascii="Arial" w:hAnsi="Arial" w:cs="Arial"/>
                <w:sz w:val="13"/>
                <w:szCs w:val="13"/>
              </w:rPr>
              <w:t xml:space="preserve"> </w:t>
            </w:r>
            <w:r w:rsidRPr="00CB2402">
              <w:rPr>
                <w:rFonts w:ascii="Arial" w:hAnsi="Arial" w:cs="Arial"/>
                <w:sz w:val="13"/>
                <w:szCs w:val="13"/>
              </w:rPr>
              <w:t>31</w:t>
            </w:r>
          </w:p>
        </w:tc>
        <w:tc>
          <w:tcPr>
            <w:tcW w:w="222" w:type="pct"/>
            <w:tcBorders>
              <w:top w:val="double" w:sz="6" w:space="0" w:color="auto"/>
              <w:left w:val="double" w:sz="6" w:space="0" w:color="auto"/>
              <w:bottom w:val="double" w:sz="6" w:space="0" w:color="auto"/>
              <w:right w:val="double" w:sz="6" w:space="0" w:color="auto"/>
            </w:tcBorders>
            <w:shd w:val="clear" w:color="auto" w:fill="auto"/>
            <w:tcMar>
              <w:bottom w:w="43" w:type="dxa"/>
            </w:tcMar>
            <w:vAlign w:val="bottom"/>
          </w:tcPr>
          <w:p w:rsidR="007E6F25" w:rsidRPr="00CB2402" w:rsidRDefault="007E6F25" w:rsidP="005705B2">
            <w:pPr>
              <w:jc w:val="center"/>
              <w:rPr>
                <w:rFonts w:ascii="Arial" w:hAnsi="Arial" w:cs="Arial"/>
                <w:b/>
                <w:sz w:val="13"/>
                <w:szCs w:val="13"/>
              </w:rPr>
            </w:pPr>
            <w:r w:rsidRPr="00CB2402">
              <w:rPr>
                <w:rFonts w:ascii="Arial" w:hAnsi="Arial" w:cs="Arial"/>
                <w:b/>
                <w:sz w:val="13"/>
                <w:szCs w:val="13"/>
              </w:rPr>
              <w:t>H</w:t>
            </w:r>
          </w:p>
          <w:p w:rsidR="007E6F25" w:rsidRPr="00CB2402" w:rsidRDefault="007E6F25" w:rsidP="005705B2">
            <w:pPr>
              <w:jc w:val="center"/>
              <w:rPr>
                <w:rFonts w:ascii="Arial" w:hAnsi="Arial" w:cs="Arial"/>
                <w:sz w:val="13"/>
                <w:szCs w:val="13"/>
              </w:rPr>
            </w:pPr>
            <w:r w:rsidRPr="00CB2402">
              <w:rPr>
                <w:rFonts w:ascii="Arial" w:hAnsi="Arial" w:cs="Arial"/>
                <w:sz w:val="13"/>
                <w:szCs w:val="13"/>
              </w:rPr>
              <w:t>25</w:t>
            </w:r>
          </w:p>
        </w:tc>
        <w:tc>
          <w:tcPr>
            <w:tcW w:w="225" w:type="pct"/>
            <w:tcBorders>
              <w:top w:val="double" w:sz="6" w:space="0" w:color="auto"/>
              <w:left w:val="double" w:sz="6" w:space="0" w:color="auto"/>
              <w:bottom w:val="double" w:sz="6" w:space="0" w:color="auto"/>
              <w:right w:val="double" w:sz="6" w:space="0" w:color="auto"/>
            </w:tcBorders>
            <w:shd w:val="clear" w:color="auto" w:fill="auto"/>
            <w:tcMar>
              <w:bottom w:w="43" w:type="dxa"/>
            </w:tcMar>
            <w:vAlign w:val="bottom"/>
          </w:tcPr>
          <w:p w:rsidR="007E6F25" w:rsidRPr="00CB2402" w:rsidRDefault="007E6F25" w:rsidP="005705B2">
            <w:pPr>
              <w:jc w:val="center"/>
              <w:rPr>
                <w:rFonts w:ascii="Arial" w:hAnsi="Arial" w:cs="Arial"/>
                <w:b/>
                <w:sz w:val="13"/>
                <w:szCs w:val="13"/>
              </w:rPr>
            </w:pPr>
            <w:r w:rsidRPr="00CB2402">
              <w:rPr>
                <w:rFonts w:ascii="Arial" w:hAnsi="Arial" w:cs="Arial"/>
                <w:b/>
                <w:sz w:val="13"/>
                <w:szCs w:val="13"/>
              </w:rPr>
              <w:t>H</w:t>
            </w:r>
          </w:p>
          <w:p w:rsidR="007E6F25" w:rsidRPr="00CB2402" w:rsidRDefault="007E6F25" w:rsidP="005705B2">
            <w:pPr>
              <w:jc w:val="center"/>
              <w:rPr>
                <w:rFonts w:ascii="Arial" w:hAnsi="Arial" w:cs="Arial"/>
                <w:sz w:val="13"/>
                <w:szCs w:val="13"/>
              </w:rPr>
            </w:pPr>
            <w:r w:rsidRPr="00CB2402">
              <w:rPr>
                <w:rFonts w:ascii="Arial" w:hAnsi="Arial" w:cs="Arial"/>
                <w:sz w:val="13"/>
                <w:szCs w:val="13"/>
              </w:rPr>
              <w:t>26</w:t>
            </w:r>
          </w:p>
        </w:tc>
        <w:tc>
          <w:tcPr>
            <w:tcW w:w="223" w:type="pct"/>
            <w:tcBorders>
              <w:top w:val="single" w:sz="4" w:space="0" w:color="000000" w:themeColor="text1"/>
              <w:left w:val="double" w:sz="6" w:space="0" w:color="auto"/>
              <w:bottom w:val="double" w:sz="6" w:space="0" w:color="auto"/>
            </w:tcBorders>
            <w:shd w:val="clear" w:color="auto" w:fill="auto"/>
            <w:tcMar>
              <w:bottom w:w="43" w:type="dxa"/>
            </w:tcMar>
            <w:vAlign w:val="bottom"/>
          </w:tcPr>
          <w:p w:rsidR="007E6F25" w:rsidRPr="00CB2402" w:rsidRDefault="007E6F25" w:rsidP="005705B2">
            <w:pPr>
              <w:jc w:val="center"/>
              <w:rPr>
                <w:rFonts w:ascii="Arial" w:hAnsi="Arial" w:cs="Arial"/>
                <w:sz w:val="13"/>
                <w:szCs w:val="13"/>
              </w:rPr>
            </w:pPr>
            <w:r w:rsidRPr="00CB2402">
              <w:rPr>
                <w:rFonts w:ascii="Arial" w:hAnsi="Arial" w:cs="Arial"/>
                <w:sz w:val="13"/>
                <w:szCs w:val="13"/>
              </w:rPr>
              <w:t>27</w:t>
            </w:r>
          </w:p>
        </w:tc>
        <w:tc>
          <w:tcPr>
            <w:tcW w:w="224" w:type="pct"/>
            <w:tcBorders>
              <w:top w:val="single" w:sz="4" w:space="0" w:color="000000" w:themeColor="text1"/>
              <w:bottom w:val="double" w:sz="6" w:space="0" w:color="auto"/>
              <w:right w:val="single" w:sz="4" w:space="0" w:color="auto"/>
            </w:tcBorders>
            <w:shd w:val="clear" w:color="auto" w:fill="auto"/>
            <w:tcMar>
              <w:bottom w:w="43" w:type="dxa"/>
            </w:tcMar>
            <w:vAlign w:val="bottom"/>
          </w:tcPr>
          <w:p w:rsidR="007E6F25" w:rsidRPr="00CB2402" w:rsidRDefault="007E6F25" w:rsidP="005705B2">
            <w:pPr>
              <w:jc w:val="center"/>
              <w:rPr>
                <w:rFonts w:ascii="Arial" w:hAnsi="Arial" w:cs="Arial"/>
                <w:sz w:val="13"/>
                <w:szCs w:val="13"/>
              </w:rPr>
            </w:pPr>
            <w:r w:rsidRPr="00CB2402">
              <w:rPr>
                <w:rFonts w:ascii="Arial" w:hAnsi="Arial" w:cs="Arial"/>
                <w:sz w:val="13"/>
                <w:szCs w:val="13"/>
              </w:rPr>
              <w:t>28</w:t>
            </w:r>
          </w:p>
        </w:tc>
        <w:tc>
          <w:tcPr>
            <w:tcW w:w="224" w:type="pct"/>
            <w:tcBorders>
              <w:top w:val="single" w:sz="4" w:space="0" w:color="auto"/>
              <w:left w:val="single" w:sz="4" w:space="0" w:color="auto"/>
              <w:bottom w:val="double" w:sz="6" w:space="0" w:color="auto"/>
              <w:right w:val="single" w:sz="4" w:space="0" w:color="auto"/>
            </w:tcBorders>
            <w:shd w:val="clear" w:color="auto" w:fill="auto"/>
            <w:tcMar>
              <w:bottom w:w="43" w:type="dxa"/>
            </w:tcMar>
            <w:vAlign w:val="bottom"/>
          </w:tcPr>
          <w:p w:rsidR="007E6F25" w:rsidRPr="001D41E3" w:rsidRDefault="007E6F25" w:rsidP="005705B2">
            <w:pPr>
              <w:jc w:val="center"/>
              <w:rPr>
                <w:rFonts w:ascii="Arial" w:hAnsi="Arial" w:cs="Arial"/>
                <w:sz w:val="13"/>
                <w:szCs w:val="13"/>
              </w:rPr>
            </w:pPr>
            <w:r w:rsidRPr="001D41E3">
              <w:rPr>
                <w:rFonts w:ascii="Arial" w:hAnsi="Arial" w:cs="Arial"/>
                <w:sz w:val="13"/>
                <w:szCs w:val="13"/>
              </w:rPr>
              <w:t>29</w:t>
            </w:r>
          </w:p>
        </w:tc>
        <w:tc>
          <w:tcPr>
            <w:tcW w:w="221" w:type="pct"/>
            <w:tcBorders>
              <w:left w:val="single" w:sz="4" w:space="0" w:color="auto"/>
              <w:bottom w:val="double" w:sz="6" w:space="0" w:color="auto"/>
              <w:right w:val="double" w:sz="6" w:space="0" w:color="auto"/>
            </w:tcBorders>
            <w:tcMar>
              <w:bottom w:w="43" w:type="dxa"/>
            </w:tcMar>
            <w:vAlign w:val="bottom"/>
          </w:tcPr>
          <w:p w:rsidR="007E6F25" w:rsidRPr="00C33804" w:rsidRDefault="007E6F25" w:rsidP="005705B2">
            <w:pPr>
              <w:jc w:val="center"/>
              <w:rPr>
                <w:rFonts w:ascii="Arial" w:hAnsi="Arial" w:cs="Arial"/>
                <w:sz w:val="13"/>
                <w:szCs w:val="13"/>
              </w:rPr>
            </w:pPr>
            <w:r>
              <w:rPr>
                <w:rFonts w:ascii="Arial" w:hAnsi="Arial" w:cs="Arial"/>
                <w:sz w:val="13"/>
                <w:szCs w:val="13"/>
              </w:rPr>
              <w:t>30</w:t>
            </w:r>
          </w:p>
        </w:tc>
      </w:tr>
    </w:tbl>
    <w:p w:rsidR="0013595D" w:rsidRPr="00D36093" w:rsidRDefault="0013595D" w:rsidP="0013595D">
      <w:pPr>
        <w:tabs>
          <w:tab w:val="center" w:pos="5220"/>
          <w:tab w:val="right" w:pos="10440"/>
        </w:tabs>
        <w:jc w:val="center"/>
        <w:rPr>
          <w:rFonts w:ascii="Arial" w:hAnsi="Arial" w:cs="Arial"/>
          <w:sz w:val="36"/>
          <w:szCs w:val="36"/>
        </w:rPr>
      </w:pPr>
      <w:r w:rsidRPr="00D36093">
        <w:rPr>
          <w:rFonts w:ascii="Arial" w:hAnsi="Arial" w:cs="Arial"/>
          <w:b/>
          <w:i/>
          <w:sz w:val="36"/>
          <w:szCs w:val="36"/>
        </w:rPr>
        <w:t xml:space="preserve"> - 201</w:t>
      </w:r>
      <w:r w:rsidR="007E6F25">
        <w:rPr>
          <w:rFonts w:ascii="Arial" w:hAnsi="Arial" w:cs="Arial"/>
          <w:b/>
          <w:i/>
          <w:sz w:val="36"/>
          <w:szCs w:val="36"/>
        </w:rPr>
        <w:t>8</w:t>
      </w:r>
      <w:r w:rsidRPr="00D36093">
        <w:rPr>
          <w:rFonts w:ascii="Arial" w:hAnsi="Arial" w:cs="Arial"/>
          <w:b/>
          <w:i/>
          <w:sz w:val="36"/>
          <w:szCs w:val="36"/>
        </w:rPr>
        <w:t xml:space="preserve"> -</w:t>
      </w:r>
    </w:p>
    <w:tbl>
      <w:tblPr>
        <w:tblStyle w:val="TableGrid"/>
        <w:tblW w:w="5074" w:type="pct"/>
        <w:tblInd w:w="-23" w:type="dxa"/>
        <w:tblLayout w:type="fixed"/>
        <w:tblCellMar>
          <w:top w:w="58" w:type="dxa"/>
          <w:left w:w="29" w:type="dxa"/>
          <w:bottom w:w="58" w:type="dxa"/>
          <w:right w:w="29" w:type="dxa"/>
        </w:tblCellMar>
        <w:tblLook w:val="04A0" w:firstRow="1" w:lastRow="0" w:firstColumn="1" w:lastColumn="0" w:noHBand="0" w:noVBand="1"/>
      </w:tblPr>
      <w:tblGrid>
        <w:gridCol w:w="477"/>
        <w:gridCol w:w="477"/>
        <w:gridCol w:w="479"/>
        <w:gridCol w:w="477"/>
        <w:gridCol w:w="479"/>
        <w:gridCol w:w="477"/>
        <w:gridCol w:w="483"/>
        <w:gridCol w:w="289"/>
        <w:gridCol w:w="475"/>
        <w:gridCol w:w="477"/>
        <w:gridCol w:w="477"/>
        <w:gridCol w:w="477"/>
        <w:gridCol w:w="477"/>
        <w:gridCol w:w="477"/>
        <w:gridCol w:w="479"/>
        <w:gridCol w:w="293"/>
        <w:gridCol w:w="468"/>
        <w:gridCol w:w="468"/>
        <w:gridCol w:w="470"/>
        <w:gridCol w:w="468"/>
        <w:gridCol w:w="470"/>
        <w:gridCol w:w="468"/>
        <w:gridCol w:w="466"/>
      </w:tblGrid>
      <w:tr w:rsidR="007E6F25" w:rsidRPr="00256B02" w:rsidTr="007E6F25">
        <w:trPr>
          <w:trHeight w:val="178"/>
        </w:trPr>
        <w:tc>
          <w:tcPr>
            <w:tcW w:w="1587"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7E6F25" w:rsidRPr="00256B02" w:rsidRDefault="007E6F25" w:rsidP="005705B2">
            <w:pPr>
              <w:tabs>
                <w:tab w:val="center" w:pos="5220"/>
                <w:tab w:val="right" w:pos="10440"/>
              </w:tabs>
              <w:jc w:val="center"/>
              <w:rPr>
                <w:rFonts w:ascii="Arial" w:hAnsi="Arial" w:cs="Arial"/>
                <w:b/>
                <w:sz w:val="13"/>
                <w:szCs w:val="13"/>
              </w:rPr>
            </w:pPr>
            <w:r w:rsidRPr="00256B02">
              <w:rPr>
                <w:rFonts w:ascii="Arial" w:hAnsi="Arial" w:cs="Arial"/>
                <w:b/>
                <w:sz w:val="13"/>
                <w:szCs w:val="13"/>
              </w:rPr>
              <w:t>JANUARY – JANVIER</w:t>
            </w:r>
          </w:p>
        </w:tc>
        <w:tc>
          <w:tcPr>
            <w:tcW w:w="137" w:type="pct"/>
            <w:tcBorders>
              <w:top w:val="nil"/>
              <w:left w:val="double" w:sz="6" w:space="0" w:color="auto"/>
              <w:bottom w:val="nil"/>
              <w:right w:val="double" w:sz="6" w:space="0" w:color="auto"/>
            </w:tcBorders>
            <w:tcMar>
              <w:top w:w="43" w:type="dxa"/>
              <w:bottom w:w="43" w:type="dxa"/>
            </w:tcMar>
            <w:vAlign w:val="center"/>
          </w:tcPr>
          <w:p w:rsidR="007E6F25" w:rsidRPr="00256B02" w:rsidRDefault="007E6F25" w:rsidP="005705B2">
            <w:pPr>
              <w:tabs>
                <w:tab w:val="center" w:pos="5220"/>
                <w:tab w:val="right" w:pos="10440"/>
              </w:tabs>
              <w:jc w:val="center"/>
              <w:rPr>
                <w:rFonts w:ascii="Arial" w:hAnsi="Arial" w:cs="Arial"/>
                <w:b/>
                <w:sz w:val="13"/>
                <w:szCs w:val="13"/>
              </w:rPr>
            </w:pPr>
          </w:p>
        </w:tc>
        <w:tc>
          <w:tcPr>
            <w:tcW w:w="158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7E6F25" w:rsidRPr="00256B02" w:rsidRDefault="007E6F25" w:rsidP="005705B2">
            <w:pPr>
              <w:tabs>
                <w:tab w:val="center" w:pos="5220"/>
                <w:tab w:val="right" w:pos="10440"/>
              </w:tabs>
              <w:jc w:val="center"/>
              <w:rPr>
                <w:rFonts w:ascii="Arial" w:hAnsi="Arial" w:cs="Arial"/>
                <w:b/>
                <w:sz w:val="13"/>
                <w:szCs w:val="13"/>
              </w:rPr>
            </w:pPr>
            <w:r w:rsidRPr="00256B02">
              <w:rPr>
                <w:rFonts w:ascii="Arial" w:hAnsi="Arial" w:cs="Arial"/>
                <w:b/>
                <w:sz w:val="13"/>
                <w:szCs w:val="13"/>
              </w:rPr>
              <w:t>FEBRUARY – FÉVRIER</w:t>
            </w:r>
          </w:p>
        </w:tc>
        <w:tc>
          <w:tcPr>
            <w:tcW w:w="139" w:type="pct"/>
            <w:tcBorders>
              <w:top w:val="nil"/>
              <w:left w:val="double" w:sz="6" w:space="0" w:color="auto"/>
              <w:bottom w:val="nil"/>
              <w:right w:val="double" w:sz="6" w:space="0" w:color="auto"/>
            </w:tcBorders>
            <w:tcMar>
              <w:top w:w="43" w:type="dxa"/>
              <w:bottom w:w="43" w:type="dxa"/>
            </w:tcMar>
            <w:vAlign w:val="center"/>
          </w:tcPr>
          <w:p w:rsidR="007E6F25" w:rsidRPr="00256B02" w:rsidRDefault="007E6F25" w:rsidP="005705B2">
            <w:pPr>
              <w:tabs>
                <w:tab w:val="center" w:pos="5220"/>
                <w:tab w:val="right" w:pos="10440"/>
              </w:tabs>
              <w:jc w:val="center"/>
              <w:rPr>
                <w:rFonts w:ascii="Arial" w:hAnsi="Arial" w:cs="Arial"/>
                <w:b/>
                <w:sz w:val="13"/>
                <w:szCs w:val="13"/>
              </w:rPr>
            </w:pPr>
          </w:p>
        </w:tc>
        <w:tc>
          <w:tcPr>
            <w:tcW w:w="1556"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7E6F25" w:rsidRPr="00256B02" w:rsidRDefault="007E6F25" w:rsidP="005705B2">
            <w:pPr>
              <w:tabs>
                <w:tab w:val="center" w:pos="5220"/>
                <w:tab w:val="right" w:pos="10440"/>
              </w:tabs>
              <w:jc w:val="center"/>
              <w:rPr>
                <w:rFonts w:ascii="Arial" w:hAnsi="Arial" w:cs="Arial"/>
                <w:b/>
                <w:sz w:val="13"/>
                <w:szCs w:val="13"/>
              </w:rPr>
            </w:pPr>
            <w:r w:rsidRPr="00256B02">
              <w:rPr>
                <w:rFonts w:ascii="Arial" w:hAnsi="Arial" w:cs="Arial"/>
                <w:b/>
                <w:sz w:val="13"/>
                <w:szCs w:val="13"/>
              </w:rPr>
              <w:t xml:space="preserve">MARCH </w:t>
            </w:r>
            <w:r>
              <w:rPr>
                <w:rFonts w:ascii="Arial" w:hAnsi="Arial" w:cs="Arial"/>
                <w:b/>
                <w:sz w:val="13"/>
                <w:szCs w:val="13"/>
              </w:rPr>
              <w:t>–</w:t>
            </w:r>
            <w:r w:rsidRPr="00256B02">
              <w:rPr>
                <w:rFonts w:ascii="Arial" w:hAnsi="Arial" w:cs="Arial"/>
                <w:b/>
                <w:sz w:val="13"/>
                <w:szCs w:val="13"/>
              </w:rPr>
              <w:t xml:space="preserve"> MARS</w:t>
            </w:r>
          </w:p>
        </w:tc>
      </w:tr>
      <w:tr w:rsidR="007E6F25" w:rsidRPr="00256B02" w:rsidTr="005705B2">
        <w:trPr>
          <w:trHeight w:val="216"/>
        </w:trPr>
        <w:tc>
          <w:tcPr>
            <w:tcW w:w="226" w:type="pct"/>
            <w:tcBorders>
              <w:top w:val="double" w:sz="6" w:space="0" w:color="auto"/>
              <w:left w:val="double" w:sz="6" w:space="0" w:color="auto"/>
              <w:bottom w:val="single" w:sz="4" w:space="0" w:color="000000" w:themeColor="text1"/>
            </w:tcBorders>
            <w:tcMar>
              <w:bottom w:w="43" w:type="dxa"/>
            </w:tcMar>
            <w:vAlign w:val="center"/>
          </w:tcPr>
          <w:p w:rsidR="007E6F25" w:rsidRPr="00256B02" w:rsidRDefault="007E6F25" w:rsidP="005705B2">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7E6F25" w:rsidRPr="00256B02" w:rsidRDefault="007E6F25" w:rsidP="005705B2">
            <w:pPr>
              <w:tabs>
                <w:tab w:val="center" w:pos="5220"/>
                <w:tab w:val="right" w:pos="10440"/>
              </w:tabs>
              <w:jc w:val="center"/>
              <w:rPr>
                <w:rFonts w:ascii="Arial" w:hAnsi="Arial" w:cs="Arial"/>
                <w:b/>
                <w:sz w:val="13"/>
                <w:szCs w:val="13"/>
              </w:rPr>
            </w:pPr>
            <w:r w:rsidRPr="00256B02">
              <w:rPr>
                <w:rFonts w:ascii="Arial" w:hAnsi="Arial" w:cs="Arial"/>
                <w:b/>
                <w:sz w:val="13"/>
                <w:szCs w:val="13"/>
              </w:rPr>
              <w:t>D</w:t>
            </w:r>
          </w:p>
        </w:tc>
        <w:tc>
          <w:tcPr>
            <w:tcW w:w="226" w:type="pct"/>
            <w:tcBorders>
              <w:top w:val="double" w:sz="6" w:space="0" w:color="auto"/>
              <w:bottom w:val="double" w:sz="4" w:space="0" w:color="auto"/>
            </w:tcBorders>
            <w:tcMar>
              <w:bottom w:w="43" w:type="dxa"/>
            </w:tcMar>
            <w:vAlign w:val="center"/>
          </w:tcPr>
          <w:p w:rsidR="007E6F25" w:rsidRPr="00256B02" w:rsidRDefault="007E6F25" w:rsidP="005705B2">
            <w:pPr>
              <w:tabs>
                <w:tab w:val="center" w:pos="5220"/>
                <w:tab w:val="right" w:pos="10440"/>
              </w:tabs>
              <w:jc w:val="center"/>
              <w:rPr>
                <w:rFonts w:ascii="Arial" w:hAnsi="Arial" w:cs="Arial"/>
                <w:b/>
                <w:sz w:val="13"/>
                <w:szCs w:val="13"/>
              </w:rPr>
            </w:pPr>
            <w:r w:rsidRPr="00256B02">
              <w:rPr>
                <w:rFonts w:ascii="Arial" w:hAnsi="Arial" w:cs="Arial"/>
                <w:b/>
                <w:sz w:val="13"/>
                <w:szCs w:val="13"/>
              </w:rPr>
              <w:t>M</w:t>
            </w:r>
          </w:p>
          <w:p w:rsidR="007E6F25" w:rsidRPr="00256B02" w:rsidRDefault="007E6F25" w:rsidP="005705B2">
            <w:pPr>
              <w:tabs>
                <w:tab w:val="center" w:pos="5220"/>
                <w:tab w:val="right" w:pos="10440"/>
              </w:tabs>
              <w:jc w:val="center"/>
              <w:rPr>
                <w:rFonts w:ascii="Arial" w:hAnsi="Arial" w:cs="Arial"/>
                <w:b/>
                <w:sz w:val="13"/>
                <w:szCs w:val="13"/>
              </w:rPr>
            </w:pPr>
            <w:r w:rsidRPr="00256B02">
              <w:rPr>
                <w:rFonts w:ascii="Arial" w:hAnsi="Arial" w:cs="Arial"/>
                <w:b/>
                <w:sz w:val="13"/>
                <w:szCs w:val="13"/>
              </w:rPr>
              <w:t>L</w:t>
            </w:r>
          </w:p>
        </w:tc>
        <w:tc>
          <w:tcPr>
            <w:tcW w:w="227" w:type="pct"/>
            <w:tcBorders>
              <w:top w:val="double" w:sz="6" w:space="0" w:color="auto"/>
            </w:tcBorders>
            <w:tcMar>
              <w:bottom w:w="43" w:type="dxa"/>
            </w:tcMar>
            <w:vAlign w:val="center"/>
          </w:tcPr>
          <w:p w:rsidR="007E6F25" w:rsidRPr="00256B02" w:rsidRDefault="007E6F25" w:rsidP="005705B2">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7E6F25" w:rsidRPr="00256B02" w:rsidRDefault="007E6F25" w:rsidP="005705B2">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6" w:type="pct"/>
            <w:tcBorders>
              <w:top w:val="double" w:sz="6" w:space="0" w:color="auto"/>
              <w:bottom w:val="single" w:sz="4" w:space="0" w:color="000000" w:themeColor="text1"/>
            </w:tcBorders>
            <w:tcMar>
              <w:bottom w:w="43" w:type="dxa"/>
            </w:tcMar>
            <w:vAlign w:val="center"/>
          </w:tcPr>
          <w:p w:rsidR="007E6F25" w:rsidRPr="00256B02" w:rsidRDefault="007E6F25" w:rsidP="005705B2">
            <w:pPr>
              <w:tabs>
                <w:tab w:val="center" w:pos="5220"/>
                <w:tab w:val="right" w:pos="10440"/>
              </w:tabs>
              <w:jc w:val="center"/>
              <w:rPr>
                <w:rFonts w:ascii="Arial" w:hAnsi="Arial" w:cs="Arial"/>
                <w:b/>
                <w:sz w:val="13"/>
                <w:szCs w:val="13"/>
              </w:rPr>
            </w:pPr>
            <w:r w:rsidRPr="00256B02">
              <w:rPr>
                <w:rFonts w:ascii="Arial" w:hAnsi="Arial" w:cs="Arial"/>
                <w:b/>
                <w:sz w:val="13"/>
                <w:szCs w:val="13"/>
              </w:rPr>
              <w:t>W</w:t>
            </w:r>
          </w:p>
          <w:p w:rsidR="007E6F25" w:rsidRPr="00256B02" w:rsidRDefault="007E6F25" w:rsidP="005705B2">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7" w:type="pct"/>
            <w:tcBorders>
              <w:top w:val="double" w:sz="6" w:space="0" w:color="auto"/>
              <w:bottom w:val="single" w:sz="4" w:space="0" w:color="auto"/>
            </w:tcBorders>
            <w:tcMar>
              <w:bottom w:w="43" w:type="dxa"/>
            </w:tcMar>
            <w:vAlign w:val="center"/>
          </w:tcPr>
          <w:p w:rsidR="007E6F25" w:rsidRPr="00256B02" w:rsidRDefault="007E6F25" w:rsidP="005705B2">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7E6F25" w:rsidRPr="00256B02" w:rsidRDefault="007E6F25" w:rsidP="005705B2">
            <w:pPr>
              <w:tabs>
                <w:tab w:val="center" w:pos="5220"/>
                <w:tab w:val="right" w:pos="10440"/>
              </w:tabs>
              <w:jc w:val="center"/>
              <w:rPr>
                <w:rFonts w:ascii="Arial" w:hAnsi="Arial" w:cs="Arial"/>
                <w:b/>
                <w:sz w:val="13"/>
                <w:szCs w:val="13"/>
              </w:rPr>
            </w:pPr>
            <w:r w:rsidRPr="00256B02">
              <w:rPr>
                <w:rFonts w:ascii="Arial" w:hAnsi="Arial" w:cs="Arial"/>
                <w:b/>
                <w:sz w:val="13"/>
                <w:szCs w:val="13"/>
              </w:rPr>
              <w:t>J</w:t>
            </w:r>
          </w:p>
        </w:tc>
        <w:tc>
          <w:tcPr>
            <w:tcW w:w="226" w:type="pct"/>
            <w:tcBorders>
              <w:top w:val="double" w:sz="6" w:space="0" w:color="auto"/>
              <w:bottom w:val="single" w:sz="4" w:space="0" w:color="000000" w:themeColor="text1"/>
            </w:tcBorders>
            <w:tcMar>
              <w:bottom w:w="43" w:type="dxa"/>
            </w:tcMar>
            <w:vAlign w:val="center"/>
          </w:tcPr>
          <w:p w:rsidR="007E6F25" w:rsidRPr="00256B02" w:rsidRDefault="007E6F25" w:rsidP="005705B2">
            <w:pPr>
              <w:tabs>
                <w:tab w:val="center" w:pos="5220"/>
                <w:tab w:val="right" w:pos="10440"/>
              </w:tabs>
              <w:jc w:val="center"/>
              <w:rPr>
                <w:rFonts w:ascii="Arial" w:hAnsi="Arial" w:cs="Arial"/>
                <w:b/>
                <w:sz w:val="13"/>
                <w:szCs w:val="13"/>
              </w:rPr>
            </w:pPr>
            <w:r w:rsidRPr="00256B02">
              <w:rPr>
                <w:rFonts w:ascii="Arial" w:hAnsi="Arial" w:cs="Arial"/>
                <w:b/>
                <w:sz w:val="13"/>
                <w:szCs w:val="13"/>
              </w:rPr>
              <w:t>F</w:t>
            </w:r>
          </w:p>
          <w:p w:rsidR="007E6F25" w:rsidRPr="00256B02" w:rsidRDefault="007E6F25" w:rsidP="005705B2">
            <w:pPr>
              <w:tabs>
                <w:tab w:val="center" w:pos="5220"/>
                <w:tab w:val="right" w:pos="10440"/>
              </w:tabs>
              <w:jc w:val="center"/>
              <w:rPr>
                <w:rFonts w:ascii="Arial" w:hAnsi="Arial" w:cs="Arial"/>
                <w:b/>
                <w:sz w:val="13"/>
                <w:szCs w:val="13"/>
              </w:rPr>
            </w:pPr>
            <w:r w:rsidRPr="00256B02">
              <w:rPr>
                <w:rFonts w:ascii="Arial" w:hAnsi="Arial" w:cs="Arial"/>
                <w:b/>
                <w:sz w:val="13"/>
                <w:szCs w:val="13"/>
              </w:rPr>
              <w:t>V</w:t>
            </w:r>
          </w:p>
        </w:tc>
        <w:tc>
          <w:tcPr>
            <w:tcW w:w="228" w:type="pct"/>
            <w:tcBorders>
              <w:top w:val="double" w:sz="6" w:space="0" w:color="auto"/>
              <w:right w:val="double" w:sz="6" w:space="0" w:color="auto"/>
            </w:tcBorders>
            <w:tcMar>
              <w:bottom w:w="43" w:type="dxa"/>
            </w:tcMar>
            <w:vAlign w:val="center"/>
          </w:tcPr>
          <w:p w:rsidR="007E6F25" w:rsidRPr="00256B02" w:rsidRDefault="007E6F25" w:rsidP="005705B2">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7E6F25" w:rsidRPr="00256B02" w:rsidRDefault="007E6F25" w:rsidP="005705B2">
            <w:pPr>
              <w:tabs>
                <w:tab w:val="center" w:pos="5220"/>
                <w:tab w:val="right" w:pos="10440"/>
              </w:tabs>
              <w:jc w:val="center"/>
              <w:rPr>
                <w:rFonts w:ascii="Arial" w:hAnsi="Arial" w:cs="Arial"/>
                <w:b/>
                <w:sz w:val="13"/>
                <w:szCs w:val="13"/>
              </w:rPr>
            </w:pPr>
            <w:r w:rsidRPr="00256B02">
              <w:rPr>
                <w:rFonts w:ascii="Arial" w:hAnsi="Arial" w:cs="Arial"/>
                <w:b/>
                <w:sz w:val="13"/>
                <w:szCs w:val="13"/>
              </w:rPr>
              <w:t>S</w:t>
            </w:r>
          </w:p>
        </w:tc>
        <w:tc>
          <w:tcPr>
            <w:tcW w:w="137" w:type="pct"/>
            <w:tcBorders>
              <w:top w:val="nil"/>
              <w:left w:val="double" w:sz="6" w:space="0" w:color="auto"/>
              <w:bottom w:val="nil"/>
              <w:right w:val="double" w:sz="6" w:space="0" w:color="auto"/>
            </w:tcBorders>
            <w:tcMar>
              <w:bottom w:w="43" w:type="dxa"/>
            </w:tcMar>
            <w:vAlign w:val="center"/>
          </w:tcPr>
          <w:p w:rsidR="007E6F25" w:rsidRPr="00256B02" w:rsidRDefault="007E6F25" w:rsidP="005705B2">
            <w:pPr>
              <w:tabs>
                <w:tab w:val="center" w:pos="5220"/>
                <w:tab w:val="right" w:pos="10440"/>
              </w:tabs>
              <w:jc w:val="center"/>
              <w:rPr>
                <w:rFonts w:ascii="Arial" w:hAnsi="Arial" w:cs="Arial"/>
                <w:b/>
                <w:sz w:val="13"/>
                <w:szCs w:val="13"/>
              </w:rPr>
            </w:pPr>
          </w:p>
        </w:tc>
        <w:tc>
          <w:tcPr>
            <w:tcW w:w="225" w:type="pct"/>
            <w:tcBorders>
              <w:top w:val="double" w:sz="6" w:space="0" w:color="auto"/>
              <w:left w:val="double" w:sz="6" w:space="0" w:color="auto"/>
            </w:tcBorders>
            <w:tcMar>
              <w:bottom w:w="43" w:type="dxa"/>
            </w:tcMar>
            <w:vAlign w:val="center"/>
          </w:tcPr>
          <w:p w:rsidR="007E6F25" w:rsidRPr="00256B02" w:rsidRDefault="007E6F25" w:rsidP="005705B2">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7E6F25" w:rsidRPr="00256B02" w:rsidRDefault="007E6F25" w:rsidP="005705B2">
            <w:pPr>
              <w:tabs>
                <w:tab w:val="center" w:pos="5220"/>
                <w:tab w:val="right" w:pos="10440"/>
              </w:tabs>
              <w:jc w:val="center"/>
              <w:rPr>
                <w:rFonts w:ascii="Arial" w:hAnsi="Arial" w:cs="Arial"/>
                <w:b/>
                <w:sz w:val="13"/>
                <w:szCs w:val="13"/>
              </w:rPr>
            </w:pPr>
            <w:r w:rsidRPr="00256B02">
              <w:rPr>
                <w:rFonts w:ascii="Arial" w:hAnsi="Arial" w:cs="Arial"/>
                <w:b/>
                <w:sz w:val="13"/>
                <w:szCs w:val="13"/>
              </w:rPr>
              <w:t>D</w:t>
            </w:r>
          </w:p>
        </w:tc>
        <w:tc>
          <w:tcPr>
            <w:tcW w:w="226" w:type="pct"/>
            <w:tcBorders>
              <w:top w:val="double" w:sz="6" w:space="0" w:color="auto"/>
            </w:tcBorders>
            <w:tcMar>
              <w:bottom w:w="43" w:type="dxa"/>
            </w:tcMar>
            <w:vAlign w:val="center"/>
          </w:tcPr>
          <w:p w:rsidR="007E6F25" w:rsidRPr="00256B02" w:rsidRDefault="007E6F25" w:rsidP="005705B2">
            <w:pPr>
              <w:tabs>
                <w:tab w:val="center" w:pos="5220"/>
                <w:tab w:val="right" w:pos="10440"/>
              </w:tabs>
              <w:jc w:val="center"/>
              <w:rPr>
                <w:rFonts w:ascii="Arial" w:hAnsi="Arial" w:cs="Arial"/>
                <w:b/>
                <w:sz w:val="13"/>
                <w:szCs w:val="13"/>
              </w:rPr>
            </w:pPr>
            <w:r w:rsidRPr="00256B02">
              <w:rPr>
                <w:rFonts w:ascii="Arial" w:hAnsi="Arial" w:cs="Arial"/>
                <w:b/>
                <w:sz w:val="13"/>
                <w:szCs w:val="13"/>
              </w:rPr>
              <w:t>M</w:t>
            </w:r>
          </w:p>
          <w:p w:rsidR="007E6F25" w:rsidRPr="00256B02" w:rsidRDefault="007E6F25" w:rsidP="005705B2">
            <w:pPr>
              <w:tabs>
                <w:tab w:val="center" w:pos="5220"/>
                <w:tab w:val="right" w:pos="10440"/>
              </w:tabs>
              <w:jc w:val="center"/>
              <w:rPr>
                <w:rFonts w:ascii="Arial" w:hAnsi="Arial" w:cs="Arial"/>
                <w:b/>
                <w:sz w:val="13"/>
                <w:szCs w:val="13"/>
              </w:rPr>
            </w:pPr>
            <w:r w:rsidRPr="00256B02">
              <w:rPr>
                <w:rFonts w:ascii="Arial" w:hAnsi="Arial" w:cs="Arial"/>
                <w:b/>
                <w:sz w:val="13"/>
                <w:szCs w:val="13"/>
              </w:rPr>
              <w:t>L</w:t>
            </w:r>
          </w:p>
        </w:tc>
        <w:tc>
          <w:tcPr>
            <w:tcW w:w="226" w:type="pct"/>
            <w:tcBorders>
              <w:top w:val="double" w:sz="6" w:space="0" w:color="auto"/>
            </w:tcBorders>
            <w:tcMar>
              <w:bottom w:w="43" w:type="dxa"/>
            </w:tcMar>
            <w:vAlign w:val="center"/>
          </w:tcPr>
          <w:p w:rsidR="007E6F25" w:rsidRPr="00256B02" w:rsidRDefault="007E6F25" w:rsidP="005705B2">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7E6F25" w:rsidRPr="00256B02" w:rsidRDefault="007E6F25" w:rsidP="005705B2">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6" w:type="pct"/>
            <w:tcBorders>
              <w:top w:val="double" w:sz="6" w:space="0" w:color="auto"/>
            </w:tcBorders>
            <w:tcMar>
              <w:bottom w:w="43" w:type="dxa"/>
            </w:tcMar>
            <w:vAlign w:val="center"/>
          </w:tcPr>
          <w:p w:rsidR="007E6F25" w:rsidRPr="00256B02" w:rsidRDefault="007E6F25" w:rsidP="005705B2">
            <w:pPr>
              <w:tabs>
                <w:tab w:val="center" w:pos="5220"/>
                <w:tab w:val="right" w:pos="10440"/>
              </w:tabs>
              <w:jc w:val="center"/>
              <w:rPr>
                <w:rFonts w:ascii="Arial" w:hAnsi="Arial" w:cs="Arial"/>
                <w:b/>
                <w:sz w:val="13"/>
                <w:szCs w:val="13"/>
              </w:rPr>
            </w:pPr>
            <w:r w:rsidRPr="00256B02">
              <w:rPr>
                <w:rFonts w:ascii="Arial" w:hAnsi="Arial" w:cs="Arial"/>
                <w:b/>
                <w:sz w:val="13"/>
                <w:szCs w:val="13"/>
              </w:rPr>
              <w:t>W</w:t>
            </w:r>
          </w:p>
          <w:p w:rsidR="007E6F25" w:rsidRPr="00256B02" w:rsidRDefault="007E6F25" w:rsidP="005705B2">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6" w:type="pct"/>
            <w:tcBorders>
              <w:top w:val="double" w:sz="6" w:space="0" w:color="auto"/>
            </w:tcBorders>
            <w:tcMar>
              <w:bottom w:w="43" w:type="dxa"/>
            </w:tcMar>
            <w:vAlign w:val="center"/>
          </w:tcPr>
          <w:p w:rsidR="007E6F25" w:rsidRPr="00256B02" w:rsidRDefault="007E6F25" w:rsidP="005705B2">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7E6F25" w:rsidRPr="00256B02" w:rsidRDefault="007E6F25" w:rsidP="005705B2">
            <w:pPr>
              <w:tabs>
                <w:tab w:val="center" w:pos="5220"/>
                <w:tab w:val="right" w:pos="10440"/>
              </w:tabs>
              <w:jc w:val="center"/>
              <w:rPr>
                <w:rFonts w:ascii="Arial" w:hAnsi="Arial" w:cs="Arial"/>
                <w:b/>
                <w:sz w:val="13"/>
                <w:szCs w:val="13"/>
              </w:rPr>
            </w:pPr>
            <w:r w:rsidRPr="00256B02">
              <w:rPr>
                <w:rFonts w:ascii="Arial" w:hAnsi="Arial" w:cs="Arial"/>
                <w:b/>
                <w:sz w:val="13"/>
                <w:szCs w:val="13"/>
              </w:rPr>
              <w:t>J</w:t>
            </w:r>
          </w:p>
        </w:tc>
        <w:tc>
          <w:tcPr>
            <w:tcW w:w="226" w:type="pct"/>
            <w:tcBorders>
              <w:top w:val="double" w:sz="6" w:space="0" w:color="auto"/>
            </w:tcBorders>
            <w:tcMar>
              <w:bottom w:w="43" w:type="dxa"/>
            </w:tcMar>
            <w:vAlign w:val="center"/>
          </w:tcPr>
          <w:p w:rsidR="007E6F25" w:rsidRPr="00256B02" w:rsidRDefault="007E6F25" w:rsidP="005705B2">
            <w:pPr>
              <w:tabs>
                <w:tab w:val="center" w:pos="5220"/>
                <w:tab w:val="right" w:pos="10440"/>
              </w:tabs>
              <w:jc w:val="center"/>
              <w:rPr>
                <w:rFonts w:ascii="Arial" w:hAnsi="Arial" w:cs="Arial"/>
                <w:b/>
                <w:sz w:val="13"/>
                <w:szCs w:val="13"/>
              </w:rPr>
            </w:pPr>
            <w:r w:rsidRPr="00256B02">
              <w:rPr>
                <w:rFonts w:ascii="Arial" w:hAnsi="Arial" w:cs="Arial"/>
                <w:b/>
                <w:sz w:val="13"/>
                <w:szCs w:val="13"/>
              </w:rPr>
              <w:t>F</w:t>
            </w:r>
          </w:p>
          <w:p w:rsidR="007E6F25" w:rsidRPr="00256B02" w:rsidRDefault="007E6F25" w:rsidP="005705B2">
            <w:pPr>
              <w:tabs>
                <w:tab w:val="center" w:pos="5220"/>
                <w:tab w:val="right" w:pos="10440"/>
              </w:tabs>
              <w:jc w:val="center"/>
              <w:rPr>
                <w:rFonts w:ascii="Arial" w:hAnsi="Arial" w:cs="Arial"/>
                <w:b/>
                <w:sz w:val="13"/>
                <w:szCs w:val="13"/>
              </w:rPr>
            </w:pPr>
            <w:r w:rsidRPr="00256B02">
              <w:rPr>
                <w:rFonts w:ascii="Arial" w:hAnsi="Arial" w:cs="Arial"/>
                <w:b/>
                <w:sz w:val="13"/>
                <w:szCs w:val="13"/>
              </w:rPr>
              <w:t>V</w:t>
            </w:r>
          </w:p>
        </w:tc>
        <w:tc>
          <w:tcPr>
            <w:tcW w:w="226" w:type="pct"/>
            <w:tcBorders>
              <w:top w:val="double" w:sz="6" w:space="0" w:color="auto"/>
              <w:right w:val="double" w:sz="6" w:space="0" w:color="auto"/>
            </w:tcBorders>
            <w:tcMar>
              <w:bottom w:w="43" w:type="dxa"/>
            </w:tcMar>
            <w:vAlign w:val="center"/>
          </w:tcPr>
          <w:p w:rsidR="007E6F25" w:rsidRPr="00256B02" w:rsidRDefault="007E6F25" w:rsidP="005705B2">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7E6F25" w:rsidRPr="00256B02" w:rsidRDefault="007E6F25" w:rsidP="005705B2">
            <w:pPr>
              <w:tabs>
                <w:tab w:val="center" w:pos="5220"/>
                <w:tab w:val="right" w:pos="10440"/>
              </w:tabs>
              <w:jc w:val="center"/>
              <w:rPr>
                <w:rFonts w:ascii="Arial" w:hAnsi="Arial" w:cs="Arial"/>
                <w:b/>
                <w:sz w:val="13"/>
                <w:szCs w:val="13"/>
              </w:rPr>
            </w:pPr>
            <w:r w:rsidRPr="00256B02">
              <w:rPr>
                <w:rFonts w:ascii="Arial" w:hAnsi="Arial" w:cs="Arial"/>
                <w:b/>
                <w:sz w:val="13"/>
                <w:szCs w:val="13"/>
              </w:rPr>
              <w:t>S</w:t>
            </w:r>
          </w:p>
        </w:tc>
        <w:tc>
          <w:tcPr>
            <w:tcW w:w="139" w:type="pct"/>
            <w:tcBorders>
              <w:top w:val="nil"/>
              <w:left w:val="double" w:sz="6" w:space="0" w:color="auto"/>
              <w:bottom w:val="nil"/>
              <w:right w:val="double" w:sz="6" w:space="0" w:color="auto"/>
            </w:tcBorders>
            <w:tcMar>
              <w:bottom w:w="43" w:type="dxa"/>
            </w:tcMar>
            <w:vAlign w:val="center"/>
          </w:tcPr>
          <w:p w:rsidR="007E6F25" w:rsidRPr="00256B02" w:rsidRDefault="007E6F25" w:rsidP="005705B2">
            <w:pPr>
              <w:tabs>
                <w:tab w:val="center" w:pos="5220"/>
                <w:tab w:val="right" w:pos="10440"/>
              </w:tabs>
              <w:jc w:val="center"/>
              <w:rPr>
                <w:rFonts w:ascii="Arial" w:hAnsi="Arial" w:cs="Arial"/>
                <w:b/>
                <w:sz w:val="13"/>
                <w:szCs w:val="13"/>
              </w:rPr>
            </w:pPr>
          </w:p>
        </w:tc>
        <w:tc>
          <w:tcPr>
            <w:tcW w:w="222" w:type="pct"/>
            <w:tcBorders>
              <w:top w:val="double" w:sz="6" w:space="0" w:color="auto"/>
              <w:left w:val="double" w:sz="6" w:space="0" w:color="auto"/>
            </w:tcBorders>
            <w:tcMar>
              <w:bottom w:w="43" w:type="dxa"/>
            </w:tcMar>
            <w:vAlign w:val="center"/>
          </w:tcPr>
          <w:p w:rsidR="007E6F25" w:rsidRPr="00256B02" w:rsidRDefault="007E6F25" w:rsidP="005705B2">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7E6F25" w:rsidRPr="00256B02" w:rsidRDefault="007E6F25" w:rsidP="005705B2">
            <w:pPr>
              <w:tabs>
                <w:tab w:val="center" w:pos="5220"/>
                <w:tab w:val="right" w:pos="10440"/>
              </w:tabs>
              <w:jc w:val="center"/>
              <w:rPr>
                <w:rFonts w:ascii="Arial" w:hAnsi="Arial" w:cs="Arial"/>
                <w:b/>
                <w:sz w:val="13"/>
                <w:szCs w:val="13"/>
              </w:rPr>
            </w:pPr>
            <w:r w:rsidRPr="00256B02">
              <w:rPr>
                <w:rFonts w:ascii="Arial" w:hAnsi="Arial" w:cs="Arial"/>
                <w:b/>
                <w:sz w:val="13"/>
                <w:szCs w:val="13"/>
              </w:rPr>
              <w:t>D</w:t>
            </w:r>
          </w:p>
        </w:tc>
        <w:tc>
          <w:tcPr>
            <w:tcW w:w="222" w:type="pct"/>
            <w:tcBorders>
              <w:top w:val="double" w:sz="6" w:space="0" w:color="auto"/>
            </w:tcBorders>
            <w:tcMar>
              <w:bottom w:w="43" w:type="dxa"/>
            </w:tcMar>
            <w:vAlign w:val="center"/>
          </w:tcPr>
          <w:p w:rsidR="007E6F25" w:rsidRPr="00256B02" w:rsidRDefault="007E6F25" w:rsidP="005705B2">
            <w:pPr>
              <w:tabs>
                <w:tab w:val="center" w:pos="5220"/>
                <w:tab w:val="right" w:pos="10440"/>
              </w:tabs>
              <w:jc w:val="center"/>
              <w:rPr>
                <w:rFonts w:ascii="Arial" w:hAnsi="Arial" w:cs="Arial"/>
                <w:b/>
                <w:sz w:val="13"/>
                <w:szCs w:val="13"/>
              </w:rPr>
            </w:pPr>
            <w:r w:rsidRPr="00256B02">
              <w:rPr>
                <w:rFonts w:ascii="Arial" w:hAnsi="Arial" w:cs="Arial"/>
                <w:b/>
                <w:sz w:val="13"/>
                <w:szCs w:val="13"/>
              </w:rPr>
              <w:t>M</w:t>
            </w:r>
          </w:p>
          <w:p w:rsidR="007E6F25" w:rsidRPr="00256B02" w:rsidRDefault="007E6F25" w:rsidP="005705B2">
            <w:pPr>
              <w:tabs>
                <w:tab w:val="center" w:pos="5220"/>
                <w:tab w:val="right" w:pos="10440"/>
              </w:tabs>
              <w:jc w:val="center"/>
              <w:rPr>
                <w:rFonts w:ascii="Arial" w:hAnsi="Arial" w:cs="Arial"/>
                <w:b/>
                <w:sz w:val="13"/>
                <w:szCs w:val="13"/>
              </w:rPr>
            </w:pPr>
            <w:r w:rsidRPr="00256B02">
              <w:rPr>
                <w:rFonts w:ascii="Arial" w:hAnsi="Arial" w:cs="Arial"/>
                <w:b/>
                <w:sz w:val="13"/>
                <w:szCs w:val="13"/>
              </w:rPr>
              <w:t>L</w:t>
            </w:r>
          </w:p>
        </w:tc>
        <w:tc>
          <w:tcPr>
            <w:tcW w:w="223" w:type="pct"/>
            <w:tcBorders>
              <w:top w:val="double" w:sz="6" w:space="0" w:color="auto"/>
            </w:tcBorders>
            <w:tcMar>
              <w:bottom w:w="43" w:type="dxa"/>
            </w:tcMar>
            <w:vAlign w:val="center"/>
          </w:tcPr>
          <w:p w:rsidR="007E6F25" w:rsidRPr="00256B02" w:rsidRDefault="007E6F25" w:rsidP="005705B2">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7E6F25" w:rsidRPr="00256B02" w:rsidRDefault="007E6F25" w:rsidP="005705B2">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2" w:type="pct"/>
            <w:tcBorders>
              <w:top w:val="double" w:sz="6" w:space="0" w:color="auto"/>
            </w:tcBorders>
            <w:tcMar>
              <w:bottom w:w="43" w:type="dxa"/>
            </w:tcMar>
            <w:vAlign w:val="center"/>
          </w:tcPr>
          <w:p w:rsidR="007E6F25" w:rsidRPr="00256B02" w:rsidRDefault="007E6F25" w:rsidP="005705B2">
            <w:pPr>
              <w:tabs>
                <w:tab w:val="center" w:pos="5220"/>
                <w:tab w:val="right" w:pos="10440"/>
              </w:tabs>
              <w:jc w:val="center"/>
              <w:rPr>
                <w:rFonts w:ascii="Arial" w:hAnsi="Arial" w:cs="Arial"/>
                <w:b/>
                <w:sz w:val="13"/>
                <w:szCs w:val="13"/>
              </w:rPr>
            </w:pPr>
            <w:r w:rsidRPr="00256B02">
              <w:rPr>
                <w:rFonts w:ascii="Arial" w:hAnsi="Arial" w:cs="Arial"/>
                <w:b/>
                <w:sz w:val="13"/>
                <w:szCs w:val="13"/>
              </w:rPr>
              <w:t>W</w:t>
            </w:r>
          </w:p>
          <w:p w:rsidR="007E6F25" w:rsidRPr="00256B02" w:rsidRDefault="007E6F25" w:rsidP="005705B2">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3" w:type="pct"/>
            <w:tcBorders>
              <w:top w:val="double" w:sz="6" w:space="0" w:color="auto"/>
            </w:tcBorders>
            <w:tcMar>
              <w:bottom w:w="43" w:type="dxa"/>
            </w:tcMar>
            <w:vAlign w:val="center"/>
          </w:tcPr>
          <w:p w:rsidR="007E6F25" w:rsidRPr="00256B02" w:rsidRDefault="007E6F25" w:rsidP="005705B2">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7E6F25" w:rsidRPr="00256B02" w:rsidRDefault="007E6F25" w:rsidP="005705B2">
            <w:pPr>
              <w:tabs>
                <w:tab w:val="center" w:pos="5220"/>
                <w:tab w:val="right" w:pos="10440"/>
              </w:tabs>
              <w:jc w:val="center"/>
              <w:rPr>
                <w:rFonts w:ascii="Arial" w:hAnsi="Arial" w:cs="Arial"/>
                <w:b/>
                <w:sz w:val="13"/>
                <w:szCs w:val="13"/>
              </w:rPr>
            </w:pPr>
            <w:r w:rsidRPr="00256B02">
              <w:rPr>
                <w:rFonts w:ascii="Arial" w:hAnsi="Arial" w:cs="Arial"/>
                <w:b/>
                <w:sz w:val="13"/>
                <w:szCs w:val="13"/>
              </w:rPr>
              <w:t>J</w:t>
            </w:r>
          </w:p>
        </w:tc>
        <w:tc>
          <w:tcPr>
            <w:tcW w:w="222" w:type="pct"/>
            <w:tcBorders>
              <w:top w:val="double" w:sz="6" w:space="0" w:color="auto"/>
            </w:tcBorders>
            <w:tcMar>
              <w:bottom w:w="43" w:type="dxa"/>
            </w:tcMar>
            <w:vAlign w:val="center"/>
          </w:tcPr>
          <w:p w:rsidR="007E6F25" w:rsidRPr="00256B02" w:rsidRDefault="007E6F25" w:rsidP="005705B2">
            <w:pPr>
              <w:tabs>
                <w:tab w:val="center" w:pos="5220"/>
                <w:tab w:val="right" w:pos="10440"/>
              </w:tabs>
              <w:jc w:val="center"/>
              <w:rPr>
                <w:rFonts w:ascii="Arial" w:hAnsi="Arial" w:cs="Arial"/>
                <w:b/>
                <w:sz w:val="13"/>
                <w:szCs w:val="13"/>
              </w:rPr>
            </w:pPr>
            <w:r w:rsidRPr="00256B02">
              <w:rPr>
                <w:rFonts w:ascii="Arial" w:hAnsi="Arial" w:cs="Arial"/>
                <w:b/>
                <w:sz w:val="13"/>
                <w:szCs w:val="13"/>
              </w:rPr>
              <w:t>F</w:t>
            </w:r>
          </w:p>
          <w:p w:rsidR="007E6F25" w:rsidRPr="00256B02" w:rsidRDefault="007E6F25" w:rsidP="005705B2">
            <w:pPr>
              <w:tabs>
                <w:tab w:val="center" w:pos="5220"/>
                <w:tab w:val="right" w:pos="10440"/>
              </w:tabs>
              <w:jc w:val="center"/>
              <w:rPr>
                <w:rFonts w:ascii="Arial" w:hAnsi="Arial" w:cs="Arial"/>
                <w:b/>
                <w:sz w:val="13"/>
                <w:szCs w:val="13"/>
              </w:rPr>
            </w:pPr>
            <w:r w:rsidRPr="00256B02">
              <w:rPr>
                <w:rFonts w:ascii="Arial" w:hAnsi="Arial" w:cs="Arial"/>
                <w:b/>
                <w:sz w:val="13"/>
                <w:szCs w:val="13"/>
              </w:rPr>
              <w:t>V</w:t>
            </w:r>
          </w:p>
        </w:tc>
        <w:tc>
          <w:tcPr>
            <w:tcW w:w="223" w:type="pct"/>
            <w:tcBorders>
              <w:top w:val="double" w:sz="6" w:space="0" w:color="auto"/>
              <w:right w:val="double" w:sz="6" w:space="0" w:color="auto"/>
            </w:tcBorders>
            <w:tcMar>
              <w:bottom w:w="43" w:type="dxa"/>
            </w:tcMar>
            <w:vAlign w:val="center"/>
          </w:tcPr>
          <w:p w:rsidR="007E6F25" w:rsidRPr="00256B02" w:rsidRDefault="007E6F25" w:rsidP="005705B2">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7E6F25" w:rsidRPr="00256B02" w:rsidRDefault="007E6F25" w:rsidP="005705B2">
            <w:pPr>
              <w:tabs>
                <w:tab w:val="center" w:pos="5220"/>
                <w:tab w:val="right" w:pos="10440"/>
              </w:tabs>
              <w:jc w:val="center"/>
              <w:rPr>
                <w:rFonts w:ascii="Arial" w:hAnsi="Arial" w:cs="Arial"/>
                <w:b/>
                <w:sz w:val="13"/>
                <w:szCs w:val="13"/>
              </w:rPr>
            </w:pPr>
            <w:r w:rsidRPr="00256B02">
              <w:rPr>
                <w:rFonts w:ascii="Arial" w:hAnsi="Arial" w:cs="Arial"/>
                <w:b/>
                <w:sz w:val="13"/>
                <w:szCs w:val="13"/>
              </w:rPr>
              <w:t>S</w:t>
            </w:r>
          </w:p>
        </w:tc>
      </w:tr>
      <w:tr w:rsidR="007E6F25" w:rsidRPr="00C33804" w:rsidTr="005705B2">
        <w:trPr>
          <w:trHeight w:val="346"/>
        </w:trPr>
        <w:tc>
          <w:tcPr>
            <w:tcW w:w="226" w:type="pct"/>
            <w:tcBorders>
              <w:top w:val="single" w:sz="4" w:space="0" w:color="000000" w:themeColor="text1"/>
              <w:left w:val="double" w:sz="6" w:space="0" w:color="auto"/>
              <w:bottom w:val="single" w:sz="4" w:space="0" w:color="000000" w:themeColor="text1"/>
              <w:right w:val="double" w:sz="4" w:space="0" w:color="auto"/>
            </w:tcBorders>
            <w:tcMar>
              <w:bottom w:w="43" w:type="dxa"/>
            </w:tcMar>
            <w:vAlign w:val="bottom"/>
          </w:tcPr>
          <w:p w:rsidR="007E6F25" w:rsidRPr="00C33804" w:rsidRDefault="007E6F25" w:rsidP="005705B2">
            <w:pPr>
              <w:jc w:val="center"/>
              <w:rPr>
                <w:rFonts w:ascii="Arial" w:hAnsi="Arial" w:cs="Arial"/>
                <w:sz w:val="13"/>
                <w:szCs w:val="13"/>
              </w:rPr>
            </w:pPr>
          </w:p>
        </w:tc>
        <w:tc>
          <w:tcPr>
            <w:tcW w:w="226" w:type="pct"/>
            <w:tcBorders>
              <w:top w:val="double" w:sz="4" w:space="0" w:color="auto"/>
              <w:left w:val="double" w:sz="4" w:space="0" w:color="auto"/>
              <w:bottom w:val="double" w:sz="4" w:space="0" w:color="auto"/>
              <w:right w:val="double" w:sz="4" w:space="0" w:color="auto"/>
            </w:tcBorders>
            <w:tcMar>
              <w:bottom w:w="43" w:type="dxa"/>
            </w:tcMar>
            <w:vAlign w:val="bottom"/>
          </w:tcPr>
          <w:p w:rsidR="007E6F25" w:rsidRPr="00800AD6" w:rsidRDefault="007E6F25" w:rsidP="005705B2">
            <w:pPr>
              <w:jc w:val="center"/>
              <w:rPr>
                <w:rFonts w:ascii="Arial" w:hAnsi="Arial" w:cs="Arial"/>
                <w:b/>
                <w:sz w:val="13"/>
                <w:szCs w:val="13"/>
              </w:rPr>
            </w:pPr>
            <w:r w:rsidRPr="00800AD6">
              <w:rPr>
                <w:rFonts w:ascii="Arial" w:hAnsi="Arial" w:cs="Arial"/>
                <w:b/>
                <w:sz w:val="13"/>
                <w:szCs w:val="13"/>
              </w:rPr>
              <w:t>H</w:t>
            </w:r>
          </w:p>
          <w:p w:rsidR="007E6F25" w:rsidRPr="00C33804" w:rsidRDefault="007E6F25" w:rsidP="005705B2">
            <w:pPr>
              <w:jc w:val="center"/>
              <w:rPr>
                <w:rFonts w:ascii="Arial" w:hAnsi="Arial" w:cs="Arial"/>
                <w:sz w:val="13"/>
                <w:szCs w:val="13"/>
              </w:rPr>
            </w:pPr>
            <w:r>
              <w:rPr>
                <w:rFonts w:ascii="Arial" w:hAnsi="Arial" w:cs="Arial"/>
                <w:sz w:val="13"/>
                <w:szCs w:val="13"/>
              </w:rPr>
              <w:t>1</w:t>
            </w:r>
          </w:p>
        </w:tc>
        <w:tc>
          <w:tcPr>
            <w:tcW w:w="227" w:type="pct"/>
            <w:tcBorders>
              <w:left w:val="double" w:sz="4" w:space="0" w:color="auto"/>
              <w:bottom w:val="single" w:sz="4" w:space="0" w:color="000000" w:themeColor="text1"/>
              <w:right w:val="single" w:sz="4" w:space="0" w:color="000000" w:themeColor="text1"/>
            </w:tcBorders>
            <w:tcMar>
              <w:bottom w:w="43" w:type="dxa"/>
            </w:tcMar>
            <w:vAlign w:val="bottom"/>
          </w:tcPr>
          <w:p w:rsidR="007E6F25" w:rsidRPr="00C33804" w:rsidRDefault="007E6F25" w:rsidP="005705B2">
            <w:pPr>
              <w:jc w:val="center"/>
              <w:rPr>
                <w:rFonts w:ascii="Arial" w:hAnsi="Arial" w:cs="Arial"/>
                <w:sz w:val="13"/>
                <w:szCs w:val="13"/>
              </w:rPr>
            </w:pPr>
            <w:r>
              <w:rPr>
                <w:rFonts w:ascii="Arial" w:hAnsi="Arial" w:cs="Arial"/>
                <w:sz w:val="13"/>
                <w:szCs w:val="13"/>
              </w:rPr>
              <w:t>2</w:t>
            </w:r>
          </w:p>
        </w:tc>
        <w:tc>
          <w:tcPr>
            <w:tcW w:w="226" w:type="pct"/>
            <w:tcBorders>
              <w:top w:val="single" w:sz="4" w:space="0" w:color="000000" w:themeColor="text1"/>
              <w:left w:val="single" w:sz="4" w:space="0" w:color="000000" w:themeColor="text1"/>
              <w:bottom w:val="single" w:sz="4" w:space="0" w:color="000000" w:themeColor="text1"/>
              <w:right w:val="single" w:sz="4" w:space="0" w:color="auto"/>
            </w:tcBorders>
            <w:tcMar>
              <w:bottom w:w="43" w:type="dxa"/>
            </w:tcMar>
            <w:vAlign w:val="bottom"/>
          </w:tcPr>
          <w:p w:rsidR="007E6F25" w:rsidRPr="00C33804" w:rsidRDefault="007E6F25" w:rsidP="005705B2">
            <w:pPr>
              <w:jc w:val="center"/>
              <w:rPr>
                <w:rFonts w:ascii="Arial" w:hAnsi="Arial" w:cs="Arial"/>
                <w:sz w:val="13"/>
                <w:szCs w:val="13"/>
              </w:rPr>
            </w:pPr>
            <w:r>
              <w:rPr>
                <w:rFonts w:ascii="Arial" w:hAnsi="Arial" w:cs="Arial"/>
                <w:sz w:val="13"/>
                <w:szCs w:val="13"/>
              </w:rPr>
              <w:t>3</w:t>
            </w:r>
          </w:p>
        </w:tc>
        <w:tc>
          <w:tcPr>
            <w:tcW w:w="227" w:type="pct"/>
            <w:tcBorders>
              <w:top w:val="single" w:sz="4" w:space="0" w:color="auto"/>
              <w:left w:val="single" w:sz="4" w:space="0" w:color="auto"/>
              <w:bottom w:val="single" w:sz="4" w:space="0" w:color="000000" w:themeColor="text1"/>
              <w:right w:val="single" w:sz="4" w:space="0" w:color="000000" w:themeColor="text1"/>
            </w:tcBorders>
            <w:tcMar>
              <w:bottom w:w="43" w:type="dxa"/>
            </w:tcMar>
            <w:vAlign w:val="bottom"/>
          </w:tcPr>
          <w:p w:rsidR="007E6F25" w:rsidRPr="00C33804" w:rsidRDefault="007E6F25" w:rsidP="005705B2">
            <w:pPr>
              <w:jc w:val="center"/>
              <w:rPr>
                <w:rFonts w:ascii="Arial" w:hAnsi="Arial" w:cs="Arial"/>
                <w:sz w:val="13"/>
                <w:szCs w:val="13"/>
              </w:rPr>
            </w:pPr>
            <w:r>
              <w:rPr>
                <w:rFonts w:ascii="Arial" w:hAnsi="Arial" w:cs="Arial"/>
                <w:sz w:val="13"/>
                <w:szCs w:val="13"/>
              </w:rPr>
              <w:t>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bottom w:w="43" w:type="dxa"/>
            </w:tcMar>
            <w:vAlign w:val="bottom"/>
          </w:tcPr>
          <w:p w:rsidR="007E6F25" w:rsidRPr="00C33804" w:rsidRDefault="007E6F25" w:rsidP="005705B2">
            <w:pPr>
              <w:jc w:val="center"/>
              <w:rPr>
                <w:rFonts w:ascii="Arial" w:hAnsi="Arial" w:cs="Arial"/>
                <w:sz w:val="13"/>
                <w:szCs w:val="13"/>
              </w:rPr>
            </w:pPr>
            <w:r>
              <w:rPr>
                <w:rFonts w:ascii="Arial" w:hAnsi="Arial" w:cs="Arial"/>
                <w:sz w:val="13"/>
                <w:szCs w:val="13"/>
              </w:rPr>
              <w:t>5</w:t>
            </w:r>
          </w:p>
        </w:tc>
        <w:tc>
          <w:tcPr>
            <w:tcW w:w="228" w:type="pct"/>
            <w:tcBorders>
              <w:left w:val="single" w:sz="4" w:space="0" w:color="000000" w:themeColor="text1"/>
              <w:right w:val="double" w:sz="6" w:space="0" w:color="auto"/>
            </w:tcBorders>
            <w:tcMar>
              <w:bottom w:w="43" w:type="dxa"/>
            </w:tcMar>
            <w:vAlign w:val="bottom"/>
          </w:tcPr>
          <w:p w:rsidR="007E6F25" w:rsidRPr="00C33804" w:rsidRDefault="007E6F25" w:rsidP="005705B2">
            <w:pPr>
              <w:jc w:val="center"/>
              <w:rPr>
                <w:rFonts w:ascii="Arial" w:hAnsi="Arial" w:cs="Arial"/>
                <w:sz w:val="13"/>
                <w:szCs w:val="13"/>
              </w:rPr>
            </w:pPr>
            <w:r>
              <w:rPr>
                <w:rFonts w:ascii="Arial" w:hAnsi="Arial" w:cs="Arial"/>
                <w:sz w:val="13"/>
                <w:szCs w:val="13"/>
              </w:rPr>
              <w:t>6</w:t>
            </w:r>
          </w:p>
        </w:tc>
        <w:tc>
          <w:tcPr>
            <w:tcW w:w="137" w:type="pct"/>
            <w:tcBorders>
              <w:top w:val="nil"/>
              <w:left w:val="double" w:sz="6" w:space="0" w:color="auto"/>
              <w:bottom w:val="nil"/>
              <w:right w:val="double" w:sz="6" w:space="0" w:color="auto"/>
            </w:tcBorders>
            <w:tcMar>
              <w:bottom w:w="43" w:type="dxa"/>
            </w:tcMar>
            <w:vAlign w:val="bottom"/>
          </w:tcPr>
          <w:p w:rsidR="007E6F25" w:rsidRPr="00C33804" w:rsidRDefault="007E6F25" w:rsidP="005705B2">
            <w:pPr>
              <w:tabs>
                <w:tab w:val="center" w:pos="5220"/>
                <w:tab w:val="right" w:pos="10440"/>
              </w:tabs>
              <w:jc w:val="center"/>
              <w:rPr>
                <w:rFonts w:ascii="Arial" w:hAnsi="Arial" w:cs="Arial"/>
                <w:sz w:val="13"/>
                <w:szCs w:val="13"/>
              </w:rPr>
            </w:pPr>
          </w:p>
        </w:tc>
        <w:tc>
          <w:tcPr>
            <w:tcW w:w="225" w:type="pct"/>
            <w:tcBorders>
              <w:left w:val="double" w:sz="6" w:space="0" w:color="auto"/>
            </w:tcBorders>
            <w:tcMar>
              <w:bottom w:w="43" w:type="dxa"/>
            </w:tcMar>
            <w:vAlign w:val="bottom"/>
          </w:tcPr>
          <w:p w:rsidR="007E6F25" w:rsidRPr="00C33804" w:rsidRDefault="007E6F25" w:rsidP="005705B2">
            <w:pPr>
              <w:jc w:val="center"/>
              <w:rPr>
                <w:rFonts w:ascii="Arial" w:hAnsi="Arial" w:cs="Arial"/>
                <w:sz w:val="13"/>
                <w:szCs w:val="13"/>
              </w:rPr>
            </w:pPr>
          </w:p>
        </w:tc>
        <w:tc>
          <w:tcPr>
            <w:tcW w:w="226" w:type="pct"/>
            <w:tcBorders>
              <w:bottom w:val="single" w:sz="4" w:space="0" w:color="auto"/>
            </w:tcBorders>
            <w:tcMar>
              <w:bottom w:w="43" w:type="dxa"/>
            </w:tcMar>
            <w:vAlign w:val="bottom"/>
          </w:tcPr>
          <w:p w:rsidR="007E6F25" w:rsidRPr="00C33804" w:rsidRDefault="007E6F25" w:rsidP="005705B2">
            <w:pPr>
              <w:jc w:val="center"/>
              <w:rPr>
                <w:rFonts w:ascii="Arial" w:hAnsi="Arial" w:cs="Arial"/>
                <w:sz w:val="13"/>
                <w:szCs w:val="13"/>
              </w:rPr>
            </w:pPr>
          </w:p>
        </w:tc>
        <w:tc>
          <w:tcPr>
            <w:tcW w:w="226" w:type="pct"/>
            <w:tcBorders>
              <w:bottom w:val="single" w:sz="4" w:space="0" w:color="000000" w:themeColor="text1"/>
            </w:tcBorders>
            <w:tcMar>
              <w:bottom w:w="43" w:type="dxa"/>
            </w:tcMar>
            <w:vAlign w:val="bottom"/>
          </w:tcPr>
          <w:p w:rsidR="007E6F25" w:rsidRPr="00C33804" w:rsidRDefault="007E6F25" w:rsidP="005705B2">
            <w:pPr>
              <w:jc w:val="center"/>
              <w:rPr>
                <w:rFonts w:ascii="Arial" w:hAnsi="Arial" w:cs="Arial"/>
                <w:sz w:val="13"/>
                <w:szCs w:val="13"/>
              </w:rPr>
            </w:pPr>
          </w:p>
        </w:tc>
        <w:tc>
          <w:tcPr>
            <w:tcW w:w="226" w:type="pct"/>
            <w:tcBorders>
              <w:bottom w:val="single" w:sz="4" w:space="0" w:color="000000" w:themeColor="text1"/>
            </w:tcBorders>
            <w:tcMar>
              <w:bottom w:w="43" w:type="dxa"/>
            </w:tcMar>
            <w:vAlign w:val="bottom"/>
          </w:tcPr>
          <w:p w:rsidR="007E6F25" w:rsidRPr="00C33804" w:rsidRDefault="007E6F25" w:rsidP="005705B2">
            <w:pPr>
              <w:jc w:val="center"/>
              <w:rPr>
                <w:rFonts w:ascii="Arial" w:hAnsi="Arial" w:cs="Arial"/>
                <w:sz w:val="13"/>
                <w:szCs w:val="13"/>
              </w:rPr>
            </w:pPr>
          </w:p>
        </w:tc>
        <w:tc>
          <w:tcPr>
            <w:tcW w:w="226" w:type="pct"/>
            <w:tcBorders>
              <w:bottom w:val="single" w:sz="4" w:space="0" w:color="000000" w:themeColor="text1"/>
            </w:tcBorders>
            <w:tcMar>
              <w:bottom w:w="43" w:type="dxa"/>
            </w:tcMar>
            <w:vAlign w:val="bottom"/>
          </w:tcPr>
          <w:p w:rsidR="007E6F25" w:rsidRPr="00C33804" w:rsidRDefault="007E6F25" w:rsidP="005705B2">
            <w:pPr>
              <w:jc w:val="center"/>
              <w:rPr>
                <w:rFonts w:ascii="Arial" w:hAnsi="Arial" w:cs="Arial"/>
                <w:sz w:val="13"/>
                <w:szCs w:val="13"/>
              </w:rPr>
            </w:pPr>
            <w:r>
              <w:rPr>
                <w:rFonts w:ascii="Arial" w:hAnsi="Arial" w:cs="Arial"/>
                <w:sz w:val="13"/>
                <w:szCs w:val="13"/>
              </w:rPr>
              <w:t>1</w:t>
            </w:r>
          </w:p>
        </w:tc>
        <w:tc>
          <w:tcPr>
            <w:tcW w:w="226" w:type="pct"/>
            <w:tcBorders>
              <w:bottom w:val="single" w:sz="4" w:space="0" w:color="000000" w:themeColor="text1"/>
            </w:tcBorders>
            <w:tcMar>
              <w:bottom w:w="43" w:type="dxa"/>
            </w:tcMar>
            <w:vAlign w:val="bottom"/>
          </w:tcPr>
          <w:p w:rsidR="007E6F25" w:rsidRPr="00C33804" w:rsidRDefault="007E6F25" w:rsidP="005705B2">
            <w:pPr>
              <w:jc w:val="center"/>
              <w:rPr>
                <w:rFonts w:ascii="Arial" w:hAnsi="Arial" w:cs="Arial"/>
                <w:sz w:val="13"/>
                <w:szCs w:val="13"/>
              </w:rPr>
            </w:pPr>
            <w:r>
              <w:rPr>
                <w:rFonts w:ascii="Arial" w:hAnsi="Arial" w:cs="Arial"/>
                <w:sz w:val="13"/>
                <w:szCs w:val="13"/>
              </w:rPr>
              <w:t>2</w:t>
            </w:r>
          </w:p>
        </w:tc>
        <w:tc>
          <w:tcPr>
            <w:tcW w:w="226" w:type="pct"/>
            <w:tcBorders>
              <w:right w:val="double" w:sz="6" w:space="0" w:color="auto"/>
            </w:tcBorders>
            <w:tcMar>
              <w:bottom w:w="43" w:type="dxa"/>
            </w:tcMar>
            <w:vAlign w:val="bottom"/>
          </w:tcPr>
          <w:p w:rsidR="007E6F25" w:rsidRPr="00C33804" w:rsidRDefault="007E6F25" w:rsidP="005705B2">
            <w:pPr>
              <w:jc w:val="center"/>
              <w:rPr>
                <w:rFonts w:ascii="Arial" w:hAnsi="Arial" w:cs="Arial"/>
                <w:sz w:val="13"/>
                <w:szCs w:val="13"/>
              </w:rPr>
            </w:pPr>
            <w:r>
              <w:rPr>
                <w:rFonts w:ascii="Arial" w:hAnsi="Arial" w:cs="Arial"/>
                <w:sz w:val="13"/>
                <w:szCs w:val="13"/>
              </w:rPr>
              <w:t>3</w:t>
            </w:r>
          </w:p>
        </w:tc>
        <w:tc>
          <w:tcPr>
            <w:tcW w:w="139" w:type="pct"/>
            <w:tcBorders>
              <w:top w:val="nil"/>
              <w:left w:val="double" w:sz="6" w:space="0" w:color="auto"/>
              <w:bottom w:val="nil"/>
              <w:right w:val="double" w:sz="6" w:space="0" w:color="auto"/>
            </w:tcBorders>
            <w:tcMar>
              <w:bottom w:w="43" w:type="dxa"/>
            </w:tcMar>
            <w:vAlign w:val="bottom"/>
          </w:tcPr>
          <w:p w:rsidR="007E6F25" w:rsidRPr="00C33804" w:rsidRDefault="007E6F25" w:rsidP="005705B2">
            <w:pPr>
              <w:tabs>
                <w:tab w:val="center" w:pos="5220"/>
                <w:tab w:val="right" w:pos="10440"/>
              </w:tabs>
              <w:jc w:val="center"/>
              <w:rPr>
                <w:rFonts w:ascii="Arial" w:hAnsi="Arial" w:cs="Arial"/>
                <w:sz w:val="13"/>
                <w:szCs w:val="13"/>
              </w:rPr>
            </w:pPr>
          </w:p>
        </w:tc>
        <w:tc>
          <w:tcPr>
            <w:tcW w:w="222" w:type="pct"/>
            <w:tcBorders>
              <w:left w:val="double" w:sz="6" w:space="0" w:color="auto"/>
            </w:tcBorders>
            <w:tcMar>
              <w:bottom w:w="43" w:type="dxa"/>
            </w:tcMar>
            <w:vAlign w:val="bottom"/>
          </w:tcPr>
          <w:p w:rsidR="007E6F25" w:rsidRPr="00C33804" w:rsidRDefault="007E6F25" w:rsidP="005705B2">
            <w:pPr>
              <w:jc w:val="center"/>
              <w:rPr>
                <w:rFonts w:ascii="Arial" w:hAnsi="Arial" w:cs="Arial"/>
                <w:sz w:val="13"/>
                <w:szCs w:val="13"/>
              </w:rPr>
            </w:pPr>
          </w:p>
        </w:tc>
        <w:tc>
          <w:tcPr>
            <w:tcW w:w="222" w:type="pct"/>
            <w:tcMar>
              <w:bottom w:w="43" w:type="dxa"/>
            </w:tcMar>
            <w:vAlign w:val="bottom"/>
          </w:tcPr>
          <w:p w:rsidR="007E6F25" w:rsidRPr="00C33804" w:rsidRDefault="007E6F25" w:rsidP="005705B2">
            <w:pPr>
              <w:jc w:val="center"/>
              <w:rPr>
                <w:rFonts w:ascii="Arial" w:hAnsi="Arial" w:cs="Arial"/>
                <w:sz w:val="13"/>
                <w:szCs w:val="13"/>
              </w:rPr>
            </w:pPr>
          </w:p>
        </w:tc>
        <w:tc>
          <w:tcPr>
            <w:tcW w:w="223" w:type="pct"/>
            <w:tcMar>
              <w:bottom w:w="43" w:type="dxa"/>
            </w:tcMar>
            <w:vAlign w:val="bottom"/>
          </w:tcPr>
          <w:p w:rsidR="007E6F25" w:rsidRPr="00C33804" w:rsidRDefault="007E6F25" w:rsidP="005705B2">
            <w:pPr>
              <w:jc w:val="center"/>
              <w:rPr>
                <w:rFonts w:ascii="Arial" w:hAnsi="Arial" w:cs="Arial"/>
                <w:sz w:val="13"/>
                <w:szCs w:val="13"/>
              </w:rPr>
            </w:pPr>
          </w:p>
        </w:tc>
        <w:tc>
          <w:tcPr>
            <w:tcW w:w="222" w:type="pct"/>
            <w:tcMar>
              <w:bottom w:w="43" w:type="dxa"/>
            </w:tcMar>
            <w:vAlign w:val="bottom"/>
          </w:tcPr>
          <w:p w:rsidR="007E6F25" w:rsidRPr="00C33804" w:rsidRDefault="007E6F25" w:rsidP="005705B2">
            <w:pPr>
              <w:jc w:val="center"/>
              <w:rPr>
                <w:rFonts w:ascii="Arial" w:hAnsi="Arial" w:cs="Arial"/>
                <w:sz w:val="13"/>
                <w:szCs w:val="13"/>
              </w:rPr>
            </w:pPr>
          </w:p>
        </w:tc>
        <w:tc>
          <w:tcPr>
            <w:tcW w:w="223" w:type="pct"/>
            <w:tcMar>
              <w:bottom w:w="43" w:type="dxa"/>
            </w:tcMar>
            <w:vAlign w:val="bottom"/>
          </w:tcPr>
          <w:p w:rsidR="007E6F25" w:rsidRPr="00C33804" w:rsidRDefault="007E6F25" w:rsidP="005705B2">
            <w:pPr>
              <w:jc w:val="center"/>
              <w:rPr>
                <w:rFonts w:ascii="Arial" w:hAnsi="Arial" w:cs="Arial"/>
                <w:sz w:val="13"/>
                <w:szCs w:val="13"/>
              </w:rPr>
            </w:pPr>
            <w:r>
              <w:rPr>
                <w:rFonts w:ascii="Arial" w:hAnsi="Arial" w:cs="Arial"/>
                <w:sz w:val="13"/>
                <w:szCs w:val="13"/>
              </w:rPr>
              <w:t>1</w:t>
            </w:r>
          </w:p>
        </w:tc>
        <w:tc>
          <w:tcPr>
            <w:tcW w:w="222" w:type="pct"/>
            <w:tcMar>
              <w:bottom w:w="43" w:type="dxa"/>
            </w:tcMar>
            <w:vAlign w:val="bottom"/>
          </w:tcPr>
          <w:p w:rsidR="007E6F25" w:rsidRPr="00C33804" w:rsidRDefault="007E6F25" w:rsidP="005705B2">
            <w:pPr>
              <w:jc w:val="center"/>
              <w:rPr>
                <w:rFonts w:ascii="Arial" w:hAnsi="Arial" w:cs="Arial"/>
                <w:sz w:val="13"/>
                <w:szCs w:val="13"/>
              </w:rPr>
            </w:pPr>
            <w:r>
              <w:rPr>
                <w:rFonts w:ascii="Arial" w:hAnsi="Arial" w:cs="Arial"/>
                <w:sz w:val="13"/>
                <w:szCs w:val="13"/>
              </w:rPr>
              <w:t>2</w:t>
            </w:r>
          </w:p>
        </w:tc>
        <w:tc>
          <w:tcPr>
            <w:tcW w:w="223" w:type="pct"/>
            <w:tcBorders>
              <w:right w:val="double" w:sz="6" w:space="0" w:color="auto"/>
            </w:tcBorders>
            <w:tcMar>
              <w:bottom w:w="43" w:type="dxa"/>
            </w:tcMar>
            <w:vAlign w:val="bottom"/>
          </w:tcPr>
          <w:p w:rsidR="007E6F25" w:rsidRPr="00C33804" w:rsidRDefault="007E6F25" w:rsidP="005705B2">
            <w:pPr>
              <w:jc w:val="center"/>
              <w:rPr>
                <w:rFonts w:ascii="Arial" w:hAnsi="Arial" w:cs="Arial"/>
                <w:sz w:val="13"/>
                <w:szCs w:val="13"/>
              </w:rPr>
            </w:pPr>
            <w:r>
              <w:rPr>
                <w:rFonts w:ascii="Arial" w:hAnsi="Arial" w:cs="Arial"/>
                <w:sz w:val="13"/>
                <w:szCs w:val="13"/>
              </w:rPr>
              <w:t>3</w:t>
            </w:r>
          </w:p>
        </w:tc>
      </w:tr>
      <w:tr w:rsidR="007E6F25" w:rsidRPr="00C33804" w:rsidTr="005705B2">
        <w:trPr>
          <w:trHeight w:val="346"/>
        </w:trPr>
        <w:tc>
          <w:tcPr>
            <w:tcW w:w="226" w:type="pct"/>
            <w:tcBorders>
              <w:top w:val="single" w:sz="4" w:space="0" w:color="000000" w:themeColor="text1"/>
              <w:left w:val="double" w:sz="6" w:space="0" w:color="auto"/>
            </w:tcBorders>
            <w:shd w:val="clear" w:color="auto" w:fill="auto"/>
            <w:tcMar>
              <w:bottom w:w="43" w:type="dxa"/>
            </w:tcMar>
            <w:vAlign w:val="bottom"/>
          </w:tcPr>
          <w:p w:rsidR="007E6F25" w:rsidRPr="00C33804" w:rsidRDefault="007E6F25" w:rsidP="005705B2">
            <w:pPr>
              <w:jc w:val="center"/>
              <w:rPr>
                <w:rFonts w:ascii="Arial" w:hAnsi="Arial" w:cs="Arial"/>
                <w:sz w:val="13"/>
                <w:szCs w:val="13"/>
              </w:rPr>
            </w:pPr>
            <w:r>
              <w:rPr>
                <w:rFonts w:ascii="Arial" w:hAnsi="Arial" w:cs="Arial"/>
                <w:sz w:val="13"/>
                <w:szCs w:val="13"/>
              </w:rPr>
              <w:t>7</w:t>
            </w:r>
          </w:p>
        </w:tc>
        <w:tc>
          <w:tcPr>
            <w:tcW w:w="226" w:type="pct"/>
            <w:tcBorders>
              <w:top w:val="double" w:sz="4" w:space="0" w:color="auto"/>
              <w:bottom w:val="single" w:sz="4" w:space="0" w:color="000000" w:themeColor="text1"/>
            </w:tcBorders>
            <w:shd w:val="clear" w:color="auto" w:fill="BFBFBF" w:themeFill="background1" w:themeFillShade="BF"/>
            <w:tcMar>
              <w:bottom w:w="43" w:type="dxa"/>
            </w:tcMar>
            <w:vAlign w:val="bottom"/>
          </w:tcPr>
          <w:p w:rsidR="007E6F25" w:rsidRPr="00C33804" w:rsidRDefault="007E6F25" w:rsidP="005705B2">
            <w:pPr>
              <w:jc w:val="center"/>
              <w:rPr>
                <w:rFonts w:ascii="Arial" w:hAnsi="Arial" w:cs="Arial"/>
                <w:sz w:val="13"/>
                <w:szCs w:val="13"/>
              </w:rPr>
            </w:pPr>
            <w:r>
              <w:rPr>
                <w:rFonts w:ascii="Arial" w:hAnsi="Arial" w:cs="Arial"/>
                <w:sz w:val="13"/>
                <w:szCs w:val="13"/>
              </w:rPr>
              <w:t>8</w:t>
            </w:r>
          </w:p>
        </w:tc>
        <w:tc>
          <w:tcPr>
            <w:tcW w:w="227"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5705B2">
            <w:pPr>
              <w:jc w:val="center"/>
              <w:rPr>
                <w:rFonts w:ascii="Arial" w:hAnsi="Arial" w:cs="Arial"/>
                <w:sz w:val="13"/>
                <w:szCs w:val="13"/>
              </w:rPr>
            </w:pPr>
            <w:r>
              <w:rPr>
                <w:rFonts w:ascii="Arial" w:hAnsi="Arial" w:cs="Arial"/>
                <w:sz w:val="13"/>
                <w:szCs w:val="13"/>
              </w:rPr>
              <w:t>9</w:t>
            </w:r>
          </w:p>
        </w:tc>
        <w:tc>
          <w:tcPr>
            <w:tcW w:w="226"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5705B2">
            <w:pPr>
              <w:jc w:val="center"/>
              <w:rPr>
                <w:rFonts w:ascii="Arial" w:hAnsi="Arial" w:cs="Arial"/>
                <w:sz w:val="13"/>
                <w:szCs w:val="13"/>
              </w:rPr>
            </w:pPr>
            <w:r>
              <w:rPr>
                <w:rFonts w:ascii="Arial" w:hAnsi="Arial" w:cs="Arial"/>
                <w:sz w:val="13"/>
                <w:szCs w:val="13"/>
              </w:rPr>
              <w:t>10</w:t>
            </w:r>
          </w:p>
        </w:tc>
        <w:tc>
          <w:tcPr>
            <w:tcW w:w="227"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5705B2">
            <w:pPr>
              <w:jc w:val="center"/>
              <w:rPr>
                <w:rFonts w:ascii="Arial" w:hAnsi="Arial" w:cs="Arial"/>
                <w:sz w:val="13"/>
                <w:szCs w:val="13"/>
              </w:rPr>
            </w:pPr>
            <w:r>
              <w:rPr>
                <w:rFonts w:ascii="Arial" w:hAnsi="Arial" w:cs="Arial"/>
                <w:sz w:val="13"/>
                <w:szCs w:val="13"/>
              </w:rPr>
              <w:t>11</w:t>
            </w:r>
          </w:p>
        </w:tc>
        <w:tc>
          <w:tcPr>
            <w:tcW w:w="226"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5705B2">
            <w:pPr>
              <w:jc w:val="center"/>
              <w:rPr>
                <w:rFonts w:ascii="Arial" w:hAnsi="Arial" w:cs="Arial"/>
                <w:sz w:val="13"/>
                <w:szCs w:val="13"/>
              </w:rPr>
            </w:pPr>
            <w:r>
              <w:rPr>
                <w:rFonts w:ascii="Arial" w:hAnsi="Arial" w:cs="Arial"/>
                <w:sz w:val="13"/>
                <w:szCs w:val="13"/>
              </w:rPr>
              <w:t>12</w:t>
            </w:r>
          </w:p>
        </w:tc>
        <w:tc>
          <w:tcPr>
            <w:tcW w:w="228" w:type="pct"/>
            <w:tcBorders>
              <w:right w:val="double" w:sz="6" w:space="0" w:color="auto"/>
            </w:tcBorders>
            <w:shd w:val="clear" w:color="auto" w:fill="auto"/>
            <w:tcMar>
              <w:bottom w:w="43" w:type="dxa"/>
            </w:tcMar>
            <w:vAlign w:val="bottom"/>
          </w:tcPr>
          <w:p w:rsidR="007E6F25" w:rsidRPr="00C33804" w:rsidRDefault="007E6F25" w:rsidP="005705B2">
            <w:pPr>
              <w:jc w:val="center"/>
              <w:rPr>
                <w:rFonts w:ascii="Arial" w:hAnsi="Arial" w:cs="Arial"/>
                <w:sz w:val="13"/>
                <w:szCs w:val="13"/>
              </w:rPr>
            </w:pPr>
            <w:r>
              <w:rPr>
                <w:rFonts w:ascii="Arial" w:hAnsi="Arial" w:cs="Arial"/>
                <w:sz w:val="13"/>
                <w:szCs w:val="13"/>
              </w:rPr>
              <w:t>13</w:t>
            </w:r>
          </w:p>
        </w:tc>
        <w:tc>
          <w:tcPr>
            <w:tcW w:w="137" w:type="pct"/>
            <w:tcBorders>
              <w:top w:val="nil"/>
              <w:left w:val="double" w:sz="6" w:space="0" w:color="auto"/>
              <w:bottom w:val="nil"/>
              <w:right w:val="double" w:sz="6" w:space="0" w:color="auto"/>
            </w:tcBorders>
            <w:tcMar>
              <w:bottom w:w="43" w:type="dxa"/>
            </w:tcMar>
            <w:vAlign w:val="bottom"/>
          </w:tcPr>
          <w:p w:rsidR="007E6F25" w:rsidRPr="00C33804" w:rsidRDefault="007E6F25" w:rsidP="005705B2">
            <w:pPr>
              <w:tabs>
                <w:tab w:val="center" w:pos="5220"/>
                <w:tab w:val="right" w:pos="10440"/>
              </w:tabs>
              <w:jc w:val="center"/>
              <w:rPr>
                <w:rFonts w:ascii="Arial" w:hAnsi="Arial" w:cs="Arial"/>
                <w:sz w:val="13"/>
                <w:szCs w:val="13"/>
              </w:rPr>
            </w:pPr>
          </w:p>
        </w:tc>
        <w:tc>
          <w:tcPr>
            <w:tcW w:w="225" w:type="pct"/>
            <w:tcBorders>
              <w:left w:val="double" w:sz="6" w:space="0" w:color="auto"/>
              <w:right w:val="single" w:sz="4" w:space="0" w:color="auto"/>
            </w:tcBorders>
            <w:tcMar>
              <w:bottom w:w="43" w:type="dxa"/>
            </w:tcMar>
            <w:vAlign w:val="bottom"/>
          </w:tcPr>
          <w:p w:rsidR="007E6F25" w:rsidRPr="00C33804" w:rsidRDefault="007E6F25" w:rsidP="005705B2">
            <w:pPr>
              <w:jc w:val="center"/>
              <w:rPr>
                <w:rFonts w:ascii="Arial" w:hAnsi="Arial" w:cs="Arial"/>
                <w:sz w:val="13"/>
                <w:szCs w:val="13"/>
              </w:rPr>
            </w:pPr>
            <w:r>
              <w:rPr>
                <w:rFonts w:ascii="Arial" w:hAnsi="Arial" w:cs="Arial"/>
                <w:sz w:val="13"/>
                <w:szCs w:val="13"/>
              </w:rPr>
              <w:t>4</w:t>
            </w:r>
          </w:p>
        </w:tc>
        <w:tc>
          <w:tcPr>
            <w:tcW w:w="226" w:type="pct"/>
            <w:tcBorders>
              <w:top w:val="single" w:sz="4" w:space="0" w:color="auto"/>
              <w:left w:val="single" w:sz="4" w:space="0" w:color="auto"/>
              <w:bottom w:val="single" w:sz="4" w:space="0" w:color="000000" w:themeColor="text1"/>
              <w:right w:val="single" w:sz="4" w:space="0" w:color="auto"/>
            </w:tcBorders>
            <w:shd w:val="clear" w:color="auto" w:fill="BFBFBF" w:themeFill="background1" w:themeFillShade="BF"/>
            <w:tcMar>
              <w:bottom w:w="43" w:type="dxa"/>
            </w:tcMar>
            <w:vAlign w:val="bottom"/>
          </w:tcPr>
          <w:p w:rsidR="007E6F25" w:rsidRPr="00C33804" w:rsidRDefault="007E6F25" w:rsidP="005705B2">
            <w:pPr>
              <w:jc w:val="center"/>
              <w:rPr>
                <w:rFonts w:ascii="Arial" w:hAnsi="Arial" w:cs="Arial"/>
                <w:sz w:val="13"/>
                <w:szCs w:val="13"/>
              </w:rPr>
            </w:pPr>
            <w:r>
              <w:rPr>
                <w:rFonts w:ascii="Arial" w:hAnsi="Arial" w:cs="Arial"/>
                <w:sz w:val="13"/>
                <w:szCs w:val="13"/>
              </w:rPr>
              <w:t>5</w:t>
            </w:r>
          </w:p>
        </w:tc>
        <w:tc>
          <w:tcPr>
            <w:tcW w:w="226" w:type="pct"/>
            <w:tcBorders>
              <w:left w:val="single" w:sz="4" w:space="0" w:color="auto"/>
              <w:bottom w:val="single" w:sz="4" w:space="0" w:color="000000" w:themeColor="text1"/>
            </w:tcBorders>
            <w:shd w:val="clear" w:color="auto" w:fill="BFBFBF" w:themeFill="background1" w:themeFillShade="BF"/>
            <w:tcMar>
              <w:bottom w:w="43" w:type="dxa"/>
            </w:tcMar>
            <w:vAlign w:val="bottom"/>
          </w:tcPr>
          <w:p w:rsidR="007E6F25" w:rsidRPr="00C33804" w:rsidRDefault="007E6F25" w:rsidP="005705B2">
            <w:pPr>
              <w:jc w:val="center"/>
              <w:rPr>
                <w:rFonts w:ascii="Arial" w:hAnsi="Arial" w:cs="Arial"/>
                <w:sz w:val="13"/>
                <w:szCs w:val="13"/>
              </w:rPr>
            </w:pPr>
            <w:r>
              <w:rPr>
                <w:rFonts w:ascii="Arial" w:hAnsi="Arial" w:cs="Arial"/>
                <w:sz w:val="13"/>
                <w:szCs w:val="13"/>
              </w:rPr>
              <w:t>6</w:t>
            </w: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5705B2">
            <w:pPr>
              <w:jc w:val="center"/>
              <w:rPr>
                <w:rFonts w:ascii="Arial" w:hAnsi="Arial" w:cs="Arial"/>
                <w:sz w:val="13"/>
                <w:szCs w:val="13"/>
              </w:rPr>
            </w:pPr>
            <w:r>
              <w:rPr>
                <w:rFonts w:ascii="Arial" w:hAnsi="Arial" w:cs="Arial"/>
                <w:sz w:val="13"/>
                <w:szCs w:val="13"/>
              </w:rPr>
              <w:t>7</w:t>
            </w: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5705B2">
            <w:pPr>
              <w:jc w:val="center"/>
              <w:rPr>
                <w:rFonts w:ascii="Arial" w:hAnsi="Arial" w:cs="Arial"/>
                <w:sz w:val="13"/>
                <w:szCs w:val="13"/>
              </w:rPr>
            </w:pPr>
            <w:r>
              <w:rPr>
                <w:rFonts w:ascii="Arial" w:hAnsi="Arial" w:cs="Arial"/>
                <w:sz w:val="13"/>
                <w:szCs w:val="13"/>
              </w:rPr>
              <w:t>8</w:t>
            </w: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5705B2">
            <w:pPr>
              <w:jc w:val="center"/>
              <w:rPr>
                <w:rFonts w:ascii="Arial" w:hAnsi="Arial" w:cs="Arial"/>
                <w:sz w:val="13"/>
                <w:szCs w:val="13"/>
              </w:rPr>
            </w:pPr>
            <w:r>
              <w:rPr>
                <w:rFonts w:ascii="Arial" w:hAnsi="Arial" w:cs="Arial"/>
                <w:sz w:val="13"/>
                <w:szCs w:val="13"/>
              </w:rPr>
              <w:t>9</w:t>
            </w:r>
          </w:p>
        </w:tc>
        <w:tc>
          <w:tcPr>
            <w:tcW w:w="226" w:type="pct"/>
            <w:tcBorders>
              <w:right w:val="double" w:sz="6" w:space="0" w:color="auto"/>
            </w:tcBorders>
            <w:tcMar>
              <w:bottom w:w="43" w:type="dxa"/>
            </w:tcMar>
            <w:vAlign w:val="bottom"/>
          </w:tcPr>
          <w:p w:rsidR="007E6F25" w:rsidRPr="00C33804" w:rsidRDefault="007E6F25" w:rsidP="005705B2">
            <w:pPr>
              <w:jc w:val="center"/>
              <w:rPr>
                <w:rFonts w:ascii="Arial" w:hAnsi="Arial" w:cs="Arial"/>
                <w:sz w:val="13"/>
                <w:szCs w:val="13"/>
              </w:rPr>
            </w:pPr>
            <w:r>
              <w:rPr>
                <w:rFonts w:ascii="Arial" w:hAnsi="Arial" w:cs="Arial"/>
                <w:sz w:val="13"/>
                <w:szCs w:val="13"/>
              </w:rPr>
              <w:t>10</w:t>
            </w:r>
          </w:p>
        </w:tc>
        <w:tc>
          <w:tcPr>
            <w:tcW w:w="139" w:type="pct"/>
            <w:tcBorders>
              <w:top w:val="nil"/>
              <w:left w:val="double" w:sz="6" w:space="0" w:color="auto"/>
              <w:bottom w:val="nil"/>
              <w:right w:val="double" w:sz="6" w:space="0" w:color="auto"/>
            </w:tcBorders>
            <w:tcMar>
              <w:bottom w:w="43" w:type="dxa"/>
            </w:tcMar>
            <w:vAlign w:val="bottom"/>
          </w:tcPr>
          <w:p w:rsidR="007E6F25" w:rsidRPr="00C33804" w:rsidRDefault="007E6F25" w:rsidP="005705B2">
            <w:pPr>
              <w:tabs>
                <w:tab w:val="center" w:pos="5220"/>
                <w:tab w:val="right" w:pos="10440"/>
              </w:tabs>
              <w:jc w:val="center"/>
              <w:rPr>
                <w:rFonts w:ascii="Arial" w:hAnsi="Arial" w:cs="Arial"/>
                <w:sz w:val="13"/>
                <w:szCs w:val="13"/>
              </w:rPr>
            </w:pPr>
          </w:p>
        </w:tc>
        <w:tc>
          <w:tcPr>
            <w:tcW w:w="222" w:type="pct"/>
            <w:tcBorders>
              <w:left w:val="double" w:sz="6" w:space="0" w:color="auto"/>
            </w:tcBorders>
            <w:tcMar>
              <w:bottom w:w="43" w:type="dxa"/>
            </w:tcMar>
            <w:vAlign w:val="bottom"/>
          </w:tcPr>
          <w:p w:rsidR="007E6F25" w:rsidRPr="00C33804" w:rsidRDefault="007E6F25" w:rsidP="005705B2">
            <w:pPr>
              <w:jc w:val="center"/>
              <w:rPr>
                <w:rFonts w:ascii="Arial" w:hAnsi="Arial" w:cs="Arial"/>
                <w:sz w:val="13"/>
                <w:szCs w:val="13"/>
              </w:rPr>
            </w:pPr>
            <w:r>
              <w:rPr>
                <w:rFonts w:ascii="Arial" w:hAnsi="Arial" w:cs="Arial"/>
                <w:sz w:val="13"/>
                <w:szCs w:val="13"/>
              </w:rPr>
              <w:t>4</w:t>
            </w:r>
          </w:p>
        </w:tc>
        <w:tc>
          <w:tcPr>
            <w:tcW w:w="222" w:type="pct"/>
            <w:tcBorders>
              <w:bottom w:val="single" w:sz="4" w:space="0" w:color="auto"/>
            </w:tcBorders>
            <w:tcMar>
              <w:bottom w:w="43" w:type="dxa"/>
            </w:tcMar>
            <w:vAlign w:val="bottom"/>
          </w:tcPr>
          <w:p w:rsidR="007E6F25" w:rsidRPr="00C33804" w:rsidRDefault="007E6F25" w:rsidP="005705B2">
            <w:pPr>
              <w:jc w:val="center"/>
              <w:rPr>
                <w:rFonts w:ascii="Arial" w:hAnsi="Arial" w:cs="Arial"/>
                <w:sz w:val="13"/>
                <w:szCs w:val="13"/>
              </w:rPr>
            </w:pPr>
            <w:r>
              <w:rPr>
                <w:rFonts w:ascii="Arial" w:hAnsi="Arial" w:cs="Arial"/>
                <w:sz w:val="13"/>
                <w:szCs w:val="13"/>
              </w:rPr>
              <w:t>5</w:t>
            </w:r>
          </w:p>
        </w:tc>
        <w:tc>
          <w:tcPr>
            <w:tcW w:w="223" w:type="pct"/>
            <w:tcBorders>
              <w:bottom w:val="single" w:sz="4" w:space="0" w:color="000000" w:themeColor="text1"/>
            </w:tcBorders>
            <w:tcMar>
              <w:bottom w:w="43" w:type="dxa"/>
            </w:tcMar>
            <w:vAlign w:val="bottom"/>
          </w:tcPr>
          <w:p w:rsidR="007E6F25" w:rsidRPr="00C33804" w:rsidRDefault="007E6F25" w:rsidP="005705B2">
            <w:pPr>
              <w:jc w:val="center"/>
              <w:rPr>
                <w:rFonts w:ascii="Arial" w:hAnsi="Arial" w:cs="Arial"/>
                <w:sz w:val="13"/>
                <w:szCs w:val="13"/>
              </w:rPr>
            </w:pPr>
            <w:r>
              <w:rPr>
                <w:rFonts w:ascii="Arial" w:hAnsi="Arial" w:cs="Arial"/>
                <w:sz w:val="13"/>
                <w:szCs w:val="13"/>
              </w:rPr>
              <w:t>6</w:t>
            </w:r>
          </w:p>
        </w:tc>
        <w:tc>
          <w:tcPr>
            <w:tcW w:w="222" w:type="pct"/>
            <w:tcBorders>
              <w:bottom w:val="single" w:sz="4" w:space="0" w:color="000000" w:themeColor="text1"/>
            </w:tcBorders>
            <w:tcMar>
              <w:bottom w:w="43" w:type="dxa"/>
            </w:tcMar>
            <w:vAlign w:val="bottom"/>
          </w:tcPr>
          <w:p w:rsidR="007E6F25" w:rsidRPr="00C33804" w:rsidRDefault="007E6F25" w:rsidP="005705B2">
            <w:pPr>
              <w:jc w:val="center"/>
              <w:rPr>
                <w:rFonts w:ascii="Arial" w:hAnsi="Arial" w:cs="Arial"/>
                <w:sz w:val="13"/>
                <w:szCs w:val="13"/>
              </w:rPr>
            </w:pPr>
            <w:r>
              <w:rPr>
                <w:rFonts w:ascii="Arial" w:hAnsi="Arial" w:cs="Arial"/>
                <w:sz w:val="13"/>
                <w:szCs w:val="13"/>
              </w:rPr>
              <w:t>7</w:t>
            </w:r>
          </w:p>
        </w:tc>
        <w:tc>
          <w:tcPr>
            <w:tcW w:w="223" w:type="pct"/>
            <w:tcBorders>
              <w:bottom w:val="single" w:sz="4" w:space="0" w:color="000000" w:themeColor="text1"/>
            </w:tcBorders>
            <w:tcMar>
              <w:bottom w:w="43" w:type="dxa"/>
            </w:tcMar>
            <w:vAlign w:val="bottom"/>
          </w:tcPr>
          <w:p w:rsidR="007E6F25" w:rsidRPr="00C33804" w:rsidRDefault="007E6F25" w:rsidP="005705B2">
            <w:pPr>
              <w:jc w:val="center"/>
              <w:rPr>
                <w:rFonts w:ascii="Arial" w:hAnsi="Arial" w:cs="Arial"/>
                <w:sz w:val="13"/>
                <w:szCs w:val="13"/>
              </w:rPr>
            </w:pPr>
            <w:r>
              <w:rPr>
                <w:rFonts w:ascii="Arial" w:hAnsi="Arial" w:cs="Arial"/>
                <w:sz w:val="13"/>
                <w:szCs w:val="13"/>
              </w:rPr>
              <w:t>8</w:t>
            </w:r>
          </w:p>
        </w:tc>
        <w:tc>
          <w:tcPr>
            <w:tcW w:w="222" w:type="pct"/>
            <w:tcBorders>
              <w:bottom w:val="single" w:sz="4" w:space="0" w:color="000000" w:themeColor="text1"/>
            </w:tcBorders>
            <w:tcMar>
              <w:bottom w:w="43" w:type="dxa"/>
            </w:tcMar>
            <w:vAlign w:val="bottom"/>
          </w:tcPr>
          <w:p w:rsidR="007E6F25" w:rsidRPr="00C33804" w:rsidRDefault="007E6F25" w:rsidP="005705B2">
            <w:pPr>
              <w:jc w:val="center"/>
              <w:rPr>
                <w:rFonts w:ascii="Arial" w:hAnsi="Arial" w:cs="Arial"/>
                <w:sz w:val="13"/>
                <w:szCs w:val="13"/>
              </w:rPr>
            </w:pPr>
            <w:r>
              <w:rPr>
                <w:rFonts w:ascii="Arial" w:hAnsi="Arial" w:cs="Arial"/>
                <w:sz w:val="13"/>
                <w:szCs w:val="13"/>
              </w:rPr>
              <w:t>9</w:t>
            </w:r>
          </w:p>
        </w:tc>
        <w:tc>
          <w:tcPr>
            <w:tcW w:w="223" w:type="pct"/>
            <w:tcBorders>
              <w:right w:val="double" w:sz="6" w:space="0" w:color="auto"/>
            </w:tcBorders>
            <w:tcMar>
              <w:bottom w:w="43" w:type="dxa"/>
            </w:tcMar>
            <w:vAlign w:val="bottom"/>
          </w:tcPr>
          <w:p w:rsidR="007E6F25" w:rsidRPr="00C33804" w:rsidRDefault="007E6F25" w:rsidP="005705B2">
            <w:pPr>
              <w:jc w:val="center"/>
              <w:rPr>
                <w:rFonts w:ascii="Arial" w:hAnsi="Arial" w:cs="Arial"/>
                <w:sz w:val="13"/>
                <w:szCs w:val="13"/>
              </w:rPr>
            </w:pPr>
            <w:r>
              <w:rPr>
                <w:rFonts w:ascii="Arial" w:hAnsi="Arial" w:cs="Arial"/>
                <w:sz w:val="13"/>
                <w:szCs w:val="13"/>
              </w:rPr>
              <w:t>10</w:t>
            </w:r>
          </w:p>
        </w:tc>
      </w:tr>
      <w:tr w:rsidR="007E6F25" w:rsidRPr="00C33804" w:rsidTr="005705B2">
        <w:trPr>
          <w:trHeight w:val="346"/>
        </w:trPr>
        <w:tc>
          <w:tcPr>
            <w:tcW w:w="226" w:type="pct"/>
            <w:tcBorders>
              <w:left w:val="double" w:sz="6" w:space="0" w:color="auto"/>
              <w:right w:val="single" w:sz="4" w:space="0" w:color="000000" w:themeColor="text1"/>
            </w:tcBorders>
            <w:shd w:val="clear" w:color="auto" w:fill="auto"/>
            <w:tcMar>
              <w:bottom w:w="43" w:type="dxa"/>
            </w:tcMar>
            <w:vAlign w:val="bottom"/>
          </w:tcPr>
          <w:p w:rsidR="007E6F25" w:rsidRPr="00C33804" w:rsidRDefault="007E6F25" w:rsidP="005705B2">
            <w:pPr>
              <w:jc w:val="center"/>
              <w:rPr>
                <w:rFonts w:ascii="Arial" w:hAnsi="Arial" w:cs="Arial"/>
                <w:sz w:val="13"/>
                <w:szCs w:val="13"/>
              </w:rPr>
            </w:pPr>
            <w:r>
              <w:rPr>
                <w:rFonts w:ascii="Arial" w:hAnsi="Arial" w:cs="Arial"/>
                <w:sz w:val="13"/>
                <w:szCs w:val="13"/>
              </w:rPr>
              <w:t>14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C33804" w:rsidRDefault="007E6F25" w:rsidP="005705B2">
            <w:pPr>
              <w:jc w:val="center"/>
              <w:rPr>
                <w:rFonts w:ascii="Arial" w:hAnsi="Arial" w:cs="Arial"/>
                <w:sz w:val="13"/>
                <w:szCs w:val="13"/>
              </w:rPr>
            </w:pPr>
            <w:r>
              <w:rPr>
                <w:rFonts w:ascii="Arial" w:hAnsi="Arial" w:cs="Arial"/>
                <w:sz w:val="13"/>
                <w:szCs w:val="13"/>
              </w:rPr>
              <w:t>15</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C33804" w:rsidRDefault="007E6F25" w:rsidP="005705B2">
            <w:pPr>
              <w:jc w:val="center"/>
              <w:rPr>
                <w:rFonts w:ascii="Arial" w:hAnsi="Arial" w:cs="Arial"/>
                <w:sz w:val="13"/>
                <w:szCs w:val="13"/>
              </w:rPr>
            </w:pPr>
            <w:r>
              <w:rPr>
                <w:rFonts w:ascii="Arial" w:hAnsi="Arial" w:cs="Arial"/>
                <w:sz w:val="13"/>
                <w:szCs w:val="13"/>
              </w:rPr>
              <w:t>16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C33804" w:rsidRDefault="007E6F25" w:rsidP="005705B2">
            <w:pPr>
              <w:jc w:val="center"/>
              <w:rPr>
                <w:rFonts w:ascii="Arial" w:hAnsi="Arial" w:cs="Arial"/>
                <w:sz w:val="13"/>
                <w:szCs w:val="13"/>
              </w:rPr>
            </w:pPr>
            <w:r>
              <w:rPr>
                <w:rFonts w:ascii="Arial" w:hAnsi="Arial" w:cs="Arial"/>
                <w:sz w:val="13"/>
                <w:szCs w:val="13"/>
              </w:rPr>
              <w:t>17</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C33804" w:rsidRDefault="007E6F25" w:rsidP="005705B2">
            <w:pPr>
              <w:jc w:val="center"/>
              <w:rPr>
                <w:rFonts w:ascii="Arial" w:hAnsi="Arial" w:cs="Arial"/>
                <w:sz w:val="13"/>
                <w:szCs w:val="13"/>
              </w:rPr>
            </w:pPr>
            <w:r>
              <w:rPr>
                <w:rFonts w:ascii="Arial" w:hAnsi="Arial" w:cs="Arial"/>
                <w:sz w:val="13"/>
                <w:szCs w:val="13"/>
              </w:rPr>
              <w:t>18</w:t>
            </w:r>
          </w:p>
        </w:tc>
        <w:tc>
          <w:tcPr>
            <w:tcW w:w="226" w:type="pct"/>
            <w:tcBorders>
              <w:top w:val="single" w:sz="4" w:space="0" w:color="000000" w:themeColor="text1"/>
              <w:left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5705B2">
            <w:pPr>
              <w:jc w:val="center"/>
              <w:rPr>
                <w:rFonts w:ascii="Arial" w:hAnsi="Arial" w:cs="Arial"/>
                <w:sz w:val="13"/>
                <w:szCs w:val="13"/>
              </w:rPr>
            </w:pPr>
            <w:r>
              <w:rPr>
                <w:rFonts w:ascii="Arial" w:hAnsi="Arial" w:cs="Arial"/>
                <w:sz w:val="13"/>
                <w:szCs w:val="13"/>
              </w:rPr>
              <w:t>19</w:t>
            </w:r>
          </w:p>
        </w:tc>
        <w:tc>
          <w:tcPr>
            <w:tcW w:w="228" w:type="pct"/>
            <w:tcBorders>
              <w:right w:val="double" w:sz="6" w:space="0" w:color="auto"/>
            </w:tcBorders>
            <w:shd w:val="clear" w:color="auto" w:fill="auto"/>
            <w:tcMar>
              <w:bottom w:w="43" w:type="dxa"/>
            </w:tcMar>
            <w:vAlign w:val="bottom"/>
          </w:tcPr>
          <w:p w:rsidR="007E6F25" w:rsidRPr="00C33804" w:rsidRDefault="007E6F25" w:rsidP="005705B2">
            <w:pPr>
              <w:jc w:val="center"/>
              <w:rPr>
                <w:rFonts w:ascii="Arial" w:hAnsi="Arial" w:cs="Arial"/>
                <w:sz w:val="13"/>
                <w:szCs w:val="13"/>
              </w:rPr>
            </w:pPr>
            <w:r>
              <w:rPr>
                <w:rFonts w:ascii="Arial" w:hAnsi="Arial" w:cs="Arial"/>
                <w:sz w:val="13"/>
                <w:szCs w:val="13"/>
              </w:rPr>
              <w:t>20</w:t>
            </w:r>
          </w:p>
        </w:tc>
        <w:tc>
          <w:tcPr>
            <w:tcW w:w="137" w:type="pct"/>
            <w:tcBorders>
              <w:top w:val="nil"/>
              <w:left w:val="double" w:sz="6" w:space="0" w:color="auto"/>
              <w:bottom w:val="nil"/>
              <w:right w:val="double" w:sz="6" w:space="0" w:color="auto"/>
            </w:tcBorders>
            <w:shd w:val="clear" w:color="auto" w:fill="FFFFFF" w:themeFill="background1"/>
            <w:tcMar>
              <w:bottom w:w="43" w:type="dxa"/>
            </w:tcMar>
            <w:vAlign w:val="bottom"/>
          </w:tcPr>
          <w:p w:rsidR="007E6F25" w:rsidRPr="00C33804" w:rsidRDefault="007E6F25" w:rsidP="005705B2">
            <w:pPr>
              <w:tabs>
                <w:tab w:val="center" w:pos="5220"/>
                <w:tab w:val="right" w:pos="10440"/>
              </w:tabs>
              <w:jc w:val="center"/>
              <w:rPr>
                <w:rFonts w:ascii="Arial" w:hAnsi="Arial" w:cs="Arial"/>
                <w:sz w:val="13"/>
                <w:szCs w:val="13"/>
              </w:rPr>
            </w:pPr>
          </w:p>
        </w:tc>
        <w:tc>
          <w:tcPr>
            <w:tcW w:w="225" w:type="pct"/>
            <w:tcBorders>
              <w:left w:val="double" w:sz="6" w:space="0" w:color="auto"/>
              <w:right w:val="single" w:sz="4" w:space="0" w:color="000000" w:themeColor="text1"/>
            </w:tcBorders>
            <w:shd w:val="clear" w:color="auto" w:fill="auto"/>
            <w:tcMar>
              <w:bottom w:w="43" w:type="dxa"/>
            </w:tcMar>
            <w:vAlign w:val="bottom"/>
          </w:tcPr>
          <w:p w:rsidR="007E6F25" w:rsidRPr="00C33804" w:rsidRDefault="007E6F25" w:rsidP="005705B2">
            <w:pPr>
              <w:jc w:val="center"/>
              <w:rPr>
                <w:rFonts w:ascii="Arial" w:hAnsi="Arial" w:cs="Arial"/>
                <w:sz w:val="13"/>
                <w:szCs w:val="13"/>
              </w:rPr>
            </w:pPr>
            <w:r>
              <w:rPr>
                <w:rFonts w:ascii="Arial" w:hAnsi="Arial" w:cs="Arial"/>
                <w:sz w:val="13"/>
                <w:szCs w:val="13"/>
              </w:rPr>
              <w:t>11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C33804" w:rsidRDefault="007E6F25" w:rsidP="005705B2">
            <w:pPr>
              <w:jc w:val="center"/>
              <w:rPr>
                <w:rFonts w:ascii="Arial" w:hAnsi="Arial" w:cs="Arial"/>
                <w:sz w:val="13"/>
                <w:szCs w:val="13"/>
              </w:rPr>
            </w:pPr>
            <w:r>
              <w:rPr>
                <w:rFonts w:ascii="Arial" w:hAnsi="Arial" w:cs="Arial"/>
                <w:sz w:val="13"/>
                <w:szCs w:val="13"/>
              </w:rPr>
              <w:t>12</w:t>
            </w:r>
          </w:p>
        </w:tc>
        <w:tc>
          <w:tcPr>
            <w:tcW w:w="226" w:type="pct"/>
            <w:tcBorders>
              <w:top w:val="single" w:sz="4" w:space="0" w:color="000000" w:themeColor="text1"/>
              <w:left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5705B2">
            <w:pPr>
              <w:jc w:val="center"/>
              <w:rPr>
                <w:rFonts w:ascii="Arial" w:hAnsi="Arial" w:cs="Arial"/>
                <w:sz w:val="13"/>
                <w:szCs w:val="13"/>
              </w:rPr>
            </w:pPr>
            <w:r>
              <w:rPr>
                <w:rFonts w:ascii="Arial" w:hAnsi="Arial" w:cs="Arial"/>
                <w:sz w:val="13"/>
                <w:szCs w:val="13"/>
              </w:rPr>
              <w:t>13</w:t>
            </w:r>
          </w:p>
        </w:tc>
        <w:tc>
          <w:tcPr>
            <w:tcW w:w="226"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5705B2">
            <w:pPr>
              <w:jc w:val="center"/>
              <w:rPr>
                <w:rFonts w:ascii="Arial" w:hAnsi="Arial" w:cs="Arial"/>
                <w:sz w:val="13"/>
                <w:szCs w:val="13"/>
              </w:rPr>
            </w:pPr>
            <w:r>
              <w:rPr>
                <w:rFonts w:ascii="Arial" w:hAnsi="Arial" w:cs="Arial"/>
                <w:sz w:val="13"/>
                <w:szCs w:val="13"/>
              </w:rPr>
              <w:t>14</w:t>
            </w:r>
          </w:p>
        </w:tc>
        <w:tc>
          <w:tcPr>
            <w:tcW w:w="226"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5705B2">
            <w:pPr>
              <w:jc w:val="center"/>
              <w:rPr>
                <w:rFonts w:ascii="Arial" w:hAnsi="Arial" w:cs="Arial"/>
                <w:sz w:val="13"/>
                <w:szCs w:val="13"/>
              </w:rPr>
            </w:pPr>
            <w:r>
              <w:rPr>
                <w:rFonts w:ascii="Arial" w:hAnsi="Arial" w:cs="Arial"/>
                <w:sz w:val="13"/>
                <w:szCs w:val="13"/>
              </w:rPr>
              <w:t>15</w:t>
            </w:r>
          </w:p>
        </w:tc>
        <w:tc>
          <w:tcPr>
            <w:tcW w:w="226"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5705B2">
            <w:pPr>
              <w:jc w:val="center"/>
              <w:rPr>
                <w:rFonts w:ascii="Arial" w:hAnsi="Arial" w:cs="Arial"/>
                <w:sz w:val="13"/>
                <w:szCs w:val="13"/>
              </w:rPr>
            </w:pPr>
            <w:r>
              <w:rPr>
                <w:rFonts w:ascii="Arial" w:hAnsi="Arial" w:cs="Arial"/>
                <w:sz w:val="13"/>
                <w:szCs w:val="13"/>
              </w:rPr>
              <w:t>16</w:t>
            </w:r>
          </w:p>
        </w:tc>
        <w:tc>
          <w:tcPr>
            <w:tcW w:w="226" w:type="pct"/>
            <w:tcBorders>
              <w:right w:val="double" w:sz="6" w:space="0" w:color="auto"/>
            </w:tcBorders>
            <w:shd w:val="clear" w:color="auto" w:fill="auto"/>
            <w:tcMar>
              <w:bottom w:w="43" w:type="dxa"/>
            </w:tcMar>
            <w:vAlign w:val="bottom"/>
          </w:tcPr>
          <w:p w:rsidR="007E6F25" w:rsidRPr="00C33804" w:rsidRDefault="007E6F25" w:rsidP="005705B2">
            <w:pPr>
              <w:jc w:val="center"/>
              <w:rPr>
                <w:rFonts w:ascii="Arial" w:hAnsi="Arial" w:cs="Arial"/>
                <w:sz w:val="13"/>
                <w:szCs w:val="13"/>
              </w:rPr>
            </w:pPr>
            <w:r>
              <w:rPr>
                <w:rFonts w:ascii="Arial" w:hAnsi="Arial" w:cs="Arial"/>
                <w:sz w:val="13"/>
                <w:szCs w:val="13"/>
              </w:rPr>
              <w:t>17</w:t>
            </w:r>
          </w:p>
        </w:tc>
        <w:tc>
          <w:tcPr>
            <w:tcW w:w="139" w:type="pct"/>
            <w:tcBorders>
              <w:top w:val="nil"/>
              <w:left w:val="double" w:sz="6" w:space="0" w:color="auto"/>
              <w:bottom w:val="nil"/>
              <w:right w:val="double" w:sz="6" w:space="0" w:color="auto"/>
            </w:tcBorders>
            <w:tcMar>
              <w:bottom w:w="43" w:type="dxa"/>
            </w:tcMar>
            <w:vAlign w:val="bottom"/>
          </w:tcPr>
          <w:p w:rsidR="007E6F25" w:rsidRPr="00C33804" w:rsidRDefault="007E6F25" w:rsidP="005705B2">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auto"/>
            </w:tcBorders>
            <w:tcMar>
              <w:bottom w:w="43" w:type="dxa"/>
            </w:tcMar>
            <w:vAlign w:val="bottom"/>
          </w:tcPr>
          <w:p w:rsidR="007E6F25" w:rsidRPr="00C33804" w:rsidRDefault="007E6F25" w:rsidP="005705B2">
            <w:pPr>
              <w:jc w:val="center"/>
              <w:rPr>
                <w:rFonts w:ascii="Arial" w:hAnsi="Arial" w:cs="Arial"/>
                <w:sz w:val="13"/>
                <w:szCs w:val="13"/>
              </w:rPr>
            </w:pPr>
            <w:r>
              <w:rPr>
                <w:rFonts w:ascii="Arial" w:hAnsi="Arial" w:cs="Arial"/>
                <w:sz w:val="13"/>
                <w:szCs w:val="13"/>
              </w:rPr>
              <w:t>11</w:t>
            </w:r>
          </w:p>
        </w:tc>
        <w:tc>
          <w:tcPr>
            <w:tcW w:w="222" w:type="pct"/>
            <w:tcBorders>
              <w:top w:val="single" w:sz="4" w:space="0" w:color="auto"/>
              <w:left w:val="single" w:sz="4" w:space="0" w:color="auto"/>
              <w:bottom w:val="single" w:sz="4" w:space="0" w:color="000000" w:themeColor="text1"/>
              <w:right w:val="single" w:sz="4" w:space="0" w:color="auto"/>
            </w:tcBorders>
            <w:shd w:val="clear" w:color="auto" w:fill="BFBFBF" w:themeFill="background1" w:themeFillShade="BF"/>
            <w:tcMar>
              <w:bottom w:w="43" w:type="dxa"/>
            </w:tcMar>
            <w:vAlign w:val="bottom"/>
          </w:tcPr>
          <w:p w:rsidR="007E6F25" w:rsidRPr="00C33804" w:rsidRDefault="007E6F25" w:rsidP="005705B2">
            <w:pPr>
              <w:jc w:val="center"/>
              <w:rPr>
                <w:rFonts w:ascii="Arial" w:hAnsi="Arial" w:cs="Arial"/>
                <w:sz w:val="13"/>
                <w:szCs w:val="13"/>
              </w:rPr>
            </w:pPr>
            <w:r>
              <w:rPr>
                <w:rFonts w:ascii="Arial" w:hAnsi="Arial" w:cs="Arial"/>
                <w:sz w:val="13"/>
                <w:szCs w:val="13"/>
              </w:rPr>
              <w:t>12</w:t>
            </w:r>
          </w:p>
        </w:tc>
        <w:tc>
          <w:tcPr>
            <w:tcW w:w="223" w:type="pct"/>
            <w:tcBorders>
              <w:left w:val="single" w:sz="4" w:space="0" w:color="auto"/>
              <w:bottom w:val="single" w:sz="4" w:space="0" w:color="000000" w:themeColor="text1"/>
            </w:tcBorders>
            <w:shd w:val="clear" w:color="auto" w:fill="BFBFBF" w:themeFill="background1" w:themeFillShade="BF"/>
            <w:tcMar>
              <w:bottom w:w="43" w:type="dxa"/>
            </w:tcMar>
            <w:vAlign w:val="bottom"/>
          </w:tcPr>
          <w:p w:rsidR="007E6F25" w:rsidRPr="00C33804" w:rsidRDefault="007E6F25" w:rsidP="005705B2">
            <w:pPr>
              <w:jc w:val="center"/>
              <w:rPr>
                <w:rFonts w:ascii="Arial" w:hAnsi="Arial" w:cs="Arial"/>
                <w:sz w:val="13"/>
                <w:szCs w:val="13"/>
              </w:rPr>
            </w:pPr>
            <w:r>
              <w:rPr>
                <w:rFonts w:ascii="Arial" w:hAnsi="Arial" w:cs="Arial"/>
                <w:sz w:val="13"/>
                <w:szCs w:val="13"/>
              </w:rPr>
              <w:t>13</w:t>
            </w:r>
          </w:p>
        </w:tc>
        <w:tc>
          <w:tcPr>
            <w:tcW w:w="222"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5705B2">
            <w:pPr>
              <w:jc w:val="center"/>
              <w:rPr>
                <w:rFonts w:ascii="Arial" w:hAnsi="Arial" w:cs="Arial"/>
                <w:sz w:val="13"/>
                <w:szCs w:val="13"/>
              </w:rPr>
            </w:pPr>
            <w:r>
              <w:rPr>
                <w:rFonts w:ascii="Arial" w:hAnsi="Arial" w:cs="Arial"/>
                <w:sz w:val="13"/>
                <w:szCs w:val="13"/>
              </w:rPr>
              <w:t>14</w:t>
            </w:r>
          </w:p>
        </w:tc>
        <w:tc>
          <w:tcPr>
            <w:tcW w:w="223"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5705B2">
            <w:pPr>
              <w:jc w:val="center"/>
              <w:rPr>
                <w:rFonts w:ascii="Arial" w:hAnsi="Arial" w:cs="Arial"/>
                <w:sz w:val="13"/>
                <w:szCs w:val="13"/>
              </w:rPr>
            </w:pPr>
            <w:r>
              <w:rPr>
                <w:rFonts w:ascii="Arial" w:hAnsi="Arial" w:cs="Arial"/>
                <w:sz w:val="13"/>
                <w:szCs w:val="13"/>
              </w:rPr>
              <w:t>15</w:t>
            </w:r>
          </w:p>
        </w:tc>
        <w:tc>
          <w:tcPr>
            <w:tcW w:w="222"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5705B2">
            <w:pPr>
              <w:jc w:val="center"/>
              <w:rPr>
                <w:rFonts w:ascii="Arial" w:hAnsi="Arial" w:cs="Arial"/>
                <w:sz w:val="13"/>
                <w:szCs w:val="13"/>
              </w:rPr>
            </w:pPr>
            <w:r>
              <w:rPr>
                <w:rFonts w:ascii="Arial" w:hAnsi="Arial" w:cs="Arial"/>
                <w:sz w:val="13"/>
                <w:szCs w:val="13"/>
              </w:rPr>
              <w:t>16</w:t>
            </w:r>
          </w:p>
        </w:tc>
        <w:tc>
          <w:tcPr>
            <w:tcW w:w="223" w:type="pct"/>
            <w:tcBorders>
              <w:right w:val="double" w:sz="6" w:space="0" w:color="auto"/>
            </w:tcBorders>
            <w:tcMar>
              <w:bottom w:w="43" w:type="dxa"/>
            </w:tcMar>
            <w:vAlign w:val="bottom"/>
          </w:tcPr>
          <w:p w:rsidR="007E6F25" w:rsidRPr="00C33804" w:rsidRDefault="007E6F25" w:rsidP="005705B2">
            <w:pPr>
              <w:jc w:val="center"/>
              <w:rPr>
                <w:rFonts w:ascii="Arial" w:hAnsi="Arial" w:cs="Arial"/>
                <w:sz w:val="13"/>
                <w:szCs w:val="13"/>
              </w:rPr>
            </w:pPr>
            <w:r>
              <w:rPr>
                <w:rFonts w:ascii="Arial" w:hAnsi="Arial" w:cs="Arial"/>
                <w:sz w:val="13"/>
                <w:szCs w:val="13"/>
              </w:rPr>
              <w:t>17</w:t>
            </w:r>
          </w:p>
        </w:tc>
      </w:tr>
      <w:tr w:rsidR="007E6F25" w:rsidRPr="00C33804" w:rsidTr="005705B2">
        <w:trPr>
          <w:trHeight w:val="346"/>
        </w:trPr>
        <w:tc>
          <w:tcPr>
            <w:tcW w:w="226" w:type="pct"/>
            <w:tcBorders>
              <w:left w:val="double" w:sz="6" w:space="0" w:color="auto"/>
            </w:tcBorders>
            <w:tcMar>
              <w:bottom w:w="43" w:type="dxa"/>
            </w:tcMar>
            <w:vAlign w:val="bottom"/>
          </w:tcPr>
          <w:p w:rsidR="007E6F25" w:rsidRPr="00C33804" w:rsidRDefault="007E6F25" w:rsidP="005705B2">
            <w:pPr>
              <w:jc w:val="center"/>
              <w:rPr>
                <w:rFonts w:ascii="Arial" w:hAnsi="Arial" w:cs="Arial"/>
                <w:sz w:val="13"/>
                <w:szCs w:val="13"/>
              </w:rPr>
            </w:pPr>
            <w:r>
              <w:rPr>
                <w:rFonts w:ascii="Arial" w:hAnsi="Arial" w:cs="Arial"/>
                <w:sz w:val="13"/>
                <w:szCs w:val="13"/>
              </w:rPr>
              <w:t>21</w:t>
            </w:r>
          </w:p>
        </w:tc>
        <w:tc>
          <w:tcPr>
            <w:tcW w:w="226" w:type="pct"/>
            <w:tcBorders>
              <w:top w:val="single" w:sz="4" w:space="0" w:color="000000" w:themeColor="text1"/>
            </w:tcBorders>
            <w:shd w:val="clear" w:color="auto" w:fill="FFFFFF" w:themeFill="background1"/>
            <w:tcMar>
              <w:bottom w:w="43" w:type="dxa"/>
            </w:tcMar>
            <w:vAlign w:val="bottom"/>
          </w:tcPr>
          <w:p w:rsidR="007E6F25" w:rsidRPr="00C33804" w:rsidRDefault="007E6F25" w:rsidP="005705B2">
            <w:pPr>
              <w:jc w:val="center"/>
              <w:rPr>
                <w:rFonts w:ascii="Arial" w:hAnsi="Arial" w:cs="Arial"/>
                <w:sz w:val="13"/>
                <w:szCs w:val="13"/>
              </w:rPr>
            </w:pPr>
            <w:r>
              <w:rPr>
                <w:rFonts w:ascii="Arial" w:hAnsi="Arial" w:cs="Arial"/>
                <w:sz w:val="13"/>
                <w:szCs w:val="13"/>
              </w:rPr>
              <w:t>22</w:t>
            </w:r>
          </w:p>
        </w:tc>
        <w:tc>
          <w:tcPr>
            <w:tcW w:w="227" w:type="pct"/>
            <w:tcBorders>
              <w:top w:val="single" w:sz="4" w:space="0" w:color="000000" w:themeColor="text1"/>
            </w:tcBorders>
            <w:shd w:val="clear" w:color="auto" w:fill="FFFFFF" w:themeFill="background1"/>
            <w:tcMar>
              <w:bottom w:w="43" w:type="dxa"/>
            </w:tcMar>
            <w:vAlign w:val="bottom"/>
          </w:tcPr>
          <w:p w:rsidR="007E6F25" w:rsidRPr="00C33804" w:rsidRDefault="007E6F25" w:rsidP="005705B2">
            <w:pPr>
              <w:jc w:val="center"/>
              <w:rPr>
                <w:rFonts w:ascii="Arial" w:hAnsi="Arial" w:cs="Arial"/>
                <w:sz w:val="13"/>
                <w:szCs w:val="13"/>
              </w:rPr>
            </w:pPr>
            <w:r>
              <w:rPr>
                <w:rFonts w:ascii="Arial" w:hAnsi="Arial" w:cs="Arial"/>
                <w:sz w:val="13"/>
                <w:szCs w:val="13"/>
              </w:rPr>
              <w:t>23</w:t>
            </w:r>
          </w:p>
        </w:tc>
        <w:tc>
          <w:tcPr>
            <w:tcW w:w="226" w:type="pct"/>
            <w:tcBorders>
              <w:top w:val="single" w:sz="4" w:space="0" w:color="000000" w:themeColor="text1"/>
            </w:tcBorders>
            <w:shd w:val="clear" w:color="auto" w:fill="FFFFFF" w:themeFill="background1"/>
            <w:tcMar>
              <w:bottom w:w="43" w:type="dxa"/>
            </w:tcMar>
            <w:vAlign w:val="bottom"/>
          </w:tcPr>
          <w:p w:rsidR="007E6F25" w:rsidRPr="00C33804" w:rsidRDefault="007E6F25" w:rsidP="005705B2">
            <w:pPr>
              <w:jc w:val="center"/>
              <w:rPr>
                <w:rFonts w:ascii="Arial" w:hAnsi="Arial" w:cs="Arial"/>
                <w:sz w:val="13"/>
                <w:szCs w:val="13"/>
              </w:rPr>
            </w:pPr>
            <w:r>
              <w:rPr>
                <w:rFonts w:ascii="Arial" w:hAnsi="Arial" w:cs="Arial"/>
                <w:sz w:val="13"/>
                <w:szCs w:val="13"/>
              </w:rPr>
              <w:t>24</w:t>
            </w:r>
          </w:p>
        </w:tc>
        <w:tc>
          <w:tcPr>
            <w:tcW w:w="227" w:type="pct"/>
            <w:tcBorders>
              <w:top w:val="single" w:sz="4" w:space="0" w:color="000000" w:themeColor="text1"/>
            </w:tcBorders>
            <w:shd w:val="clear" w:color="auto" w:fill="FFFFFF" w:themeFill="background1"/>
            <w:tcMar>
              <w:bottom w:w="43" w:type="dxa"/>
            </w:tcMar>
            <w:vAlign w:val="bottom"/>
          </w:tcPr>
          <w:p w:rsidR="007E6F25" w:rsidRPr="00C33804" w:rsidRDefault="007E6F25" w:rsidP="005705B2">
            <w:pPr>
              <w:jc w:val="center"/>
              <w:rPr>
                <w:rFonts w:ascii="Arial" w:hAnsi="Arial" w:cs="Arial"/>
                <w:sz w:val="13"/>
                <w:szCs w:val="13"/>
              </w:rPr>
            </w:pPr>
            <w:r>
              <w:rPr>
                <w:rFonts w:ascii="Arial" w:hAnsi="Arial" w:cs="Arial"/>
                <w:sz w:val="13"/>
                <w:szCs w:val="13"/>
              </w:rPr>
              <w:t>25</w:t>
            </w:r>
          </w:p>
        </w:tc>
        <w:tc>
          <w:tcPr>
            <w:tcW w:w="226" w:type="pct"/>
            <w:tcBorders>
              <w:top w:val="single" w:sz="4" w:space="0" w:color="000000" w:themeColor="text1"/>
            </w:tcBorders>
            <w:shd w:val="clear" w:color="auto" w:fill="FFFFFF" w:themeFill="background1"/>
            <w:tcMar>
              <w:bottom w:w="43" w:type="dxa"/>
            </w:tcMar>
            <w:vAlign w:val="bottom"/>
          </w:tcPr>
          <w:p w:rsidR="007E6F25" w:rsidRPr="00C33804" w:rsidRDefault="007E6F25" w:rsidP="005705B2">
            <w:pPr>
              <w:jc w:val="center"/>
              <w:rPr>
                <w:rFonts w:ascii="Arial" w:hAnsi="Arial" w:cs="Arial"/>
                <w:sz w:val="13"/>
                <w:szCs w:val="13"/>
              </w:rPr>
            </w:pPr>
            <w:r>
              <w:rPr>
                <w:rFonts w:ascii="Arial" w:hAnsi="Arial" w:cs="Arial"/>
                <w:sz w:val="13"/>
                <w:szCs w:val="13"/>
              </w:rPr>
              <w:t>26</w:t>
            </w:r>
          </w:p>
        </w:tc>
        <w:tc>
          <w:tcPr>
            <w:tcW w:w="228" w:type="pct"/>
            <w:tcBorders>
              <w:right w:val="double" w:sz="6" w:space="0" w:color="auto"/>
            </w:tcBorders>
            <w:shd w:val="clear" w:color="auto" w:fill="FFFFFF" w:themeFill="background1"/>
            <w:tcMar>
              <w:bottom w:w="43" w:type="dxa"/>
            </w:tcMar>
            <w:vAlign w:val="bottom"/>
          </w:tcPr>
          <w:p w:rsidR="007E6F25" w:rsidRPr="00C33804" w:rsidRDefault="007E6F25" w:rsidP="005705B2">
            <w:pPr>
              <w:jc w:val="center"/>
              <w:rPr>
                <w:rFonts w:ascii="Arial" w:hAnsi="Arial" w:cs="Arial"/>
                <w:sz w:val="13"/>
                <w:szCs w:val="13"/>
              </w:rPr>
            </w:pPr>
            <w:r>
              <w:rPr>
                <w:rFonts w:ascii="Arial" w:hAnsi="Arial" w:cs="Arial"/>
                <w:sz w:val="13"/>
                <w:szCs w:val="13"/>
              </w:rPr>
              <w:t>27</w:t>
            </w:r>
          </w:p>
        </w:tc>
        <w:tc>
          <w:tcPr>
            <w:tcW w:w="137" w:type="pct"/>
            <w:tcBorders>
              <w:top w:val="nil"/>
              <w:left w:val="double" w:sz="6" w:space="0" w:color="auto"/>
              <w:bottom w:val="nil"/>
              <w:right w:val="double" w:sz="6" w:space="0" w:color="auto"/>
            </w:tcBorders>
            <w:shd w:val="clear" w:color="auto" w:fill="FFFFFF" w:themeFill="background1"/>
            <w:tcMar>
              <w:bottom w:w="43" w:type="dxa"/>
            </w:tcMar>
            <w:vAlign w:val="bottom"/>
          </w:tcPr>
          <w:p w:rsidR="007E6F25" w:rsidRPr="00C33804" w:rsidRDefault="007E6F25" w:rsidP="005705B2">
            <w:pPr>
              <w:tabs>
                <w:tab w:val="center" w:pos="5220"/>
                <w:tab w:val="right" w:pos="10440"/>
              </w:tabs>
              <w:jc w:val="center"/>
              <w:rPr>
                <w:rFonts w:ascii="Arial" w:hAnsi="Arial" w:cs="Arial"/>
                <w:sz w:val="13"/>
                <w:szCs w:val="13"/>
              </w:rPr>
            </w:pPr>
          </w:p>
        </w:tc>
        <w:tc>
          <w:tcPr>
            <w:tcW w:w="225" w:type="pct"/>
            <w:tcBorders>
              <w:left w:val="double" w:sz="6" w:space="0" w:color="auto"/>
            </w:tcBorders>
            <w:shd w:val="clear" w:color="auto" w:fill="auto"/>
            <w:tcMar>
              <w:bottom w:w="43" w:type="dxa"/>
            </w:tcMar>
            <w:vAlign w:val="bottom"/>
          </w:tcPr>
          <w:p w:rsidR="007E6F25" w:rsidRPr="00C33804" w:rsidRDefault="007E6F25" w:rsidP="005705B2">
            <w:pPr>
              <w:jc w:val="center"/>
              <w:rPr>
                <w:rFonts w:ascii="Arial" w:hAnsi="Arial" w:cs="Arial"/>
                <w:sz w:val="13"/>
                <w:szCs w:val="13"/>
              </w:rPr>
            </w:pPr>
            <w:r>
              <w:rPr>
                <w:rFonts w:ascii="Arial" w:hAnsi="Arial" w:cs="Arial"/>
                <w:sz w:val="13"/>
                <w:szCs w:val="13"/>
              </w:rPr>
              <w:t>18</w:t>
            </w:r>
          </w:p>
        </w:tc>
        <w:tc>
          <w:tcPr>
            <w:tcW w:w="226" w:type="pct"/>
            <w:tcBorders>
              <w:top w:val="single" w:sz="4" w:space="0" w:color="000000" w:themeColor="text1"/>
            </w:tcBorders>
            <w:shd w:val="clear" w:color="auto" w:fill="auto"/>
            <w:tcMar>
              <w:bottom w:w="43" w:type="dxa"/>
            </w:tcMar>
            <w:vAlign w:val="bottom"/>
          </w:tcPr>
          <w:p w:rsidR="007E6F25" w:rsidRPr="00C33804" w:rsidRDefault="007E6F25" w:rsidP="005705B2">
            <w:pPr>
              <w:jc w:val="center"/>
              <w:rPr>
                <w:rFonts w:ascii="Arial" w:hAnsi="Arial" w:cs="Arial"/>
                <w:sz w:val="13"/>
                <w:szCs w:val="13"/>
              </w:rPr>
            </w:pPr>
            <w:r>
              <w:rPr>
                <w:rFonts w:ascii="Arial" w:hAnsi="Arial" w:cs="Arial"/>
                <w:sz w:val="13"/>
                <w:szCs w:val="13"/>
              </w:rPr>
              <w:t>19</w:t>
            </w:r>
          </w:p>
        </w:tc>
        <w:tc>
          <w:tcPr>
            <w:tcW w:w="226" w:type="pct"/>
            <w:shd w:val="clear" w:color="auto" w:fill="auto"/>
            <w:tcMar>
              <w:bottom w:w="43" w:type="dxa"/>
            </w:tcMar>
            <w:vAlign w:val="bottom"/>
          </w:tcPr>
          <w:p w:rsidR="007E6F25" w:rsidRPr="00C33804" w:rsidRDefault="007E6F25" w:rsidP="005705B2">
            <w:pPr>
              <w:jc w:val="center"/>
              <w:rPr>
                <w:rFonts w:ascii="Arial" w:hAnsi="Arial" w:cs="Arial"/>
                <w:sz w:val="13"/>
                <w:szCs w:val="13"/>
              </w:rPr>
            </w:pPr>
            <w:r>
              <w:rPr>
                <w:rFonts w:ascii="Arial" w:hAnsi="Arial" w:cs="Arial"/>
                <w:sz w:val="13"/>
                <w:szCs w:val="13"/>
              </w:rPr>
              <w:t>20</w:t>
            </w:r>
          </w:p>
        </w:tc>
        <w:tc>
          <w:tcPr>
            <w:tcW w:w="226" w:type="pct"/>
            <w:shd w:val="clear" w:color="auto" w:fill="auto"/>
            <w:tcMar>
              <w:bottom w:w="43" w:type="dxa"/>
            </w:tcMar>
            <w:vAlign w:val="bottom"/>
          </w:tcPr>
          <w:p w:rsidR="007E6F25" w:rsidRPr="00C33804" w:rsidRDefault="007E6F25" w:rsidP="005705B2">
            <w:pPr>
              <w:jc w:val="center"/>
              <w:rPr>
                <w:rFonts w:ascii="Arial" w:hAnsi="Arial" w:cs="Arial"/>
                <w:sz w:val="13"/>
                <w:szCs w:val="13"/>
              </w:rPr>
            </w:pPr>
            <w:r>
              <w:rPr>
                <w:rFonts w:ascii="Arial" w:hAnsi="Arial" w:cs="Arial"/>
                <w:sz w:val="13"/>
                <w:szCs w:val="13"/>
              </w:rPr>
              <w:t>21</w:t>
            </w:r>
          </w:p>
        </w:tc>
        <w:tc>
          <w:tcPr>
            <w:tcW w:w="226" w:type="pct"/>
            <w:shd w:val="clear" w:color="auto" w:fill="auto"/>
            <w:tcMar>
              <w:bottom w:w="43" w:type="dxa"/>
            </w:tcMar>
            <w:vAlign w:val="bottom"/>
          </w:tcPr>
          <w:p w:rsidR="007E6F25" w:rsidRPr="00C33804" w:rsidRDefault="007E6F25" w:rsidP="005705B2">
            <w:pPr>
              <w:jc w:val="center"/>
              <w:rPr>
                <w:rFonts w:ascii="Arial" w:hAnsi="Arial" w:cs="Arial"/>
                <w:sz w:val="13"/>
                <w:szCs w:val="13"/>
              </w:rPr>
            </w:pPr>
            <w:r>
              <w:rPr>
                <w:rFonts w:ascii="Arial" w:hAnsi="Arial" w:cs="Arial"/>
                <w:sz w:val="13"/>
                <w:szCs w:val="13"/>
              </w:rPr>
              <w:t>22</w:t>
            </w:r>
          </w:p>
        </w:tc>
        <w:tc>
          <w:tcPr>
            <w:tcW w:w="226" w:type="pct"/>
            <w:shd w:val="clear" w:color="auto" w:fill="auto"/>
            <w:tcMar>
              <w:bottom w:w="43" w:type="dxa"/>
            </w:tcMar>
            <w:vAlign w:val="bottom"/>
          </w:tcPr>
          <w:p w:rsidR="007E6F25" w:rsidRPr="00C33804" w:rsidRDefault="007E6F25" w:rsidP="005705B2">
            <w:pPr>
              <w:jc w:val="center"/>
              <w:rPr>
                <w:rFonts w:ascii="Arial" w:hAnsi="Arial" w:cs="Arial"/>
                <w:sz w:val="13"/>
                <w:szCs w:val="13"/>
              </w:rPr>
            </w:pPr>
            <w:r>
              <w:rPr>
                <w:rFonts w:ascii="Arial" w:hAnsi="Arial" w:cs="Arial"/>
                <w:sz w:val="13"/>
                <w:szCs w:val="13"/>
              </w:rPr>
              <w:t>23</w:t>
            </w:r>
          </w:p>
        </w:tc>
        <w:tc>
          <w:tcPr>
            <w:tcW w:w="226" w:type="pct"/>
            <w:tcBorders>
              <w:right w:val="double" w:sz="6" w:space="0" w:color="auto"/>
            </w:tcBorders>
            <w:shd w:val="clear" w:color="auto" w:fill="auto"/>
            <w:tcMar>
              <w:bottom w:w="43" w:type="dxa"/>
            </w:tcMar>
            <w:vAlign w:val="bottom"/>
          </w:tcPr>
          <w:p w:rsidR="007E6F25" w:rsidRPr="00C33804" w:rsidRDefault="007E6F25" w:rsidP="005705B2">
            <w:pPr>
              <w:jc w:val="center"/>
              <w:rPr>
                <w:rFonts w:ascii="Arial" w:hAnsi="Arial" w:cs="Arial"/>
                <w:sz w:val="13"/>
                <w:szCs w:val="13"/>
              </w:rPr>
            </w:pPr>
            <w:r>
              <w:rPr>
                <w:rFonts w:ascii="Arial" w:hAnsi="Arial" w:cs="Arial"/>
                <w:sz w:val="13"/>
                <w:szCs w:val="13"/>
              </w:rPr>
              <w:t>24</w:t>
            </w:r>
          </w:p>
        </w:tc>
        <w:tc>
          <w:tcPr>
            <w:tcW w:w="139" w:type="pct"/>
            <w:tcBorders>
              <w:top w:val="nil"/>
              <w:left w:val="double" w:sz="6" w:space="0" w:color="auto"/>
              <w:bottom w:val="nil"/>
              <w:right w:val="double" w:sz="6" w:space="0" w:color="auto"/>
            </w:tcBorders>
            <w:tcMar>
              <w:bottom w:w="43" w:type="dxa"/>
            </w:tcMar>
            <w:vAlign w:val="bottom"/>
          </w:tcPr>
          <w:p w:rsidR="007E6F25" w:rsidRPr="00C33804" w:rsidRDefault="007E6F25" w:rsidP="005705B2">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000000" w:themeColor="text1"/>
            </w:tcBorders>
            <w:tcMar>
              <w:bottom w:w="43" w:type="dxa"/>
            </w:tcMar>
            <w:vAlign w:val="bottom"/>
          </w:tcPr>
          <w:p w:rsidR="007E6F25" w:rsidRPr="00C33804" w:rsidRDefault="007E6F25" w:rsidP="005705B2">
            <w:pPr>
              <w:jc w:val="center"/>
              <w:rPr>
                <w:rFonts w:ascii="Arial" w:hAnsi="Arial" w:cs="Arial"/>
                <w:sz w:val="13"/>
                <w:szCs w:val="13"/>
              </w:rPr>
            </w:pPr>
            <w:r>
              <w:rPr>
                <w:rFonts w:ascii="Arial" w:hAnsi="Arial" w:cs="Arial"/>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C33804" w:rsidRDefault="007E6F25" w:rsidP="005705B2">
            <w:pPr>
              <w:jc w:val="center"/>
              <w:rPr>
                <w:rFonts w:ascii="Arial" w:hAnsi="Arial" w:cs="Arial"/>
                <w:sz w:val="13"/>
                <w:szCs w:val="13"/>
              </w:rPr>
            </w:pPr>
            <w:r>
              <w:rPr>
                <w:rFonts w:ascii="Arial" w:hAnsi="Arial" w:cs="Arial"/>
                <w:sz w:val="13"/>
                <w:szCs w:val="13"/>
              </w:rPr>
              <w:t>19</w:t>
            </w:r>
          </w:p>
        </w:tc>
        <w:tc>
          <w:tcPr>
            <w:tcW w:w="223" w:type="pct"/>
            <w:tcBorders>
              <w:left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5705B2">
            <w:pPr>
              <w:jc w:val="center"/>
              <w:rPr>
                <w:rFonts w:ascii="Arial" w:hAnsi="Arial" w:cs="Arial"/>
                <w:sz w:val="13"/>
                <w:szCs w:val="13"/>
              </w:rPr>
            </w:pPr>
            <w:r>
              <w:rPr>
                <w:rFonts w:ascii="Arial" w:hAnsi="Arial" w:cs="Arial"/>
                <w:sz w:val="13"/>
                <w:szCs w:val="13"/>
              </w:rPr>
              <w:t>20</w:t>
            </w:r>
          </w:p>
        </w:tc>
        <w:tc>
          <w:tcPr>
            <w:tcW w:w="222"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5705B2">
            <w:pPr>
              <w:jc w:val="center"/>
              <w:rPr>
                <w:rFonts w:ascii="Arial" w:hAnsi="Arial" w:cs="Arial"/>
                <w:sz w:val="13"/>
                <w:szCs w:val="13"/>
              </w:rPr>
            </w:pPr>
            <w:r>
              <w:rPr>
                <w:rFonts w:ascii="Arial" w:hAnsi="Arial" w:cs="Arial"/>
                <w:sz w:val="13"/>
                <w:szCs w:val="13"/>
              </w:rPr>
              <w:t>21</w:t>
            </w:r>
          </w:p>
        </w:tc>
        <w:tc>
          <w:tcPr>
            <w:tcW w:w="223" w:type="pct"/>
            <w:tcBorders>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C33804" w:rsidRDefault="007E6F25" w:rsidP="005705B2">
            <w:pPr>
              <w:jc w:val="center"/>
              <w:rPr>
                <w:rFonts w:ascii="Arial" w:hAnsi="Arial" w:cs="Arial"/>
                <w:sz w:val="13"/>
                <w:szCs w:val="13"/>
              </w:rPr>
            </w:pPr>
            <w:r>
              <w:rPr>
                <w:rFonts w:ascii="Arial" w:hAnsi="Arial" w:cs="Arial"/>
                <w:sz w:val="13"/>
                <w:szCs w:val="13"/>
              </w:rPr>
              <w:t>22</w:t>
            </w:r>
          </w:p>
        </w:tc>
        <w:tc>
          <w:tcPr>
            <w:tcW w:w="222" w:type="pct"/>
            <w:tcBorders>
              <w:top w:val="single" w:sz="4" w:space="0" w:color="000000" w:themeColor="text1"/>
              <w:left w:val="single" w:sz="4" w:space="0" w:color="000000" w:themeColor="text1"/>
              <w:bottom w:val="double" w:sz="6" w:space="0" w:color="auto"/>
              <w:right w:val="single" w:sz="4" w:space="0" w:color="000000" w:themeColor="text1"/>
            </w:tcBorders>
            <w:shd w:val="clear" w:color="auto" w:fill="BFBFBF" w:themeFill="background1" w:themeFillShade="BF"/>
            <w:tcMar>
              <w:bottom w:w="43" w:type="dxa"/>
            </w:tcMar>
            <w:vAlign w:val="bottom"/>
          </w:tcPr>
          <w:p w:rsidR="007E6F25" w:rsidRPr="00C33804" w:rsidRDefault="007E6F25" w:rsidP="005705B2">
            <w:pPr>
              <w:jc w:val="center"/>
              <w:rPr>
                <w:rFonts w:ascii="Arial" w:hAnsi="Arial" w:cs="Arial"/>
                <w:sz w:val="13"/>
                <w:szCs w:val="13"/>
              </w:rPr>
            </w:pPr>
            <w:r>
              <w:rPr>
                <w:rFonts w:ascii="Arial" w:hAnsi="Arial" w:cs="Arial"/>
                <w:sz w:val="13"/>
                <w:szCs w:val="13"/>
              </w:rPr>
              <w:t>23</w:t>
            </w:r>
          </w:p>
        </w:tc>
        <w:tc>
          <w:tcPr>
            <w:tcW w:w="223" w:type="pct"/>
            <w:tcBorders>
              <w:left w:val="single" w:sz="4" w:space="0" w:color="000000" w:themeColor="text1"/>
              <w:right w:val="double" w:sz="6" w:space="0" w:color="auto"/>
            </w:tcBorders>
            <w:tcMar>
              <w:bottom w:w="43" w:type="dxa"/>
            </w:tcMar>
            <w:vAlign w:val="bottom"/>
          </w:tcPr>
          <w:p w:rsidR="007E6F25" w:rsidRPr="00C33804" w:rsidRDefault="007E6F25" w:rsidP="005705B2">
            <w:pPr>
              <w:jc w:val="center"/>
              <w:rPr>
                <w:rFonts w:ascii="Arial" w:hAnsi="Arial" w:cs="Arial"/>
                <w:sz w:val="13"/>
                <w:szCs w:val="13"/>
              </w:rPr>
            </w:pPr>
            <w:r>
              <w:rPr>
                <w:rFonts w:ascii="Arial" w:hAnsi="Arial" w:cs="Arial"/>
                <w:sz w:val="13"/>
                <w:szCs w:val="13"/>
              </w:rPr>
              <w:t>24</w:t>
            </w:r>
          </w:p>
        </w:tc>
      </w:tr>
      <w:tr w:rsidR="007E6F25" w:rsidRPr="00C33804" w:rsidTr="005705B2">
        <w:trPr>
          <w:trHeight w:val="346"/>
        </w:trPr>
        <w:tc>
          <w:tcPr>
            <w:tcW w:w="226" w:type="pct"/>
            <w:tcBorders>
              <w:left w:val="double" w:sz="6" w:space="0" w:color="auto"/>
              <w:bottom w:val="double" w:sz="6" w:space="0" w:color="auto"/>
            </w:tcBorders>
            <w:tcMar>
              <w:bottom w:w="43" w:type="dxa"/>
            </w:tcMar>
            <w:vAlign w:val="bottom"/>
          </w:tcPr>
          <w:p w:rsidR="007E6F25" w:rsidRPr="00C33804" w:rsidRDefault="007E6F25" w:rsidP="005705B2">
            <w:pPr>
              <w:jc w:val="center"/>
              <w:rPr>
                <w:rFonts w:ascii="Arial" w:hAnsi="Arial" w:cs="Arial"/>
                <w:sz w:val="13"/>
                <w:szCs w:val="13"/>
              </w:rPr>
            </w:pPr>
            <w:r>
              <w:rPr>
                <w:rFonts w:ascii="Arial" w:hAnsi="Arial" w:cs="Arial"/>
                <w:sz w:val="13"/>
                <w:szCs w:val="13"/>
              </w:rPr>
              <w:t>28</w:t>
            </w:r>
          </w:p>
        </w:tc>
        <w:tc>
          <w:tcPr>
            <w:tcW w:w="226" w:type="pct"/>
            <w:tcBorders>
              <w:bottom w:val="double" w:sz="6" w:space="0" w:color="auto"/>
            </w:tcBorders>
            <w:tcMar>
              <w:bottom w:w="43" w:type="dxa"/>
            </w:tcMar>
            <w:vAlign w:val="bottom"/>
          </w:tcPr>
          <w:p w:rsidR="007E6F25" w:rsidRPr="00C33804" w:rsidRDefault="007E6F25" w:rsidP="005705B2">
            <w:pPr>
              <w:jc w:val="center"/>
              <w:rPr>
                <w:rFonts w:ascii="Arial" w:hAnsi="Arial" w:cs="Arial"/>
                <w:sz w:val="13"/>
                <w:szCs w:val="13"/>
              </w:rPr>
            </w:pPr>
            <w:r>
              <w:rPr>
                <w:rFonts w:ascii="Arial" w:hAnsi="Arial" w:cs="Arial"/>
                <w:sz w:val="13"/>
                <w:szCs w:val="13"/>
              </w:rPr>
              <w:t>29</w:t>
            </w:r>
          </w:p>
        </w:tc>
        <w:tc>
          <w:tcPr>
            <w:tcW w:w="227" w:type="pct"/>
            <w:tcBorders>
              <w:bottom w:val="double" w:sz="6" w:space="0" w:color="auto"/>
            </w:tcBorders>
            <w:tcMar>
              <w:bottom w:w="43" w:type="dxa"/>
            </w:tcMar>
            <w:vAlign w:val="bottom"/>
          </w:tcPr>
          <w:p w:rsidR="007E6F25" w:rsidRPr="00C33804" w:rsidRDefault="007E6F25" w:rsidP="005705B2">
            <w:pPr>
              <w:jc w:val="center"/>
              <w:rPr>
                <w:rFonts w:ascii="Arial" w:hAnsi="Arial" w:cs="Arial"/>
                <w:sz w:val="13"/>
                <w:szCs w:val="13"/>
              </w:rPr>
            </w:pPr>
            <w:r>
              <w:rPr>
                <w:rFonts w:ascii="Arial" w:hAnsi="Arial" w:cs="Arial"/>
                <w:sz w:val="13"/>
                <w:szCs w:val="13"/>
              </w:rPr>
              <w:t>30</w:t>
            </w:r>
          </w:p>
        </w:tc>
        <w:tc>
          <w:tcPr>
            <w:tcW w:w="226" w:type="pct"/>
            <w:tcBorders>
              <w:bottom w:val="double" w:sz="6" w:space="0" w:color="auto"/>
            </w:tcBorders>
            <w:tcMar>
              <w:bottom w:w="43" w:type="dxa"/>
            </w:tcMar>
            <w:vAlign w:val="bottom"/>
          </w:tcPr>
          <w:p w:rsidR="007E6F25" w:rsidRPr="00C33804" w:rsidRDefault="007E6F25" w:rsidP="005705B2">
            <w:pPr>
              <w:jc w:val="center"/>
              <w:rPr>
                <w:rFonts w:ascii="Arial" w:hAnsi="Arial" w:cs="Arial"/>
                <w:sz w:val="13"/>
                <w:szCs w:val="13"/>
              </w:rPr>
            </w:pPr>
            <w:r>
              <w:rPr>
                <w:rFonts w:ascii="Arial" w:hAnsi="Arial" w:cs="Arial"/>
                <w:sz w:val="13"/>
                <w:szCs w:val="13"/>
              </w:rPr>
              <w:t>31</w:t>
            </w:r>
          </w:p>
        </w:tc>
        <w:tc>
          <w:tcPr>
            <w:tcW w:w="227" w:type="pct"/>
            <w:tcBorders>
              <w:bottom w:val="double" w:sz="6" w:space="0" w:color="auto"/>
            </w:tcBorders>
            <w:tcMar>
              <w:bottom w:w="43" w:type="dxa"/>
            </w:tcMar>
            <w:vAlign w:val="bottom"/>
          </w:tcPr>
          <w:p w:rsidR="007E6F25" w:rsidRPr="00C33804" w:rsidRDefault="007E6F25" w:rsidP="005705B2">
            <w:pPr>
              <w:jc w:val="center"/>
              <w:rPr>
                <w:rFonts w:ascii="Arial" w:hAnsi="Arial" w:cs="Arial"/>
                <w:sz w:val="13"/>
                <w:szCs w:val="13"/>
              </w:rPr>
            </w:pPr>
          </w:p>
        </w:tc>
        <w:tc>
          <w:tcPr>
            <w:tcW w:w="226" w:type="pct"/>
            <w:tcBorders>
              <w:bottom w:val="double" w:sz="6" w:space="0" w:color="auto"/>
            </w:tcBorders>
            <w:tcMar>
              <w:bottom w:w="43" w:type="dxa"/>
            </w:tcMar>
            <w:vAlign w:val="bottom"/>
          </w:tcPr>
          <w:p w:rsidR="007E6F25" w:rsidRPr="00C33804" w:rsidRDefault="007E6F25" w:rsidP="005705B2">
            <w:pPr>
              <w:jc w:val="center"/>
              <w:rPr>
                <w:rFonts w:ascii="Arial" w:hAnsi="Arial" w:cs="Arial"/>
                <w:sz w:val="13"/>
                <w:szCs w:val="13"/>
              </w:rPr>
            </w:pPr>
          </w:p>
        </w:tc>
        <w:tc>
          <w:tcPr>
            <w:tcW w:w="228" w:type="pct"/>
            <w:tcBorders>
              <w:bottom w:val="double" w:sz="6" w:space="0" w:color="auto"/>
              <w:right w:val="double" w:sz="6" w:space="0" w:color="auto"/>
            </w:tcBorders>
            <w:tcMar>
              <w:bottom w:w="43" w:type="dxa"/>
            </w:tcMar>
            <w:vAlign w:val="bottom"/>
          </w:tcPr>
          <w:p w:rsidR="007E6F25" w:rsidRPr="00C33804" w:rsidRDefault="007E6F25" w:rsidP="005705B2">
            <w:pPr>
              <w:jc w:val="center"/>
              <w:rPr>
                <w:rFonts w:ascii="Arial" w:hAnsi="Arial" w:cs="Arial"/>
                <w:sz w:val="13"/>
                <w:szCs w:val="13"/>
              </w:rPr>
            </w:pPr>
          </w:p>
        </w:tc>
        <w:tc>
          <w:tcPr>
            <w:tcW w:w="137" w:type="pct"/>
            <w:tcBorders>
              <w:top w:val="nil"/>
              <w:left w:val="double" w:sz="6" w:space="0" w:color="auto"/>
              <w:bottom w:val="nil"/>
              <w:right w:val="double" w:sz="6" w:space="0" w:color="auto"/>
            </w:tcBorders>
            <w:tcMar>
              <w:bottom w:w="43" w:type="dxa"/>
            </w:tcMar>
            <w:vAlign w:val="bottom"/>
          </w:tcPr>
          <w:p w:rsidR="007E6F25" w:rsidRPr="00C33804" w:rsidRDefault="007E6F25" w:rsidP="005705B2">
            <w:pPr>
              <w:tabs>
                <w:tab w:val="center" w:pos="5220"/>
                <w:tab w:val="right" w:pos="10440"/>
              </w:tabs>
              <w:jc w:val="center"/>
              <w:rPr>
                <w:rFonts w:ascii="Arial" w:hAnsi="Arial" w:cs="Arial"/>
                <w:sz w:val="13"/>
                <w:szCs w:val="13"/>
              </w:rPr>
            </w:pPr>
          </w:p>
        </w:tc>
        <w:tc>
          <w:tcPr>
            <w:tcW w:w="225" w:type="pct"/>
            <w:tcBorders>
              <w:left w:val="double" w:sz="6" w:space="0" w:color="auto"/>
              <w:bottom w:val="double" w:sz="6" w:space="0" w:color="auto"/>
            </w:tcBorders>
            <w:tcMar>
              <w:bottom w:w="43" w:type="dxa"/>
            </w:tcMar>
            <w:vAlign w:val="bottom"/>
          </w:tcPr>
          <w:p w:rsidR="007E6F25" w:rsidRPr="00C33804" w:rsidRDefault="007E6F25" w:rsidP="005705B2">
            <w:pPr>
              <w:jc w:val="center"/>
              <w:rPr>
                <w:rFonts w:ascii="Arial" w:hAnsi="Arial" w:cs="Arial"/>
                <w:sz w:val="13"/>
                <w:szCs w:val="13"/>
              </w:rPr>
            </w:pPr>
            <w:r>
              <w:rPr>
                <w:rFonts w:ascii="Arial" w:hAnsi="Arial" w:cs="Arial"/>
                <w:sz w:val="13"/>
                <w:szCs w:val="13"/>
              </w:rPr>
              <w:t>25</w:t>
            </w:r>
          </w:p>
        </w:tc>
        <w:tc>
          <w:tcPr>
            <w:tcW w:w="226" w:type="pct"/>
            <w:tcBorders>
              <w:bottom w:val="double" w:sz="6" w:space="0" w:color="auto"/>
            </w:tcBorders>
            <w:tcMar>
              <w:bottom w:w="43" w:type="dxa"/>
            </w:tcMar>
            <w:vAlign w:val="bottom"/>
          </w:tcPr>
          <w:p w:rsidR="007E6F25" w:rsidRPr="00C33804" w:rsidRDefault="007E6F25" w:rsidP="005705B2">
            <w:pPr>
              <w:jc w:val="center"/>
              <w:rPr>
                <w:rFonts w:ascii="Arial" w:hAnsi="Arial" w:cs="Arial"/>
                <w:sz w:val="13"/>
                <w:szCs w:val="13"/>
              </w:rPr>
            </w:pPr>
            <w:r>
              <w:rPr>
                <w:rFonts w:ascii="Arial" w:hAnsi="Arial" w:cs="Arial"/>
                <w:sz w:val="13"/>
                <w:szCs w:val="13"/>
              </w:rPr>
              <w:t>26</w:t>
            </w:r>
          </w:p>
        </w:tc>
        <w:tc>
          <w:tcPr>
            <w:tcW w:w="226" w:type="pct"/>
            <w:tcBorders>
              <w:bottom w:val="double" w:sz="6" w:space="0" w:color="auto"/>
            </w:tcBorders>
            <w:tcMar>
              <w:bottom w:w="43" w:type="dxa"/>
            </w:tcMar>
            <w:vAlign w:val="bottom"/>
          </w:tcPr>
          <w:p w:rsidR="007E6F25" w:rsidRPr="00C33804" w:rsidRDefault="007E6F25" w:rsidP="005705B2">
            <w:pPr>
              <w:jc w:val="center"/>
              <w:rPr>
                <w:rFonts w:ascii="Arial" w:hAnsi="Arial" w:cs="Arial"/>
                <w:sz w:val="13"/>
                <w:szCs w:val="13"/>
              </w:rPr>
            </w:pPr>
            <w:r>
              <w:rPr>
                <w:rFonts w:ascii="Arial" w:hAnsi="Arial" w:cs="Arial"/>
                <w:sz w:val="13"/>
                <w:szCs w:val="13"/>
              </w:rPr>
              <w:t>27</w:t>
            </w:r>
          </w:p>
        </w:tc>
        <w:tc>
          <w:tcPr>
            <w:tcW w:w="226" w:type="pct"/>
            <w:tcBorders>
              <w:bottom w:val="double" w:sz="6" w:space="0" w:color="auto"/>
            </w:tcBorders>
            <w:tcMar>
              <w:bottom w:w="43" w:type="dxa"/>
            </w:tcMar>
            <w:vAlign w:val="bottom"/>
          </w:tcPr>
          <w:p w:rsidR="007E6F25" w:rsidRPr="00C33804" w:rsidRDefault="007E6F25" w:rsidP="005705B2">
            <w:pPr>
              <w:jc w:val="center"/>
              <w:rPr>
                <w:rFonts w:ascii="Arial" w:hAnsi="Arial" w:cs="Arial"/>
                <w:sz w:val="13"/>
                <w:szCs w:val="13"/>
              </w:rPr>
            </w:pPr>
            <w:r>
              <w:rPr>
                <w:rFonts w:ascii="Arial" w:hAnsi="Arial" w:cs="Arial"/>
                <w:sz w:val="13"/>
                <w:szCs w:val="13"/>
              </w:rPr>
              <w:t>28</w:t>
            </w:r>
          </w:p>
        </w:tc>
        <w:tc>
          <w:tcPr>
            <w:tcW w:w="226" w:type="pct"/>
            <w:tcBorders>
              <w:bottom w:val="double" w:sz="6" w:space="0" w:color="auto"/>
            </w:tcBorders>
            <w:tcMar>
              <w:bottom w:w="43" w:type="dxa"/>
            </w:tcMar>
            <w:vAlign w:val="bottom"/>
          </w:tcPr>
          <w:p w:rsidR="007E6F25" w:rsidRPr="00C33804" w:rsidRDefault="007E6F25" w:rsidP="005705B2">
            <w:pPr>
              <w:jc w:val="center"/>
              <w:rPr>
                <w:rFonts w:ascii="Arial" w:hAnsi="Arial" w:cs="Arial"/>
                <w:sz w:val="13"/>
                <w:szCs w:val="13"/>
              </w:rPr>
            </w:pPr>
          </w:p>
        </w:tc>
        <w:tc>
          <w:tcPr>
            <w:tcW w:w="226" w:type="pct"/>
            <w:tcBorders>
              <w:bottom w:val="double" w:sz="6" w:space="0" w:color="auto"/>
            </w:tcBorders>
            <w:tcMar>
              <w:bottom w:w="43" w:type="dxa"/>
            </w:tcMar>
            <w:vAlign w:val="bottom"/>
          </w:tcPr>
          <w:p w:rsidR="007E6F25" w:rsidRPr="00C33804" w:rsidRDefault="007E6F25" w:rsidP="005705B2">
            <w:pPr>
              <w:jc w:val="center"/>
              <w:rPr>
                <w:rFonts w:ascii="Arial" w:hAnsi="Arial" w:cs="Arial"/>
                <w:sz w:val="13"/>
                <w:szCs w:val="13"/>
              </w:rPr>
            </w:pPr>
          </w:p>
        </w:tc>
        <w:tc>
          <w:tcPr>
            <w:tcW w:w="226" w:type="pct"/>
            <w:tcBorders>
              <w:bottom w:val="double" w:sz="6" w:space="0" w:color="auto"/>
              <w:right w:val="double" w:sz="6" w:space="0" w:color="auto"/>
            </w:tcBorders>
            <w:tcMar>
              <w:bottom w:w="43" w:type="dxa"/>
            </w:tcMar>
            <w:vAlign w:val="bottom"/>
          </w:tcPr>
          <w:p w:rsidR="007E6F25" w:rsidRPr="00C33804" w:rsidRDefault="007E6F25" w:rsidP="005705B2">
            <w:pPr>
              <w:jc w:val="center"/>
              <w:rPr>
                <w:rFonts w:ascii="Arial" w:hAnsi="Arial" w:cs="Arial"/>
                <w:sz w:val="13"/>
                <w:szCs w:val="13"/>
              </w:rPr>
            </w:pPr>
          </w:p>
        </w:tc>
        <w:tc>
          <w:tcPr>
            <w:tcW w:w="139" w:type="pct"/>
            <w:tcBorders>
              <w:top w:val="nil"/>
              <w:left w:val="double" w:sz="6" w:space="0" w:color="auto"/>
              <w:bottom w:val="nil"/>
              <w:right w:val="double" w:sz="6" w:space="0" w:color="auto"/>
            </w:tcBorders>
            <w:tcMar>
              <w:bottom w:w="43" w:type="dxa"/>
            </w:tcMar>
            <w:vAlign w:val="bottom"/>
          </w:tcPr>
          <w:p w:rsidR="007E6F25" w:rsidRPr="00C33804" w:rsidRDefault="007E6F25" w:rsidP="005705B2">
            <w:pPr>
              <w:tabs>
                <w:tab w:val="center" w:pos="5220"/>
                <w:tab w:val="right" w:pos="10440"/>
              </w:tabs>
              <w:jc w:val="center"/>
              <w:rPr>
                <w:rFonts w:ascii="Arial" w:hAnsi="Arial" w:cs="Arial"/>
                <w:sz w:val="13"/>
                <w:szCs w:val="13"/>
              </w:rPr>
            </w:pPr>
          </w:p>
        </w:tc>
        <w:tc>
          <w:tcPr>
            <w:tcW w:w="222" w:type="pct"/>
            <w:tcBorders>
              <w:left w:val="double" w:sz="6" w:space="0" w:color="auto"/>
              <w:bottom w:val="double" w:sz="6" w:space="0" w:color="auto"/>
              <w:right w:val="single" w:sz="4" w:space="0" w:color="000000" w:themeColor="text1"/>
            </w:tcBorders>
            <w:tcMar>
              <w:bottom w:w="43" w:type="dxa"/>
            </w:tcMar>
            <w:vAlign w:val="bottom"/>
          </w:tcPr>
          <w:p w:rsidR="007E6F25" w:rsidRPr="00C33804" w:rsidRDefault="007E6F25" w:rsidP="005705B2">
            <w:pPr>
              <w:jc w:val="center"/>
              <w:rPr>
                <w:rFonts w:ascii="Arial" w:hAnsi="Arial" w:cs="Arial"/>
                <w:sz w:val="13"/>
                <w:szCs w:val="13"/>
              </w:rPr>
            </w:pPr>
            <w:r>
              <w:rPr>
                <w:rFonts w:ascii="Arial" w:hAnsi="Arial" w:cs="Arial"/>
                <w:sz w:val="13"/>
                <w:szCs w:val="13"/>
              </w:rPr>
              <w:t>25</w:t>
            </w:r>
          </w:p>
        </w:tc>
        <w:tc>
          <w:tcPr>
            <w:tcW w:w="222" w:type="pct"/>
            <w:tcBorders>
              <w:top w:val="single" w:sz="4" w:space="0" w:color="000000" w:themeColor="text1"/>
              <w:left w:val="single" w:sz="4" w:space="0" w:color="000000" w:themeColor="text1"/>
              <w:bottom w:val="double" w:sz="6" w:space="0" w:color="auto"/>
              <w:right w:val="single" w:sz="4" w:space="0" w:color="000000" w:themeColor="text1"/>
            </w:tcBorders>
            <w:shd w:val="clear" w:color="auto" w:fill="auto"/>
            <w:tcMar>
              <w:bottom w:w="43" w:type="dxa"/>
            </w:tcMar>
            <w:vAlign w:val="bottom"/>
          </w:tcPr>
          <w:p w:rsidR="007E6F25" w:rsidRPr="00C33804" w:rsidRDefault="007E6F25" w:rsidP="005705B2">
            <w:pPr>
              <w:jc w:val="center"/>
              <w:rPr>
                <w:rFonts w:ascii="Arial" w:hAnsi="Arial" w:cs="Arial"/>
                <w:sz w:val="13"/>
                <w:szCs w:val="13"/>
              </w:rPr>
            </w:pPr>
            <w:r>
              <w:rPr>
                <w:rFonts w:ascii="Arial" w:hAnsi="Arial" w:cs="Arial"/>
                <w:sz w:val="13"/>
                <w:szCs w:val="13"/>
              </w:rPr>
              <w:t>26</w:t>
            </w:r>
          </w:p>
        </w:tc>
        <w:tc>
          <w:tcPr>
            <w:tcW w:w="223" w:type="pct"/>
            <w:tcBorders>
              <w:top w:val="single" w:sz="4" w:space="0" w:color="000000" w:themeColor="text1"/>
              <w:left w:val="single" w:sz="4" w:space="0" w:color="000000" w:themeColor="text1"/>
              <w:bottom w:val="double" w:sz="6" w:space="0" w:color="auto"/>
            </w:tcBorders>
            <w:shd w:val="clear" w:color="auto" w:fill="auto"/>
            <w:tcMar>
              <w:bottom w:w="43" w:type="dxa"/>
            </w:tcMar>
            <w:vAlign w:val="bottom"/>
          </w:tcPr>
          <w:p w:rsidR="007E6F25" w:rsidRPr="00C33804" w:rsidRDefault="007E6F25" w:rsidP="005705B2">
            <w:pPr>
              <w:jc w:val="center"/>
              <w:rPr>
                <w:rFonts w:ascii="Arial" w:hAnsi="Arial" w:cs="Arial"/>
                <w:sz w:val="13"/>
                <w:szCs w:val="13"/>
              </w:rPr>
            </w:pPr>
            <w:r>
              <w:rPr>
                <w:rFonts w:ascii="Arial" w:hAnsi="Arial" w:cs="Arial"/>
                <w:sz w:val="13"/>
                <w:szCs w:val="13"/>
              </w:rPr>
              <w:t>27</w:t>
            </w:r>
          </w:p>
        </w:tc>
        <w:tc>
          <w:tcPr>
            <w:tcW w:w="222" w:type="pct"/>
            <w:tcBorders>
              <w:top w:val="single" w:sz="4" w:space="0" w:color="000000" w:themeColor="text1"/>
              <w:bottom w:val="double" w:sz="6" w:space="0" w:color="auto"/>
            </w:tcBorders>
            <w:shd w:val="clear" w:color="auto" w:fill="auto"/>
            <w:tcMar>
              <w:bottom w:w="43" w:type="dxa"/>
            </w:tcMar>
            <w:vAlign w:val="bottom"/>
          </w:tcPr>
          <w:p w:rsidR="007E6F25" w:rsidRPr="00C33804" w:rsidRDefault="007E6F25" w:rsidP="005705B2">
            <w:pPr>
              <w:jc w:val="center"/>
              <w:rPr>
                <w:rFonts w:ascii="Arial" w:hAnsi="Arial" w:cs="Arial"/>
                <w:sz w:val="13"/>
                <w:szCs w:val="13"/>
              </w:rPr>
            </w:pPr>
            <w:r>
              <w:rPr>
                <w:rFonts w:ascii="Arial" w:hAnsi="Arial" w:cs="Arial"/>
                <w:sz w:val="13"/>
                <w:szCs w:val="13"/>
              </w:rPr>
              <w:t>28</w:t>
            </w:r>
          </w:p>
        </w:tc>
        <w:tc>
          <w:tcPr>
            <w:tcW w:w="223" w:type="pct"/>
            <w:tcBorders>
              <w:top w:val="single" w:sz="4" w:space="0" w:color="000000" w:themeColor="text1"/>
              <w:bottom w:val="double" w:sz="6" w:space="0" w:color="auto"/>
              <w:right w:val="double" w:sz="6" w:space="0" w:color="auto"/>
            </w:tcBorders>
            <w:shd w:val="clear" w:color="auto" w:fill="auto"/>
            <w:tcMar>
              <w:bottom w:w="43" w:type="dxa"/>
            </w:tcMar>
            <w:vAlign w:val="bottom"/>
          </w:tcPr>
          <w:p w:rsidR="007E6F25" w:rsidRPr="00C33804" w:rsidRDefault="007E6F25" w:rsidP="005705B2">
            <w:pPr>
              <w:jc w:val="center"/>
              <w:rPr>
                <w:rFonts w:ascii="Arial" w:hAnsi="Arial" w:cs="Arial"/>
                <w:sz w:val="13"/>
                <w:szCs w:val="13"/>
              </w:rPr>
            </w:pPr>
            <w:r>
              <w:rPr>
                <w:rFonts w:ascii="Arial" w:hAnsi="Arial" w:cs="Arial"/>
                <w:sz w:val="13"/>
                <w:szCs w:val="13"/>
              </w:rPr>
              <w:t>29</w:t>
            </w:r>
          </w:p>
        </w:tc>
        <w:tc>
          <w:tcPr>
            <w:tcW w:w="222" w:type="pct"/>
            <w:tcBorders>
              <w:top w:val="double" w:sz="6" w:space="0" w:color="auto"/>
              <w:left w:val="double" w:sz="6" w:space="0" w:color="auto"/>
              <w:bottom w:val="double" w:sz="6" w:space="0" w:color="auto"/>
              <w:right w:val="double" w:sz="6" w:space="0" w:color="auto"/>
            </w:tcBorders>
            <w:shd w:val="clear" w:color="auto" w:fill="auto"/>
            <w:tcMar>
              <w:bottom w:w="43" w:type="dxa"/>
            </w:tcMar>
            <w:vAlign w:val="bottom"/>
          </w:tcPr>
          <w:p w:rsidR="007E6F25" w:rsidRPr="004A406E" w:rsidRDefault="007E6F25" w:rsidP="005705B2">
            <w:pPr>
              <w:jc w:val="center"/>
              <w:rPr>
                <w:rFonts w:ascii="Arial" w:hAnsi="Arial" w:cs="Arial"/>
                <w:b/>
                <w:sz w:val="13"/>
                <w:szCs w:val="13"/>
              </w:rPr>
            </w:pPr>
            <w:r w:rsidRPr="004A406E">
              <w:rPr>
                <w:rFonts w:ascii="Arial" w:hAnsi="Arial" w:cs="Arial"/>
                <w:b/>
                <w:sz w:val="13"/>
                <w:szCs w:val="13"/>
              </w:rPr>
              <w:t>H</w:t>
            </w:r>
          </w:p>
          <w:p w:rsidR="007E6F25" w:rsidRPr="00C33804" w:rsidRDefault="007E6F25" w:rsidP="005705B2">
            <w:pPr>
              <w:jc w:val="center"/>
              <w:rPr>
                <w:rFonts w:ascii="Arial" w:hAnsi="Arial" w:cs="Arial"/>
                <w:sz w:val="13"/>
                <w:szCs w:val="13"/>
              </w:rPr>
            </w:pPr>
            <w:r>
              <w:rPr>
                <w:rFonts w:ascii="Arial" w:hAnsi="Arial" w:cs="Arial"/>
                <w:sz w:val="13"/>
                <w:szCs w:val="13"/>
              </w:rPr>
              <w:t>30</w:t>
            </w:r>
          </w:p>
        </w:tc>
        <w:tc>
          <w:tcPr>
            <w:tcW w:w="223" w:type="pct"/>
            <w:tcBorders>
              <w:left w:val="double" w:sz="6" w:space="0" w:color="auto"/>
              <w:bottom w:val="double" w:sz="6" w:space="0" w:color="auto"/>
              <w:right w:val="double" w:sz="6" w:space="0" w:color="auto"/>
            </w:tcBorders>
            <w:tcMar>
              <w:bottom w:w="43" w:type="dxa"/>
            </w:tcMar>
            <w:vAlign w:val="bottom"/>
          </w:tcPr>
          <w:p w:rsidR="007E6F25" w:rsidRPr="00C33804" w:rsidRDefault="007E6F25" w:rsidP="005705B2">
            <w:pPr>
              <w:jc w:val="center"/>
              <w:rPr>
                <w:rFonts w:ascii="Arial" w:hAnsi="Arial" w:cs="Arial"/>
                <w:sz w:val="13"/>
                <w:szCs w:val="13"/>
              </w:rPr>
            </w:pPr>
            <w:r>
              <w:rPr>
                <w:rFonts w:ascii="Arial" w:hAnsi="Arial" w:cs="Arial"/>
                <w:sz w:val="13"/>
                <w:szCs w:val="13"/>
              </w:rPr>
              <w:t>31</w:t>
            </w:r>
          </w:p>
        </w:tc>
      </w:tr>
      <w:tr w:rsidR="007E6F25" w:rsidRPr="00256B02" w:rsidTr="007E6F25">
        <w:trPr>
          <w:trHeight w:val="176"/>
        </w:trPr>
        <w:tc>
          <w:tcPr>
            <w:tcW w:w="1587"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7E6F25" w:rsidRPr="00256B02" w:rsidRDefault="007E6F25" w:rsidP="005705B2">
            <w:pPr>
              <w:tabs>
                <w:tab w:val="center" w:pos="5220"/>
                <w:tab w:val="right" w:pos="10440"/>
              </w:tabs>
              <w:jc w:val="center"/>
              <w:rPr>
                <w:rFonts w:ascii="Arial" w:hAnsi="Arial" w:cs="Arial"/>
                <w:b/>
                <w:sz w:val="13"/>
                <w:szCs w:val="13"/>
              </w:rPr>
            </w:pPr>
            <w:r w:rsidRPr="00256B02">
              <w:rPr>
                <w:rFonts w:ascii="Arial" w:hAnsi="Arial" w:cs="Arial"/>
                <w:b/>
                <w:sz w:val="13"/>
                <w:szCs w:val="13"/>
              </w:rPr>
              <w:t>APRIL – AVRIL</w:t>
            </w:r>
          </w:p>
        </w:tc>
        <w:tc>
          <w:tcPr>
            <w:tcW w:w="137" w:type="pct"/>
            <w:tcBorders>
              <w:top w:val="nil"/>
              <w:left w:val="double" w:sz="6" w:space="0" w:color="auto"/>
              <w:bottom w:val="nil"/>
              <w:right w:val="double" w:sz="6" w:space="0" w:color="auto"/>
            </w:tcBorders>
            <w:tcMar>
              <w:top w:w="43" w:type="dxa"/>
              <w:bottom w:w="43" w:type="dxa"/>
            </w:tcMar>
            <w:vAlign w:val="center"/>
          </w:tcPr>
          <w:p w:rsidR="007E6F25" w:rsidRPr="00256B02" w:rsidRDefault="007E6F25" w:rsidP="005705B2">
            <w:pPr>
              <w:tabs>
                <w:tab w:val="center" w:pos="5220"/>
                <w:tab w:val="right" w:pos="10440"/>
              </w:tabs>
              <w:jc w:val="center"/>
              <w:rPr>
                <w:rFonts w:ascii="Arial" w:hAnsi="Arial" w:cs="Arial"/>
                <w:b/>
                <w:sz w:val="13"/>
                <w:szCs w:val="13"/>
              </w:rPr>
            </w:pPr>
          </w:p>
        </w:tc>
        <w:tc>
          <w:tcPr>
            <w:tcW w:w="158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7E6F25" w:rsidRPr="00256B02" w:rsidRDefault="007E6F25" w:rsidP="005705B2">
            <w:pPr>
              <w:tabs>
                <w:tab w:val="center" w:pos="5220"/>
                <w:tab w:val="right" w:pos="10440"/>
              </w:tabs>
              <w:jc w:val="center"/>
              <w:rPr>
                <w:rFonts w:ascii="Arial" w:hAnsi="Arial" w:cs="Arial"/>
                <w:b/>
                <w:sz w:val="13"/>
                <w:szCs w:val="13"/>
              </w:rPr>
            </w:pPr>
            <w:r w:rsidRPr="00256B02">
              <w:rPr>
                <w:rFonts w:ascii="Arial" w:hAnsi="Arial" w:cs="Arial"/>
                <w:b/>
                <w:sz w:val="13"/>
                <w:szCs w:val="13"/>
              </w:rPr>
              <w:t>MAY – MAI</w:t>
            </w:r>
          </w:p>
        </w:tc>
        <w:tc>
          <w:tcPr>
            <w:tcW w:w="139" w:type="pct"/>
            <w:tcBorders>
              <w:top w:val="nil"/>
              <w:left w:val="double" w:sz="6" w:space="0" w:color="auto"/>
              <w:bottom w:val="nil"/>
              <w:right w:val="double" w:sz="6" w:space="0" w:color="auto"/>
            </w:tcBorders>
            <w:tcMar>
              <w:top w:w="43" w:type="dxa"/>
              <w:bottom w:w="43" w:type="dxa"/>
            </w:tcMar>
            <w:vAlign w:val="center"/>
          </w:tcPr>
          <w:p w:rsidR="007E6F25" w:rsidRPr="00256B02" w:rsidRDefault="007E6F25" w:rsidP="005705B2">
            <w:pPr>
              <w:tabs>
                <w:tab w:val="center" w:pos="5220"/>
                <w:tab w:val="right" w:pos="10440"/>
              </w:tabs>
              <w:jc w:val="center"/>
              <w:rPr>
                <w:rFonts w:ascii="Arial" w:hAnsi="Arial" w:cs="Arial"/>
                <w:b/>
                <w:sz w:val="13"/>
                <w:szCs w:val="13"/>
              </w:rPr>
            </w:pPr>
          </w:p>
        </w:tc>
        <w:tc>
          <w:tcPr>
            <w:tcW w:w="1556"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7E6F25" w:rsidRPr="00256B02" w:rsidRDefault="007E6F25" w:rsidP="005705B2">
            <w:pPr>
              <w:tabs>
                <w:tab w:val="center" w:pos="5220"/>
                <w:tab w:val="right" w:pos="10440"/>
              </w:tabs>
              <w:jc w:val="center"/>
              <w:rPr>
                <w:rFonts w:ascii="Arial" w:hAnsi="Arial" w:cs="Arial"/>
                <w:b/>
                <w:sz w:val="13"/>
                <w:szCs w:val="13"/>
              </w:rPr>
            </w:pPr>
            <w:r w:rsidRPr="00256B02">
              <w:rPr>
                <w:rFonts w:ascii="Arial" w:hAnsi="Arial" w:cs="Arial"/>
                <w:b/>
                <w:sz w:val="13"/>
                <w:szCs w:val="13"/>
              </w:rPr>
              <w:t>JUNE – JUIN</w:t>
            </w:r>
          </w:p>
        </w:tc>
      </w:tr>
      <w:tr w:rsidR="007E6F25" w:rsidRPr="00256B02" w:rsidTr="005705B2">
        <w:trPr>
          <w:trHeight w:val="216"/>
        </w:trPr>
        <w:tc>
          <w:tcPr>
            <w:tcW w:w="226" w:type="pct"/>
            <w:tcBorders>
              <w:top w:val="double" w:sz="6" w:space="0" w:color="auto"/>
              <w:left w:val="double" w:sz="6" w:space="0" w:color="auto"/>
            </w:tcBorders>
            <w:tcMar>
              <w:bottom w:w="43" w:type="dxa"/>
            </w:tcMar>
            <w:vAlign w:val="center"/>
          </w:tcPr>
          <w:p w:rsidR="007E6F25" w:rsidRPr="00256B02" w:rsidRDefault="007E6F25" w:rsidP="005705B2">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7E6F25" w:rsidRPr="00256B02" w:rsidRDefault="007E6F25" w:rsidP="005705B2">
            <w:pPr>
              <w:tabs>
                <w:tab w:val="center" w:pos="5220"/>
                <w:tab w:val="right" w:pos="10440"/>
              </w:tabs>
              <w:jc w:val="center"/>
              <w:rPr>
                <w:rFonts w:ascii="Arial" w:hAnsi="Arial" w:cs="Arial"/>
                <w:b/>
                <w:sz w:val="13"/>
                <w:szCs w:val="13"/>
              </w:rPr>
            </w:pPr>
            <w:r w:rsidRPr="00256B02">
              <w:rPr>
                <w:rFonts w:ascii="Arial" w:hAnsi="Arial" w:cs="Arial"/>
                <w:b/>
                <w:sz w:val="13"/>
                <w:szCs w:val="13"/>
              </w:rPr>
              <w:t>D</w:t>
            </w:r>
          </w:p>
        </w:tc>
        <w:tc>
          <w:tcPr>
            <w:tcW w:w="226" w:type="pct"/>
            <w:tcBorders>
              <w:top w:val="double" w:sz="6" w:space="0" w:color="auto"/>
              <w:bottom w:val="double" w:sz="4" w:space="0" w:color="auto"/>
            </w:tcBorders>
            <w:tcMar>
              <w:bottom w:w="43" w:type="dxa"/>
            </w:tcMar>
            <w:vAlign w:val="center"/>
          </w:tcPr>
          <w:p w:rsidR="007E6F25" w:rsidRPr="00256B02" w:rsidRDefault="007E6F25" w:rsidP="005705B2">
            <w:pPr>
              <w:tabs>
                <w:tab w:val="center" w:pos="5220"/>
                <w:tab w:val="right" w:pos="10440"/>
              </w:tabs>
              <w:jc w:val="center"/>
              <w:rPr>
                <w:rFonts w:ascii="Arial" w:hAnsi="Arial" w:cs="Arial"/>
                <w:b/>
                <w:sz w:val="13"/>
                <w:szCs w:val="13"/>
              </w:rPr>
            </w:pPr>
            <w:r w:rsidRPr="00256B02">
              <w:rPr>
                <w:rFonts w:ascii="Arial" w:hAnsi="Arial" w:cs="Arial"/>
                <w:b/>
                <w:sz w:val="13"/>
                <w:szCs w:val="13"/>
              </w:rPr>
              <w:t>M</w:t>
            </w:r>
          </w:p>
          <w:p w:rsidR="007E6F25" w:rsidRPr="00256B02" w:rsidRDefault="007E6F25" w:rsidP="005705B2">
            <w:pPr>
              <w:tabs>
                <w:tab w:val="center" w:pos="5220"/>
                <w:tab w:val="right" w:pos="10440"/>
              </w:tabs>
              <w:jc w:val="center"/>
              <w:rPr>
                <w:rFonts w:ascii="Arial" w:hAnsi="Arial" w:cs="Arial"/>
                <w:b/>
                <w:sz w:val="13"/>
                <w:szCs w:val="13"/>
              </w:rPr>
            </w:pPr>
            <w:r w:rsidRPr="00256B02">
              <w:rPr>
                <w:rFonts w:ascii="Arial" w:hAnsi="Arial" w:cs="Arial"/>
                <w:b/>
                <w:sz w:val="13"/>
                <w:szCs w:val="13"/>
              </w:rPr>
              <w:t>L</w:t>
            </w:r>
          </w:p>
        </w:tc>
        <w:tc>
          <w:tcPr>
            <w:tcW w:w="227" w:type="pct"/>
            <w:tcBorders>
              <w:top w:val="double" w:sz="6" w:space="0" w:color="auto"/>
            </w:tcBorders>
            <w:tcMar>
              <w:bottom w:w="43" w:type="dxa"/>
            </w:tcMar>
            <w:vAlign w:val="center"/>
          </w:tcPr>
          <w:p w:rsidR="007E6F25" w:rsidRPr="00256B02" w:rsidRDefault="007E6F25" w:rsidP="005705B2">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7E6F25" w:rsidRPr="00256B02" w:rsidRDefault="007E6F25" w:rsidP="005705B2">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6" w:type="pct"/>
            <w:tcBorders>
              <w:top w:val="double" w:sz="6" w:space="0" w:color="auto"/>
            </w:tcBorders>
            <w:tcMar>
              <w:bottom w:w="43" w:type="dxa"/>
            </w:tcMar>
            <w:vAlign w:val="center"/>
          </w:tcPr>
          <w:p w:rsidR="007E6F25" w:rsidRPr="00256B02" w:rsidRDefault="007E6F25" w:rsidP="005705B2">
            <w:pPr>
              <w:tabs>
                <w:tab w:val="center" w:pos="5220"/>
                <w:tab w:val="right" w:pos="10440"/>
              </w:tabs>
              <w:jc w:val="center"/>
              <w:rPr>
                <w:rFonts w:ascii="Arial" w:hAnsi="Arial" w:cs="Arial"/>
                <w:b/>
                <w:sz w:val="13"/>
                <w:szCs w:val="13"/>
              </w:rPr>
            </w:pPr>
            <w:r w:rsidRPr="00256B02">
              <w:rPr>
                <w:rFonts w:ascii="Arial" w:hAnsi="Arial" w:cs="Arial"/>
                <w:b/>
                <w:sz w:val="13"/>
                <w:szCs w:val="13"/>
              </w:rPr>
              <w:t>W</w:t>
            </w:r>
          </w:p>
          <w:p w:rsidR="007E6F25" w:rsidRPr="00256B02" w:rsidRDefault="007E6F25" w:rsidP="005705B2">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7" w:type="pct"/>
            <w:tcBorders>
              <w:top w:val="double" w:sz="6" w:space="0" w:color="auto"/>
            </w:tcBorders>
            <w:tcMar>
              <w:bottom w:w="43" w:type="dxa"/>
            </w:tcMar>
            <w:vAlign w:val="center"/>
          </w:tcPr>
          <w:p w:rsidR="007E6F25" w:rsidRPr="00256B02" w:rsidRDefault="007E6F25" w:rsidP="005705B2">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7E6F25" w:rsidRPr="00256B02" w:rsidRDefault="007E6F25" w:rsidP="005705B2">
            <w:pPr>
              <w:tabs>
                <w:tab w:val="center" w:pos="5220"/>
                <w:tab w:val="right" w:pos="10440"/>
              </w:tabs>
              <w:jc w:val="center"/>
              <w:rPr>
                <w:rFonts w:ascii="Arial" w:hAnsi="Arial" w:cs="Arial"/>
                <w:b/>
                <w:sz w:val="13"/>
                <w:szCs w:val="13"/>
              </w:rPr>
            </w:pPr>
            <w:r w:rsidRPr="00256B02">
              <w:rPr>
                <w:rFonts w:ascii="Arial" w:hAnsi="Arial" w:cs="Arial"/>
                <w:b/>
                <w:sz w:val="13"/>
                <w:szCs w:val="13"/>
              </w:rPr>
              <w:t>J</w:t>
            </w:r>
          </w:p>
        </w:tc>
        <w:tc>
          <w:tcPr>
            <w:tcW w:w="226" w:type="pct"/>
            <w:tcBorders>
              <w:top w:val="double" w:sz="6" w:space="0" w:color="auto"/>
              <w:bottom w:val="single" w:sz="4" w:space="0" w:color="auto"/>
            </w:tcBorders>
            <w:tcMar>
              <w:bottom w:w="43" w:type="dxa"/>
            </w:tcMar>
            <w:vAlign w:val="center"/>
          </w:tcPr>
          <w:p w:rsidR="007E6F25" w:rsidRPr="00256B02" w:rsidRDefault="007E6F25" w:rsidP="005705B2">
            <w:pPr>
              <w:tabs>
                <w:tab w:val="center" w:pos="5220"/>
                <w:tab w:val="right" w:pos="10440"/>
              </w:tabs>
              <w:jc w:val="center"/>
              <w:rPr>
                <w:rFonts w:ascii="Arial" w:hAnsi="Arial" w:cs="Arial"/>
                <w:b/>
                <w:sz w:val="13"/>
                <w:szCs w:val="13"/>
              </w:rPr>
            </w:pPr>
            <w:r w:rsidRPr="00256B02">
              <w:rPr>
                <w:rFonts w:ascii="Arial" w:hAnsi="Arial" w:cs="Arial"/>
                <w:b/>
                <w:sz w:val="13"/>
                <w:szCs w:val="13"/>
              </w:rPr>
              <w:t>F</w:t>
            </w:r>
          </w:p>
          <w:p w:rsidR="007E6F25" w:rsidRPr="00256B02" w:rsidRDefault="007E6F25" w:rsidP="005705B2">
            <w:pPr>
              <w:tabs>
                <w:tab w:val="center" w:pos="5220"/>
                <w:tab w:val="right" w:pos="10440"/>
              </w:tabs>
              <w:jc w:val="center"/>
              <w:rPr>
                <w:rFonts w:ascii="Arial" w:hAnsi="Arial" w:cs="Arial"/>
                <w:b/>
                <w:sz w:val="13"/>
                <w:szCs w:val="13"/>
              </w:rPr>
            </w:pPr>
            <w:r w:rsidRPr="00256B02">
              <w:rPr>
                <w:rFonts w:ascii="Arial" w:hAnsi="Arial" w:cs="Arial"/>
                <w:b/>
                <w:sz w:val="13"/>
                <w:szCs w:val="13"/>
              </w:rPr>
              <w:t>V</w:t>
            </w:r>
          </w:p>
        </w:tc>
        <w:tc>
          <w:tcPr>
            <w:tcW w:w="228" w:type="pct"/>
            <w:tcBorders>
              <w:top w:val="double" w:sz="6" w:space="0" w:color="auto"/>
              <w:right w:val="double" w:sz="6" w:space="0" w:color="auto"/>
            </w:tcBorders>
            <w:tcMar>
              <w:bottom w:w="43" w:type="dxa"/>
            </w:tcMar>
            <w:vAlign w:val="center"/>
          </w:tcPr>
          <w:p w:rsidR="007E6F25" w:rsidRPr="00256B02" w:rsidRDefault="007E6F25" w:rsidP="005705B2">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7E6F25" w:rsidRPr="00256B02" w:rsidRDefault="007E6F25" w:rsidP="005705B2">
            <w:pPr>
              <w:tabs>
                <w:tab w:val="center" w:pos="5220"/>
                <w:tab w:val="right" w:pos="10440"/>
              </w:tabs>
              <w:jc w:val="center"/>
              <w:rPr>
                <w:rFonts w:ascii="Arial" w:hAnsi="Arial" w:cs="Arial"/>
                <w:b/>
                <w:sz w:val="13"/>
                <w:szCs w:val="13"/>
              </w:rPr>
            </w:pPr>
            <w:r w:rsidRPr="00256B02">
              <w:rPr>
                <w:rFonts w:ascii="Arial" w:hAnsi="Arial" w:cs="Arial"/>
                <w:b/>
                <w:sz w:val="13"/>
                <w:szCs w:val="13"/>
              </w:rPr>
              <w:t>S</w:t>
            </w:r>
          </w:p>
        </w:tc>
        <w:tc>
          <w:tcPr>
            <w:tcW w:w="137" w:type="pct"/>
            <w:tcBorders>
              <w:top w:val="nil"/>
              <w:left w:val="double" w:sz="6" w:space="0" w:color="auto"/>
              <w:bottom w:val="nil"/>
              <w:right w:val="double" w:sz="6" w:space="0" w:color="auto"/>
            </w:tcBorders>
            <w:tcMar>
              <w:bottom w:w="43" w:type="dxa"/>
            </w:tcMar>
            <w:vAlign w:val="center"/>
          </w:tcPr>
          <w:p w:rsidR="007E6F25" w:rsidRPr="00256B02" w:rsidRDefault="007E6F25" w:rsidP="005705B2">
            <w:pPr>
              <w:tabs>
                <w:tab w:val="center" w:pos="5220"/>
                <w:tab w:val="right" w:pos="10440"/>
              </w:tabs>
              <w:jc w:val="center"/>
              <w:rPr>
                <w:rFonts w:ascii="Arial" w:hAnsi="Arial" w:cs="Arial"/>
                <w:b/>
                <w:sz w:val="13"/>
                <w:szCs w:val="13"/>
              </w:rPr>
            </w:pPr>
          </w:p>
        </w:tc>
        <w:tc>
          <w:tcPr>
            <w:tcW w:w="225" w:type="pct"/>
            <w:tcBorders>
              <w:top w:val="double" w:sz="6" w:space="0" w:color="auto"/>
              <w:left w:val="double" w:sz="6" w:space="0" w:color="auto"/>
            </w:tcBorders>
            <w:tcMar>
              <w:bottom w:w="43" w:type="dxa"/>
            </w:tcMar>
            <w:vAlign w:val="center"/>
          </w:tcPr>
          <w:p w:rsidR="007E6F25" w:rsidRPr="00256B02" w:rsidRDefault="007E6F25" w:rsidP="005705B2">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7E6F25" w:rsidRPr="00256B02" w:rsidRDefault="007E6F25" w:rsidP="005705B2">
            <w:pPr>
              <w:tabs>
                <w:tab w:val="center" w:pos="5220"/>
                <w:tab w:val="right" w:pos="10440"/>
              </w:tabs>
              <w:jc w:val="center"/>
              <w:rPr>
                <w:rFonts w:ascii="Arial" w:hAnsi="Arial" w:cs="Arial"/>
                <w:b/>
                <w:sz w:val="13"/>
                <w:szCs w:val="13"/>
              </w:rPr>
            </w:pPr>
            <w:r w:rsidRPr="00256B02">
              <w:rPr>
                <w:rFonts w:ascii="Arial" w:hAnsi="Arial" w:cs="Arial"/>
                <w:b/>
                <w:sz w:val="13"/>
                <w:szCs w:val="13"/>
              </w:rPr>
              <w:t>D</w:t>
            </w:r>
          </w:p>
        </w:tc>
        <w:tc>
          <w:tcPr>
            <w:tcW w:w="226" w:type="pct"/>
            <w:tcBorders>
              <w:top w:val="double" w:sz="6" w:space="0" w:color="auto"/>
            </w:tcBorders>
            <w:tcMar>
              <w:bottom w:w="43" w:type="dxa"/>
            </w:tcMar>
            <w:vAlign w:val="center"/>
          </w:tcPr>
          <w:p w:rsidR="007E6F25" w:rsidRPr="00256B02" w:rsidRDefault="007E6F25" w:rsidP="005705B2">
            <w:pPr>
              <w:tabs>
                <w:tab w:val="center" w:pos="5220"/>
                <w:tab w:val="right" w:pos="10440"/>
              </w:tabs>
              <w:jc w:val="center"/>
              <w:rPr>
                <w:rFonts w:ascii="Arial" w:hAnsi="Arial" w:cs="Arial"/>
                <w:b/>
                <w:sz w:val="13"/>
                <w:szCs w:val="13"/>
              </w:rPr>
            </w:pPr>
            <w:r w:rsidRPr="00256B02">
              <w:rPr>
                <w:rFonts w:ascii="Arial" w:hAnsi="Arial" w:cs="Arial"/>
                <w:b/>
                <w:sz w:val="13"/>
                <w:szCs w:val="13"/>
              </w:rPr>
              <w:t>M</w:t>
            </w:r>
          </w:p>
          <w:p w:rsidR="007E6F25" w:rsidRPr="00256B02" w:rsidRDefault="007E6F25" w:rsidP="005705B2">
            <w:pPr>
              <w:tabs>
                <w:tab w:val="center" w:pos="5220"/>
                <w:tab w:val="right" w:pos="10440"/>
              </w:tabs>
              <w:jc w:val="center"/>
              <w:rPr>
                <w:rFonts w:ascii="Arial" w:hAnsi="Arial" w:cs="Arial"/>
                <w:b/>
                <w:sz w:val="13"/>
                <w:szCs w:val="13"/>
              </w:rPr>
            </w:pPr>
            <w:r w:rsidRPr="00256B02">
              <w:rPr>
                <w:rFonts w:ascii="Arial" w:hAnsi="Arial" w:cs="Arial"/>
                <w:b/>
                <w:sz w:val="13"/>
                <w:szCs w:val="13"/>
              </w:rPr>
              <w:t>L</w:t>
            </w:r>
          </w:p>
        </w:tc>
        <w:tc>
          <w:tcPr>
            <w:tcW w:w="226" w:type="pct"/>
            <w:tcBorders>
              <w:top w:val="double" w:sz="6" w:space="0" w:color="auto"/>
            </w:tcBorders>
            <w:tcMar>
              <w:bottom w:w="43" w:type="dxa"/>
            </w:tcMar>
            <w:vAlign w:val="center"/>
          </w:tcPr>
          <w:p w:rsidR="007E6F25" w:rsidRPr="00256B02" w:rsidRDefault="007E6F25" w:rsidP="005705B2">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7E6F25" w:rsidRPr="00256B02" w:rsidRDefault="007E6F25" w:rsidP="005705B2">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6" w:type="pct"/>
            <w:tcBorders>
              <w:top w:val="double" w:sz="6" w:space="0" w:color="auto"/>
            </w:tcBorders>
            <w:tcMar>
              <w:bottom w:w="43" w:type="dxa"/>
            </w:tcMar>
            <w:vAlign w:val="center"/>
          </w:tcPr>
          <w:p w:rsidR="007E6F25" w:rsidRPr="00256B02" w:rsidRDefault="007E6F25" w:rsidP="005705B2">
            <w:pPr>
              <w:tabs>
                <w:tab w:val="center" w:pos="5220"/>
                <w:tab w:val="right" w:pos="10440"/>
              </w:tabs>
              <w:jc w:val="center"/>
              <w:rPr>
                <w:rFonts w:ascii="Arial" w:hAnsi="Arial" w:cs="Arial"/>
                <w:b/>
                <w:sz w:val="13"/>
                <w:szCs w:val="13"/>
              </w:rPr>
            </w:pPr>
            <w:r w:rsidRPr="00256B02">
              <w:rPr>
                <w:rFonts w:ascii="Arial" w:hAnsi="Arial" w:cs="Arial"/>
                <w:b/>
                <w:sz w:val="13"/>
                <w:szCs w:val="13"/>
              </w:rPr>
              <w:t>W</w:t>
            </w:r>
          </w:p>
          <w:p w:rsidR="007E6F25" w:rsidRPr="00256B02" w:rsidRDefault="007E6F25" w:rsidP="005705B2">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6" w:type="pct"/>
            <w:tcBorders>
              <w:top w:val="double" w:sz="6" w:space="0" w:color="auto"/>
            </w:tcBorders>
            <w:tcMar>
              <w:bottom w:w="43" w:type="dxa"/>
            </w:tcMar>
            <w:vAlign w:val="center"/>
          </w:tcPr>
          <w:p w:rsidR="007E6F25" w:rsidRPr="00256B02" w:rsidRDefault="007E6F25" w:rsidP="005705B2">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7E6F25" w:rsidRPr="00256B02" w:rsidRDefault="007E6F25" w:rsidP="005705B2">
            <w:pPr>
              <w:tabs>
                <w:tab w:val="center" w:pos="5220"/>
                <w:tab w:val="right" w:pos="10440"/>
              </w:tabs>
              <w:jc w:val="center"/>
              <w:rPr>
                <w:rFonts w:ascii="Arial" w:hAnsi="Arial" w:cs="Arial"/>
                <w:b/>
                <w:sz w:val="13"/>
                <w:szCs w:val="13"/>
              </w:rPr>
            </w:pPr>
            <w:r w:rsidRPr="00256B02">
              <w:rPr>
                <w:rFonts w:ascii="Arial" w:hAnsi="Arial" w:cs="Arial"/>
                <w:b/>
                <w:sz w:val="13"/>
                <w:szCs w:val="13"/>
              </w:rPr>
              <w:t>J</w:t>
            </w:r>
          </w:p>
        </w:tc>
        <w:tc>
          <w:tcPr>
            <w:tcW w:w="226" w:type="pct"/>
            <w:tcBorders>
              <w:top w:val="double" w:sz="6" w:space="0" w:color="auto"/>
            </w:tcBorders>
            <w:tcMar>
              <w:bottom w:w="43" w:type="dxa"/>
            </w:tcMar>
            <w:vAlign w:val="center"/>
          </w:tcPr>
          <w:p w:rsidR="007E6F25" w:rsidRPr="00256B02" w:rsidRDefault="007E6F25" w:rsidP="005705B2">
            <w:pPr>
              <w:tabs>
                <w:tab w:val="center" w:pos="5220"/>
                <w:tab w:val="right" w:pos="10440"/>
              </w:tabs>
              <w:jc w:val="center"/>
              <w:rPr>
                <w:rFonts w:ascii="Arial" w:hAnsi="Arial" w:cs="Arial"/>
                <w:b/>
                <w:sz w:val="13"/>
                <w:szCs w:val="13"/>
              </w:rPr>
            </w:pPr>
            <w:r w:rsidRPr="00256B02">
              <w:rPr>
                <w:rFonts w:ascii="Arial" w:hAnsi="Arial" w:cs="Arial"/>
                <w:b/>
                <w:sz w:val="13"/>
                <w:szCs w:val="13"/>
              </w:rPr>
              <w:t>F</w:t>
            </w:r>
          </w:p>
          <w:p w:rsidR="007E6F25" w:rsidRPr="00256B02" w:rsidRDefault="007E6F25" w:rsidP="005705B2">
            <w:pPr>
              <w:tabs>
                <w:tab w:val="center" w:pos="5220"/>
                <w:tab w:val="right" w:pos="10440"/>
              </w:tabs>
              <w:jc w:val="center"/>
              <w:rPr>
                <w:rFonts w:ascii="Arial" w:hAnsi="Arial" w:cs="Arial"/>
                <w:b/>
                <w:sz w:val="13"/>
                <w:szCs w:val="13"/>
              </w:rPr>
            </w:pPr>
            <w:r w:rsidRPr="00256B02">
              <w:rPr>
                <w:rFonts w:ascii="Arial" w:hAnsi="Arial" w:cs="Arial"/>
                <w:b/>
                <w:sz w:val="13"/>
                <w:szCs w:val="13"/>
              </w:rPr>
              <w:t>V</w:t>
            </w:r>
          </w:p>
        </w:tc>
        <w:tc>
          <w:tcPr>
            <w:tcW w:w="226" w:type="pct"/>
            <w:tcBorders>
              <w:top w:val="double" w:sz="6" w:space="0" w:color="auto"/>
              <w:right w:val="double" w:sz="6" w:space="0" w:color="auto"/>
            </w:tcBorders>
            <w:tcMar>
              <w:bottom w:w="43" w:type="dxa"/>
            </w:tcMar>
            <w:vAlign w:val="center"/>
          </w:tcPr>
          <w:p w:rsidR="007E6F25" w:rsidRPr="00256B02" w:rsidRDefault="007E6F25" w:rsidP="005705B2">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7E6F25" w:rsidRPr="00256B02" w:rsidRDefault="007E6F25" w:rsidP="005705B2">
            <w:pPr>
              <w:tabs>
                <w:tab w:val="center" w:pos="5220"/>
                <w:tab w:val="right" w:pos="10440"/>
              </w:tabs>
              <w:jc w:val="center"/>
              <w:rPr>
                <w:rFonts w:ascii="Arial" w:hAnsi="Arial" w:cs="Arial"/>
                <w:b/>
                <w:sz w:val="13"/>
                <w:szCs w:val="13"/>
              </w:rPr>
            </w:pPr>
            <w:r w:rsidRPr="00256B02">
              <w:rPr>
                <w:rFonts w:ascii="Arial" w:hAnsi="Arial" w:cs="Arial"/>
                <w:b/>
                <w:sz w:val="13"/>
                <w:szCs w:val="13"/>
              </w:rPr>
              <w:t>S</w:t>
            </w:r>
          </w:p>
        </w:tc>
        <w:tc>
          <w:tcPr>
            <w:tcW w:w="139" w:type="pct"/>
            <w:tcBorders>
              <w:top w:val="nil"/>
              <w:left w:val="double" w:sz="6" w:space="0" w:color="auto"/>
              <w:bottom w:val="nil"/>
              <w:right w:val="double" w:sz="6" w:space="0" w:color="auto"/>
            </w:tcBorders>
            <w:tcMar>
              <w:bottom w:w="43" w:type="dxa"/>
            </w:tcMar>
            <w:vAlign w:val="center"/>
          </w:tcPr>
          <w:p w:rsidR="007E6F25" w:rsidRPr="00256B02" w:rsidRDefault="007E6F25" w:rsidP="005705B2">
            <w:pPr>
              <w:tabs>
                <w:tab w:val="center" w:pos="5220"/>
                <w:tab w:val="right" w:pos="10440"/>
              </w:tabs>
              <w:jc w:val="center"/>
              <w:rPr>
                <w:rFonts w:ascii="Arial" w:hAnsi="Arial" w:cs="Arial"/>
                <w:b/>
                <w:sz w:val="13"/>
                <w:szCs w:val="13"/>
              </w:rPr>
            </w:pPr>
          </w:p>
        </w:tc>
        <w:tc>
          <w:tcPr>
            <w:tcW w:w="222" w:type="pct"/>
            <w:tcBorders>
              <w:top w:val="double" w:sz="6" w:space="0" w:color="auto"/>
              <w:left w:val="double" w:sz="6" w:space="0" w:color="auto"/>
            </w:tcBorders>
            <w:tcMar>
              <w:bottom w:w="43" w:type="dxa"/>
            </w:tcMar>
            <w:vAlign w:val="center"/>
          </w:tcPr>
          <w:p w:rsidR="007E6F25" w:rsidRPr="00256B02" w:rsidRDefault="007E6F25" w:rsidP="005705B2">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7E6F25" w:rsidRPr="00256B02" w:rsidRDefault="007E6F25" w:rsidP="005705B2">
            <w:pPr>
              <w:tabs>
                <w:tab w:val="center" w:pos="5220"/>
                <w:tab w:val="right" w:pos="10440"/>
              </w:tabs>
              <w:jc w:val="center"/>
              <w:rPr>
                <w:rFonts w:ascii="Arial" w:hAnsi="Arial" w:cs="Arial"/>
                <w:b/>
                <w:sz w:val="13"/>
                <w:szCs w:val="13"/>
              </w:rPr>
            </w:pPr>
            <w:r w:rsidRPr="00256B02">
              <w:rPr>
                <w:rFonts w:ascii="Arial" w:hAnsi="Arial" w:cs="Arial"/>
                <w:b/>
                <w:sz w:val="13"/>
                <w:szCs w:val="13"/>
              </w:rPr>
              <w:t>D</w:t>
            </w:r>
          </w:p>
        </w:tc>
        <w:tc>
          <w:tcPr>
            <w:tcW w:w="222" w:type="pct"/>
            <w:tcBorders>
              <w:top w:val="double" w:sz="6" w:space="0" w:color="auto"/>
            </w:tcBorders>
            <w:shd w:val="clear" w:color="auto" w:fill="FFFFFF" w:themeFill="background1"/>
            <w:tcMar>
              <w:bottom w:w="43" w:type="dxa"/>
            </w:tcMar>
            <w:vAlign w:val="center"/>
          </w:tcPr>
          <w:p w:rsidR="007E6F25" w:rsidRPr="00256B02" w:rsidRDefault="007E6F25" w:rsidP="005705B2">
            <w:pPr>
              <w:tabs>
                <w:tab w:val="center" w:pos="5220"/>
                <w:tab w:val="right" w:pos="10440"/>
              </w:tabs>
              <w:jc w:val="center"/>
              <w:rPr>
                <w:rFonts w:ascii="Arial" w:hAnsi="Arial" w:cs="Arial"/>
                <w:b/>
                <w:sz w:val="13"/>
                <w:szCs w:val="13"/>
              </w:rPr>
            </w:pPr>
            <w:r w:rsidRPr="00256B02">
              <w:rPr>
                <w:rFonts w:ascii="Arial" w:hAnsi="Arial" w:cs="Arial"/>
                <w:b/>
                <w:sz w:val="13"/>
                <w:szCs w:val="13"/>
              </w:rPr>
              <w:t>M</w:t>
            </w:r>
          </w:p>
          <w:p w:rsidR="007E6F25" w:rsidRPr="00256B02" w:rsidRDefault="007E6F25" w:rsidP="005705B2">
            <w:pPr>
              <w:tabs>
                <w:tab w:val="center" w:pos="5220"/>
                <w:tab w:val="right" w:pos="10440"/>
              </w:tabs>
              <w:jc w:val="center"/>
              <w:rPr>
                <w:rFonts w:ascii="Arial" w:hAnsi="Arial" w:cs="Arial"/>
                <w:b/>
                <w:sz w:val="13"/>
                <w:szCs w:val="13"/>
              </w:rPr>
            </w:pPr>
            <w:r w:rsidRPr="00256B02">
              <w:rPr>
                <w:rFonts w:ascii="Arial" w:hAnsi="Arial" w:cs="Arial"/>
                <w:b/>
                <w:sz w:val="13"/>
                <w:szCs w:val="13"/>
              </w:rPr>
              <w:t>L</w:t>
            </w:r>
          </w:p>
        </w:tc>
        <w:tc>
          <w:tcPr>
            <w:tcW w:w="223" w:type="pct"/>
            <w:tcBorders>
              <w:top w:val="double" w:sz="6" w:space="0" w:color="auto"/>
            </w:tcBorders>
            <w:shd w:val="clear" w:color="auto" w:fill="FFFFFF" w:themeFill="background1"/>
            <w:tcMar>
              <w:bottom w:w="43" w:type="dxa"/>
            </w:tcMar>
            <w:vAlign w:val="center"/>
          </w:tcPr>
          <w:p w:rsidR="007E6F25" w:rsidRPr="00256B02" w:rsidRDefault="007E6F25" w:rsidP="005705B2">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7E6F25" w:rsidRPr="00256B02" w:rsidRDefault="007E6F25" w:rsidP="005705B2">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2" w:type="pct"/>
            <w:tcBorders>
              <w:top w:val="double" w:sz="6" w:space="0" w:color="auto"/>
            </w:tcBorders>
            <w:shd w:val="clear" w:color="auto" w:fill="FFFFFF" w:themeFill="background1"/>
            <w:tcMar>
              <w:bottom w:w="43" w:type="dxa"/>
            </w:tcMar>
            <w:vAlign w:val="center"/>
          </w:tcPr>
          <w:p w:rsidR="007E6F25" w:rsidRPr="00256B02" w:rsidRDefault="007E6F25" w:rsidP="005705B2">
            <w:pPr>
              <w:tabs>
                <w:tab w:val="center" w:pos="5220"/>
                <w:tab w:val="right" w:pos="10440"/>
              </w:tabs>
              <w:jc w:val="center"/>
              <w:rPr>
                <w:rFonts w:ascii="Arial" w:hAnsi="Arial" w:cs="Arial"/>
                <w:b/>
                <w:sz w:val="13"/>
                <w:szCs w:val="13"/>
              </w:rPr>
            </w:pPr>
            <w:r w:rsidRPr="00256B02">
              <w:rPr>
                <w:rFonts w:ascii="Arial" w:hAnsi="Arial" w:cs="Arial"/>
                <w:b/>
                <w:sz w:val="13"/>
                <w:szCs w:val="13"/>
              </w:rPr>
              <w:t>W</w:t>
            </w:r>
          </w:p>
          <w:p w:rsidR="007E6F25" w:rsidRPr="00256B02" w:rsidRDefault="007E6F25" w:rsidP="005705B2">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3" w:type="pct"/>
            <w:tcBorders>
              <w:top w:val="double" w:sz="6" w:space="0" w:color="auto"/>
            </w:tcBorders>
            <w:shd w:val="clear" w:color="auto" w:fill="FFFFFF" w:themeFill="background1"/>
            <w:tcMar>
              <w:bottom w:w="43" w:type="dxa"/>
            </w:tcMar>
            <w:vAlign w:val="center"/>
          </w:tcPr>
          <w:p w:rsidR="007E6F25" w:rsidRPr="00256B02" w:rsidRDefault="007E6F25" w:rsidP="005705B2">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7E6F25" w:rsidRPr="00256B02" w:rsidRDefault="007E6F25" w:rsidP="005705B2">
            <w:pPr>
              <w:tabs>
                <w:tab w:val="center" w:pos="5220"/>
                <w:tab w:val="right" w:pos="10440"/>
              </w:tabs>
              <w:jc w:val="center"/>
              <w:rPr>
                <w:rFonts w:ascii="Arial" w:hAnsi="Arial" w:cs="Arial"/>
                <w:b/>
                <w:sz w:val="13"/>
                <w:szCs w:val="13"/>
              </w:rPr>
            </w:pPr>
            <w:r w:rsidRPr="00256B02">
              <w:rPr>
                <w:rFonts w:ascii="Arial" w:hAnsi="Arial" w:cs="Arial"/>
                <w:b/>
                <w:sz w:val="13"/>
                <w:szCs w:val="13"/>
              </w:rPr>
              <w:t>J</w:t>
            </w:r>
          </w:p>
        </w:tc>
        <w:tc>
          <w:tcPr>
            <w:tcW w:w="222" w:type="pct"/>
            <w:tcBorders>
              <w:top w:val="double" w:sz="6" w:space="0" w:color="auto"/>
            </w:tcBorders>
            <w:shd w:val="clear" w:color="auto" w:fill="FFFFFF" w:themeFill="background1"/>
            <w:tcMar>
              <w:bottom w:w="43" w:type="dxa"/>
            </w:tcMar>
            <w:vAlign w:val="center"/>
          </w:tcPr>
          <w:p w:rsidR="007E6F25" w:rsidRPr="00256B02" w:rsidRDefault="007E6F25" w:rsidP="005705B2">
            <w:pPr>
              <w:tabs>
                <w:tab w:val="center" w:pos="5220"/>
                <w:tab w:val="right" w:pos="10440"/>
              </w:tabs>
              <w:jc w:val="center"/>
              <w:rPr>
                <w:rFonts w:ascii="Arial" w:hAnsi="Arial" w:cs="Arial"/>
                <w:b/>
                <w:sz w:val="13"/>
                <w:szCs w:val="13"/>
              </w:rPr>
            </w:pPr>
            <w:r w:rsidRPr="00256B02">
              <w:rPr>
                <w:rFonts w:ascii="Arial" w:hAnsi="Arial" w:cs="Arial"/>
                <w:b/>
                <w:sz w:val="13"/>
                <w:szCs w:val="13"/>
              </w:rPr>
              <w:t>F</w:t>
            </w:r>
          </w:p>
          <w:p w:rsidR="007E6F25" w:rsidRPr="00256B02" w:rsidRDefault="007E6F25" w:rsidP="005705B2">
            <w:pPr>
              <w:tabs>
                <w:tab w:val="center" w:pos="5220"/>
                <w:tab w:val="right" w:pos="10440"/>
              </w:tabs>
              <w:jc w:val="center"/>
              <w:rPr>
                <w:rFonts w:ascii="Arial" w:hAnsi="Arial" w:cs="Arial"/>
                <w:b/>
                <w:sz w:val="13"/>
                <w:szCs w:val="13"/>
              </w:rPr>
            </w:pPr>
            <w:r w:rsidRPr="00256B02">
              <w:rPr>
                <w:rFonts w:ascii="Arial" w:hAnsi="Arial" w:cs="Arial"/>
                <w:b/>
                <w:sz w:val="13"/>
                <w:szCs w:val="13"/>
              </w:rPr>
              <w:t>V</w:t>
            </w:r>
          </w:p>
        </w:tc>
        <w:tc>
          <w:tcPr>
            <w:tcW w:w="223" w:type="pct"/>
            <w:tcBorders>
              <w:top w:val="double" w:sz="6" w:space="0" w:color="auto"/>
              <w:right w:val="double" w:sz="6" w:space="0" w:color="auto"/>
            </w:tcBorders>
            <w:tcMar>
              <w:bottom w:w="43" w:type="dxa"/>
            </w:tcMar>
            <w:vAlign w:val="center"/>
          </w:tcPr>
          <w:p w:rsidR="007E6F25" w:rsidRPr="00256B02" w:rsidRDefault="007E6F25" w:rsidP="005705B2">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7E6F25" w:rsidRPr="00256B02" w:rsidRDefault="007E6F25" w:rsidP="005705B2">
            <w:pPr>
              <w:tabs>
                <w:tab w:val="center" w:pos="5220"/>
                <w:tab w:val="right" w:pos="10440"/>
              </w:tabs>
              <w:jc w:val="center"/>
              <w:rPr>
                <w:rFonts w:ascii="Arial" w:hAnsi="Arial" w:cs="Arial"/>
                <w:b/>
                <w:sz w:val="13"/>
                <w:szCs w:val="13"/>
              </w:rPr>
            </w:pPr>
            <w:r w:rsidRPr="00256B02">
              <w:rPr>
                <w:rFonts w:ascii="Arial" w:hAnsi="Arial" w:cs="Arial"/>
                <w:b/>
                <w:sz w:val="13"/>
                <w:szCs w:val="13"/>
              </w:rPr>
              <w:t>S</w:t>
            </w:r>
          </w:p>
        </w:tc>
      </w:tr>
      <w:tr w:rsidR="007E6F25" w:rsidRPr="00C33804" w:rsidTr="005705B2">
        <w:trPr>
          <w:trHeight w:val="346"/>
        </w:trPr>
        <w:tc>
          <w:tcPr>
            <w:tcW w:w="226" w:type="pct"/>
            <w:tcBorders>
              <w:left w:val="double" w:sz="6" w:space="0" w:color="auto"/>
              <w:right w:val="double" w:sz="4" w:space="0" w:color="auto"/>
            </w:tcBorders>
            <w:shd w:val="clear" w:color="auto" w:fill="auto"/>
            <w:tcMar>
              <w:bottom w:w="43" w:type="dxa"/>
            </w:tcMar>
            <w:vAlign w:val="bottom"/>
          </w:tcPr>
          <w:p w:rsidR="007E6F25" w:rsidRPr="00C33804" w:rsidRDefault="007E6F25" w:rsidP="005705B2">
            <w:pPr>
              <w:jc w:val="center"/>
              <w:rPr>
                <w:rFonts w:ascii="Arial" w:hAnsi="Arial" w:cs="Arial"/>
                <w:sz w:val="13"/>
                <w:szCs w:val="13"/>
              </w:rPr>
            </w:pPr>
            <w:r>
              <w:rPr>
                <w:rFonts w:ascii="Arial" w:hAnsi="Arial" w:cs="Arial"/>
                <w:sz w:val="13"/>
                <w:szCs w:val="13"/>
              </w:rPr>
              <w:t>1</w:t>
            </w:r>
          </w:p>
        </w:tc>
        <w:tc>
          <w:tcPr>
            <w:tcW w:w="226" w:type="pct"/>
            <w:tcBorders>
              <w:top w:val="double" w:sz="4" w:space="0" w:color="auto"/>
              <w:left w:val="double" w:sz="4" w:space="0" w:color="auto"/>
              <w:bottom w:val="double" w:sz="4" w:space="0" w:color="auto"/>
              <w:right w:val="double" w:sz="4" w:space="0" w:color="auto"/>
            </w:tcBorders>
            <w:shd w:val="clear" w:color="auto" w:fill="auto"/>
            <w:tcMar>
              <w:bottom w:w="43" w:type="dxa"/>
            </w:tcMar>
            <w:vAlign w:val="bottom"/>
          </w:tcPr>
          <w:p w:rsidR="007E6F25" w:rsidRPr="00800AD6" w:rsidRDefault="007E6F25" w:rsidP="005705B2">
            <w:pPr>
              <w:jc w:val="center"/>
              <w:rPr>
                <w:rFonts w:ascii="Arial" w:hAnsi="Arial" w:cs="Arial"/>
                <w:b/>
                <w:sz w:val="13"/>
                <w:szCs w:val="13"/>
              </w:rPr>
            </w:pPr>
            <w:r w:rsidRPr="00800AD6">
              <w:rPr>
                <w:rFonts w:ascii="Arial" w:hAnsi="Arial" w:cs="Arial"/>
                <w:b/>
                <w:sz w:val="13"/>
                <w:szCs w:val="13"/>
              </w:rPr>
              <w:t>H</w:t>
            </w:r>
          </w:p>
          <w:p w:rsidR="007E6F25" w:rsidRPr="00C33804" w:rsidRDefault="007E6F25" w:rsidP="005705B2">
            <w:pPr>
              <w:jc w:val="center"/>
              <w:rPr>
                <w:rFonts w:ascii="Arial" w:hAnsi="Arial" w:cs="Arial"/>
                <w:sz w:val="13"/>
                <w:szCs w:val="13"/>
              </w:rPr>
            </w:pPr>
            <w:r>
              <w:rPr>
                <w:rFonts w:ascii="Arial" w:hAnsi="Arial" w:cs="Arial"/>
                <w:sz w:val="13"/>
                <w:szCs w:val="13"/>
              </w:rPr>
              <w:t>2</w:t>
            </w:r>
          </w:p>
        </w:tc>
        <w:tc>
          <w:tcPr>
            <w:tcW w:w="227" w:type="pct"/>
            <w:tcBorders>
              <w:left w:val="double" w:sz="4" w:space="0" w:color="auto"/>
              <w:bottom w:val="single" w:sz="4" w:space="0" w:color="000000" w:themeColor="text1"/>
            </w:tcBorders>
            <w:shd w:val="clear" w:color="auto" w:fill="auto"/>
            <w:tcMar>
              <w:bottom w:w="43" w:type="dxa"/>
            </w:tcMar>
            <w:vAlign w:val="bottom"/>
          </w:tcPr>
          <w:p w:rsidR="007E6F25" w:rsidRPr="00C33804" w:rsidRDefault="007E6F25" w:rsidP="005705B2">
            <w:pPr>
              <w:jc w:val="center"/>
              <w:rPr>
                <w:rFonts w:ascii="Arial" w:hAnsi="Arial" w:cs="Arial"/>
                <w:sz w:val="13"/>
                <w:szCs w:val="13"/>
              </w:rPr>
            </w:pPr>
            <w:r>
              <w:rPr>
                <w:rFonts w:ascii="Arial" w:hAnsi="Arial" w:cs="Arial"/>
                <w:sz w:val="13"/>
                <w:szCs w:val="13"/>
              </w:rPr>
              <w:t>3</w:t>
            </w:r>
          </w:p>
        </w:tc>
        <w:tc>
          <w:tcPr>
            <w:tcW w:w="226" w:type="pct"/>
            <w:tcBorders>
              <w:bottom w:val="single" w:sz="4" w:space="0" w:color="000000" w:themeColor="text1"/>
            </w:tcBorders>
            <w:shd w:val="clear" w:color="auto" w:fill="auto"/>
            <w:tcMar>
              <w:bottom w:w="43" w:type="dxa"/>
            </w:tcMar>
            <w:vAlign w:val="bottom"/>
          </w:tcPr>
          <w:p w:rsidR="007E6F25" w:rsidRPr="00C33804" w:rsidRDefault="007E6F25" w:rsidP="005705B2">
            <w:pPr>
              <w:jc w:val="center"/>
              <w:rPr>
                <w:rFonts w:ascii="Arial" w:hAnsi="Arial" w:cs="Arial"/>
                <w:sz w:val="13"/>
                <w:szCs w:val="13"/>
              </w:rPr>
            </w:pPr>
            <w:r>
              <w:rPr>
                <w:rFonts w:ascii="Arial" w:hAnsi="Arial" w:cs="Arial"/>
                <w:sz w:val="13"/>
                <w:szCs w:val="13"/>
              </w:rPr>
              <w:t>4</w:t>
            </w:r>
          </w:p>
        </w:tc>
        <w:tc>
          <w:tcPr>
            <w:tcW w:w="227" w:type="pct"/>
            <w:tcBorders>
              <w:bottom w:val="single" w:sz="4" w:space="0" w:color="000000" w:themeColor="text1"/>
              <w:right w:val="single" w:sz="4" w:space="0" w:color="auto"/>
            </w:tcBorders>
            <w:shd w:val="clear" w:color="auto" w:fill="auto"/>
            <w:tcMar>
              <w:bottom w:w="43" w:type="dxa"/>
            </w:tcMar>
            <w:vAlign w:val="bottom"/>
          </w:tcPr>
          <w:p w:rsidR="007E6F25" w:rsidRPr="00C33804" w:rsidRDefault="007E6F25" w:rsidP="005705B2">
            <w:pPr>
              <w:jc w:val="center"/>
              <w:rPr>
                <w:rFonts w:ascii="Arial" w:hAnsi="Arial" w:cs="Arial"/>
                <w:sz w:val="13"/>
                <w:szCs w:val="13"/>
              </w:rPr>
            </w:pPr>
            <w:r>
              <w:rPr>
                <w:rFonts w:ascii="Arial" w:hAnsi="Arial" w:cs="Arial"/>
                <w:sz w:val="13"/>
                <w:szCs w:val="13"/>
              </w:rPr>
              <w:t>5</w:t>
            </w:r>
          </w:p>
        </w:tc>
        <w:tc>
          <w:tcPr>
            <w:tcW w:w="226" w:type="pct"/>
            <w:tcBorders>
              <w:top w:val="single" w:sz="4" w:space="0" w:color="auto"/>
              <w:left w:val="single" w:sz="4" w:space="0" w:color="auto"/>
              <w:bottom w:val="single" w:sz="4" w:space="0" w:color="auto"/>
              <w:right w:val="single" w:sz="4" w:space="0" w:color="auto"/>
            </w:tcBorders>
            <w:shd w:val="clear" w:color="auto" w:fill="FFFFFF" w:themeFill="background1"/>
            <w:tcMar>
              <w:bottom w:w="43" w:type="dxa"/>
            </w:tcMar>
            <w:vAlign w:val="bottom"/>
          </w:tcPr>
          <w:p w:rsidR="007E6F25" w:rsidRPr="00C33804" w:rsidRDefault="007E6F25" w:rsidP="005705B2">
            <w:pPr>
              <w:jc w:val="center"/>
              <w:rPr>
                <w:rFonts w:ascii="Arial" w:hAnsi="Arial" w:cs="Arial"/>
                <w:sz w:val="13"/>
                <w:szCs w:val="13"/>
              </w:rPr>
            </w:pPr>
            <w:r>
              <w:rPr>
                <w:rFonts w:ascii="Arial" w:hAnsi="Arial" w:cs="Arial"/>
                <w:sz w:val="13"/>
                <w:szCs w:val="13"/>
              </w:rPr>
              <w:t>6</w:t>
            </w:r>
          </w:p>
        </w:tc>
        <w:tc>
          <w:tcPr>
            <w:tcW w:w="228" w:type="pct"/>
            <w:tcBorders>
              <w:left w:val="single" w:sz="4" w:space="0" w:color="auto"/>
              <w:right w:val="double" w:sz="6" w:space="0" w:color="auto"/>
            </w:tcBorders>
            <w:shd w:val="clear" w:color="auto" w:fill="auto"/>
            <w:tcMar>
              <w:bottom w:w="43" w:type="dxa"/>
            </w:tcMar>
            <w:vAlign w:val="bottom"/>
          </w:tcPr>
          <w:p w:rsidR="007E6F25" w:rsidRPr="00C33804" w:rsidRDefault="007E6F25" w:rsidP="005705B2">
            <w:pPr>
              <w:jc w:val="center"/>
              <w:rPr>
                <w:rFonts w:ascii="Arial" w:hAnsi="Arial" w:cs="Arial"/>
                <w:sz w:val="13"/>
                <w:szCs w:val="13"/>
              </w:rPr>
            </w:pPr>
            <w:r>
              <w:rPr>
                <w:rFonts w:ascii="Arial" w:hAnsi="Arial" w:cs="Arial"/>
                <w:sz w:val="13"/>
                <w:szCs w:val="13"/>
              </w:rPr>
              <w:t>7</w:t>
            </w:r>
          </w:p>
        </w:tc>
        <w:tc>
          <w:tcPr>
            <w:tcW w:w="137" w:type="pct"/>
            <w:tcBorders>
              <w:top w:val="nil"/>
              <w:left w:val="double" w:sz="6" w:space="0" w:color="auto"/>
              <w:bottom w:val="nil"/>
              <w:right w:val="double" w:sz="6" w:space="0" w:color="auto"/>
            </w:tcBorders>
            <w:shd w:val="clear" w:color="auto" w:fill="auto"/>
            <w:tcMar>
              <w:bottom w:w="43" w:type="dxa"/>
            </w:tcMar>
            <w:vAlign w:val="bottom"/>
          </w:tcPr>
          <w:p w:rsidR="007E6F25" w:rsidRPr="00C33804" w:rsidRDefault="007E6F25" w:rsidP="005705B2">
            <w:pPr>
              <w:tabs>
                <w:tab w:val="center" w:pos="5220"/>
                <w:tab w:val="right" w:pos="10440"/>
              </w:tabs>
              <w:jc w:val="center"/>
              <w:rPr>
                <w:rFonts w:ascii="Arial" w:hAnsi="Arial" w:cs="Arial"/>
                <w:sz w:val="13"/>
                <w:szCs w:val="13"/>
              </w:rPr>
            </w:pPr>
          </w:p>
        </w:tc>
        <w:tc>
          <w:tcPr>
            <w:tcW w:w="225" w:type="pct"/>
            <w:tcBorders>
              <w:left w:val="double" w:sz="6" w:space="0" w:color="auto"/>
            </w:tcBorders>
            <w:shd w:val="clear" w:color="auto" w:fill="auto"/>
            <w:tcMar>
              <w:bottom w:w="43" w:type="dxa"/>
            </w:tcMar>
            <w:vAlign w:val="bottom"/>
          </w:tcPr>
          <w:p w:rsidR="007E6F25" w:rsidRPr="00C33804" w:rsidRDefault="007E6F25" w:rsidP="005705B2">
            <w:pPr>
              <w:jc w:val="center"/>
              <w:rPr>
                <w:rFonts w:ascii="Arial" w:hAnsi="Arial" w:cs="Arial"/>
                <w:sz w:val="13"/>
                <w:szCs w:val="13"/>
              </w:rPr>
            </w:pPr>
          </w:p>
        </w:tc>
        <w:tc>
          <w:tcPr>
            <w:tcW w:w="226" w:type="pct"/>
            <w:tcBorders>
              <w:bottom w:val="single" w:sz="4" w:space="0" w:color="000000" w:themeColor="text1"/>
            </w:tcBorders>
            <w:shd w:val="clear" w:color="auto" w:fill="auto"/>
            <w:tcMar>
              <w:bottom w:w="43" w:type="dxa"/>
            </w:tcMar>
            <w:vAlign w:val="bottom"/>
          </w:tcPr>
          <w:p w:rsidR="007E6F25" w:rsidRPr="00C33804" w:rsidRDefault="007E6F25" w:rsidP="005705B2">
            <w:pPr>
              <w:jc w:val="center"/>
              <w:rPr>
                <w:rFonts w:ascii="Arial" w:hAnsi="Arial" w:cs="Arial"/>
                <w:sz w:val="13"/>
                <w:szCs w:val="13"/>
              </w:rPr>
            </w:pPr>
          </w:p>
        </w:tc>
        <w:tc>
          <w:tcPr>
            <w:tcW w:w="226" w:type="pct"/>
            <w:tcBorders>
              <w:bottom w:val="single" w:sz="4" w:space="0" w:color="000000" w:themeColor="text1"/>
            </w:tcBorders>
            <w:shd w:val="clear" w:color="auto" w:fill="auto"/>
            <w:tcMar>
              <w:bottom w:w="43" w:type="dxa"/>
            </w:tcMar>
            <w:vAlign w:val="bottom"/>
          </w:tcPr>
          <w:p w:rsidR="007E6F25" w:rsidRPr="00C33804" w:rsidRDefault="007E6F25" w:rsidP="005705B2">
            <w:pPr>
              <w:jc w:val="center"/>
              <w:rPr>
                <w:rFonts w:ascii="Arial" w:hAnsi="Arial" w:cs="Arial"/>
                <w:sz w:val="13"/>
                <w:szCs w:val="13"/>
              </w:rPr>
            </w:pPr>
            <w:r>
              <w:rPr>
                <w:rFonts w:ascii="Arial" w:hAnsi="Arial" w:cs="Arial"/>
                <w:sz w:val="13"/>
                <w:szCs w:val="13"/>
              </w:rPr>
              <w:t>1</w:t>
            </w:r>
          </w:p>
        </w:tc>
        <w:tc>
          <w:tcPr>
            <w:tcW w:w="226" w:type="pct"/>
            <w:tcBorders>
              <w:bottom w:val="single" w:sz="4" w:space="0" w:color="000000" w:themeColor="text1"/>
            </w:tcBorders>
            <w:shd w:val="clear" w:color="auto" w:fill="auto"/>
            <w:tcMar>
              <w:bottom w:w="43" w:type="dxa"/>
            </w:tcMar>
            <w:vAlign w:val="bottom"/>
          </w:tcPr>
          <w:p w:rsidR="007E6F25" w:rsidRPr="00C33804" w:rsidRDefault="007E6F25" w:rsidP="005705B2">
            <w:pPr>
              <w:jc w:val="center"/>
              <w:rPr>
                <w:rFonts w:ascii="Arial" w:hAnsi="Arial" w:cs="Arial"/>
                <w:sz w:val="13"/>
                <w:szCs w:val="13"/>
              </w:rPr>
            </w:pPr>
            <w:r>
              <w:rPr>
                <w:rFonts w:ascii="Arial" w:hAnsi="Arial" w:cs="Arial"/>
                <w:sz w:val="13"/>
                <w:szCs w:val="13"/>
              </w:rPr>
              <w:t>2</w:t>
            </w:r>
          </w:p>
        </w:tc>
        <w:tc>
          <w:tcPr>
            <w:tcW w:w="226" w:type="pct"/>
            <w:tcBorders>
              <w:bottom w:val="single" w:sz="4" w:space="0" w:color="000000" w:themeColor="text1"/>
            </w:tcBorders>
            <w:shd w:val="clear" w:color="auto" w:fill="auto"/>
            <w:tcMar>
              <w:bottom w:w="43" w:type="dxa"/>
            </w:tcMar>
            <w:vAlign w:val="bottom"/>
          </w:tcPr>
          <w:p w:rsidR="007E6F25" w:rsidRPr="00C33804" w:rsidRDefault="007E6F25" w:rsidP="005705B2">
            <w:pPr>
              <w:jc w:val="center"/>
              <w:rPr>
                <w:rFonts w:ascii="Arial" w:hAnsi="Arial" w:cs="Arial"/>
                <w:sz w:val="13"/>
                <w:szCs w:val="13"/>
              </w:rPr>
            </w:pPr>
            <w:r>
              <w:rPr>
                <w:rFonts w:ascii="Arial" w:hAnsi="Arial" w:cs="Arial"/>
                <w:sz w:val="13"/>
                <w:szCs w:val="13"/>
              </w:rPr>
              <w:t>3</w:t>
            </w:r>
          </w:p>
        </w:tc>
        <w:tc>
          <w:tcPr>
            <w:tcW w:w="226" w:type="pct"/>
            <w:tcBorders>
              <w:bottom w:val="single" w:sz="4" w:space="0" w:color="000000" w:themeColor="text1"/>
            </w:tcBorders>
            <w:shd w:val="clear" w:color="auto" w:fill="auto"/>
            <w:tcMar>
              <w:bottom w:w="43" w:type="dxa"/>
            </w:tcMar>
            <w:vAlign w:val="bottom"/>
          </w:tcPr>
          <w:p w:rsidR="007E6F25" w:rsidRPr="00C33804" w:rsidRDefault="007E6F25" w:rsidP="005705B2">
            <w:pPr>
              <w:jc w:val="center"/>
              <w:rPr>
                <w:rFonts w:ascii="Arial" w:hAnsi="Arial" w:cs="Arial"/>
                <w:sz w:val="13"/>
                <w:szCs w:val="13"/>
              </w:rPr>
            </w:pPr>
            <w:r>
              <w:rPr>
                <w:rFonts w:ascii="Arial" w:hAnsi="Arial" w:cs="Arial"/>
                <w:sz w:val="13"/>
                <w:szCs w:val="13"/>
              </w:rPr>
              <w:t>4</w:t>
            </w:r>
          </w:p>
        </w:tc>
        <w:tc>
          <w:tcPr>
            <w:tcW w:w="226" w:type="pct"/>
            <w:tcBorders>
              <w:right w:val="double" w:sz="6" w:space="0" w:color="auto"/>
            </w:tcBorders>
            <w:shd w:val="clear" w:color="auto" w:fill="auto"/>
            <w:tcMar>
              <w:bottom w:w="43" w:type="dxa"/>
            </w:tcMar>
            <w:vAlign w:val="bottom"/>
          </w:tcPr>
          <w:p w:rsidR="007E6F25" w:rsidRPr="00C33804" w:rsidRDefault="007E6F25" w:rsidP="005705B2">
            <w:pPr>
              <w:jc w:val="center"/>
              <w:rPr>
                <w:rFonts w:ascii="Arial" w:hAnsi="Arial" w:cs="Arial"/>
                <w:sz w:val="13"/>
                <w:szCs w:val="13"/>
              </w:rPr>
            </w:pPr>
            <w:r>
              <w:rPr>
                <w:rFonts w:ascii="Arial" w:hAnsi="Arial" w:cs="Arial"/>
                <w:sz w:val="13"/>
                <w:szCs w:val="13"/>
              </w:rPr>
              <w:t>5</w:t>
            </w:r>
          </w:p>
        </w:tc>
        <w:tc>
          <w:tcPr>
            <w:tcW w:w="139" w:type="pct"/>
            <w:tcBorders>
              <w:top w:val="nil"/>
              <w:left w:val="double" w:sz="6" w:space="0" w:color="auto"/>
              <w:bottom w:val="nil"/>
              <w:right w:val="double" w:sz="6" w:space="0" w:color="auto"/>
            </w:tcBorders>
            <w:shd w:val="clear" w:color="auto" w:fill="auto"/>
            <w:tcMar>
              <w:bottom w:w="43" w:type="dxa"/>
            </w:tcMar>
            <w:vAlign w:val="bottom"/>
          </w:tcPr>
          <w:p w:rsidR="007E6F25" w:rsidRPr="00C33804" w:rsidRDefault="007E6F25" w:rsidP="005705B2">
            <w:pPr>
              <w:tabs>
                <w:tab w:val="center" w:pos="5220"/>
                <w:tab w:val="right" w:pos="10440"/>
              </w:tabs>
              <w:jc w:val="center"/>
              <w:rPr>
                <w:rFonts w:ascii="Arial" w:hAnsi="Arial" w:cs="Arial"/>
                <w:sz w:val="13"/>
                <w:szCs w:val="13"/>
              </w:rPr>
            </w:pPr>
          </w:p>
        </w:tc>
        <w:tc>
          <w:tcPr>
            <w:tcW w:w="222" w:type="pct"/>
            <w:tcBorders>
              <w:left w:val="double" w:sz="6" w:space="0" w:color="auto"/>
            </w:tcBorders>
            <w:shd w:val="clear" w:color="auto" w:fill="auto"/>
            <w:tcMar>
              <w:bottom w:w="43" w:type="dxa"/>
            </w:tcMar>
            <w:vAlign w:val="bottom"/>
          </w:tcPr>
          <w:p w:rsidR="007E6F25" w:rsidRPr="00C33804" w:rsidRDefault="007E6F25" w:rsidP="005705B2">
            <w:pPr>
              <w:jc w:val="center"/>
              <w:rPr>
                <w:rFonts w:ascii="Arial" w:hAnsi="Arial" w:cs="Arial"/>
                <w:sz w:val="13"/>
                <w:szCs w:val="13"/>
              </w:rPr>
            </w:pPr>
          </w:p>
        </w:tc>
        <w:tc>
          <w:tcPr>
            <w:tcW w:w="222" w:type="pct"/>
            <w:tcBorders>
              <w:bottom w:val="single" w:sz="4" w:space="0" w:color="auto"/>
            </w:tcBorders>
            <w:shd w:val="clear" w:color="auto" w:fill="FFFFFF" w:themeFill="background1"/>
            <w:tcMar>
              <w:bottom w:w="43" w:type="dxa"/>
            </w:tcMar>
            <w:vAlign w:val="bottom"/>
          </w:tcPr>
          <w:p w:rsidR="007E6F25" w:rsidRPr="00C33804" w:rsidRDefault="007E6F25" w:rsidP="005705B2">
            <w:pPr>
              <w:jc w:val="center"/>
              <w:rPr>
                <w:rFonts w:ascii="Arial" w:hAnsi="Arial" w:cs="Arial"/>
                <w:sz w:val="13"/>
                <w:szCs w:val="13"/>
              </w:rPr>
            </w:pPr>
          </w:p>
        </w:tc>
        <w:tc>
          <w:tcPr>
            <w:tcW w:w="223" w:type="pct"/>
            <w:tcBorders>
              <w:bottom w:val="single" w:sz="4" w:space="0" w:color="000000" w:themeColor="text1"/>
            </w:tcBorders>
            <w:shd w:val="clear" w:color="auto" w:fill="FFFFFF" w:themeFill="background1"/>
            <w:tcMar>
              <w:bottom w:w="43" w:type="dxa"/>
            </w:tcMar>
            <w:vAlign w:val="bottom"/>
          </w:tcPr>
          <w:p w:rsidR="007E6F25" w:rsidRPr="00C33804" w:rsidRDefault="007E6F25" w:rsidP="005705B2">
            <w:pPr>
              <w:jc w:val="center"/>
              <w:rPr>
                <w:rFonts w:ascii="Arial" w:hAnsi="Arial" w:cs="Arial"/>
                <w:sz w:val="13"/>
                <w:szCs w:val="13"/>
              </w:rPr>
            </w:pPr>
          </w:p>
        </w:tc>
        <w:tc>
          <w:tcPr>
            <w:tcW w:w="222" w:type="pct"/>
            <w:tcBorders>
              <w:bottom w:val="single" w:sz="4" w:space="0" w:color="000000" w:themeColor="text1"/>
            </w:tcBorders>
            <w:shd w:val="clear" w:color="auto" w:fill="FFFFFF" w:themeFill="background1"/>
            <w:tcMar>
              <w:bottom w:w="43" w:type="dxa"/>
            </w:tcMar>
            <w:vAlign w:val="bottom"/>
          </w:tcPr>
          <w:p w:rsidR="007E6F25" w:rsidRPr="00C33804" w:rsidRDefault="007E6F25" w:rsidP="005705B2">
            <w:pPr>
              <w:jc w:val="center"/>
              <w:rPr>
                <w:rFonts w:ascii="Arial" w:hAnsi="Arial" w:cs="Arial"/>
                <w:sz w:val="13"/>
                <w:szCs w:val="13"/>
              </w:rPr>
            </w:pPr>
          </w:p>
        </w:tc>
        <w:tc>
          <w:tcPr>
            <w:tcW w:w="223" w:type="pct"/>
            <w:tcBorders>
              <w:bottom w:val="single" w:sz="4" w:space="0" w:color="000000" w:themeColor="text1"/>
            </w:tcBorders>
            <w:shd w:val="clear" w:color="auto" w:fill="FFFFFF" w:themeFill="background1"/>
            <w:tcMar>
              <w:bottom w:w="43" w:type="dxa"/>
            </w:tcMar>
            <w:vAlign w:val="bottom"/>
          </w:tcPr>
          <w:p w:rsidR="007E6F25" w:rsidRPr="00C33804" w:rsidRDefault="007E6F25" w:rsidP="005705B2">
            <w:pPr>
              <w:jc w:val="center"/>
              <w:rPr>
                <w:rFonts w:ascii="Arial" w:hAnsi="Arial" w:cs="Arial"/>
                <w:sz w:val="13"/>
                <w:szCs w:val="13"/>
              </w:rPr>
            </w:pPr>
          </w:p>
        </w:tc>
        <w:tc>
          <w:tcPr>
            <w:tcW w:w="222" w:type="pct"/>
            <w:tcBorders>
              <w:bottom w:val="single" w:sz="4" w:space="0" w:color="000000" w:themeColor="text1"/>
            </w:tcBorders>
            <w:shd w:val="clear" w:color="auto" w:fill="FFFFFF" w:themeFill="background1"/>
            <w:tcMar>
              <w:bottom w:w="43" w:type="dxa"/>
            </w:tcMar>
            <w:vAlign w:val="bottom"/>
          </w:tcPr>
          <w:p w:rsidR="007E6F25" w:rsidRPr="00C33804" w:rsidRDefault="007E6F25" w:rsidP="005705B2">
            <w:pPr>
              <w:jc w:val="center"/>
              <w:rPr>
                <w:rFonts w:ascii="Arial" w:hAnsi="Arial" w:cs="Arial"/>
                <w:sz w:val="13"/>
                <w:szCs w:val="13"/>
              </w:rPr>
            </w:pPr>
            <w:r>
              <w:rPr>
                <w:rFonts w:ascii="Arial" w:hAnsi="Arial" w:cs="Arial"/>
                <w:sz w:val="13"/>
                <w:szCs w:val="13"/>
              </w:rPr>
              <w:t>1</w:t>
            </w:r>
          </w:p>
        </w:tc>
        <w:tc>
          <w:tcPr>
            <w:tcW w:w="223" w:type="pct"/>
            <w:tcBorders>
              <w:right w:val="double" w:sz="6" w:space="0" w:color="auto"/>
            </w:tcBorders>
            <w:shd w:val="clear" w:color="auto" w:fill="auto"/>
            <w:tcMar>
              <w:bottom w:w="43" w:type="dxa"/>
            </w:tcMar>
            <w:vAlign w:val="bottom"/>
          </w:tcPr>
          <w:p w:rsidR="007E6F25" w:rsidRPr="00C33804" w:rsidRDefault="007E6F25" w:rsidP="005705B2">
            <w:pPr>
              <w:jc w:val="center"/>
              <w:rPr>
                <w:rFonts w:ascii="Arial" w:hAnsi="Arial" w:cs="Arial"/>
                <w:sz w:val="13"/>
                <w:szCs w:val="13"/>
              </w:rPr>
            </w:pPr>
            <w:r>
              <w:rPr>
                <w:rFonts w:ascii="Arial" w:hAnsi="Arial" w:cs="Arial"/>
                <w:sz w:val="13"/>
                <w:szCs w:val="13"/>
              </w:rPr>
              <w:t>2</w:t>
            </w:r>
          </w:p>
        </w:tc>
      </w:tr>
      <w:tr w:rsidR="007E6F25" w:rsidRPr="00C33804" w:rsidTr="005705B2">
        <w:trPr>
          <w:trHeight w:val="346"/>
        </w:trPr>
        <w:tc>
          <w:tcPr>
            <w:tcW w:w="226" w:type="pct"/>
            <w:tcBorders>
              <w:left w:val="double" w:sz="6" w:space="0" w:color="auto"/>
              <w:right w:val="single" w:sz="4" w:space="0" w:color="auto"/>
            </w:tcBorders>
            <w:shd w:val="clear" w:color="auto" w:fill="auto"/>
            <w:tcMar>
              <w:bottom w:w="43" w:type="dxa"/>
            </w:tcMar>
            <w:vAlign w:val="bottom"/>
          </w:tcPr>
          <w:p w:rsidR="007E6F25" w:rsidRPr="00C33804" w:rsidRDefault="007E6F25" w:rsidP="005705B2">
            <w:pPr>
              <w:jc w:val="center"/>
              <w:rPr>
                <w:rFonts w:ascii="Arial" w:hAnsi="Arial" w:cs="Arial"/>
                <w:sz w:val="13"/>
                <w:szCs w:val="13"/>
              </w:rPr>
            </w:pPr>
            <w:r>
              <w:rPr>
                <w:rFonts w:ascii="Arial" w:hAnsi="Arial" w:cs="Arial"/>
                <w:sz w:val="13"/>
                <w:szCs w:val="13"/>
              </w:rPr>
              <w:t>8</w:t>
            </w:r>
          </w:p>
        </w:tc>
        <w:tc>
          <w:tcPr>
            <w:tcW w:w="226" w:type="pct"/>
            <w:tcBorders>
              <w:top w:val="double" w:sz="4" w:space="0" w:color="auto"/>
              <w:left w:val="single" w:sz="4" w:space="0" w:color="auto"/>
              <w:bottom w:val="single" w:sz="4" w:space="0" w:color="auto"/>
              <w:right w:val="single" w:sz="4" w:space="0" w:color="auto"/>
            </w:tcBorders>
            <w:shd w:val="clear" w:color="auto" w:fill="auto"/>
            <w:tcMar>
              <w:bottom w:w="43" w:type="dxa"/>
            </w:tcMar>
            <w:vAlign w:val="bottom"/>
          </w:tcPr>
          <w:p w:rsidR="007E6F25" w:rsidRDefault="007E6F25" w:rsidP="005705B2">
            <w:pPr>
              <w:jc w:val="center"/>
              <w:rPr>
                <w:rFonts w:ascii="Arial" w:hAnsi="Arial" w:cs="Arial"/>
                <w:sz w:val="13"/>
                <w:szCs w:val="13"/>
              </w:rPr>
            </w:pPr>
          </w:p>
          <w:p w:rsidR="007E6F25" w:rsidRPr="00C33804" w:rsidRDefault="007E6F25" w:rsidP="005705B2">
            <w:pPr>
              <w:jc w:val="center"/>
              <w:rPr>
                <w:rFonts w:ascii="Arial" w:hAnsi="Arial" w:cs="Arial"/>
                <w:sz w:val="13"/>
                <w:szCs w:val="13"/>
              </w:rPr>
            </w:pPr>
            <w:r>
              <w:rPr>
                <w:rFonts w:ascii="Arial" w:hAnsi="Arial" w:cs="Arial"/>
                <w:sz w:val="13"/>
                <w:szCs w:val="13"/>
              </w:rPr>
              <w:t>9</w:t>
            </w:r>
          </w:p>
        </w:tc>
        <w:tc>
          <w:tcPr>
            <w:tcW w:w="227" w:type="pct"/>
            <w:tcBorders>
              <w:left w:val="single" w:sz="4" w:space="0" w:color="auto"/>
              <w:bottom w:val="single" w:sz="4" w:space="0" w:color="000000" w:themeColor="text1"/>
            </w:tcBorders>
            <w:shd w:val="clear" w:color="auto" w:fill="auto"/>
            <w:tcMar>
              <w:bottom w:w="43" w:type="dxa"/>
            </w:tcMar>
            <w:vAlign w:val="bottom"/>
          </w:tcPr>
          <w:p w:rsidR="007E6F25" w:rsidRPr="00C33804" w:rsidRDefault="007E6F25" w:rsidP="005705B2">
            <w:pPr>
              <w:jc w:val="center"/>
              <w:rPr>
                <w:rFonts w:ascii="Arial" w:hAnsi="Arial" w:cs="Arial"/>
                <w:sz w:val="13"/>
                <w:szCs w:val="13"/>
              </w:rPr>
            </w:pPr>
            <w:r>
              <w:rPr>
                <w:rFonts w:ascii="Arial" w:hAnsi="Arial" w:cs="Arial"/>
                <w:sz w:val="13"/>
                <w:szCs w:val="13"/>
              </w:rPr>
              <w:t>10</w:t>
            </w:r>
          </w:p>
        </w:tc>
        <w:tc>
          <w:tcPr>
            <w:tcW w:w="226" w:type="pct"/>
            <w:tcBorders>
              <w:bottom w:val="single" w:sz="4" w:space="0" w:color="000000" w:themeColor="text1"/>
            </w:tcBorders>
            <w:shd w:val="clear" w:color="auto" w:fill="auto"/>
            <w:tcMar>
              <w:bottom w:w="43" w:type="dxa"/>
            </w:tcMar>
            <w:vAlign w:val="bottom"/>
          </w:tcPr>
          <w:p w:rsidR="007E6F25" w:rsidRPr="00C33804" w:rsidRDefault="007E6F25" w:rsidP="005705B2">
            <w:pPr>
              <w:jc w:val="center"/>
              <w:rPr>
                <w:rFonts w:ascii="Arial" w:hAnsi="Arial" w:cs="Arial"/>
                <w:sz w:val="13"/>
                <w:szCs w:val="13"/>
              </w:rPr>
            </w:pPr>
            <w:r>
              <w:rPr>
                <w:rFonts w:ascii="Arial" w:hAnsi="Arial" w:cs="Arial"/>
                <w:sz w:val="13"/>
                <w:szCs w:val="13"/>
              </w:rPr>
              <w:t>11</w:t>
            </w:r>
          </w:p>
        </w:tc>
        <w:tc>
          <w:tcPr>
            <w:tcW w:w="227" w:type="pct"/>
            <w:tcBorders>
              <w:bottom w:val="single" w:sz="4" w:space="0" w:color="000000" w:themeColor="text1"/>
            </w:tcBorders>
            <w:shd w:val="clear" w:color="auto" w:fill="auto"/>
            <w:tcMar>
              <w:bottom w:w="43" w:type="dxa"/>
            </w:tcMar>
            <w:vAlign w:val="bottom"/>
          </w:tcPr>
          <w:p w:rsidR="007E6F25" w:rsidRPr="00C33804" w:rsidRDefault="007E6F25" w:rsidP="005705B2">
            <w:pPr>
              <w:jc w:val="center"/>
              <w:rPr>
                <w:rFonts w:ascii="Arial" w:hAnsi="Arial" w:cs="Arial"/>
                <w:sz w:val="13"/>
                <w:szCs w:val="13"/>
              </w:rPr>
            </w:pPr>
            <w:r>
              <w:rPr>
                <w:rFonts w:ascii="Arial" w:hAnsi="Arial" w:cs="Arial"/>
                <w:sz w:val="13"/>
                <w:szCs w:val="13"/>
              </w:rPr>
              <w:t>12</w:t>
            </w:r>
          </w:p>
        </w:tc>
        <w:tc>
          <w:tcPr>
            <w:tcW w:w="226" w:type="pct"/>
            <w:tcBorders>
              <w:top w:val="single" w:sz="4" w:space="0" w:color="auto"/>
              <w:bottom w:val="single" w:sz="4" w:space="0" w:color="auto"/>
            </w:tcBorders>
            <w:shd w:val="clear" w:color="auto" w:fill="auto"/>
            <w:tcMar>
              <w:bottom w:w="43" w:type="dxa"/>
            </w:tcMar>
            <w:vAlign w:val="bottom"/>
          </w:tcPr>
          <w:p w:rsidR="007E6F25" w:rsidRPr="00C33804" w:rsidRDefault="007E6F25" w:rsidP="005705B2">
            <w:pPr>
              <w:jc w:val="center"/>
              <w:rPr>
                <w:rFonts w:ascii="Arial" w:hAnsi="Arial" w:cs="Arial"/>
                <w:sz w:val="13"/>
                <w:szCs w:val="13"/>
              </w:rPr>
            </w:pPr>
            <w:r>
              <w:rPr>
                <w:rFonts w:ascii="Arial" w:hAnsi="Arial" w:cs="Arial"/>
                <w:sz w:val="13"/>
                <w:szCs w:val="13"/>
              </w:rPr>
              <w:t>13</w:t>
            </w:r>
          </w:p>
        </w:tc>
        <w:tc>
          <w:tcPr>
            <w:tcW w:w="228" w:type="pct"/>
            <w:tcBorders>
              <w:right w:val="double" w:sz="6" w:space="0" w:color="auto"/>
            </w:tcBorders>
            <w:shd w:val="clear" w:color="auto" w:fill="auto"/>
            <w:tcMar>
              <w:bottom w:w="43" w:type="dxa"/>
            </w:tcMar>
            <w:vAlign w:val="bottom"/>
          </w:tcPr>
          <w:p w:rsidR="007E6F25" w:rsidRPr="00C33804" w:rsidRDefault="007E6F25" w:rsidP="005705B2">
            <w:pPr>
              <w:jc w:val="center"/>
              <w:rPr>
                <w:rFonts w:ascii="Arial" w:hAnsi="Arial" w:cs="Arial"/>
                <w:sz w:val="13"/>
                <w:szCs w:val="13"/>
              </w:rPr>
            </w:pPr>
            <w:r>
              <w:rPr>
                <w:rFonts w:ascii="Arial" w:hAnsi="Arial" w:cs="Arial"/>
                <w:sz w:val="13"/>
                <w:szCs w:val="13"/>
              </w:rPr>
              <w:t>14</w:t>
            </w:r>
          </w:p>
        </w:tc>
        <w:tc>
          <w:tcPr>
            <w:tcW w:w="137" w:type="pct"/>
            <w:tcBorders>
              <w:top w:val="nil"/>
              <w:left w:val="double" w:sz="6" w:space="0" w:color="auto"/>
              <w:bottom w:val="nil"/>
              <w:right w:val="double" w:sz="6" w:space="0" w:color="auto"/>
            </w:tcBorders>
            <w:shd w:val="clear" w:color="auto" w:fill="auto"/>
            <w:tcMar>
              <w:bottom w:w="43" w:type="dxa"/>
            </w:tcMar>
            <w:vAlign w:val="bottom"/>
          </w:tcPr>
          <w:p w:rsidR="007E6F25" w:rsidRPr="00C33804" w:rsidRDefault="007E6F25" w:rsidP="005705B2">
            <w:pPr>
              <w:tabs>
                <w:tab w:val="center" w:pos="5220"/>
                <w:tab w:val="right" w:pos="10440"/>
              </w:tabs>
              <w:jc w:val="center"/>
              <w:rPr>
                <w:rFonts w:ascii="Arial" w:hAnsi="Arial" w:cs="Arial"/>
                <w:sz w:val="13"/>
                <w:szCs w:val="13"/>
              </w:rPr>
            </w:pPr>
          </w:p>
        </w:tc>
        <w:tc>
          <w:tcPr>
            <w:tcW w:w="225" w:type="pct"/>
            <w:tcBorders>
              <w:left w:val="double" w:sz="6" w:space="0" w:color="auto"/>
            </w:tcBorders>
            <w:shd w:val="clear" w:color="auto" w:fill="auto"/>
            <w:tcMar>
              <w:bottom w:w="43" w:type="dxa"/>
            </w:tcMar>
            <w:vAlign w:val="bottom"/>
          </w:tcPr>
          <w:p w:rsidR="007E6F25" w:rsidRPr="00C33804" w:rsidRDefault="007E6F25" w:rsidP="005705B2">
            <w:pPr>
              <w:jc w:val="center"/>
              <w:rPr>
                <w:rFonts w:ascii="Arial" w:hAnsi="Arial" w:cs="Arial"/>
                <w:sz w:val="13"/>
                <w:szCs w:val="13"/>
              </w:rPr>
            </w:pPr>
            <w:r>
              <w:rPr>
                <w:rFonts w:ascii="Arial" w:hAnsi="Arial" w:cs="Arial"/>
                <w:sz w:val="13"/>
                <w:szCs w:val="13"/>
              </w:rPr>
              <w:t>6</w:t>
            </w:r>
          </w:p>
        </w:tc>
        <w:tc>
          <w:tcPr>
            <w:tcW w:w="226" w:type="pct"/>
            <w:tcBorders>
              <w:bottom w:val="single" w:sz="4" w:space="0" w:color="000000" w:themeColor="text1"/>
            </w:tcBorders>
            <w:shd w:val="clear" w:color="auto" w:fill="auto"/>
            <w:tcMar>
              <w:bottom w:w="43" w:type="dxa"/>
            </w:tcMar>
            <w:vAlign w:val="bottom"/>
          </w:tcPr>
          <w:p w:rsidR="007E6F25" w:rsidRPr="00C33804" w:rsidRDefault="007E6F25" w:rsidP="005705B2">
            <w:pPr>
              <w:jc w:val="center"/>
              <w:rPr>
                <w:rFonts w:ascii="Arial" w:hAnsi="Arial" w:cs="Arial"/>
                <w:sz w:val="13"/>
                <w:szCs w:val="13"/>
              </w:rPr>
            </w:pPr>
            <w:r>
              <w:rPr>
                <w:rFonts w:ascii="Arial" w:hAnsi="Arial" w:cs="Arial"/>
                <w:sz w:val="13"/>
                <w:szCs w:val="13"/>
              </w:rPr>
              <w:t>7</w:t>
            </w:r>
          </w:p>
        </w:tc>
        <w:tc>
          <w:tcPr>
            <w:tcW w:w="226" w:type="pct"/>
            <w:tcBorders>
              <w:bottom w:val="single" w:sz="4" w:space="0" w:color="000000" w:themeColor="text1"/>
            </w:tcBorders>
            <w:shd w:val="clear" w:color="auto" w:fill="auto"/>
            <w:tcMar>
              <w:bottom w:w="43" w:type="dxa"/>
            </w:tcMar>
            <w:vAlign w:val="bottom"/>
          </w:tcPr>
          <w:p w:rsidR="007E6F25" w:rsidRPr="00C33804" w:rsidRDefault="007E6F25" w:rsidP="005705B2">
            <w:pPr>
              <w:jc w:val="center"/>
              <w:rPr>
                <w:rFonts w:ascii="Arial" w:hAnsi="Arial" w:cs="Arial"/>
                <w:sz w:val="13"/>
                <w:szCs w:val="13"/>
              </w:rPr>
            </w:pPr>
            <w:r>
              <w:rPr>
                <w:rFonts w:ascii="Arial" w:hAnsi="Arial" w:cs="Arial"/>
                <w:sz w:val="13"/>
                <w:szCs w:val="13"/>
              </w:rPr>
              <w:t>8</w:t>
            </w:r>
          </w:p>
        </w:tc>
        <w:tc>
          <w:tcPr>
            <w:tcW w:w="226" w:type="pct"/>
            <w:tcBorders>
              <w:bottom w:val="single" w:sz="4" w:space="0" w:color="000000" w:themeColor="text1"/>
            </w:tcBorders>
            <w:shd w:val="clear" w:color="auto" w:fill="auto"/>
            <w:tcMar>
              <w:bottom w:w="43" w:type="dxa"/>
            </w:tcMar>
            <w:vAlign w:val="bottom"/>
          </w:tcPr>
          <w:p w:rsidR="007E6F25" w:rsidRPr="00C33804" w:rsidRDefault="007E6F25" w:rsidP="005705B2">
            <w:pPr>
              <w:jc w:val="center"/>
              <w:rPr>
                <w:rFonts w:ascii="Arial" w:hAnsi="Arial" w:cs="Arial"/>
                <w:sz w:val="13"/>
                <w:szCs w:val="13"/>
              </w:rPr>
            </w:pPr>
            <w:r>
              <w:rPr>
                <w:rFonts w:ascii="Arial" w:hAnsi="Arial" w:cs="Arial"/>
                <w:sz w:val="13"/>
                <w:szCs w:val="13"/>
              </w:rPr>
              <w:t>9</w:t>
            </w:r>
          </w:p>
        </w:tc>
        <w:tc>
          <w:tcPr>
            <w:tcW w:w="226" w:type="pct"/>
            <w:tcBorders>
              <w:bottom w:val="single" w:sz="4" w:space="0" w:color="000000" w:themeColor="text1"/>
            </w:tcBorders>
            <w:shd w:val="clear" w:color="auto" w:fill="auto"/>
            <w:tcMar>
              <w:bottom w:w="43" w:type="dxa"/>
            </w:tcMar>
            <w:vAlign w:val="bottom"/>
          </w:tcPr>
          <w:p w:rsidR="007E6F25" w:rsidRPr="00C33804" w:rsidRDefault="007E6F25" w:rsidP="005705B2">
            <w:pPr>
              <w:jc w:val="center"/>
              <w:rPr>
                <w:rFonts w:ascii="Arial" w:hAnsi="Arial" w:cs="Arial"/>
                <w:sz w:val="13"/>
                <w:szCs w:val="13"/>
              </w:rPr>
            </w:pPr>
            <w:r>
              <w:rPr>
                <w:rFonts w:ascii="Arial" w:hAnsi="Arial" w:cs="Arial"/>
                <w:sz w:val="13"/>
                <w:szCs w:val="13"/>
              </w:rPr>
              <w:t>10</w:t>
            </w:r>
          </w:p>
        </w:tc>
        <w:tc>
          <w:tcPr>
            <w:tcW w:w="226" w:type="pct"/>
            <w:tcBorders>
              <w:bottom w:val="single" w:sz="4" w:space="0" w:color="000000" w:themeColor="text1"/>
            </w:tcBorders>
            <w:shd w:val="clear" w:color="auto" w:fill="auto"/>
            <w:tcMar>
              <w:bottom w:w="43" w:type="dxa"/>
            </w:tcMar>
            <w:vAlign w:val="bottom"/>
          </w:tcPr>
          <w:p w:rsidR="007E6F25" w:rsidRPr="00C33804" w:rsidRDefault="007E6F25" w:rsidP="005705B2">
            <w:pPr>
              <w:jc w:val="center"/>
              <w:rPr>
                <w:rFonts w:ascii="Arial" w:hAnsi="Arial" w:cs="Arial"/>
                <w:sz w:val="13"/>
                <w:szCs w:val="13"/>
              </w:rPr>
            </w:pPr>
            <w:r>
              <w:rPr>
                <w:rFonts w:ascii="Arial" w:hAnsi="Arial" w:cs="Arial"/>
                <w:sz w:val="13"/>
                <w:szCs w:val="13"/>
              </w:rPr>
              <w:t>11</w:t>
            </w:r>
          </w:p>
        </w:tc>
        <w:tc>
          <w:tcPr>
            <w:tcW w:w="226" w:type="pct"/>
            <w:tcBorders>
              <w:right w:val="double" w:sz="6" w:space="0" w:color="auto"/>
            </w:tcBorders>
            <w:shd w:val="clear" w:color="auto" w:fill="auto"/>
            <w:tcMar>
              <w:bottom w:w="43" w:type="dxa"/>
            </w:tcMar>
            <w:vAlign w:val="bottom"/>
          </w:tcPr>
          <w:p w:rsidR="007E6F25" w:rsidRPr="00C33804" w:rsidRDefault="007E6F25" w:rsidP="005705B2">
            <w:pPr>
              <w:jc w:val="center"/>
              <w:rPr>
                <w:rFonts w:ascii="Arial" w:hAnsi="Arial" w:cs="Arial"/>
                <w:sz w:val="13"/>
                <w:szCs w:val="13"/>
              </w:rPr>
            </w:pPr>
            <w:r>
              <w:rPr>
                <w:rFonts w:ascii="Arial" w:hAnsi="Arial" w:cs="Arial"/>
                <w:sz w:val="13"/>
                <w:szCs w:val="13"/>
              </w:rPr>
              <w:t>12</w:t>
            </w:r>
          </w:p>
        </w:tc>
        <w:tc>
          <w:tcPr>
            <w:tcW w:w="139" w:type="pct"/>
            <w:tcBorders>
              <w:top w:val="nil"/>
              <w:left w:val="double" w:sz="6" w:space="0" w:color="auto"/>
              <w:bottom w:val="nil"/>
              <w:right w:val="double" w:sz="6" w:space="0" w:color="auto"/>
            </w:tcBorders>
            <w:shd w:val="clear" w:color="auto" w:fill="auto"/>
            <w:tcMar>
              <w:bottom w:w="43" w:type="dxa"/>
            </w:tcMar>
            <w:vAlign w:val="bottom"/>
          </w:tcPr>
          <w:p w:rsidR="007E6F25" w:rsidRPr="00C33804" w:rsidRDefault="007E6F25" w:rsidP="005705B2">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auto"/>
            </w:tcBorders>
            <w:shd w:val="clear" w:color="auto" w:fill="auto"/>
            <w:tcMar>
              <w:bottom w:w="43" w:type="dxa"/>
            </w:tcMar>
            <w:vAlign w:val="bottom"/>
          </w:tcPr>
          <w:p w:rsidR="007E6F25" w:rsidRPr="00C33804" w:rsidRDefault="007E6F25" w:rsidP="005705B2">
            <w:pPr>
              <w:jc w:val="center"/>
              <w:rPr>
                <w:rFonts w:ascii="Arial" w:hAnsi="Arial" w:cs="Arial"/>
                <w:sz w:val="13"/>
                <w:szCs w:val="13"/>
              </w:rPr>
            </w:pPr>
            <w:r>
              <w:rPr>
                <w:rFonts w:ascii="Arial" w:hAnsi="Arial" w:cs="Arial"/>
                <w:sz w:val="13"/>
                <w:szCs w:val="13"/>
              </w:rPr>
              <w:t>3</w:t>
            </w:r>
          </w:p>
        </w:tc>
        <w:tc>
          <w:tcPr>
            <w:tcW w:w="222"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bottom w:w="43" w:type="dxa"/>
            </w:tcMar>
            <w:vAlign w:val="bottom"/>
          </w:tcPr>
          <w:p w:rsidR="007E6F25" w:rsidRPr="00C33804" w:rsidRDefault="007E6F25" w:rsidP="005705B2">
            <w:pPr>
              <w:jc w:val="center"/>
              <w:rPr>
                <w:rFonts w:ascii="Arial" w:hAnsi="Arial" w:cs="Arial"/>
                <w:sz w:val="13"/>
                <w:szCs w:val="13"/>
              </w:rPr>
            </w:pPr>
            <w:r>
              <w:rPr>
                <w:rFonts w:ascii="Arial" w:hAnsi="Arial" w:cs="Arial"/>
                <w:sz w:val="13"/>
                <w:szCs w:val="13"/>
              </w:rPr>
              <w:t>4</w:t>
            </w:r>
          </w:p>
        </w:tc>
        <w:tc>
          <w:tcPr>
            <w:tcW w:w="223" w:type="pct"/>
            <w:tcBorders>
              <w:left w:val="single" w:sz="4" w:space="0" w:color="auto"/>
              <w:bottom w:val="single" w:sz="4" w:space="0" w:color="000000" w:themeColor="text1"/>
            </w:tcBorders>
            <w:shd w:val="clear" w:color="auto" w:fill="FFFFFF" w:themeFill="background1"/>
            <w:tcMar>
              <w:bottom w:w="43" w:type="dxa"/>
            </w:tcMar>
            <w:vAlign w:val="bottom"/>
          </w:tcPr>
          <w:p w:rsidR="007E6F25" w:rsidRPr="00C33804" w:rsidRDefault="007E6F25" w:rsidP="005705B2">
            <w:pPr>
              <w:jc w:val="center"/>
              <w:rPr>
                <w:rFonts w:ascii="Arial" w:hAnsi="Arial" w:cs="Arial"/>
                <w:sz w:val="13"/>
                <w:szCs w:val="13"/>
              </w:rPr>
            </w:pPr>
            <w:r>
              <w:rPr>
                <w:rFonts w:ascii="Arial" w:hAnsi="Arial" w:cs="Arial"/>
                <w:sz w:val="13"/>
                <w:szCs w:val="13"/>
              </w:rPr>
              <w:t>5</w:t>
            </w:r>
          </w:p>
        </w:tc>
        <w:tc>
          <w:tcPr>
            <w:tcW w:w="222" w:type="pct"/>
            <w:tcBorders>
              <w:bottom w:val="single" w:sz="4" w:space="0" w:color="000000" w:themeColor="text1"/>
            </w:tcBorders>
            <w:shd w:val="clear" w:color="auto" w:fill="FFFFFF" w:themeFill="background1"/>
            <w:tcMar>
              <w:bottom w:w="43" w:type="dxa"/>
            </w:tcMar>
            <w:vAlign w:val="bottom"/>
          </w:tcPr>
          <w:p w:rsidR="007E6F25" w:rsidRPr="00C33804" w:rsidRDefault="007E6F25" w:rsidP="005705B2">
            <w:pPr>
              <w:jc w:val="center"/>
              <w:rPr>
                <w:rFonts w:ascii="Arial" w:hAnsi="Arial" w:cs="Arial"/>
                <w:sz w:val="13"/>
                <w:szCs w:val="13"/>
              </w:rPr>
            </w:pPr>
            <w:r>
              <w:rPr>
                <w:rFonts w:ascii="Arial" w:hAnsi="Arial" w:cs="Arial"/>
                <w:sz w:val="13"/>
                <w:szCs w:val="13"/>
              </w:rPr>
              <w:t>6</w:t>
            </w:r>
          </w:p>
        </w:tc>
        <w:tc>
          <w:tcPr>
            <w:tcW w:w="223" w:type="pct"/>
            <w:tcBorders>
              <w:bottom w:val="single" w:sz="4" w:space="0" w:color="000000" w:themeColor="text1"/>
            </w:tcBorders>
            <w:shd w:val="clear" w:color="auto" w:fill="FFFFFF" w:themeFill="background1"/>
            <w:tcMar>
              <w:bottom w:w="43" w:type="dxa"/>
            </w:tcMar>
            <w:vAlign w:val="bottom"/>
          </w:tcPr>
          <w:p w:rsidR="007E6F25" w:rsidRPr="00C33804" w:rsidRDefault="007E6F25" w:rsidP="005705B2">
            <w:pPr>
              <w:jc w:val="center"/>
              <w:rPr>
                <w:rFonts w:ascii="Arial" w:hAnsi="Arial" w:cs="Arial"/>
                <w:sz w:val="13"/>
                <w:szCs w:val="13"/>
              </w:rPr>
            </w:pPr>
            <w:r>
              <w:rPr>
                <w:rFonts w:ascii="Arial" w:hAnsi="Arial" w:cs="Arial"/>
                <w:sz w:val="13"/>
                <w:szCs w:val="13"/>
              </w:rPr>
              <w:t>7</w:t>
            </w:r>
          </w:p>
        </w:tc>
        <w:tc>
          <w:tcPr>
            <w:tcW w:w="222" w:type="pct"/>
            <w:tcBorders>
              <w:bottom w:val="single" w:sz="4" w:space="0" w:color="000000" w:themeColor="text1"/>
            </w:tcBorders>
            <w:shd w:val="clear" w:color="auto" w:fill="FFFFFF" w:themeFill="background1"/>
            <w:tcMar>
              <w:bottom w:w="43" w:type="dxa"/>
            </w:tcMar>
            <w:vAlign w:val="bottom"/>
          </w:tcPr>
          <w:p w:rsidR="007E6F25" w:rsidRPr="00C33804" w:rsidRDefault="007E6F25" w:rsidP="005705B2">
            <w:pPr>
              <w:jc w:val="center"/>
              <w:rPr>
                <w:rFonts w:ascii="Arial" w:hAnsi="Arial" w:cs="Arial"/>
                <w:sz w:val="13"/>
                <w:szCs w:val="13"/>
              </w:rPr>
            </w:pPr>
            <w:r>
              <w:rPr>
                <w:rFonts w:ascii="Arial" w:hAnsi="Arial" w:cs="Arial"/>
                <w:sz w:val="13"/>
                <w:szCs w:val="13"/>
              </w:rPr>
              <w:t>8</w:t>
            </w:r>
          </w:p>
        </w:tc>
        <w:tc>
          <w:tcPr>
            <w:tcW w:w="223" w:type="pct"/>
            <w:tcBorders>
              <w:right w:val="double" w:sz="6" w:space="0" w:color="auto"/>
            </w:tcBorders>
            <w:shd w:val="clear" w:color="auto" w:fill="auto"/>
            <w:tcMar>
              <w:bottom w:w="43" w:type="dxa"/>
            </w:tcMar>
            <w:vAlign w:val="bottom"/>
          </w:tcPr>
          <w:p w:rsidR="007E6F25" w:rsidRPr="00C33804" w:rsidRDefault="007E6F25" w:rsidP="005705B2">
            <w:pPr>
              <w:jc w:val="center"/>
              <w:rPr>
                <w:rFonts w:ascii="Arial" w:hAnsi="Arial" w:cs="Arial"/>
                <w:sz w:val="13"/>
                <w:szCs w:val="13"/>
              </w:rPr>
            </w:pPr>
            <w:r>
              <w:rPr>
                <w:rFonts w:ascii="Arial" w:hAnsi="Arial" w:cs="Arial"/>
                <w:sz w:val="13"/>
                <w:szCs w:val="13"/>
              </w:rPr>
              <w:t>9</w:t>
            </w:r>
          </w:p>
        </w:tc>
      </w:tr>
      <w:tr w:rsidR="007E6F25" w:rsidRPr="00C33804" w:rsidTr="005705B2">
        <w:trPr>
          <w:trHeight w:val="346"/>
        </w:trPr>
        <w:tc>
          <w:tcPr>
            <w:tcW w:w="226" w:type="pct"/>
            <w:tcBorders>
              <w:left w:val="double" w:sz="6" w:space="0" w:color="auto"/>
              <w:bottom w:val="single" w:sz="4" w:space="0" w:color="000000" w:themeColor="text1"/>
              <w:right w:val="single" w:sz="4" w:space="0" w:color="auto"/>
            </w:tcBorders>
            <w:shd w:val="clear" w:color="auto" w:fill="auto"/>
            <w:tcMar>
              <w:bottom w:w="43" w:type="dxa"/>
            </w:tcMar>
            <w:vAlign w:val="bottom"/>
          </w:tcPr>
          <w:p w:rsidR="007E6F25" w:rsidRPr="00C33804" w:rsidRDefault="007E6F25" w:rsidP="005705B2">
            <w:pPr>
              <w:jc w:val="center"/>
              <w:rPr>
                <w:rFonts w:ascii="Arial" w:hAnsi="Arial" w:cs="Arial"/>
                <w:sz w:val="13"/>
                <w:szCs w:val="13"/>
              </w:rPr>
            </w:pPr>
            <w:r>
              <w:rPr>
                <w:rFonts w:ascii="Arial" w:hAnsi="Arial" w:cs="Arial"/>
                <w:sz w:val="13"/>
                <w:szCs w:val="13"/>
              </w:rPr>
              <w:t>15</w:t>
            </w:r>
          </w:p>
        </w:tc>
        <w:tc>
          <w:tcPr>
            <w:tcW w:w="22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bottom w:w="43" w:type="dxa"/>
            </w:tcMar>
            <w:vAlign w:val="bottom"/>
          </w:tcPr>
          <w:p w:rsidR="007E6F25" w:rsidRPr="00C33804" w:rsidRDefault="007E6F25" w:rsidP="005705B2">
            <w:pPr>
              <w:jc w:val="center"/>
              <w:rPr>
                <w:rFonts w:ascii="Arial" w:hAnsi="Arial" w:cs="Arial"/>
                <w:sz w:val="13"/>
                <w:szCs w:val="13"/>
              </w:rPr>
            </w:pPr>
            <w:r>
              <w:rPr>
                <w:rFonts w:ascii="Arial" w:hAnsi="Arial" w:cs="Arial"/>
                <w:sz w:val="13"/>
                <w:szCs w:val="13"/>
              </w:rPr>
              <w:t>16</w:t>
            </w:r>
          </w:p>
        </w:tc>
        <w:tc>
          <w:tcPr>
            <w:tcW w:w="227" w:type="pct"/>
            <w:tcBorders>
              <w:top w:val="single" w:sz="4" w:space="0" w:color="000000" w:themeColor="text1"/>
              <w:left w:val="single" w:sz="4" w:space="0" w:color="auto"/>
              <w:bottom w:val="single" w:sz="4" w:space="0" w:color="000000" w:themeColor="text1"/>
            </w:tcBorders>
            <w:shd w:val="clear" w:color="auto" w:fill="BFBFBF" w:themeFill="background1" w:themeFillShade="BF"/>
            <w:tcMar>
              <w:bottom w:w="43" w:type="dxa"/>
            </w:tcMar>
            <w:vAlign w:val="bottom"/>
          </w:tcPr>
          <w:p w:rsidR="007E6F25" w:rsidRPr="00C33804" w:rsidRDefault="007E6F25" w:rsidP="005705B2">
            <w:pPr>
              <w:jc w:val="center"/>
              <w:rPr>
                <w:rFonts w:ascii="Arial" w:hAnsi="Arial" w:cs="Arial"/>
                <w:sz w:val="13"/>
                <w:szCs w:val="13"/>
              </w:rPr>
            </w:pPr>
            <w:r>
              <w:rPr>
                <w:rFonts w:ascii="Arial" w:hAnsi="Arial" w:cs="Arial"/>
                <w:sz w:val="13"/>
                <w:szCs w:val="13"/>
              </w:rPr>
              <w:t>17</w:t>
            </w:r>
          </w:p>
        </w:tc>
        <w:tc>
          <w:tcPr>
            <w:tcW w:w="226"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5705B2">
            <w:pPr>
              <w:jc w:val="center"/>
              <w:rPr>
                <w:rFonts w:ascii="Arial" w:hAnsi="Arial" w:cs="Arial"/>
                <w:sz w:val="13"/>
                <w:szCs w:val="13"/>
              </w:rPr>
            </w:pPr>
            <w:r>
              <w:rPr>
                <w:rFonts w:ascii="Arial" w:hAnsi="Arial" w:cs="Arial"/>
                <w:sz w:val="13"/>
                <w:szCs w:val="13"/>
              </w:rPr>
              <w:t>18</w:t>
            </w:r>
          </w:p>
        </w:tc>
        <w:tc>
          <w:tcPr>
            <w:tcW w:w="227" w:type="pct"/>
            <w:tcBorders>
              <w:top w:val="single" w:sz="4" w:space="0" w:color="000000" w:themeColor="text1"/>
              <w:bottom w:val="single" w:sz="4" w:space="0" w:color="000000" w:themeColor="text1"/>
              <w:right w:val="single" w:sz="4" w:space="0" w:color="auto"/>
            </w:tcBorders>
            <w:shd w:val="clear" w:color="auto" w:fill="BFBFBF" w:themeFill="background1" w:themeFillShade="BF"/>
            <w:tcMar>
              <w:bottom w:w="43" w:type="dxa"/>
            </w:tcMar>
            <w:vAlign w:val="bottom"/>
          </w:tcPr>
          <w:p w:rsidR="007E6F25" w:rsidRPr="00C33804" w:rsidRDefault="007E6F25" w:rsidP="005705B2">
            <w:pPr>
              <w:jc w:val="center"/>
              <w:rPr>
                <w:rFonts w:ascii="Arial" w:hAnsi="Arial" w:cs="Arial"/>
                <w:sz w:val="13"/>
                <w:szCs w:val="13"/>
              </w:rPr>
            </w:pPr>
            <w:r>
              <w:rPr>
                <w:rFonts w:ascii="Arial" w:hAnsi="Arial" w:cs="Arial"/>
                <w:sz w:val="13"/>
                <w:szCs w:val="13"/>
              </w:rPr>
              <w:t>19</w:t>
            </w:r>
          </w:p>
        </w:tc>
        <w:tc>
          <w:tcPr>
            <w:tcW w:w="22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bottom w:w="43" w:type="dxa"/>
            </w:tcMar>
            <w:vAlign w:val="bottom"/>
          </w:tcPr>
          <w:p w:rsidR="007E6F25" w:rsidRPr="00C33804" w:rsidRDefault="007E6F25" w:rsidP="005705B2">
            <w:pPr>
              <w:jc w:val="center"/>
              <w:rPr>
                <w:rFonts w:ascii="Arial" w:hAnsi="Arial" w:cs="Arial"/>
                <w:sz w:val="13"/>
                <w:szCs w:val="13"/>
              </w:rPr>
            </w:pPr>
            <w:r>
              <w:rPr>
                <w:rFonts w:ascii="Arial" w:hAnsi="Arial" w:cs="Arial"/>
                <w:sz w:val="13"/>
                <w:szCs w:val="13"/>
              </w:rPr>
              <w:t>20</w:t>
            </w:r>
          </w:p>
        </w:tc>
        <w:tc>
          <w:tcPr>
            <w:tcW w:w="228" w:type="pct"/>
            <w:tcBorders>
              <w:left w:val="single" w:sz="4" w:space="0" w:color="auto"/>
              <w:right w:val="double" w:sz="6" w:space="0" w:color="auto"/>
            </w:tcBorders>
            <w:shd w:val="clear" w:color="auto" w:fill="auto"/>
            <w:tcMar>
              <w:bottom w:w="43" w:type="dxa"/>
            </w:tcMar>
            <w:vAlign w:val="bottom"/>
          </w:tcPr>
          <w:p w:rsidR="007E6F25" w:rsidRPr="00C33804" w:rsidRDefault="007E6F25" w:rsidP="005705B2">
            <w:pPr>
              <w:jc w:val="center"/>
              <w:rPr>
                <w:rFonts w:ascii="Arial" w:hAnsi="Arial" w:cs="Arial"/>
                <w:sz w:val="13"/>
                <w:szCs w:val="13"/>
              </w:rPr>
            </w:pPr>
            <w:r>
              <w:rPr>
                <w:rFonts w:ascii="Arial" w:hAnsi="Arial" w:cs="Arial"/>
                <w:sz w:val="13"/>
                <w:szCs w:val="13"/>
              </w:rPr>
              <w:t>21</w:t>
            </w:r>
          </w:p>
        </w:tc>
        <w:tc>
          <w:tcPr>
            <w:tcW w:w="137" w:type="pct"/>
            <w:tcBorders>
              <w:top w:val="nil"/>
              <w:left w:val="double" w:sz="6" w:space="0" w:color="auto"/>
              <w:bottom w:val="nil"/>
              <w:right w:val="double" w:sz="6" w:space="0" w:color="auto"/>
            </w:tcBorders>
            <w:shd w:val="clear" w:color="auto" w:fill="auto"/>
            <w:tcMar>
              <w:bottom w:w="43" w:type="dxa"/>
            </w:tcMar>
            <w:vAlign w:val="bottom"/>
          </w:tcPr>
          <w:p w:rsidR="007E6F25" w:rsidRPr="00C33804" w:rsidRDefault="007E6F25" w:rsidP="005705B2">
            <w:pPr>
              <w:tabs>
                <w:tab w:val="center" w:pos="5220"/>
                <w:tab w:val="right" w:pos="10440"/>
              </w:tabs>
              <w:jc w:val="center"/>
              <w:rPr>
                <w:rFonts w:ascii="Arial" w:hAnsi="Arial" w:cs="Arial"/>
                <w:sz w:val="13"/>
                <w:szCs w:val="13"/>
              </w:rPr>
            </w:pPr>
          </w:p>
        </w:tc>
        <w:tc>
          <w:tcPr>
            <w:tcW w:w="225" w:type="pct"/>
            <w:tcBorders>
              <w:left w:val="double" w:sz="6" w:space="0" w:color="auto"/>
              <w:right w:val="single" w:sz="4" w:space="0" w:color="000000" w:themeColor="text1"/>
            </w:tcBorders>
            <w:shd w:val="clear" w:color="auto" w:fill="auto"/>
            <w:tcMar>
              <w:bottom w:w="43" w:type="dxa"/>
            </w:tcMar>
            <w:vAlign w:val="bottom"/>
          </w:tcPr>
          <w:p w:rsidR="007E6F25" w:rsidRPr="00C33804" w:rsidRDefault="007E6F25" w:rsidP="005705B2">
            <w:pPr>
              <w:jc w:val="center"/>
              <w:rPr>
                <w:rFonts w:ascii="Arial" w:hAnsi="Arial" w:cs="Arial"/>
                <w:sz w:val="13"/>
                <w:szCs w:val="13"/>
              </w:rPr>
            </w:pPr>
            <w:r>
              <w:rPr>
                <w:rFonts w:ascii="Arial" w:hAnsi="Arial" w:cs="Arial"/>
                <w:sz w:val="13"/>
                <w:szCs w:val="13"/>
              </w:rPr>
              <w:t>13</w:t>
            </w:r>
          </w:p>
        </w:tc>
        <w:tc>
          <w:tcPr>
            <w:tcW w:w="226" w:type="pct"/>
            <w:tcBorders>
              <w:top w:val="single" w:sz="4" w:space="0" w:color="000000" w:themeColor="text1"/>
              <w:left w:val="single" w:sz="4" w:space="0" w:color="000000" w:themeColor="text1"/>
              <w:bottom w:val="double" w:sz="4" w:space="0" w:color="auto"/>
              <w:right w:val="single" w:sz="4" w:space="0" w:color="000000" w:themeColor="text1"/>
            </w:tcBorders>
            <w:shd w:val="clear" w:color="auto" w:fill="BFBFBF" w:themeFill="background1" w:themeFillShade="BF"/>
            <w:tcMar>
              <w:bottom w:w="43" w:type="dxa"/>
            </w:tcMar>
            <w:vAlign w:val="bottom"/>
          </w:tcPr>
          <w:p w:rsidR="007E6F25" w:rsidRPr="00C33804" w:rsidRDefault="007E6F25" w:rsidP="005705B2">
            <w:pPr>
              <w:jc w:val="center"/>
              <w:rPr>
                <w:rFonts w:ascii="Arial" w:hAnsi="Arial" w:cs="Arial"/>
                <w:sz w:val="13"/>
                <w:szCs w:val="13"/>
              </w:rPr>
            </w:pPr>
            <w:r>
              <w:rPr>
                <w:rFonts w:ascii="Arial" w:hAnsi="Arial" w:cs="Arial"/>
                <w:sz w:val="13"/>
                <w:szCs w:val="13"/>
              </w:rPr>
              <w:t>14</w:t>
            </w:r>
          </w:p>
        </w:tc>
        <w:tc>
          <w:tcPr>
            <w:tcW w:w="226" w:type="pct"/>
            <w:tcBorders>
              <w:left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5705B2">
            <w:pPr>
              <w:jc w:val="center"/>
              <w:rPr>
                <w:rFonts w:ascii="Arial" w:hAnsi="Arial" w:cs="Arial"/>
                <w:sz w:val="13"/>
                <w:szCs w:val="13"/>
              </w:rPr>
            </w:pPr>
            <w:r>
              <w:rPr>
                <w:rFonts w:ascii="Arial" w:hAnsi="Arial" w:cs="Arial"/>
                <w:sz w:val="13"/>
                <w:szCs w:val="13"/>
              </w:rPr>
              <w:t>15</w:t>
            </w: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5705B2">
            <w:pPr>
              <w:jc w:val="center"/>
              <w:rPr>
                <w:rFonts w:ascii="Arial" w:hAnsi="Arial" w:cs="Arial"/>
                <w:sz w:val="13"/>
                <w:szCs w:val="13"/>
              </w:rPr>
            </w:pPr>
            <w:r>
              <w:rPr>
                <w:rFonts w:ascii="Arial" w:hAnsi="Arial" w:cs="Arial"/>
                <w:sz w:val="13"/>
                <w:szCs w:val="13"/>
              </w:rPr>
              <w:t>16</w:t>
            </w: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5705B2">
            <w:pPr>
              <w:jc w:val="center"/>
              <w:rPr>
                <w:rFonts w:ascii="Arial" w:hAnsi="Arial" w:cs="Arial"/>
                <w:sz w:val="13"/>
                <w:szCs w:val="13"/>
              </w:rPr>
            </w:pPr>
            <w:r>
              <w:rPr>
                <w:rFonts w:ascii="Arial" w:hAnsi="Arial" w:cs="Arial"/>
                <w:sz w:val="13"/>
                <w:szCs w:val="13"/>
              </w:rPr>
              <w:t>17</w:t>
            </w: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5705B2">
            <w:pPr>
              <w:jc w:val="center"/>
              <w:rPr>
                <w:rFonts w:ascii="Arial" w:hAnsi="Arial" w:cs="Arial"/>
                <w:sz w:val="13"/>
                <w:szCs w:val="13"/>
              </w:rPr>
            </w:pPr>
            <w:r>
              <w:rPr>
                <w:rFonts w:ascii="Arial" w:hAnsi="Arial" w:cs="Arial"/>
                <w:sz w:val="13"/>
                <w:szCs w:val="13"/>
              </w:rPr>
              <w:t>18</w:t>
            </w:r>
          </w:p>
        </w:tc>
        <w:tc>
          <w:tcPr>
            <w:tcW w:w="226" w:type="pct"/>
            <w:tcBorders>
              <w:right w:val="double" w:sz="6" w:space="0" w:color="auto"/>
            </w:tcBorders>
            <w:shd w:val="clear" w:color="auto" w:fill="auto"/>
            <w:tcMar>
              <w:bottom w:w="43" w:type="dxa"/>
            </w:tcMar>
            <w:vAlign w:val="bottom"/>
          </w:tcPr>
          <w:p w:rsidR="007E6F25" w:rsidRPr="00C33804" w:rsidRDefault="007E6F25" w:rsidP="005705B2">
            <w:pPr>
              <w:jc w:val="center"/>
              <w:rPr>
                <w:rFonts w:ascii="Arial" w:hAnsi="Arial" w:cs="Arial"/>
                <w:sz w:val="13"/>
                <w:szCs w:val="13"/>
              </w:rPr>
            </w:pPr>
            <w:r>
              <w:rPr>
                <w:rFonts w:ascii="Arial" w:hAnsi="Arial" w:cs="Arial"/>
                <w:sz w:val="13"/>
                <w:szCs w:val="13"/>
              </w:rPr>
              <w:t>19</w:t>
            </w:r>
          </w:p>
        </w:tc>
        <w:tc>
          <w:tcPr>
            <w:tcW w:w="139" w:type="pct"/>
            <w:tcBorders>
              <w:top w:val="nil"/>
              <w:left w:val="double" w:sz="6" w:space="0" w:color="auto"/>
              <w:bottom w:val="nil"/>
              <w:right w:val="double" w:sz="6" w:space="0" w:color="auto"/>
            </w:tcBorders>
            <w:shd w:val="clear" w:color="auto" w:fill="auto"/>
            <w:tcMar>
              <w:bottom w:w="43" w:type="dxa"/>
            </w:tcMar>
            <w:vAlign w:val="bottom"/>
          </w:tcPr>
          <w:p w:rsidR="007E6F25" w:rsidRPr="00C33804" w:rsidRDefault="007E6F25" w:rsidP="005705B2">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000000" w:themeColor="text1"/>
            </w:tcBorders>
            <w:shd w:val="clear" w:color="auto" w:fill="auto"/>
            <w:tcMar>
              <w:bottom w:w="43" w:type="dxa"/>
            </w:tcMar>
            <w:vAlign w:val="bottom"/>
          </w:tcPr>
          <w:p w:rsidR="007E6F25" w:rsidRPr="00C33804" w:rsidRDefault="007E6F25" w:rsidP="005705B2">
            <w:pPr>
              <w:jc w:val="center"/>
              <w:rPr>
                <w:rFonts w:ascii="Arial" w:hAnsi="Arial" w:cs="Arial"/>
                <w:sz w:val="13"/>
                <w:szCs w:val="13"/>
              </w:rPr>
            </w:pPr>
            <w:r>
              <w:rPr>
                <w:rFonts w:ascii="Arial" w:hAnsi="Arial" w:cs="Arial"/>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C33804" w:rsidRDefault="007E6F25" w:rsidP="005705B2">
            <w:pPr>
              <w:jc w:val="center"/>
              <w:rPr>
                <w:rFonts w:ascii="Arial" w:hAnsi="Arial" w:cs="Arial"/>
                <w:sz w:val="13"/>
                <w:szCs w:val="13"/>
              </w:rPr>
            </w:pPr>
            <w:r>
              <w:rPr>
                <w:rFonts w:ascii="Arial" w:hAnsi="Arial" w:cs="Arial"/>
                <w:sz w:val="13"/>
                <w:szCs w:val="13"/>
              </w:rPr>
              <w:t>11</w:t>
            </w:r>
          </w:p>
        </w:tc>
        <w:tc>
          <w:tcPr>
            <w:tcW w:w="223" w:type="pct"/>
            <w:tcBorders>
              <w:left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5705B2">
            <w:pPr>
              <w:jc w:val="center"/>
              <w:rPr>
                <w:rFonts w:ascii="Arial" w:hAnsi="Arial" w:cs="Arial"/>
                <w:sz w:val="13"/>
                <w:szCs w:val="13"/>
              </w:rPr>
            </w:pPr>
            <w:r>
              <w:rPr>
                <w:rFonts w:ascii="Arial" w:hAnsi="Arial" w:cs="Arial"/>
                <w:sz w:val="13"/>
                <w:szCs w:val="13"/>
              </w:rPr>
              <w:t>12</w:t>
            </w:r>
          </w:p>
        </w:tc>
        <w:tc>
          <w:tcPr>
            <w:tcW w:w="222"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5705B2">
            <w:pPr>
              <w:jc w:val="center"/>
              <w:rPr>
                <w:rFonts w:ascii="Arial" w:hAnsi="Arial" w:cs="Arial"/>
                <w:sz w:val="13"/>
                <w:szCs w:val="13"/>
              </w:rPr>
            </w:pPr>
            <w:r>
              <w:rPr>
                <w:rFonts w:ascii="Arial" w:hAnsi="Arial" w:cs="Arial"/>
                <w:sz w:val="13"/>
                <w:szCs w:val="13"/>
              </w:rPr>
              <w:t>13</w:t>
            </w:r>
          </w:p>
        </w:tc>
        <w:tc>
          <w:tcPr>
            <w:tcW w:w="223"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5705B2">
            <w:pPr>
              <w:jc w:val="center"/>
              <w:rPr>
                <w:rFonts w:ascii="Arial" w:hAnsi="Arial" w:cs="Arial"/>
                <w:sz w:val="13"/>
                <w:szCs w:val="13"/>
              </w:rPr>
            </w:pPr>
            <w:r>
              <w:rPr>
                <w:rFonts w:ascii="Arial" w:hAnsi="Arial" w:cs="Arial"/>
                <w:sz w:val="13"/>
                <w:szCs w:val="13"/>
              </w:rPr>
              <w:t>14</w:t>
            </w:r>
          </w:p>
        </w:tc>
        <w:tc>
          <w:tcPr>
            <w:tcW w:w="222"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5705B2">
            <w:pPr>
              <w:jc w:val="center"/>
              <w:rPr>
                <w:rFonts w:ascii="Arial" w:hAnsi="Arial" w:cs="Arial"/>
                <w:sz w:val="13"/>
                <w:szCs w:val="13"/>
              </w:rPr>
            </w:pPr>
            <w:r>
              <w:rPr>
                <w:rFonts w:ascii="Arial" w:hAnsi="Arial" w:cs="Arial"/>
                <w:sz w:val="13"/>
                <w:szCs w:val="13"/>
              </w:rPr>
              <w:t>15</w:t>
            </w:r>
          </w:p>
        </w:tc>
        <w:tc>
          <w:tcPr>
            <w:tcW w:w="223" w:type="pct"/>
            <w:tcBorders>
              <w:right w:val="double" w:sz="6" w:space="0" w:color="auto"/>
            </w:tcBorders>
            <w:shd w:val="clear" w:color="auto" w:fill="auto"/>
            <w:tcMar>
              <w:bottom w:w="43" w:type="dxa"/>
            </w:tcMar>
            <w:vAlign w:val="bottom"/>
          </w:tcPr>
          <w:p w:rsidR="007E6F25" w:rsidRPr="00C33804" w:rsidRDefault="007E6F25" w:rsidP="005705B2">
            <w:pPr>
              <w:jc w:val="center"/>
              <w:rPr>
                <w:rFonts w:ascii="Arial" w:hAnsi="Arial" w:cs="Arial"/>
                <w:sz w:val="13"/>
                <w:szCs w:val="13"/>
              </w:rPr>
            </w:pPr>
            <w:r>
              <w:rPr>
                <w:rFonts w:ascii="Arial" w:hAnsi="Arial" w:cs="Arial"/>
                <w:sz w:val="13"/>
                <w:szCs w:val="13"/>
              </w:rPr>
              <w:t>16</w:t>
            </w:r>
          </w:p>
        </w:tc>
      </w:tr>
      <w:tr w:rsidR="007E6F25" w:rsidRPr="00C33804" w:rsidTr="005705B2">
        <w:trPr>
          <w:trHeight w:val="346"/>
        </w:trPr>
        <w:tc>
          <w:tcPr>
            <w:tcW w:w="226"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bottom w:w="43" w:type="dxa"/>
            </w:tcMar>
            <w:vAlign w:val="bottom"/>
          </w:tcPr>
          <w:p w:rsidR="007E6F25" w:rsidRPr="00C33804" w:rsidRDefault="007E6F25" w:rsidP="005705B2">
            <w:pPr>
              <w:jc w:val="center"/>
              <w:rPr>
                <w:rFonts w:ascii="Arial" w:hAnsi="Arial" w:cs="Arial"/>
                <w:sz w:val="13"/>
                <w:szCs w:val="13"/>
              </w:rPr>
            </w:pPr>
            <w:r>
              <w:rPr>
                <w:rFonts w:ascii="Arial" w:hAnsi="Arial" w:cs="Arial"/>
                <w:sz w:val="13"/>
                <w:szCs w:val="13"/>
              </w:rPr>
              <w:t>22</w:t>
            </w:r>
          </w:p>
        </w:tc>
        <w:tc>
          <w:tcPr>
            <w:tcW w:w="22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bottom w:w="43" w:type="dxa"/>
            </w:tcMar>
            <w:vAlign w:val="bottom"/>
          </w:tcPr>
          <w:p w:rsidR="007E6F25" w:rsidRPr="00C33804" w:rsidRDefault="007E6F25" w:rsidP="005705B2">
            <w:pPr>
              <w:jc w:val="center"/>
              <w:rPr>
                <w:rFonts w:ascii="Arial" w:hAnsi="Arial" w:cs="Arial"/>
                <w:sz w:val="13"/>
                <w:szCs w:val="13"/>
              </w:rPr>
            </w:pPr>
            <w:r>
              <w:rPr>
                <w:rFonts w:ascii="Arial" w:hAnsi="Arial" w:cs="Arial"/>
                <w:sz w:val="13"/>
                <w:szCs w:val="13"/>
              </w:rPr>
              <w:t>23</w:t>
            </w:r>
          </w:p>
        </w:tc>
        <w:tc>
          <w:tcPr>
            <w:tcW w:w="227" w:type="pct"/>
            <w:tcBorders>
              <w:top w:val="single" w:sz="4" w:space="0" w:color="000000" w:themeColor="text1"/>
              <w:left w:val="single" w:sz="4" w:space="0" w:color="auto"/>
              <w:bottom w:val="single" w:sz="4" w:space="0" w:color="000000" w:themeColor="text1"/>
            </w:tcBorders>
            <w:shd w:val="clear" w:color="auto" w:fill="BFBFBF" w:themeFill="background1" w:themeFillShade="BF"/>
            <w:tcMar>
              <w:bottom w:w="43" w:type="dxa"/>
            </w:tcMar>
            <w:vAlign w:val="bottom"/>
          </w:tcPr>
          <w:p w:rsidR="007E6F25" w:rsidRPr="00C33804" w:rsidRDefault="007E6F25" w:rsidP="005705B2">
            <w:pPr>
              <w:jc w:val="center"/>
              <w:rPr>
                <w:rFonts w:ascii="Arial" w:hAnsi="Arial" w:cs="Arial"/>
                <w:sz w:val="13"/>
                <w:szCs w:val="13"/>
              </w:rPr>
            </w:pPr>
            <w:r>
              <w:rPr>
                <w:rFonts w:ascii="Arial" w:hAnsi="Arial" w:cs="Arial"/>
                <w:sz w:val="13"/>
                <w:szCs w:val="13"/>
              </w:rPr>
              <w:t>24</w:t>
            </w:r>
          </w:p>
        </w:tc>
        <w:tc>
          <w:tcPr>
            <w:tcW w:w="226"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5705B2">
            <w:pPr>
              <w:jc w:val="center"/>
              <w:rPr>
                <w:rFonts w:ascii="Arial" w:hAnsi="Arial" w:cs="Arial"/>
                <w:sz w:val="13"/>
                <w:szCs w:val="13"/>
              </w:rPr>
            </w:pPr>
            <w:r>
              <w:rPr>
                <w:rFonts w:ascii="Arial" w:hAnsi="Arial" w:cs="Arial"/>
                <w:sz w:val="13"/>
                <w:szCs w:val="13"/>
              </w:rPr>
              <w:t>25</w:t>
            </w:r>
          </w:p>
        </w:tc>
        <w:tc>
          <w:tcPr>
            <w:tcW w:w="227"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5705B2">
            <w:pPr>
              <w:jc w:val="center"/>
              <w:rPr>
                <w:rFonts w:ascii="Arial" w:hAnsi="Arial" w:cs="Arial"/>
                <w:sz w:val="13"/>
                <w:szCs w:val="13"/>
              </w:rPr>
            </w:pPr>
            <w:r>
              <w:rPr>
                <w:rFonts w:ascii="Arial" w:hAnsi="Arial" w:cs="Arial"/>
                <w:sz w:val="13"/>
                <w:szCs w:val="13"/>
              </w:rPr>
              <w:t>26</w:t>
            </w:r>
          </w:p>
        </w:tc>
        <w:tc>
          <w:tcPr>
            <w:tcW w:w="226" w:type="pct"/>
            <w:tcBorders>
              <w:top w:val="single" w:sz="4" w:space="0" w:color="auto"/>
              <w:bottom w:val="single" w:sz="4" w:space="0" w:color="000000" w:themeColor="text1"/>
            </w:tcBorders>
            <w:shd w:val="clear" w:color="auto" w:fill="BFBFBF" w:themeFill="background1" w:themeFillShade="BF"/>
            <w:tcMar>
              <w:bottom w:w="43" w:type="dxa"/>
            </w:tcMar>
            <w:vAlign w:val="bottom"/>
          </w:tcPr>
          <w:p w:rsidR="007E6F25" w:rsidRPr="00C33804" w:rsidRDefault="007E6F25" w:rsidP="005705B2">
            <w:pPr>
              <w:jc w:val="center"/>
              <w:rPr>
                <w:rFonts w:ascii="Arial" w:hAnsi="Arial" w:cs="Arial"/>
                <w:sz w:val="13"/>
                <w:szCs w:val="13"/>
              </w:rPr>
            </w:pPr>
            <w:r>
              <w:rPr>
                <w:rFonts w:ascii="Arial" w:hAnsi="Arial" w:cs="Arial"/>
                <w:sz w:val="13"/>
                <w:szCs w:val="13"/>
              </w:rPr>
              <w:t>27</w:t>
            </w:r>
          </w:p>
        </w:tc>
        <w:tc>
          <w:tcPr>
            <w:tcW w:w="228" w:type="pct"/>
            <w:tcBorders>
              <w:right w:val="double" w:sz="6" w:space="0" w:color="auto"/>
            </w:tcBorders>
            <w:shd w:val="clear" w:color="auto" w:fill="auto"/>
            <w:tcMar>
              <w:bottom w:w="43" w:type="dxa"/>
            </w:tcMar>
            <w:vAlign w:val="bottom"/>
          </w:tcPr>
          <w:p w:rsidR="007E6F25" w:rsidRPr="00C33804" w:rsidRDefault="007E6F25" w:rsidP="005705B2">
            <w:pPr>
              <w:jc w:val="center"/>
              <w:rPr>
                <w:rFonts w:ascii="Arial" w:hAnsi="Arial" w:cs="Arial"/>
                <w:sz w:val="13"/>
                <w:szCs w:val="13"/>
              </w:rPr>
            </w:pPr>
            <w:r>
              <w:rPr>
                <w:rFonts w:ascii="Arial" w:hAnsi="Arial" w:cs="Arial"/>
                <w:sz w:val="13"/>
                <w:szCs w:val="13"/>
              </w:rPr>
              <w:t>28</w:t>
            </w:r>
          </w:p>
        </w:tc>
        <w:tc>
          <w:tcPr>
            <w:tcW w:w="137" w:type="pct"/>
            <w:tcBorders>
              <w:top w:val="nil"/>
              <w:left w:val="double" w:sz="6" w:space="0" w:color="auto"/>
              <w:bottom w:val="nil"/>
              <w:right w:val="double" w:sz="6" w:space="0" w:color="auto"/>
            </w:tcBorders>
            <w:shd w:val="clear" w:color="auto" w:fill="auto"/>
            <w:tcMar>
              <w:bottom w:w="43" w:type="dxa"/>
            </w:tcMar>
            <w:vAlign w:val="bottom"/>
          </w:tcPr>
          <w:p w:rsidR="007E6F25" w:rsidRPr="00C33804" w:rsidRDefault="007E6F25" w:rsidP="005705B2">
            <w:pPr>
              <w:tabs>
                <w:tab w:val="center" w:pos="5220"/>
                <w:tab w:val="right" w:pos="10440"/>
              </w:tabs>
              <w:jc w:val="center"/>
              <w:rPr>
                <w:rFonts w:ascii="Arial" w:hAnsi="Arial" w:cs="Arial"/>
                <w:sz w:val="13"/>
                <w:szCs w:val="13"/>
              </w:rPr>
            </w:pPr>
          </w:p>
        </w:tc>
        <w:tc>
          <w:tcPr>
            <w:tcW w:w="225" w:type="pct"/>
            <w:tcBorders>
              <w:left w:val="double" w:sz="6" w:space="0" w:color="auto"/>
              <w:right w:val="double" w:sz="4" w:space="0" w:color="auto"/>
            </w:tcBorders>
            <w:shd w:val="clear" w:color="auto" w:fill="auto"/>
            <w:tcMar>
              <w:bottom w:w="43" w:type="dxa"/>
            </w:tcMar>
            <w:vAlign w:val="bottom"/>
          </w:tcPr>
          <w:p w:rsidR="007E6F25" w:rsidRPr="00C33804" w:rsidRDefault="007E6F25" w:rsidP="005705B2">
            <w:pPr>
              <w:jc w:val="center"/>
              <w:rPr>
                <w:rFonts w:ascii="Arial" w:hAnsi="Arial" w:cs="Arial"/>
                <w:sz w:val="13"/>
                <w:szCs w:val="13"/>
              </w:rPr>
            </w:pPr>
            <w:r>
              <w:rPr>
                <w:rFonts w:ascii="Arial" w:hAnsi="Arial" w:cs="Arial"/>
                <w:sz w:val="13"/>
                <w:szCs w:val="13"/>
              </w:rPr>
              <w:t>20</w:t>
            </w:r>
          </w:p>
        </w:tc>
        <w:tc>
          <w:tcPr>
            <w:tcW w:w="226" w:type="pct"/>
            <w:tcBorders>
              <w:top w:val="double" w:sz="4" w:space="0" w:color="auto"/>
              <w:left w:val="double" w:sz="4" w:space="0" w:color="auto"/>
              <w:bottom w:val="double" w:sz="4" w:space="0" w:color="auto"/>
              <w:right w:val="double" w:sz="4" w:space="0" w:color="auto"/>
            </w:tcBorders>
            <w:shd w:val="clear" w:color="auto" w:fill="FFFFFF" w:themeFill="background1"/>
            <w:tcMar>
              <w:bottom w:w="43" w:type="dxa"/>
            </w:tcMar>
            <w:vAlign w:val="bottom"/>
          </w:tcPr>
          <w:p w:rsidR="007E6F25" w:rsidRPr="00800AD6" w:rsidRDefault="007E6F25" w:rsidP="005705B2">
            <w:pPr>
              <w:jc w:val="center"/>
              <w:rPr>
                <w:rFonts w:ascii="Arial" w:hAnsi="Arial" w:cs="Arial"/>
                <w:b/>
                <w:sz w:val="13"/>
                <w:szCs w:val="13"/>
              </w:rPr>
            </w:pPr>
            <w:r w:rsidRPr="00800AD6">
              <w:rPr>
                <w:rFonts w:ascii="Arial" w:hAnsi="Arial" w:cs="Arial"/>
                <w:b/>
                <w:sz w:val="13"/>
                <w:szCs w:val="13"/>
              </w:rPr>
              <w:t>H</w:t>
            </w:r>
          </w:p>
          <w:p w:rsidR="007E6F25" w:rsidRPr="00C33804" w:rsidRDefault="007E6F25" w:rsidP="005705B2">
            <w:pPr>
              <w:jc w:val="center"/>
              <w:rPr>
                <w:rFonts w:ascii="Arial" w:hAnsi="Arial" w:cs="Arial"/>
                <w:sz w:val="13"/>
                <w:szCs w:val="13"/>
              </w:rPr>
            </w:pPr>
            <w:r>
              <w:rPr>
                <w:rFonts w:ascii="Arial" w:hAnsi="Arial" w:cs="Arial"/>
                <w:sz w:val="13"/>
                <w:szCs w:val="13"/>
              </w:rPr>
              <w:t>21</w:t>
            </w:r>
          </w:p>
        </w:tc>
        <w:tc>
          <w:tcPr>
            <w:tcW w:w="226" w:type="pct"/>
            <w:tcBorders>
              <w:left w:val="double" w:sz="4" w:space="0" w:color="auto"/>
            </w:tcBorders>
            <w:shd w:val="clear" w:color="auto" w:fill="BFBFBF" w:themeFill="background1" w:themeFillShade="BF"/>
            <w:tcMar>
              <w:bottom w:w="43" w:type="dxa"/>
            </w:tcMar>
            <w:vAlign w:val="bottom"/>
          </w:tcPr>
          <w:p w:rsidR="007E6F25" w:rsidRPr="00C33804" w:rsidRDefault="007E6F25" w:rsidP="005705B2">
            <w:pPr>
              <w:jc w:val="center"/>
              <w:rPr>
                <w:rFonts w:ascii="Arial" w:hAnsi="Arial" w:cs="Arial"/>
                <w:sz w:val="13"/>
                <w:szCs w:val="13"/>
              </w:rPr>
            </w:pPr>
            <w:r>
              <w:rPr>
                <w:rFonts w:ascii="Arial" w:hAnsi="Arial" w:cs="Arial"/>
                <w:sz w:val="13"/>
                <w:szCs w:val="13"/>
              </w:rPr>
              <w:t>22</w:t>
            </w:r>
          </w:p>
        </w:tc>
        <w:tc>
          <w:tcPr>
            <w:tcW w:w="226" w:type="pct"/>
            <w:shd w:val="clear" w:color="auto" w:fill="BFBFBF" w:themeFill="background1" w:themeFillShade="BF"/>
            <w:tcMar>
              <w:bottom w:w="43" w:type="dxa"/>
            </w:tcMar>
            <w:vAlign w:val="bottom"/>
          </w:tcPr>
          <w:p w:rsidR="007E6F25" w:rsidRPr="00C33804" w:rsidRDefault="007E6F25" w:rsidP="005705B2">
            <w:pPr>
              <w:jc w:val="center"/>
              <w:rPr>
                <w:rFonts w:ascii="Arial" w:hAnsi="Arial" w:cs="Arial"/>
                <w:sz w:val="13"/>
                <w:szCs w:val="13"/>
              </w:rPr>
            </w:pPr>
            <w:r>
              <w:rPr>
                <w:rFonts w:ascii="Arial" w:hAnsi="Arial" w:cs="Arial"/>
                <w:sz w:val="13"/>
                <w:szCs w:val="13"/>
              </w:rPr>
              <w:t>23</w:t>
            </w:r>
          </w:p>
        </w:tc>
        <w:tc>
          <w:tcPr>
            <w:tcW w:w="226" w:type="pct"/>
            <w:shd w:val="clear" w:color="auto" w:fill="BFBFBF" w:themeFill="background1" w:themeFillShade="BF"/>
            <w:tcMar>
              <w:bottom w:w="43" w:type="dxa"/>
            </w:tcMar>
            <w:vAlign w:val="bottom"/>
          </w:tcPr>
          <w:p w:rsidR="007E6F25" w:rsidRPr="00C33804" w:rsidRDefault="007E6F25" w:rsidP="005705B2">
            <w:pPr>
              <w:jc w:val="center"/>
              <w:rPr>
                <w:rFonts w:ascii="Arial" w:hAnsi="Arial" w:cs="Arial"/>
                <w:sz w:val="13"/>
                <w:szCs w:val="13"/>
              </w:rPr>
            </w:pPr>
            <w:r>
              <w:rPr>
                <w:rFonts w:ascii="Arial" w:hAnsi="Arial" w:cs="Arial"/>
                <w:sz w:val="13"/>
                <w:szCs w:val="13"/>
              </w:rPr>
              <w:t>24</w:t>
            </w:r>
          </w:p>
        </w:tc>
        <w:tc>
          <w:tcPr>
            <w:tcW w:w="226" w:type="pct"/>
            <w:shd w:val="clear" w:color="auto" w:fill="BFBFBF" w:themeFill="background1" w:themeFillShade="BF"/>
            <w:tcMar>
              <w:bottom w:w="43" w:type="dxa"/>
            </w:tcMar>
            <w:vAlign w:val="bottom"/>
          </w:tcPr>
          <w:p w:rsidR="007E6F25" w:rsidRPr="00C33804" w:rsidRDefault="007E6F25" w:rsidP="005705B2">
            <w:pPr>
              <w:jc w:val="center"/>
              <w:rPr>
                <w:rFonts w:ascii="Arial" w:hAnsi="Arial" w:cs="Arial"/>
                <w:sz w:val="13"/>
                <w:szCs w:val="13"/>
              </w:rPr>
            </w:pPr>
            <w:r>
              <w:rPr>
                <w:rFonts w:ascii="Arial" w:hAnsi="Arial" w:cs="Arial"/>
                <w:sz w:val="13"/>
                <w:szCs w:val="13"/>
              </w:rPr>
              <w:t>25</w:t>
            </w:r>
          </w:p>
        </w:tc>
        <w:tc>
          <w:tcPr>
            <w:tcW w:w="226" w:type="pct"/>
            <w:tcBorders>
              <w:right w:val="double" w:sz="6" w:space="0" w:color="auto"/>
            </w:tcBorders>
            <w:shd w:val="clear" w:color="auto" w:fill="auto"/>
            <w:tcMar>
              <w:bottom w:w="43" w:type="dxa"/>
            </w:tcMar>
            <w:vAlign w:val="bottom"/>
          </w:tcPr>
          <w:p w:rsidR="007E6F25" w:rsidRPr="00C33804" w:rsidRDefault="007E6F25" w:rsidP="005705B2">
            <w:pPr>
              <w:jc w:val="center"/>
              <w:rPr>
                <w:rFonts w:ascii="Arial" w:hAnsi="Arial" w:cs="Arial"/>
                <w:sz w:val="13"/>
                <w:szCs w:val="13"/>
              </w:rPr>
            </w:pPr>
            <w:r>
              <w:rPr>
                <w:rFonts w:ascii="Arial" w:hAnsi="Arial" w:cs="Arial"/>
                <w:sz w:val="13"/>
                <w:szCs w:val="13"/>
              </w:rPr>
              <w:t>26</w:t>
            </w:r>
          </w:p>
        </w:tc>
        <w:tc>
          <w:tcPr>
            <w:tcW w:w="139" w:type="pct"/>
            <w:tcBorders>
              <w:top w:val="nil"/>
              <w:left w:val="double" w:sz="6" w:space="0" w:color="auto"/>
              <w:bottom w:val="nil"/>
              <w:right w:val="double" w:sz="6" w:space="0" w:color="auto"/>
            </w:tcBorders>
            <w:shd w:val="clear" w:color="auto" w:fill="auto"/>
            <w:tcMar>
              <w:bottom w:w="43" w:type="dxa"/>
            </w:tcMar>
            <w:vAlign w:val="bottom"/>
          </w:tcPr>
          <w:p w:rsidR="007E6F25" w:rsidRPr="00C33804" w:rsidRDefault="007E6F25" w:rsidP="005705B2">
            <w:pPr>
              <w:tabs>
                <w:tab w:val="center" w:pos="5220"/>
                <w:tab w:val="right" w:pos="10440"/>
              </w:tabs>
              <w:jc w:val="center"/>
              <w:rPr>
                <w:rFonts w:ascii="Arial" w:hAnsi="Arial" w:cs="Arial"/>
                <w:sz w:val="13"/>
                <w:szCs w:val="13"/>
              </w:rPr>
            </w:pPr>
          </w:p>
        </w:tc>
        <w:tc>
          <w:tcPr>
            <w:tcW w:w="222" w:type="pct"/>
            <w:tcBorders>
              <w:left w:val="double" w:sz="6" w:space="0" w:color="auto"/>
            </w:tcBorders>
            <w:shd w:val="clear" w:color="auto" w:fill="auto"/>
            <w:tcMar>
              <w:bottom w:w="43" w:type="dxa"/>
            </w:tcMar>
            <w:vAlign w:val="bottom"/>
          </w:tcPr>
          <w:p w:rsidR="007E6F25" w:rsidRPr="00C33804" w:rsidRDefault="007E6F25" w:rsidP="005705B2">
            <w:pPr>
              <w:jc w:val="center"/>
              <w:rPr>
                <w:rFonts w:ascii="Arial" w:hAnsi="Arial" w:cs="Arial"/>
                <w:sz w:val="13"/>
                <w:szCs w:val="13"/>
              </w:rPr>
            </w:pPr>
            <w:r>
              <w:rPr>
                <w:rFonts w:ascii="Arial" w:hAnsi="Arial" w:cs="Arial"/>
                <w:sz w:val="13"/>
                <w:szCs w:val="13"/>
              </w:rPr>
              <w:t>17</w:t>
            </w:r>
          </w:p>
        </w:tc>
        <w:tc>
          <w:tcPr>
            <w:tcW w:w="222" w:type="pct"/>
            <w:tcBorders>
              <w:top w:val="single" w:sz="4" w:space="0" w:color="000000" w:themeColor="text1"/>
            </w:tcBorders>
            <w:shd w:val="clear" w:color="auto" w:fill="BFBFBF" w:themeFill="background1" w:themeFillShade="BF"/>
            <w:tcMar>
              <w:bottom w:w="43" w:type="dxa"/>
            </w:tcMar>
            <w:vAlign w:val="bottom"/>
          </w:tcPr>
          <w:p w:rsidR="007E6F25" w:rsidRPr="00C33804" w:rsidRDefault="007E6F25" w:rsidP="005705B2">
            <w:pPr>
              <w:jc w:val="center"/>
              <w:rPr>
                <w:rFonts w:ascii="Arial" w:hAnsi="Arial" w:cs="Arial"/>
                <w:sz w:val="13"/>
                <w:szCs w:val="13"/>
              </w:rPr>
            </w:pPr>
            <w:r>
              <w:rPr>
                <w:rFonts w:ascii="Arial" w:hAnsi="Arial" w:cs="Arial"/>
                <w:sz w:val="13"/>
                <w:szCs w:val="13"/>
              </w:rPr>
              <w:t>18</w:t>
            </w:r>
          </w:p>
        </w:tc>
        <w:tc>
          <w:tcPr>
            <w:tcW w:w="223" w:type="pct"/>
            <w:shd w:val="clear" w:color="auto" w:fill="BFBFBF" w:themeFill="background1" w:themeFillShade="BF"/>
            <w:tcMar>
              <w:bottom w:w="43" w:type="dxa"/>
            </w:tcMar>
            <w:vAlign w:val="bottom"/>
          </w:tcPr>
          <w:p w:rsidR="007E6F25" w:rsidRPr="00C33804" w:rsidRDefault="007E6F25" w:rsidP="005705B2">
            <w:pPr>
              <w:jc w:val="center"/>
              <w:rPr>
                <w:rFonts w:ascii="Arial" w:hAnsi="Arial" w:cs="Arial"/>
                <w:sz w:val="13"/>
                <w:szCs w:val="13"/>
              </w:rPr>
            </w:pPr>
            <w:r>
              <w:rPr>
                <w:rFonts w:ascii="Arial" w:hAnsi="Arial" w:cs="Arial"/>
                <w:sz w:val="13"/>
                <w:szCs w:val="13"/>
              </w:rPr>
              <w:t>19</w:t>
            </w:r>
          </w:p>
        </w:tc>
        <w:tc>
          <w:tcPr>
            <w:tcW w:w="222" w:type="pct"/>
            <w:shd w:val="clear" w:color="auto" w:fill="BFBFBF" w:themeFill="background1" w:themeFillShade="BF"/>
            <w:tcMar>
              <w:bottom w:w="43" w:type="dxa"/>
            </w:tcMar>
            <w:vAlign w:val="bottom"/>
          </w:tcPr>
          <w:p w:rsidR="007E6F25" w:rsidRPr="00C33804" w:rsidRDefault="007E6F25" w:rsidP="005705B2">
            <w:pPr>
              <w:jc w:val="center"/>
              <w:rPr>
                <w:rFonts w:ascii="Arial" w:hAnsi="Arial" w:cs="Arial"/>
                <w:sz w:val="13"/>
                <w:szCs w:val="13"/>
              </w:rPr>
            </w:pPr>
            <w:r>
              <w:rPr>
                <w:rFonts w:ascii="Arial" w:hAnsi="Arial" w:cs="Arial"/>
                <w:sz w:val="13"/>
                <w:szCs w:val="13"/>
              </w:rPr>
              <w:t>20</w:t>
            </w:r>
          </w:p>
        </w:tc>
        <w:tc>
          <w:tcPr>
            <w:tcW w:w="223" w:type="pct"/>
            <w:shd w:val="clear" w:color="auto" w:fill="BFBFBF" w:themeFill="background1" w:themeFillShade="BF"/>
            <w:tcMar>
              <w:bottom w:w="43" w:type="dxa"/>
            </w:tcMar>
            <w:vAlign w:val="bottom"/>
          </w:tcPr>
          <w:p w:rsidR="007E6F25" w:rsidRPr="00C33804" w:rsidRDefault="007E6F25" w:rsidP="005705B2">
            <w:pPr>
              <w:jc w:val="center"/>
              <w:rPr>
                <w:rFonts w:ascii="Arial" w:hAnsi="Arial" w:cs="Arial"/>
                <w:sz w:val="13"/>
                <w:szCs w:val="13"/>
              </w:rPr>
            </w:pPr>
            <w:r>
              <w:rPr>
                <w:rFonts w:ascii="Arial" w:hAnsi="Arial" w:cs="Arial"/>
                <w:sz w:val="13"/>
                <w:szCs w:val="13"/>
              </w:rPr>
              <w:t>21</w:t>
            </w:r>
          </w:p>
        </w:tc>
        <w:tc>
          <w:tcPr>
            <w:tcW w:w="222" w:type="pct"/>
            <w:shd w:val="clear" w:color="auto" w:fill="BFBFBF" w:themeFill="background1" w:themeFillShade="BF"/>
            <w:tcMar>
              <w:bottom w:w="43" w:type="dxa"/>
            </w:tcMar>
            <w:vAlign w:val="bottom"/>
          </w:tcPr>
          <w:p w:rsidR="007E6F25" w:rsidRPr="00C33804" w:rsidRDefault="007E6F25" w:rsidP="005705B2">
            <w:pPr>
              <w:jc w:val="center"/>
              <w:rPr>
                <w:rFonts w:ascii="Arial" w:hAnsi="Arial" w:cs="Arial"/>
                <w:sz w:val="13"/>
                <w:szCs w:val="13"/>
              </w:rPr>
            </w:pPr>
            <w:r>
              <w:rPr>
                <w:rFonts w:ascii="Arial" w:hAnsi="Arial" w:cs="Arial"/>
                <w:sz w:val="13"/>
                <w:szCs w:val="13"/>
              </w:rPr>
              <w:t>22</w:t>
            </w:r>
          </w:p>
        </w:tc>
        <w:tc>
          <w:tcPr>
            <w:tcW w:w="223" w:type="pct"/>
            <w:tcBorders>
              <w:right w:val="double" w:sz="6" w:space="0" w:color="auto"/>
            </w:tcBorders>
            <w:shd w:val="clear" w:color="auto" w:fill="auto"/>
            <w:tcMar>
              <w:bottom w:w="43" w:type="dxa"/>
            </w:tcMar>
            <w:vAlign w:val="bottom"/>
          </w:tcPr>
          <w:p w:rsidR="007E6F25" w:rsidRPr="00C33804" w:rsidRDefault="007E6F25" w:rsidP="005705B2">
            <w:pPr>
              <w:jc w:val="center"/>
              <w:rPr>
                <w:rFonts w:ascii="Arial" w:hAnsi="Arial" w:cs="Arial"/>
                <w:sz w:val="13"/>
                <w:szCs w:val="13"/>
              </w:rPr>
            </w:pPr>
            <w:r>
              <w:rPr>
                <w:rFonts w:ascii="Arial" w:hAnsi="Arial" w:cs="Arial"/>
                <w:sz w:val="13"/>
                <w:szCs w:val="13"/>
              </w:rPr>
              <w:t>23</w:t>
            </w:r>
          </w:p>
        </w:tc>
      </w:tr>
      <w:tr w:rsidR="007E6F25" w:rsidRPr="00C33804" w:rsidTr="005705B2">
        <w:trPr>
          <w:trHeight w:val="346"/>
        </w:trPr>
        <w:tc>
          <w:tcPr>
            <w:tcW w:w="226" w:type="pct"/>
            <w:tcBorders>
              <w:top w:val="single" w:sz="4" w:space="0" w:color="000000" w:themeColor="text1"/>
              <w:left w:val="double" w:sz="6" w:space="0" w:color="auto"/>
              <w:bottom w:val="double" w:sz="6" w:space="0" w:color="auto"/>
            </w:tcBorders>
            <w:tcMar>
              <w:bottom w:w="43" w:type="dxa"/>
            </w:tcMar>
            <w:vAlign w:val="bottom"/>
          </w:tcPr>
          <w:p w:rsidR="007E6F25" w:rsidRPr="00C33804" w:rsidRDefault="007E6F25" w:rsidP="005705B2">
            <w:pPr>
              <w:jc w:val="center"/>
              <w:rPr>
                <w:rFonts w:ascii="Arial" w:hAnsi="Arial" w:cs="Arial"/>
                <w:sz w:val="13"/>
                <w:szCs w:val="13"/>
              </w:rPr>
            </w:pPr>
            <w:r>
              <w:rPr>
                <w:rFonts w:ascii="Arial" w:hAnsi="Arial" w:cs="Arial"/>
                <w:sz w:val="13"/>
                <w:szCs w:val="13"/>
              </w:rPr>
              <w:t>29</w:t>
            </w:r>
          </w:p>
        </w:tc>
        <w:tc>
          <w:tcPr>
            <w:tcW w:w="226" w:type="pct"/>
            <w:tcBorders>
              <w:top w:val="single" w:sz="4" w:space="0" w:color="auto"/>
              <w:bottom w:val="double" w:sz="6" w:space="0" w:color="auto"/>
            </w:tcBorders>
            <w:shd w:val="clear" w:color="auto" w:fill="auto"/>
            <w:tcMar>
              <w:bottom w:w="43" w:type="dxa"/>
            </w:tcMar>
            <w:vAlign w:val="bottom"/>
          </w:tcPr>
          <w:p w:rsidR="007E6F25" w:rsidRPr="00C33804" w:rsidRDefault="007E6F25" w:rsidP="005705B2">
            <w:pPr>
              <w:jc w:val="center"/>
              <w:rPr>
                <w:rFonts w:ascii="Arial" w:hAnsi="Arial" w:cs="Arial"/>
                <w:sz w:val="13"/>
                <w:szCs w:val="13"/>
              </w:rPr>
            </w:pPr>
            <w:r>
              <w:rPr>
                <w:rFonts w:ascii="Arial" w:hAnsi="Arial" w:cs="Arial"/>
                <w:sz w:val="13"/>
                <w:szCs w:val="13"/>
              </w:rPr>
              <w:t>30</w:t>
            </w:r>
          </w:p>
        </w:tc>
        <w:tc>
          <w:tcPr>
            <w:tcW w:w="227" w:type="pct"/>
            <w:tcBorders>
              <w:top w:val="single" w:sz="4" w:space="0" w:color="000000" w:themeColor="text1"/>
              <w:bottom w:val="double" w:sz="6" w:space="0" w:color="auto"/>
            </w:tcBorders>
            <w:shd w:val="clear" w:color="auto" w:fill="auto"/>
            <w:tcMar>
              <w:bottom w:w="43" w:type="dxa"/>
            </w:tcMar>
            <w:vAlign w:val="bottom"/>
          </w:tcPr>
          <w:p w:rsidR="007E6F25" w:rsidRPr="00C33804" w:rsidRDefault="007E6F25" w:rsidP="005705B2">
            <w:pPr>
              <w:jc w:val="center"/>
              <w:rPr>
                <w:rFonts w:ascii="Arial" w:hAnsi="Arial" w:cs="Arial"/>
                <w:sz w:val="13"/>
                <w:szCs w:val="13"/>
              </w:rPr>
            </w:pPr>
          </w:p>
        </w:tc>
        <w:tc>
          <w:tcPr>
            <w:tcW w:w="226" w:type="pct"/>
            <w:tcBorders>
              <w:top w:val="single" w:sz="4" w:space="0" w:color="000000" w:themeColor="text1"/>
              <w:bottom w:val="double" w:sz="6" w:space="0" w:color="auto"/>
            </w:tcBorders>
            <w:shd w:val="clear" w:color="auto" w:fill="auto"/>
            <w:tcMar>
              <w:bottom w:w="43" w:type="dxa"/>
            </w:tcMar>
            <w:vAlign w:val="bottom"/>
          </w:tcPr>
          <w:p w:rsidR="007E6F25" w:rsidRPr="00C33804" w:rsidRDefault="007E6F25" w:rsidP="005705B2">
            <w:pPr>
              <w:rPr>
                <w:rFonts w:ascii="Arial" w:hAnsi="Arial" w:cs="Arial"/>
                <w:sz w:val="13"/>
                <w:szCs w:val="13"/>
              </w:rPr>
            </w:pPr>
          </w:p>
        </w:tc>
        <w:tc>
          <w:tcPr>
            <w:tcW w:w="227" w:type="pct"/>
            <w:tcBorders>
              <w:top w:val="single" w:sz="4" w:space="0" w:color="000000" w:themeColor="text1"/>
              <w:bottom w:val="double" w:sz="6" w:space="0" w:color="auto"/>
            </w:tcBorders>
            <w:shd w:val="clear" w:color="auto" w:fill="auto"/>
            <w:tcMar>
              <w:bottom w:w="43" w:type="dxa"/>
            </w:tcMar>
            <w:vAlign w:val="bottom"/>
          </w:tcPr>
          <w:p w:rsidR="007E6F25" w:rsidRPr="00C33804" w:rsidRDefault="007E6F25" w:rsidP="005705B2">
            <w:pPr>
              <w:jc w:val="center"/>
              <w:rPr>
                <w:rFonts w:ascii="Arial" w:hAnsi="Arial" w:cs="Arial"/>
                <w:sz w:val="13"/>
                <w:szCs w:val="13"/>
              </w:rPr>
            </w:pPr>
          </w:p>
        </w:tc>
        <w:tc>
          <w:tcPr>
            <w:tcW w:w="226" w:type="pct"/>
            <w:tcBorders>
              <w:top w:val="single" w:sz="4" w:space="0" w:color="000000" w:themeColor="text1"/>
              <w:bottom w:val="double" w:sz="6" w:space="0" w:color="auto"/>
            </w:tcBorders>
            <w:shd w:val="clear" w:color="auto" w:fill="auto"/>
            <w:tcMar>
              <w:bottom w:w="43" w:type="dxa"/>
            </w:tcMar>
            <w:vAlign w:val="bottom"/>
          </w:tcPr>
          <w:p w:rsidR="007E6F25" w:rsidRPr="00C33804" w:rsidRDefault="007E6F25" w:rsidP="005705B2">
            <w:pPr>
              <w:jc w:val="center"/>
              <w:rPr>
                <w:rFonts w:ascii="Arial" w:hAnsi="Arial" w:cs="Arial"/>
                <w:sz w:val="13"/>
                <w:szCs w:val="13"/>
              </w:rPr>
            </w:pPr>
          </w:p>
        </w:tc>
        <w:tc>
          <w:tcPr>
            <w:tcW w:w="228" w:type="pct"/>
            <w:tcBorders>
              <w:bottom w:val="double" w:sz="6" w:space="0" w:color="auto"/>
              <w:right w:val="double" w:sz="6" w:space="0" w:color="auto"/>
            </w:tcBorders>
            <w:shd w:val="clear" w:color="auto" w:fill="auto"/>
            <w:tcMar>
              <w:bottom w:w="43" w:type="dxa"/>
            </w:tcMar>
            <w:vAlign w:val="bottom"/>
          </w:tcPr>
          <w:p w:rsidR="007E6F25" w:rsidRPr="00C33804" w:rsidRDefault="007E6F25" w:rsidP="005705B2">
            <w:pPr>
              <w:jc w:val="center"/>
              <w:rPr>
                <w:rFonts w:ascii="Arial" w:hAnsi="Arial" w:cs="Arial"/>
                <w:sz w:val="13"/>
                <w:szCs w:val="13"/>
              </w:rPr>
            </w:pPr>
          </w:p>
        </w:tc>
        <w:tc>
          <w:tcPr>
            <w:tcW w:w="137" w:type="pct"/>
            <w:tcBorders>
              <w:top w:val="nil"/>
              <w:left w:val="double" w:sz="6" w:space="0" w:color="auto"/>
              <w:bottom w:val="nil"/>
              <w:right w:val="double" w:sz="6" w:space="0" w:color="auto"/>
            </w:tcBorders>
            <w:tcMar>
              <w:bottom w:w="43" w:type="dxa"/>
            </w:tcMar>
            <w:vAlign w:val="bottom"/>
          </w:tcPr>
          <w:p w:rsidR="007E6F25" w:rsidRPr="00C33804" w:rsidRDefault="007E6F25" w:rsidP="005705B2">
            <w:pPr>
              <w:tabs>
                <w:tab w:val="center" w:pos="5220"/>
                <w:tab w:val="right" w:pos="10440"/>
              </w:tabs>
              <w:jc w:val="center"/>
              <w:rPr>
                <w:rFonts w:ascii="Arial" w:hAnsi="Arial" w:cs="Arial"/>
                <w:sz w:val="13"/>
                <w:szCs w:val="13"/>
              </w:rPr>
            </w:pPr>
          </w:p>
        </w:tc>
        <w:tc>
          <w:tcPr>
            <w:tcW w:w="225" w:type="pct"/>
            <w:tcBorders>
              <w:left w:val="double" w:sz="6" w:space="0" w:color="auto"/>
              <w:bottom w:val="double" w:sz="6" w:space="0" w:color="auto"/>
            </w:tcBorders>
            <w:tcMar>
              <w:bottom w:w="43" w:type="dxa"/>
            </w:tcMar>
            <w:vAlign w:val="bottom"/>
          </w:tcPr>
          <w:p w:rsidR="007E6F25" w:rsidRPr="00C33804" w:rsidRDefault="007E6F25" w:rsidP="005705B2">
            <w:pPr>
              <w:jc w:val="center"/>
              <w:rPr>
                <w:rFonts w:ascii="Arial" w:hAnsi="Arial" w:cs="Arial"/>
                <w:sz w:val="13"/>
                <w:szCs w:val="13"/>
              </w:rPr>
            </w:pPr>
            <w:r>
              <w:rPr>
                <w:rFonts w:ascii="Arial" w:hAnsi="Arial" w:cs="Arial"/>
                <w:sz w:val="13"/>
                <w:szCs w:val="13"/>
              </w:rPr>
              <w:t>27</w:t>
            </w:r>
          </w:p>
        </w:tc>
        <w:tc>
          <w:tcPr>
            <w:tcW w:w="226" w:type="pct"/>
            <w:tcBorders>
              <w:top w:val="double" w:sz="4" w:space="0" w:color="auto"/>
              <w:bottom w:val="double" w:sz="6" w:space="0" w:color="auto"/>
            </w:tcBorders>
            <w:tcMar>
              <w:bottom w:w="43" w:type="dxa"/>
            </w:tcMar>
            <w:vAlign w:val="bottom"/>
          </w:tcPr>
          <w:p w:rsidR="007E6F25" w:rsidRPr="00C33804" w:rsidRDefault="007E6F25" w:rsidP="005705B2">
            <w:pPr>
              <w:jc w:val="center"/>
              <w:rPr>
                <w:rFonts w:ascii="Arial" w:hAnsi="Arial" w:cs="Arial"/>
                <w:sz w:val="13"/>
                <w:szCs w:val="13"/>
              </w:rPr>
            </w:pPr>
            <w:r>
              <w:rPr>
                <w:rFonts w:ascii="Arial" w:hAnsi="Arial" w:cs="Arial"/>
                <w:sz w:val="13"/>
                <w:szCs w:val="13"/>
              </w:rPr>
              <w:t>28</w:t>
            </w:r>
          </w:p>
        </w:tc>
        <w:tc>
          <w:tcPr>
            <w:tcW w:w="226" w:type="pct"/>
            <w:tcBorders>
              <w:bottom w:val="double" w:sz="6" w:space="0" w:color="auto"/>
            </w:tcBorders>
            <w:tcMar>
              <w:bottom w:w="43" w:type="dxa"/>
            </w:tcMar>
            <w:vAlign w:val="bottom"/>
          </w:tcPr>
          <w:p w:rsidR="007E6F25" w:rsidRPr="00C33804" w:rsidRDefault="007E6F25" w:rsidP="005705B2">
            <w:pPr>
              <w:jc w:val="center"/>
              <w:rPr>
                <w:rFonts w:ascii="Arial" w:hAnsi="Arial" w:cs="Arial"/>
                <w:sz w:val="13"/>
                <w:szCs w:val="13"/>
              </w:rPr>
            </w:pPr>
            <w:r>
              <w:rPr>
                <w:rFonts w:ascii="Arial" w:hAnsi="Arial" w:cs="Arial"/>
                <w:sz w:val="13"/>
                <w:szCs w:val="13"/>
              </w:rPr>
              <w:t>29</w:t>
            </w:r>
          </w:p>
        </w:tc>
        <w:tc>
          <w:tcPr>
            <w:tcW w:w="226" w:type="pct"/>
            <w:tcBorders>
              <w:bottom w:val="double" w:sz="6" w:space="0" w:color="auto"/>
            </w:tcBorders>
            <w:tcMar>
              <w:bottom w:w="43" w:type="dxa"/>
            </w:tcMar>
            <w:vAlign w:val="bottom"/>
          </w:tcPr>
          <w:p w:rsidR="007E6F25" w:rsidRPr="00C33804" w:rsidRDefault="007E6F25" w:rsidP="005705B2">
            <w:pPr>
              <w:jc w:val="center"/>
              <w:rPr>
                <w:rFonts w:ascii="Arial" w:hAnsi="Arial" w:cs="Arial"/>
                <w:sz w:val="13"/>
                <w:szCs w:val="13"/>
              </w:rPr>
            </w:pPr>
            <w:r>
              <w:rPr>
                <w:rFonts w:ascii="Arial" w:hAnsi="Arial" w:cs="Arial"/>
                <w:sz w:val="13"/>
                <w:szCs w:val="13"/>
              </w:rPr>
              <w:t>30</w:t>
            </w:r>
          </w:p>
        </w:tc>
        <w:tc>
          <w:tcPr>
            <w:tcW w:w="226" w:type="pct"/>
            <w:tcBorders>
              <w:bottom w:val="double" w:sz="6" w:space="0" w:color="auto"/>
            </w:tcBorders>
            <w:tcMar>
              <w:bottom w:w="43" w:type="dxa"/>
            </w:tcMar>
            <w:vAlign w:val="bottom"/>
          </w:tcPr>
          <w:p w:rsidR="007E6F25" w:rsidRPr="00C33804" w:rsidRDefault="007E6F25" w:rsidP="005705B2">
            <w:pPr>
              <w:jc w:val="center"/>
              <w:rPr>
                <w:rFonts w:ascii="Arial" w:hAnsi="Arial" w:cs="Arial"/>
                <w:sz w:val="13"/>
                <w:szCs w:val="13"/>
              </w:rPr>
            </w:pPr>
            <w:r>
              <w:rPr>
                <w:rFonts w:ascii="Arial" w:hAnsi="Arial" w:cs="Arial"/>
                <w:sz w:val="13"/>
                <w:szCs w:val="13"/>
              </w:rPr>
              <w:t>31</w:t>
            </w:r>
          </w:p>
        </w:tc>
        <w:tc>
          <w:tcPr>
            <w:tcW w:w="226" w:type="pct"/>
            <w:tcBorders>
              <w:bottom w:val="double" w:sz="6" w:space="0" w:color="auto"/>
            </w:tcBorders>
            <w:tcMar>
              <w:bottom w:w="43" w:type="dxa"/>
            </w:tcMar>
            <w:vAlign w:val="bottom"/>
          </w:tcPr>
          <w:p w:rsidR="007E6F25" w:rsidRPr="00C33804" w:rsidRDefault="007E6F25" w:rsidP="005705B2">
            <w:pPr>
              <w:jc w:val="center"/>
              <w:rPr>
                <w:rFonts w:ascii="Arial" w:hAnsi="Arial" w:cs="Arial"/>
                <w:sz w:val="13"/>
                <w:szCs w:val="13"/>
              </w:rPr>
            </w:pPr>
          </w:p>
        </w:tc>
        <w:tc>
          <w:tcPr>
            <w:tcW w:w="226" w:type="pct"/>
            <w:tcBorders>
              <w:bottom w:val="double" w:sz="6" w:space="0" w:color="auto"/>
              <w:right w:val="double" w:sz="6" w:space="0" w:color="auto"/>
            </w:tcBorders>
            <w:tcMar>
              <w:bottom w:w="43" w:type="dxa"/>
            </w:tcMar>
            <w:vAlign w:val="bottom"/>
          </w:tcPr>
          <w:p w:rsidR="007E6F25" w:rsidRPr="00C33804" w:rsidRDefault="007E6F25" w:rsidP="005705B2">
            <w:pPr>
              <w:jc w:val="center"/>
              <w:rPr>
                <w:rFonts w:ascii="Arial" w:hAnsi="Arial" w:cs="Arial"/>
                <w:sz w:val="13"/>
                <w:szCs w:val="13"/>
              </w:rPr>
            </w:pPr>
          </w:p>
        </w:tc>
        <w:tc>
          <w:tcPr>
            <w:tcW w:w="139" w:type="pct"/>
            <w:tcBorders>
              <w:top w:val="nil"/>
              <w:left w:val="double" w:sz="6" w:space="0" w:color="auto"/>
              <w:bottom w:val="nil"/>
              <w:right w:val="double" w:sz="6" w:space="0" w:color="auto"/>
            </w:tcBorders>
            <w:tcMar>
              <w:bottom w:w="43" w:type="dxa"/>
            </w:tcMar>
            <w:vAlign w:val="bottom"/>
          </w:tcPr>
          <w:p w:rsidR="007E6F25" w:rsidRPr="00C33804" w:rsidRDefault="007E6F25" w:rsidP="005705B2">
            <w:pPr>
              <w:tabs>
                <w:tab w:val="center" w:pos="5220"/>
                <w:tab w:val="right" w:pos="10440"/>
              </w:tabs>
              <w:jc w:val="center"/>
              <w:rPr>
                <w:rFonts w:ascii="Arial" w:hAnsi="Arial" w:cs="Arial"/>
                <w:sz w:val="13"/>
                <w:szCs w:val="13"/>
              </w:rPr>
            </w:pPr>
          </w:p>
        </w:tc>
        <w:tc>
          <w:tcPr>
            <w:tcW w:w="222" w:type="pct"/>
            <w:tcBorders>
              <w:left w:val="double" w:sz="6" w:space="0" w:color="auto"/>
              <w:bottom w:val="double" w:sz="6" w:space="0" w:color="auto"/>
            </w:tcBorders>
            <w:tcMar>
              <w:bottom w:w="43" w:type="dxa"/>
            </w:tcMar>
            <w:vAlign w:val="bottom"/>
          </w:tcPr>
          <w:p w:rsidR="007E6F25" w:rsidRPr="00C33804" w:rsidRDefault="007E6F25" w:rsidP="005705B2">
            <w:pPr>
              <w:jc w:val="center"/>
              <w:rPr>
                <w:rFonts w:ascii="Arial" w:hAnsi="Arial" w:cs="Arial"/>
                <w:sz w:val="13"/>
                <w:szCs w:val="13"/>
              </w:rPr>
            </w:pPr>
            <w:r>
              <w:rPr>
                <w:rFonts w:ascii="Arial" w:hAnsi="Arial" w:cs="Arial"/>
                <w:sz w:val="13"/>
                <w:szCs w:val="13"/>
              </w:rPr>
              <w:t>24</w:t>
            </w:r>
          </w:p>
        </w:tc>
        <w:tc>
          <w:tcPr>
            <w:tcW w:w="222" w:type="pct"/>
            <w:tcBorders>
              <w:bottom w:val="double" w:sz="6" w:space="0" w:color="auto"/>
            </w:tcBorders>
            <w:tcMar>
              <w:bottom w:w="43" w:type="dxa"/>
            </w:tcMar>
            <w:vAlign w:val="bottom"/>
          </w:tcPr>
          <w:p w:rsidR="007E6F25" w:rsidRPr="00C33804" w:rsidRDefault="007E6F25" w:rsidP="005705B2">
            <w:pPr>
              <w:jc w:val="center"/>
              <w:rPr>
                <w:rFonts w:ascii="Arial" w:hAnsi="Arial" w:cs="Arial"/>
                <w:sz w:val="13"/>
                <w:szCs w:val="13"/>
              </w:rPr>
            </w:pPr>
            <w:r>
              <w:rPr>
                <w:rFonts w:ascii="Arial" w:hAnsi="Arial" w:cs="Arial"/>
                <w:sz w:val="13"/>
                <w:szCs w:val="13"/>
              </w:rPr>
              <w:t>25</w:t>
            </w:r>
          </w:p>
        </w:tc>
        <w:tc>
          <w:tcPr>
            <w:tcW w:w="223" w:type="pct"/>
            <w:tcBorders>
              <w:bottom w:val="double" w:sz="6" w:space="0" w:color="auto"/>
            </w:tcBorders>
            <w:tcMar>
              <w:bottom w:w="43" w:type="dxa"/>
            </w:tcMar>
            <w:vAlign w:val="bottom"/>
          </w:tcPr>
          <w:p w:rsidR="007E6F25" w:rsidRPr="00C33804" w:rsidRDefault="007E6F25" w:rsidP="005705B2">
            <w:pPr>
              <w:jc w:val="center"/>
              <w:rPr>
                <w:rFonts w:ascii="Arial" w:hAnsi="Arial" w:cs="Arial"/>
                <w:sz w:val="13"/>
                <w:szCs w:val="13"/>
              </w:rPr>
            </w:pPr>
            <w:r>
              <w:rPr>
                <w:rFonts w:ascii="Arial" w:hAnsi="Arial" w:cs="Arial"/>
                <w:sz w:val="13"/>
                <w:szCs w:val="13"/>
              </w:rPr>
              <w:t>26</w:t>
            </w:r>
          </w:p>
        </w:tc>
        <w:tc>
          <w:tcPr>
            <w:tcW w:w="222" w:type="pct"/>
            <w:tcBorders>
              <w:bottom w:val="double" w:sz="6" w:space="0" w:color="auto"/>
            </w:tcBorders>
            <w:tcMar>
              <w:bottom w:w="43" w:type="dxa"/>
            </w:tcMar>
            <w:vAlign w:val="bottom"/>
          </w:tcPr>
          <w:p w:rsidR="007E6F25" w:rsidRPr="00C33804" w:rsidRDefault="007E6F25" w:rsidP="005705B2">
            <w:pPr>
              <w:jc w:val="center"/>
              <w:rPr>
                <w:rFonts w:ascii="Arial" w:hAnsi="Arial" w:cs="Arial"/>
                <w:sz w:val="13"/>
                <w:szCs w:val="13"/>
              </w:rPr>
            </w:pPr>
            <w:r>
              <w:rPr>
                <w:rFonts w:ascii="Arial" w:hAnsi="Arial" w:cs="Arial"/>
                <w:sz w:val="13"/>
                <w:szCs w:val="13"/>
              </w:rPr>
              <w:t>27</w:t>
            </w:r>
          </w:p>
        </w:tc>
        <w:tc>
          <w:tcPr>
            <w:tcW w:w="223" w:type="pct"/>
            <w:tcBorders>
              <w:bottom w:val="double" w:sz="6" w:space="0" w:color="auto"/>
            </w:tcBorders>
            <w:tcMar>
              <w:bottom w:w="43" w:type="dxa"/>
            </w:tcMar>
            <w:vAlign w:val="bottom"/>
          </w:tcPr>
          <w:p w:rsidR="007E6F25" w:rsidRPr="00C33804" w:rsidRDefault="007E6F25" w:rsidP="005705B2">
            <w:pPr>
              <w:jc w:val="center"/>
              <w:rPr>
                <w:rFonts w:ascii="Arial" w:hAnsi="Arial" w:cs="Arial"/>
                <w:sz w:val="13"/>
                <w:szCs w:val="13"/>
              </w:rPr>
            </w:pPr>
            <w:r>
              <w:rPr>
                <w:rFonts w:ascii="Arial" w:hAnsi="Arial" w:cs="Arial"/>
                <w:sz w:val="13"/>
                <w:szCs w:val="13"/>
              </w:rPr>
              <w:t>28</w:t>
            </w:r>
          </w:p>
        </w:tc>
        <w:tc>
          <w:tcPr>
            <w:tcW w:w="222" w:type="pct"/>
            <w:tcBorders>
              <w:bottom w:val="double" w:sz="6" w:space="0" w:color="auto"/>
            </w:tcBorders>
            <w:tcMar>
              <w:bottom w:w="43" w:type="dxa"/>
            </w:tcMar>
            <w:vAlign w:val="bottom"/>
          </w:tcPr>
          <w:p w:rsidR="007E6F25" w:rsidRPr="00C33804" w:rsidRDefault="007E6F25" w:rsidP="005705B2">
            <w:pPr>
              <w:jc w:val="center"/>
              <w:rPr>
                <w:rFonts w:ascii="Arial" w:hAnsi="Arial" w:cs="Arial"/>
                <w:sz w:val="13"/>
                <w:szCs w:val="13"/>
              </w:rPr>
            </w:pPr>
            <w:r>
              <w:rPr>
                <w:rFonts w:ascii="Arial" w:hAnsi="Arial" w:cs="Arial"/>
                <w:sz w:val="13"/>
                <w:szCs w:val="13"/>
              </w:rPr>
              <w:t>29</w:t>
            </w:r>
          </w:p>
        </w:tc>
        <w:tc>
          <w:tcPr>
            <w:tcW w:w="223" w:type="pct"/>
            <w:tcBorders>
              <w:bottom w:val="double" w:sz="6" w:space="0" w:color="auto"/>
              <w:right w:val="double" w:sz="6" w:space="0" w:color="auto"/>
            </w:tcBorders>
            <w:tcMar>
              <w:bottom w:w="43" w:type="dxa"/>
            </w:tcMar>
            <w:vAlign w:val="bottom"/>
          </w:tcPr>
          <w:p w:rsidR="007E6F25" w:rsidRPr="00C33804" w:rsidRDefault="007E6F25" w:rsidP="005705B2">
            <w:pPr>
              <w:jc w:val="center"/>
              <w:rPr>
                <w:rFonts w:ascii="Arial" w:hAnsi="Arial" w:cs="Arial"/>
                <w:sz w:val="13"/>
                <w:szCs w:val="13"/>
              </w:rPr>
            </w:pPr>
            <w:r>
              <w:rPr>
                <w:rFonts w:ascii="Arial" w:hAnsi="Arial" w:cs="Arial"/>
                <w:sz w:val="13"/>
                <w:szCs w:val="13"/>
              </w:rPr>
              <w:t>30</w:t>
            </w:r>
          </w:p>
        </w:tc>
      </w:tr>
    </w:tbl>
    <w:p w:rsidR="0013595D" w:rsidRPr="002E0C7E" w:rsidRDefault="0013595D" w:rsidP="0013595D">
      <w:pPr>
        <w:widowControl w:val="0"/>
        <w:tabs>
          <w:tab w:val="center" w:pos="5400"/>
          <w:tab w:val="right" w:pos="10440"/>
        </w:tabs>
        <w:rPr>
          <w:rFonts w:ascii="Arial" w:hAnsi="Arial"/>
          <w:sz w:val="18"/>
        </w:rPr>
      </w:pPr>
    </w:p>
    <w:p w:rsidR="0013595D" w:rsidRPr="002E0C7E" w:rsidRDefault="0013595D" w:rsidP="0013595D">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1770"/>
        <w:gridCol w:w="480"/>
        <w:gridCol w:w="8370"/>
      </w:tblGrid>
      <w:tr w:rsidR="0013595D" w:rsidRPr="002E0C7E" w:rsidTr="00E942C2">
        <w:trPr>
          <w:cantSplit/>
        </w:trPr>
        <w:tc>
          <w:tcPr>
            <w:tcW w:w="1770" w:type="dxa"/>
            <w:tcBorders>
              <w:top w:val="nil"/>
              <w:left w:val="nil"/>
              <w:bottom w:val="nil"/>
              <w:right w:val="nil"/>
            </w:tcBorders>
            <w:tcMar>
              <w:top w:w="43" w:type="dxa"/>
              <w:left w:w="120" w:type="dxa"/>
              <w:bottom w:w="29" w:type="dxa"/>
              <w:right w:w="120" w:type="dxa"/>
            </w:tcMar>
          </w:tcPr>
          <w:p w:rsidR="0013595D" w:rsidRPr="002E0C7E" w:rsidRDefault="0013595D" w:rsidP="00E942C2">
            <w:pPr>
              <w:widowControl w:val="0"/>
              <w:rPr>
                <w:rFonts w:ascii="Arial" w:hAnsi="Arial"/>
                <w:sz w:val="16"/>
              </w:rPr>
            </w:pPr>
            <w:r>
              <w:rPr>
                <w:rFonts w:ascii="Arial" w:hAnsi="Arial"/>
                <w:sz w:val="16"/>
              </w:rPr>
              <w:t>Sittings of the C</w:t>
            </w:r>
            <w:r w:rsidRPr="002E0C7E">
              <w:rPr>
                <w:rFonts w:ascii="Arial" w:hAnsi="Arial"/>
                <w:sz w:val="16"/>
              </w:rPr>
              <w:t>ourt:</w:t>
            </w:r>
          </w:p>
          <w:p w:rsidR="0013595D" w:rsidRPr="002E0C7E" w:rsidRDefault="0013595D" w:rsidP="00E942C2">
            <w:pPr>
              <w:widowControl w:val="0"/>
              <w:rPr>
                <w:rFonts w:ascii="Arial" w:hAnsi="Arial"/>
                <w:sz w:val="16"/>
              </w:rPr>
            </w:pPr>
            <w:r>
              <w:rPr>
                <w:rFonts w:ascii="Arial" w:hAnsi="Arial"/>
                <w:sz w:val="16"/>
              </w:rPr>
              <w:t>Séances de la C</w:t>
            </w:r>
            <w:r w:rsidRPr="002E0C7E">
              <w:rPr>
                <w:rFonts w:ascii="Arial" w:hAnsi="Arial"/>
                <w:sz w:val="16"/>
              </w:rPr>
              <w:t>our :</w:t>
            </w:r>
          </w:p>
        </w:tc>
        <w:tc>
          <w:tcPr>
            <w:tcW w:w="480" w:type="dxa"/>
            <w:tcBorders>
              <w:top w:val="nil"/>
              <w:left w:val="nil"/>
              <w:bottom w:val="double" w:sz="8" w:space="0" w:color="000000"/>
              <w:right w:val="nil"/>
            </w:tcBorders>
            <w:shd w:val="pct30" w:color="000000" w:fill="auto"/>
            <w:tcMar>
              <w:top w:w="43" w:type="dxa"/>
              <w:left w:w="178" w:type="dxa"/>
              <w:bottom w:w="29" w:type="dxa"/>
              <w:right w:w="178" w:type="dxa"/>
            </w:tcMar>
          </w:tcPr>
          <w:p w:rsidR="0013595D" w:rsidRPr="002E0C7E" w:rsidRDefault="0013595D" w:rsidP="00E942C2">
            <w:pPr>
              <w:widowControl w:val="0"/>
              <w:rPr>
                <w:rFonts w:ascii="Arial" w:hAnsi="Arial"/>
                <w:sz w:val="16"/>
              </w:rPr>
            </w:pPr>
          </w:p>
          <w:p w:rsidR="0013595D" w:rsidRPr="002E0C7E" w:rsidRDefault="0013595D" w:rsidP="00E942C2">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13595D" w:rsidRPr="00B058C3"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18  sitting weeks</w:t>
            </w:r>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semaines séances de la cour</w:t>
            </w:r>
          </w:p>
          <w:p w:rsidR="0013595D" w:rsidRPr="00B058C3"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8</w:t>
            </w:r>
            <w:r w:rsidR="007E6F25">
              <w:rPr>
                <w:rFonts w:ascii="Arial" w:hAnsi="Arial"/>
                <w:b/>
                <w:sz w:val="16"/>
                <w:lang w:val="fr-CA"/>
              </w:rPr>
              <w:t>8</w:t>
            </w:r>
            <w:r w:rsidRPr="00B058C3">
              <w:rPr>
                <w:rFonts w:ascii="Arial" w:hAnsi="Arial"/>
                <w:b/>
                <w:sz w:val="16"/>
                <w:lang w:val="fr-CA"/>
              </w:rPr>
              <w:t xml:space="preserve">  sitting days</w:t>
            </w:r>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journées séances de la cour</w:t>
            </w:r>
          </w:p>
          <w:p w:rsidR="0013595D" w:rsidRPr="002E0C7E" w:rsidRDefault="007E6F25"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Pr>
                <w:rFonts w:ascii="Arial" w:hAnsi="Arial"/>
                <w:b/>
                <w:sz w:val="16"/>
                <w:lang w:val="fr-CA"/>
              </w:rPr>
              <w:t>2</w:t>
            </w:r>
            <w:r w:rsidR="0013595D" w:rsidRPr="002E0C7E">
              <w:rPr>
                <w:rFonts w:ascii="Arial" w:hAnsi="Arial"/>
                <w:b/>
                <w:sz w:val="16"/>
              </w:rPr>
              <w:t xml:space="preserve">    holidays during sitting days</w:t>
            </w:r>
            <w:r w:rsidR="0013595D">
              <w:rPr>
                <w:rFonts w:ascii="Arial" w:hAnsi="Arial"/>
                <w:b/>
                <w:sz w:val="16"/>
              </w:rPr>
              <w:t xml:space="preserve"> </w:t>
            </w:r>
            <w:r w:rsidR="0013595D" w:rsidRPr="002E0C7E">
              <w:rPr>
                <w:rFonts w:ascii="Arial" w:hAnsi="Arial"/>
                <w:b/>
                <w:sz w:val="16"/>
              </w:rPr>
              <w:t>/ jours fériés durant les sessions</w:t>
            </w:r>
          </w:p>
          <w:p w:rsidR="0013595D" w:rsidRPr="002E0C7E"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13595D" w:rsidRPr="002E0C7E" w:rsidTr="00E942C2">
        <w:trPr>
          <w:cantSplit/>
        </w:trPr>
        <w:tc>
          <w:tcPr>
            <w:tcW w:w="1770" w:type="dxa"/>
            <w:tcBorders>
              <w:top w:val="nil"/>
              <w:left w:val="nil"/>
              <w:bottom w:val="nil"/>
              <w:right w:val="double" w:sz="8" w:space="0" w:color="000000"/>
            </w:tcBorders>
            <w:tcMar>
              <w:top w:w="43" w:type="dxa"/>
              <w:left w:w="120" w:type="dxa"/>
              <w:bottom w:w="29" w:type="dxa"/>
              <w:right w:w="120" w:type="dxa"/>
            </w:tcMar>
          </w:tcPr>
          <w:p w:rsidR="0013595D" w:rsidRPr="002E0C7E"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Holidays:</w:t>
            </w:r>
          </w:p>
          <w:p w:rsidR="0013595D" w:rsidRPr="002E0C7E"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2E0C7E">
              <w:rPr>
                <w:rFonts w:ascii="Arial" w:hAnsi="Arial"/>
                <w:sz w:val="16"/>
                <w:lang w:val="fr-CA"/>
              </w:rPr>
              <w:t>Jours fériés :</w:t>
            </w:r>
          </w:p>
        </w:tc>
        <w:tc>
          <w:tcPr>
            <w:tcW w:w="48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13595D" w:rsidRPr="002E0C7E" w:rsidRDefault="0013595D" w:rsidP="00E942C2">
            <w:pPr>
              <w:widowControl w:val="0"/>
              <w:tabs>
                <w:tab w:val="center" w:pos="150"/>
              </w:tabs>
              <w:rPr>
                <w:rFonts w:ascii="Arial" w:hAnsi="Arial"/>
                <w:sz w:val="16"/>
              </w:rPr>
            </w:pPr>
            <w:r w:rsidRPr="002E0C7E">
              <w:rPr>
                <w:rFonts w:ascii="Arial" w:hAnsi="Arial"/>
                <w:b/>
                <w:sz w:val="16"/>
              </w:rPr>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13595D" w:rsidRPr="002E0C7E"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13595D" w:rsidRPr="002E0C7E" w:rsidRDefault="0013595D" w:rsidP="0013595D">
      <w:pPr>
        <w:widowControl w:val="0"/>
        <w:rPr>
          <w:rFonts w:ascii="Arial" w:hAnsi="Arial"/>
          <w:sz w:val="16"/>
        </w:rPr>
      </w:pPr>
    </w:p>
    <w:p w:rsidR="002410B8" w:rsidRPr="0022323B" w:rsidRDefault="002410B8" w:rsidP="0081610A">
      <w:pPr>
        <w:widowControl w:val="0"/>
        <w:spacing w:line="180" w:lineRule="auto"/>
        <w:jc w:val="center"/>
        <w:rPr>
          <w:lang w:val="fr-CA"/>
        </w:rPr>
      </w:pPr>
    </w:p>
    <w:sectPr w:rsidR="002410B8" w:rsidRPr="0022323B" w:rsidSect="00924065">
      <w:headerReference w:type="default" r:id="rId98"/>
      <w:footerReference w:type="default" r:id="rId99"/>
      <w:pgSz w:w="12240" w:h="15840" w:code="1"/>
      <w:pgMar w:top="720" w:right="720" w:bottom="111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7078" w:rsidRDefault="00917078" w:rsidP="00A87207">
      <w:r>
        <w:separator/>
      </w:r>
    </w:p>
  </w:endnote>
  <w:endnote w:type="continuationSeparator" w:id="0">
    <w:p w:rsidR="00917078" w:rsidRDefault="00917078"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1)">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078" w:rsidRDefault="008D266B" w:rsidP="00A87207">
    <w:pPr>
      <w:pStyle w:val="Footer"/>
    </w:pPr>
    <w:r>
      <w:pict>
        <v:rect id="_x0000_i1037" style="width:480.95pt;height:1pt" o:hralign="center" o:hrstd="t" o:hrnoshade="t" o:hr="t" fillcolor="black [3213]" stroked="f"/>
      </w:pict>
    </w:r>
  </w:p>
  <w:p w:rsidR="00917078" w:rsidRPr="00B7374B" w:rsidRDefault="00917078"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8D266B">
      <w:rPr>
        <w:noProof/>
        <w:szCs w:val="24"/>
      </w:rPr>
      <w:t>1788</w:t>
    </w:r>
    <w:r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078" w:rsidRDefault="008D266B">
    <w:pPr>
      <w:pStyle w:val="Footer"/>
    </w:pPr>
    <w:r>
      <w:pict>
        <v:rect id="_x0000_i1068" style="width:480.95pt;height:1pt" o:hralign="center" o:hrstd="t" o:hrnoshade="t" o:hr="t" fillcolor="black [3213]" stroked="f"/>
      </w:pict>
    </w:r>
  </w:p>
  <w:p w:rsidR="00917078" w:rsidRPr="003C2C0F" w:rsidRDefault="00917078" w:rsidP="00697C62">
    <w:pPr>
      <w:tabs>
        <w:tab w:val="center" w:pos="4680"/>
      </w:tabs>
    </w:pPr>
    <w:r>
      <w:tab/>
      <w:t xml:space="preserve">- </w:t>
    </w:r>
    <w:r>
      <w:fldChar w:fldCharType="begin"/>
    </w:r>
    <w:r>
      <w:instrText xml:space="preserve"> PAGE   \* MERGEFORMAT </w:instrText>
    </w:r>
    <w:r>
      <w:fldChar w:fldCharType="separate"/>
    </w:r>
    <w:r w:rsidR="008D266B">
      <w:rPr>
        <w:noProof/>
      </w:rPr>
      <w:t>1810</w:t>
    </w:r>
    <w:r>
      <w:rPr>
        <w:noProof/>
      </w:rPr>
      <w:fldChar w:fldCharType="end"/>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078" w:rsidRDefault="0091707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917078" w:rsidRDefault="0091707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917078" w:rsidRDefault="00917078">
    <w:pPr>
      <w:tabs>
        <w:tab w:val="center" w:pos="4740"/>
      </w:tabs>
    </w:pPr>
    <w:r>
      <w:tab/>
      <w:t xml:space="preserve">- </w:t>
    </w:r>
    <w:r>
      <w:pgNum/>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078" w:rsidRDefault="0091707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917078" w:rsidRDefault="008D26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73" style="width:480.95pt;height:1pt" o:hralign="center" o:hrstd="t" o:hrnoshade="t" o:hr="t" fillcolor="black [3213]" stroked="f"/>
      </w:pict>
    </w:r>
  </w:p>
  <w:p w:rsidR="00917078" w:rsidRDefault="00917078"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8D266B">
      <w:rPr>
        <w:noProof/>
        <w:szCs w:val="24"/>
      </w:rPr>
      <w:t>1825</w:t>
    </w:r>
    <w:r w:rsidRPr="001775C1">
      <w:rPr>
        <w:szCs w:val="24"/>
      </w:rPr>
      <w:fldChar w:fldCharType="end"/>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078" w:rsidRDefault="008D266B" w:rsidP="00782AE4">
    <w:pPr>
      <w:tabs>
        <w:tab w:val="center" w:pos="4680"/>
      </w:tabs>
    </w:pPr>
    <w:r>
      <w:pict>
        <v:rect id="_x0000_i1074" style="width:480.95pt;height:1pt" o:hralign="center" o:hrstd="t" o:hrnoshade="t" o:hr="t" fillcolor="black [3213]" stroked="f"/>
      </w:pict>
    </w:r>
  </w:p>
  <w:p w:rsidR="00917078" w:rsidRDefault="00917078"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8D266B">
      <w:rPr>
        <w:noProof/>
        <w:szCs w:val="24"/>
      </w:rPr>
      <w:t>1811</w:t>
    </w:r>
    <w:r w:rsidRPr="001775C1">
      <w:rPr>
        <w:szCs w:val="24"/>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078" w:rsidRDefault="00917078">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p w:rsidR="00917078" w:rsidRDefault="00917078">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0" w:lineRule="atLeast"/>
    </w:pPr>
  </w:p>
  <w:p w:rsidR="00917078" w:rsidRDefault="00917078">
    <w:pPr>
      <w:tabs>
        <w:tab w:val="center" w:pos="4740"/>
      </w:tabs>
    </w:pPr>
    <w:r>
      <w:tab/>
      <w:t xml:space="preserve">- </w:t>
    </w:r>
    <w:r>
      <w:pgNum/>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078" w:rsidRDefault="008D266B" w:rsidP="0022323B">
    <w:r>
      <w:pict>
        <v:rect id="_x0000_i1077" style="width:480.95pt;height:1pt" o:hralign="center" o:hrstd="t" o:hrnoshade="t" o:hr="t" fillcolor="black [3213]" stroked="f"/>
      </w:pict>
    </w:r>
  </w:p>
  <w:p w:rsidR="00917078" w:rsidRDefault="00917078">
    <w:pPr>
      <w:tabs>
        <w:tab w:val="center" w:pos="4740"/>
      </w:tabs>
      <w:spacing w:line="0" w:lineRule="atLeast"/>
    </w:pPr>
    <w:r>
      <w:tab/>
      <w:t xml:space="preserve">- </w:t>
    </w:r>
    <w:r>
      <w:fldChar w:fldCharType="begin"/>
    </w:r>
    <w:r>
      <w:instrText xml:space="preserve"> PAGE   \* MERGEFORMAT </w:instrText>
    </w:r>
    <w:r>
      <w:fldChar w:fldCharType="separate"/>
    </w:r>
    <w:r>
      <w:rPr>
        <w:noProof/>
      </w:rPr>
      <w:t>1827</w:t>
    </w:r>
    <w:r>
      <w:rPr>
        <w:noProof/>
      </w:rPr>
      <w:fldChar w:fldCharType="end"/>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078" w:rsidRDefault="008D266B" w:rsidP="0022323B">
    <w:r>
      <w:pict>
        <v:rect id="_x0000_i1078" style="width:480.95pt;height:1pt" o:hralign="center" o:hrstd="t" o:hrnoshade="t" o:hr="t" fillcolor="black [3213]" stroked="f"/>
      </w:pict>
    </w:r>
  </w:p>
  <w:p w:rsidR="00917078" w:rsidRDefault="00917078" w:rsidP="0022323B">
    <w:pPr>
      <w:tabs>
        <w:tab w:val="center" w:pos="4740"/>
      </w:tabs>
      <w:spacing w:line="0" w:lineRule="atLeast"/>
    </w:pPr>
    <w:r>
      <w:tab/>
      <w:t xml:space="preserve">- </w:t>
    </w:r>
    <w:r>
      <w:fldChar w:fldCharType="begin"/>
    </w:r>
    <w:r>
      <w:instrText xml:space="preserve"> PAGE   \* MERGEFORMAT </w:instrText>
    </w:r>
    <w:r>
      <w:fldChar w:fldCharType="separate"/>
    </w:r>
    <w:r w:rsidR="008D266B">
      <w:rPr>
        <w:noProof/>
      </w:rPr>
      <w:t>1826</w:t>
    </w:r>
    <w:r>
      <w:rPr>
        <w:noProof/>
      </w:rPr>
      <w:fldChar w:fldCharType="end"/>
    </w:r>
    <w: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078" w:rsidRDefault="00917078">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p w:rsidR="00917078" w:rsidRDefault="00917078">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0" w:lineRule="atLeast"/>
    </w:pPr>
  </w:p>
  <w:p w:rsidR="00917078" w:rsidRDefault="00917078">
    <w:pPr>
      <w:tabs>
        <w:tab w:val="center" w:pos="4740"/>
      </w:tabs>
    </w:pPr>
    <w:r>
      <w:tab/>
      <w:t xml:space="preserve">- </w:t>
    </w:r>
    <w:r>
      <w:pgNum/>
    </w:r>
    <w: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078" w:rsidRDefault="008D266B" w:rsidP="0022323B">
    <w:r>
      <w:pict>
        <v:rect id="_x0000_i1091" style="width:480.95pt;height:1pt" o:hralign="center" o:hrstd="t" o:hrnoshade="t" o:hr="t" fillcolor="black [3213]" stroked="f"/>
      </w:pict>
    </w:r>
  </w:p>
  <w:p w:rsidR="00917078" w:rsidRDefault="00917078">
    <w:pPr>
      <w:tabs>
        <w:tab w:val="center" w:pos="4740"/>
      </w:tabs>
      <w:spacing w:line="0" w:lineRule="atLeast"/>
    </w:pPr>
    <w:r>
      <w:tab/>
      <w:t xml:space="preserve">- </w:t>
    </w:r>
    <w:r>
      <w:fldChar w:fldCharType="begin"/>
    </w:r>
    <w:r>
      <w:instrText xml:space="preserve"> PAGE   \* MERGEFORMAT </w:instrText>
    </w:r>
    <w:r>
      <w:fldChar w:fldCharType="separate"/>
    </w:r>
    <w:r w:rsidR="008D266B">
      <w:rPr>
        <w:noProof/>
      </w:rPr>
      <w:t>1837</w:t>
    </w:r>
    <w:r>
      <w:rPr>
        <w:noProof/>
      </w:rPr>
      <w:fldChar w:fldCharType="end"/>
    </w:r>
    <w: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078" w:rsidRDefault="008D266B" w:rsidP="0022323B">
    <w:r>
      <w:pict>
        <v:rect id="_x0000_i1092" style="width:480.95pt;height:1pt" o:hralign="center" o:hrstd="t" o:hrnoshade="t" o:hr="t" fillcolor="black [3213]" stroked="f"/>
      </w:pict>
    </w:r>
  </w:p>
  <w:p w:rsidR="00917078" w:rsidRDefault="00917078" w:rsidP="0022323B">
    <w:pPr>
      <w:tabs>
        <w:tab w:val="center" w:pos="4740"/>
      </w:tabs>
      <w:spacing w:line="0" w:lineRule="atLeast"/>
    </w:pPr>
    <w:r>
      <w:tab/>
      <w:t xml:space="preserve">- </w:t>
    </w:r>
    <w:r>
      <w:fldChar w:fldCharType="begin"/>
    </w:r>
    <w:r>
      <w:instrText xml:space="preserve"> PAGE   \* MERGEFORMAT </w:instrText>
    </w:r>
    <w:r>
      <w:fldChar w:fldCharType="separate"/>
    </w:r>
    <w:r w:rsidR="008D266B">
      <w:rPr>
        <w:noProof/>
      </w:rPr>
      <w:t>1827</w:t>
    </w:r>
    <w:r>
      <w:rPr>
        <w:noProof/>
      </w:rP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078" w:rsidRDefault="008D266B" w:rsidP="00755F22">
    <w:pPr>
      <w:tabs>
        <w:tab w:val="left" w:pos="-1440"/>
        <w:tab w:val="left" w:pos="-720"/>
      </w:tabs>
    </w:pPr>
    <w:r>
      <w:pict>
        <v:rect id="_x0000_i1038" style="width:480.95pt;height:1pt" o:hralign="center" o:hrstd="t" o:hrnoshade="t" o:hr="t" fillcolor="black [3213]" stroked="f"/>
      </w:pict>
    </w:r>
  </w:p>
  <w:p w:rsidR="00917078" w:rsidRPr="00954D22" w:rsidRDefault="00917078"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8D266B">
      <w:rPr>
        <w:noProof/>
        <w:szCs w:val="24"/>
      </w:rPr>
      <w:t>1787</w:t>
    </w:r>
    <w:r>
      <w:rPr>
        <w:szCs w:val="24"/>
      </w:rPr>
      <w:fldChar w:fldCharType="end"/>
    </w:r>
    <w:r w:rsidRPr="00954D22">
      <w:rPr>
        <w:szCs w:val="24"/>
      </w:rPr>
      <w:t xml:space="preserve"> -</w:t>
    </w:r>
  </w:p>
  <w:p w:rsidR="00917078" w:rsidRDefault="00917078">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078" w:rsidRPr="00924065" w:rsidRDefault="00917078" w:rsidP="00924065">
    <w:pPr>
      <w:pStyle w:val="Footer"/>
      <w:rPr>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078" w:rsidRDefault="008D266B" w:rsidP="00A87207">
    <w:pPr>
      <w:pStyle w:val="Footer"/>
    </w:pPr>
    <w:r>
      <w:pict>
        <v:rect id="_x0000_i1040" style="width:480.95pt;height:1pt" o:hralign="center" o:hrstd="t" o:hrnoshade="t" o:hr="t" fillcolor="black [3213]" stroked="f"/>
      </w:pict>
    </w:r>
  </w:p>
  <w:p w:rsidR="00917078" w:rsidRPr="00B7374B" w:rsidRDefault="00917078"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503</w:t>
    </w:r>
    <w:r w:rsidRPr="00954D22">
      <w:rPr>
        <w:szCs w:val="24"/>
      </w:rPr>
      <w:fldChar w:fldCharType="end"/>
    </w:r>
    <w:r>
      <w:rPr>
        <w:szCs w:val="24"/>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078" w:rsidRDefault="008D266B"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41" style="width:480.95pt;height:1pt" o:hralign="center" o:hrstd="t" o:hrnoshade="t" o:hr="t" fillcolor="black [3213]" stroked="f"/>
      </w:pict>
    </w:r>
  </w:p>
  <w:p w:rsidR="00917078" w:rsidRPr="00954D22" w:rsidRDefault="00917078"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8D266B">
      <w:rPr>
        <w:noProof/>
        <w:szCs w:val="24"/>
      </w:rPr>
      <w:t>1789</w:t>
    </w:r>
    <w:r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078" w:rsidRDefault="0091707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917078" w:rsidRDefault="0091707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917078" w:rsidRDefault="00917078">
    <w:pPr>
      <w:tabs>
        <w:tab w:val="center" w:pos="4740"/>
      </w:tabs>
    </w:pPr>
    <w:r>
      <w:tab/>
      <w:t xml:space="preserve">- </w:t>
    </w:r>
    <w:r>
      <w:pgNum/>
    </w: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078" w:rsidRDefault="008D26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63" style="width:480.95pt;height:1pt" o:hralign="center" o:hrstd="t" o:hrnoshade="t" o:hr="t" fillcolor="black [3213]" stroked="f"/>
      </w:pict>
    </w:r>
  </w:p>
  <w:p w:rsidR="00917078" w:rsidRPr="0009648D" w:rsidRDefault="00917078" w:rsidP="00ED7E83">
    <w:pPr>
      <w:tabs>
        <w:tab w:val="center" w:pos="4680"/>
      </w:tabs>
    </w:pPr>
    <w:r>
      <w:tab/>
    </w:r>
    <w:r w:rsidRPr="0009648D">
      <w:t xml:space="preserve">- </w:t>
    </w:r>
    <w:r>
      <w:fldChar w:fldCharType="begin"/>
    </w:r>
    <w:r>
      <w:instrText xml:space="preserve"> PAGE   \* MERGEFORMAT </w:instrText>
    </w:r>
    <w:r>
      <w:fldChar w:fldCharType="separate"/>
    </w:r>
    <w:r w:rsidR="008D266B">
      <w:rPr>
        <w:noProof/>
      </w:rPr>
      <w:t>1805</w:t>
    </w:r>
    <w:r>
      <w:rPr>
        <w:noProof/>
      </w:rPr>
      <w:fldChar w:fldCharType="end"/>
    </w:r>
    <w:r w:rsidRPr="0009648D">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078" w:rsidRDefault="008D266B">
    <w:pPr>
      <w:pStyle w:val="Footer"/>
      <w:rPr>
        <w:lang w:val="fr-CA"/>
      </w:rPr>
    </w:pPr>
    <w:r>
      <w:rPr>
        <w:lang w:val="fr-CA"/>
      </w:rPr>
      <w:pict>
        <v:rect id="_x0000_i1064" style="width:480.95pt;height:1pt" o:hralign="center" o:hrstd="t" o:hrnoshade="t" o:hr="t" fillcolor="black [3213]" stroked="f"/>
      </w:pict>
    </w:r>
  </w:p>
  <w:p w:rsidR="00917078" w:rsidRDefault="00917078" w:rsidP="00245129">
    <w:pPr>
      <w:tabs>
        <w:tab w:val="center" w:pos="4680"/>
      </w:tabs>
    </w:pPr>
    <w:r>
      <w:tab/>
    </w:r>
    <w:r w:rsidRPr="0009648D">
      <w:t xml:space="preserve">- </w:t>
    </w:r>
    <w:r>
      <w:fldChar w:fldCharType="begin"/>
    </w:r>
    <w:r>
      <w:instrText xml:space="preserve"> PAGE   \* MERGEFORMAT </w:instrText>
    </w:r>
    <w:r>
      <w:fldChar w:fldCharType="separate"/>
    </w:r>
    <w:r w:rsidR="008D266B">
      <w:rPr>
        <w:noProof/>
      </w:rPr>
      <w:t>1790</w:t>
    </w:r>
    <w:r>
      <w:rPr>
        <w:noProof/>
      </w:rPr>
      <w:fldChar w:fldCharType="end"/>
    </w:r>
    <w:r w:rsidRPr="0009648D">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078" w:rsidRDefault="0091707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917078" w:rsidRDefault="0091707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917078" w:rsidRDefault="00917078">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078" w:rsidRDefault="008D266B" w:rsidP="00732DB7">
    <w:r>
      <w:pict>
        <v:rect id="_x0000_i1067" style="width:480.95pt;height:1pt" o:hralign="center" o:hrstd="t" o:hrnoshade="t" o:hr="t" fillcolor="black" stroked="f"/>
      </w:pict>
    </w:r>
  </w:p>
  <w:p w:rsidR="00917078" w:rsidRDefault="00917078">
    <w:pPr>
      <w:tabs>
        <w:tab w:val="center" w:pos="4740"/>
      </w:tabs>
      <w:spacing w:line="0" w:lineRule="atLeast"/>
    </w:pPr>
    <w:r>
      <w:tab/>
      <w:t xml:space="preserve">- </w:t>
    </w:r>
    <w:r>
      <w:pgNum/>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7078" w:rsidRDefault="00917078" w:rsidP="00A87207">
      <w:r>
        <w:separator/>
      </w:r>
    </w:p>
  </w:footnote>
  <w:footnote w:type="continuationSeparator" w:id="0">
    <w:p w:rsidR="00917078" w:rsidRDefault="00917078"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917078" w:rsidRPr="0044776A" w:rsidTr="00245129">
      <w:tc>
        <w:tcPr>
          <w:tcW w:w="4290" w:type="dxa"/>
          <w:tcMar>
            <w:left w:w="0" w:type="dxa"/>
            <w:right w:w="0" w:type="dxa"/>
          </w:tcMar>
        </w:tcPr>
        <w:p w:rsidR="00917078" w:rsidRPr="0044776A" w:rsidRDefault="00917078"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917078" w:rsidRPr="0044776A" w:rsidRDefault="00917078" w:rsidP="002E2327">
          <w:pPr>
            <w:keepNext/>
            <w:keepLines/>
            <w:tabs>
              <w:tab w:val="left" w:pos="-1440"/>
              <w:tab w:val="left" w:pos="-720"/>
            </w:tabs>
            <w:jc w:val="center"/>
            <w:rPr>
              <w:sz w:val="20"/>
              <w:szCs w:val="20"/>
            </w:rPr>
          </w:pPr>
        </w:p>
        <w:p w:rsidR="00917078" w:rsidRPr="0044776A" w:rsidRDefault="00917078" w:rsidP="002E2327">
          <w:pPr>
            <w:keepNext/>
            <w:keepLines/>
            <w:tabs>
              <w:tab w:val="left" w:pos="-1440"/>
              <w:tab w:val="left" w:pos="-720"/>
            </w:tabs>
            <w:jc w:val="center"/>
            <w:rPr>
              <w:sz w:val="20"/>
              <w:szCs w:val="20"/>
            </w:rPr>
          </w:pPr>
        </w:p>
        <w:p w:rsidR="00917078" w:rsidRPr="0044776A" w:rsidRDefault="00917078" w:rsidP="002E2327">
          <w:pPr>
            <w:keepNext/>
            <w:keepLines/>
            <w:tabs>
              <w:tab w:val="left" w:pos="-1440"/>
              <w:tab w:val="left" w:pos="-720"/>
            </w:tabs>
            <w:jc w:val="center"/>
            <w:rPr>
              <w:sz w:val="20"/>
              <w:szCs w:val="20"/>
            </w:rPr>
          </w:pPr>
        </w:p>
      </w:tc>
      <w:tc>
        <w:tcPr>
          <w:tcW w:w="4320" w:type="dxa"/>
          <w:tcMar>
            <w:left w:w="0" w:type="dxa"/>
            <w:right w:w="0" w:type="dxa"/>
          </w:tcMar>
        </w:tcPr>
        <w:p w:rsidR="00917078" w:rsidRPr="0044776A" w:rsidRDefault="00917078" w:rsidP="002E2327">
          <w:pPr>
            <w:keepLines/>
            <w:rPr>
              <w:sz w:val="20"/>
              <w:szCs w:val="20"/>
              <w:lang w:val="fr-CA"/>
            </w:rPr>
          </w:pPr>
          <w:r w:rsidRPr="0044776A">
            <w:rPr>
              <w:sz w:val="20"/>
              <w:szCs w:val="20"/>
              <w:lang w:val="fr-CA"/>
            </w:rPr>
            <w:t>DEMANDES D'AUTORISATION D'APPEL DÉPOSÉES</w:t>
          </w:r>
        </w:p>
      </w:tc>
    </w:tr>
  </w:tbl>
  <w:p w:rsidR="00917078" w:rsidRDefault="0091707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078" w:rsidRDefault="00917078">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917078">
      <w:tc>
        <w:tcPr>
          <w:tcW w:w="4230" w:type="dxa"/>
          <w:tcMar>
            <w:left w:w="0" w:type="dxa"/>
            <w:right w:w="0" w:type="dxa"/>
          </w:tcMar>
        </w:tcPr>
        <w:p w:rsidR="00917078" w:rsidRDefault="0091707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917078" w:rsidRDefault="0091707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917078" w:rsidRDefault="0091707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917078" w:rsidRDefault="0091707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917078" w:rsidRDefault="0091707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917078" w:rsidRDefault="0091707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917078" w:rsidRDefault="0091707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917078" w:rsidRDefault="0091707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917078" w:rsidRPr="00782AE4" w:rsidTr="00245129">
      <w:tc>
        <w:tcPr>
          <w:tcW w:w="4230" w:type="dxa"/>
          <w:tcMar>
            <w:left w:w="0" w:type="dxa"/>
            <w:right w:w="0" w:type="dxa"/>
          </w:tcMar>
        </w:tcPr>
        <w:p w:rsidR="00917078" w:rsidRPr="00782AE4" w:rsidRDefault="00917078" w:rsidP="00102926">
          <w:pPr>
            <w:keepNext/>
            <w:keepLines/>
            <w:tabs>
              <w:tab w:val="left" w:pos="-1440"/>
              <w:tab w:val="left" w:pos="-720"/>
            </w:tabs>
            <w:rPr>
              <w:sz w:val="20"/>
              <w:szCs w:val="20"/>
            </w:rPr>
          </w:pPr>
          <w:r w:rsidRPr="00782AE4">
            <w:rPr>
              <w:sz w:val="20"/>
              <w:szCs w:val="20"/>
            </w:rPr>
            <w:t xml:space="preserve">HEADNOTES OF RECENT </w:t>
          </w:r>
        </w:p>
        <w:p w:rsidR="00917078" w:rsidRPr="00782AE4" w:rsidRDefault="0091707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917078" w:rsidRDefault="00917078" w:rsidP="00102926">
          <w:pPr>
            <w:keepNext/>
            <w:keepLines/>
            <w:tabs>
              <w:tab w:val="left" w:pos="-1440"/>
              <w:tab w:val="left" w:pos="-720"/>
            </w:tabs>
            <w:jc w:val="center"/>
            <w:rPr>
              <w:sz w:val="20"/>
              <w:szCs w:val="20"/>
            </w:rPr>
          </w:pPr>
        </w:p>
        <w:p w:rsidR="00917078" w:rsidRDefault="00917078" w:rsidP="00102926">
          <w:pPr>
            <w:keepNext/>
            <w:keepLines/>
            <w:tabs>
              <w:tab w:val="left" w:pos="-1440"/>
              <w:tab w:val="left" w:pos="-720"/>
            </w:tabs>
            <w:jc w:val="center"/>
            <w:rPr>
              <w:sz w:val="20"/>
              <w:szCs w:val="20"/>
            </w:rPr>
          </w:pPr>
        </w:p>
        <w:p w:rsidR="00917078" w:rsidRPr="00782AE4" w:rsidRDefault="00917078" w:rsidP="00102926">
          <w:pPr>
            <w:keepNext/>
            <w:keepLines/>
            <w:tabs>
              <w:tab w:val="left" w:pos="-1440"/>
              <w:tab w:val="left" w:pos="-720"/>
            </w:tabs>
            <w:jc w:val="center"/>
            <w:rPr>
              <w:sz w:val="20"/>
              <w:szCs w:val="20"/>
            </w:rPr>
          </w:pPr>
        </w:p>
      </w:tc>
      <w:tc>
        <w:tcPr>
          <w:tcW w:w="4080" w:type="dxa"/>
          <w:tcMar>
            <w:left w:w="0" w:type="dxa"/>
            <w:right w:w="0" w:type="dxa"/>
          </w:tcMar>
        </w:tcPr>
        <w:p w:rsidR="00917078" w:rsidRPr="00102926" w:rsidRDefault="0091707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917078" w:rsidRPr="00782AE4" w:rsidRDefault="00917078" w:rsidP="00102926">
          <w:pPr>
            <w:keepLines/>
            <w:tabs>
              <w:tab w:val="left" w:pos="-1440"/>
              <w:tab w:val="left" w:pos="-720"/>
            </w:tabs>
            <w:rPr>
              <w:sz w:val="20"/>
              <w:szCs w:val="20"/>
            </w:rPr>
          </w:pPr>
          <w:r w:rsidRPr="00102926">
            <w:rPr>
              <w:sz w:val="20"/>
              <w:szCs w:val="20"/>
              <w:lang w:val="fr-CA"/>
            </w:rPr>
            <w:t>RÉCENTS</w:t>
          </w:r>
        </w:p>
      </w:tc>
    </w:tr>
  </w:tbl>
  <w:p w:rsidR="00917078" w:rsidRDefault="00917078"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078" w:rsidRDefault="00917078">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917078">
      <w:tc>
        <w:tcPr>
          <w:tcW w:w="4200" w:type="dxa"/>
          <w:tcMar>
            <w:left w:w="0" w:type="dxa"/>
            <w:right w:w="0" w:type="dxa"/>
          </w:tcMar>
        </w:tcPr>
        <w:p w:rsidR="00917078" w:rsidRDefault="00917078">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AGENDA FOR DECEMBER 2009</w:t>
          </w:r>
        </w:p>
        <w:p w:rsidR="00917078" w:rsidRDefault="00917078">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1200" w:type="dxa"/>
          <w:tcMar>
            <w:left w:w="0" w:type="dxa"/>
            <w:right w:w="0" w:type="dxa"/>
          </w:tcMar>
        </w:tcPr>
        <w:p w:rsidR="00917078" w:rsidRDefault="00917078">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4080" w:type="dxa"/>
          <w:tcMar>
            <w:left w:w="0" w:type="dxa"/>
            <w:right w:w="0" w:type="dxa"/>
          </w:tcMar>
        </w:tcPr>
        <w:p w:rsidR="00917078" w:rsidRDefault="00917078">
          <w:pPr>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CALENDRIER DE DÉCEMBRE 2009</w:t>
          </w:r>
        </w:p>
        <w:p w:rsidR="00917078" w:rsidRDefault="00917078">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r>
  </w:tbl>
  <w:p w:rsidR="00917078" w:rsidRDefault="00917078">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917078" w:rsidRPr="00C50A5C" w:rsidTr="00245129">
      <w:tc>
        <w:tcPr>
          <w:tcW w:w="4200" w:type="dxa"/>
          <w:tcMar>
            <w:left w:w="0" w:type="dxa"/>
            <w:right w:w="0" w:type="dxa"/>
          </w:tcMar>
        </w:tcPr>
        <w:p w:rsidR="00917078" w:rsidRPr="00C50A5C" w:rsidRDefault="00917078" w:rsidP="0022323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rPr>
              <w:sz w:val="20"/>
              <w:szCs w:val="20"/>
            </w:rPr>
          </w:pPr>
          <w:r w:rsidRPr="00C50A5C">
            <w:rPr>
              <w:sz w:val="20"/>
              <w:szCs w:val="20"/>
            </w:rPr>
            <w:t>AGENDA FOR [DATE]</w:t>
          </w:r>
        </w:p>
      </w:tc>
      <w:tc>
        <w:tcPr>
          <w:tcW w:w="1200" w:type="dxa"/>
          <w:tcMar>
            <w:left w:w="0" w:type="dxa"/>
            <w:right w:w="0" w:type="dxa"/>
          </w:tcMar>
        </w:tcPr>
        <w:p w:rsidR="00917078" w:rsidRPr="00C50A5C" w:rsidRDefault="00917078" w:rsidP="0022323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jc w:val="center"/>
            <w:rPr>
              <w:sz w:val="20"/>
              <w:szCs w:val="20"/>
            </w:rPr>
          </w:pPr>
        </w:p>
        <w:p w:rsidR="00917078" w:rsidRPr="00C50A5C" w:rsidRDefault="00917078" w:rsidP="0022323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jc w:val="center"/>
            <w:rPr>
              <w:sz w:val="20"/>
              <w:szCs w:val="20"/>
            </w:rPr>
          </w:pPr>
        </w:p>
      </w:tc>
      <w:tc>
        <w:tcPr>
          <w:tcW w:w="4080" w:type="dxa"/>
          <w:tcMar>
            <w:left w:w="0" w:type="dxa"/>
            <w:right w:w="0" w:type="dxa"/>
          </w:tcMar>
        </w:tcPr>
        <w:p w:rsidR="00917078" w:rsidRPr="00C50A5C" w:rsidRDefault="00917078" w:rsidP="0022323B">
          <w:pPr>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rPr>
              <w:sz w:val="20"/>
              <w:szCs w:val="20"/>
              <w:lang w:val="fr-CA"/>
            </w:rPr>
          </w:pPr>
          <w:r w:rsidRPr="00C50A5C">
            <w:rPr>
              <w:sz w:val="20"/>
              <w:szCs w:val="20"/>
              <w:lang w:val="fr-CA"/>
            </w:rPr>
            <w:t>CALENDRIER DE [DATE]</w:t>
          </w:r>
        </w:p>
      </w:tc>
    </w:tr>
  </w:tbl>
  <w:p w:rsidR="00917078" w:rsidRDefault="00917078" w:rsidP="0022323B">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078" w:rsidRDefault="00917078">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917078">
      <w:tc>
        <w:tcPr>
          <w:tcW w:w="4200" w:type="dxa"/>
          <w:tcMar>
            <w:left w:w="0" w:type="dxa"/>
            <w:right w:w="0" w:type="dxa"/>
          </w:tcMar>
        </w:tcPr>
        <w:p w:rsidR="00917078" w:rsidRDefault="00917078">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AGENDA FOR DECEMBER 2009</w:t>
          </w:r>
        </w:p>
        <w:p w:rsidR="00917078" w:rsidRDefault="00917078">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1200" w:type="dxa"/>
          <w:tcMar>
            <w:left w:w="0" w:type="dxa"/>
            <w:right w:w="0" w:type="dxa"/>
          </w:tcMar>
        </w:tcPr>
        <w:p w:rsidR="00917078" w:rsidRDefault="00917078">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4080" w:type="dxa"/>
          <w:tcMar>
            <w:left w:w="0" w:type="dxa"/>
            <w:right w:w="0" w:type="dxa"/>
          </w:tcMar>
        </w:tcPr>
        <w:p w:rsidR="00917078" w:rsidRDefault="00917078">
          <w:pPr>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CALENDRIER DE DÉCEMBRE 2009</w:t>
          </w:r>
        </w:p>
        <w:p w:rsidR="00917078" w:rsidRDefault="00917078">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r>
  </w:tbl>
  <w:p w:rsidR="00917078" w:rsidRDefault="00917078">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917078" w:rsidRPr="00C50A5C" w:rsidTr="00245129">
      <w:tc>
        <w:tcPr>
          <w:tcW w:w="4200" w:type="dxa"/>
          <w:tcMar>
            <w:left w:w="0" w:type="dxa"/>
            <w:right w:w="0" w:type="dxa"/>
          </w:tcMar>
        </w:tcPr>
        <w:p w:rsidR="00917078" w:rsidRPr="004450E7" w:rsidRDefault="00917078" w:rsidP="004450E7">
          <w:pPr>
            <w:rPr>
              <w:sz w:val="20"/>
              <w:szCs w:val="20"/>
            </w:rPr>
          </w:pPr>
          <w:r w:rsidRPr="004450E7">
            <w:rPr>
              <w:sz w:val="20"/>
              <w:szCs w:val="20"/>
            </w:rPr>
            <w:t xml:space="preserve">SUMMARIES OF THE CASES </w:t>
          </w:r>
        </w:p>
      </w:tc>
      <w:tc>
        <w:tcPr>
          <w:tcW w:w="1200" w:type="dxa"/>
          <w:tcMar>
            <w:left w:w="0" w:type="dxa"/>
            <w:right w:w="0" w:type="dxa"/>
          </w:tcMar>
        </w:tcPr>
        <w:p w:rsidR="00917078" w:rsidRPr="00C50A5C" w:rsidRDefault="00917078" w:rsidP="0022323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jc w:val="center"/>
            <w:rPr>
              <w:sz w:val="20"/>
              <w:szCs w:val="20"/>
            </w:rPr>
          </w:pPr>
        </w:p>
        <w:p w:rsidR="00917078" w:rsidRPr="00C50A5C" w:rsidRDefault="00917078" w:rsidP="0022323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jc w:val="center"/>
            <w:rPr>
              <w:sz w:val="20"/>
              <w:szCs w:val="20"/>
            </w:rPr>
          </w:pPr>
        </w:p>
      </w:tc>
      <w:tc>
        <w:tcPr>
          <w:tcW w:w="4080" w:type="dxa"/>
          <w:tcMar>
            <w:left w:w="0" w:type="dxa"/>
            <w:right w:w="0" w:type="dxa"/>
          </w:tcMar>
        </w:tcPr>
        <w:p w:rsidR="00917078" w:rsidRPr="004450E7" w:rsidRDefault="00917078" w:rsidP="0022323B">
          <w:pPr>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rPr>
              <w:sz w:val="20"/>
              <w:szCs w:val="20"/>
              <w:lang w:val="fr-CA"/>
            </w:rPr>
          </w:pPr>
          <w:r w:rsidRPr="004450E7">
            <w:rPr>
              <w:sz w:val="20"/>
              <w:szCs w:val="20"/>
              <w:lang w:val="fr-CA"/>
            </w:rPr>
            <w:t>RÉSUMÉS DES AFFAIRES</w:t>
          </w:r>
        </w:p>
      </w:tc>
    </w:tr>
  </w:tbl>
  <w:p w:rsidR="00917078" w:rsidRDefault="00917078" w:rsidP="0022323B">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078" w:rsidRDefault="009170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078" w:rsidRDefault="00917078">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078" w:rsidRDefault="009170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917078" w:rsidRPr="0096343C" w:rsidTr="00245129">
      <w:tc>
        <w:tcPr>
          <w:tcW w:w="4200" w:type="dxa"/>
          <w:tcMar>
            <w:left w:w="0" w:type="dxa"/>
            <w:right w:w="0" w:type="dxa"/>
          </w:tcMar>
        </w:tcPr>
        <w:p w:rsidR="00917078" w:rsidRPr="0044776A" w:rsidRDefault="00917078" w:rsidP="0044776A">
          <w:pPr>
            <w:keepNext/>
            <w:keepLines/>
            <w:widowControl w:val="0"/>
            <w:rPr>
              <w:sz w:val="20"/>
              <w:szCs w:val="20"/>
            </w:rPr>
          </w:pPr>
          <w:r>
            <w:rPr>
              <w:sz w:val="20"/>
              <w:szCs w:val="20"/>
            </w:rPr>
            <w:t>APPLICATIONS FOR LEAVE</w:t>
          </w:r>
        </w:p>
        <w:p w:rsidR="00917078" w:rsidRPr="0044776A" w:rsidRDefault="00917078"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917078" w:rsidRPr="0044776A" w:rsidRDefault="00917078" w:rsidP="0044776A">
          <w:pPr>
            <w:keepNext/>
            <w:keepLines/>
            <w:widowControl w:val="0"/>
            <w:jc w:val="center"/>
            <w:rPr>
              <w:sz w:val="20"/>
              <w:szCs w:val="20"/>
            </w:rPr>
          </w:pPr>
        </w:p>
        <w:p w:rsidR="00917078" w:rsidRPr="0044776A" w:rsidRDefault="00917078" w:rsidP="0044776A">
          <w:pPr>
            <w:keepNext/>
            <w:keepLines/>
            <w:widowControl w:val="0"/>
            <w:jc w:val="center"/>
            <w:rPr>
              <w:sz w:val="20"/>
              <w:szCs w:val="20"/>
            </w:rPr>
          </w:pPr>
        </w:p>
        <w:p w:rsidR="00917078" w:rsidRPr="0044776A" w:rsidRDefault="00917078" w:rsidP="0044776A">
          <w:pPr>
            <w:keepNext/>
            <w:keepLines/>
            <w:widowControl w:val="0"/>
            <w:jc w:val="center"/>
            <w:rPr>
              <w:sz w:val="20"/>
              <w:szCs w:val="20"/>
            </w:rPr>
          </w:pPr>
        </w:p>
      </w:tc>
      <w:tc>
        <w:tcPr>
          <w:tcW w:w="4080" w:type="dxa"/>
          <w:tcMar>
            <w:left w:w="0" w:type="dxa"/>
            <w:right w:w="0" w:type="dxa"/>
          </w:tcMar>
        </w:tcPr>
        <w:p w:rsidR="00917078" w:rsidRPr="0044776A" w:rsidRDefault="00917078" w:rsidP="0044776A">
          <w:pPr>
            <w:keepLines/>
            <w:widowControl w:val="0"/>
            <w:rPr>
              <w:sz w:val="20"/>
              <w:szCs w:val="20"/>
              <w:lang w:val="fr-CA"/>
            </w:rPr>
          </w:pPr>
          <w:r w:rsidRPr="0044776A">
            <w:rPr>
              <w:sz w:val="20"/>
              <w:szCs w:val="20"/>
              <w:lang w:val="fr-CA"/>
            </w:rPr>
            <w:t>DEMANDES SOUMISES À LA COUR DEPUIS LA DERNIÈRE PARUTION</w:t>
          </w:r>
        </w:p>
        <w:p w:rsidR="00917078" w:rsidRPr="0044776A" w:rsidRDefault="00917078" w:rsidP="0044776A">
          <w:pPr>
            <w:widowControl w:val="0"/>
            <w:rPr>
              <w:sz w:val="20"/>
              <w:szCs w:val="20"/>
              <w:lang w:val="fr-CA"/>
            </w:rPr>
          </w:pPr>
        </w:p>
      </w:tc>
    </w:tr>
  </w:tbl>
  <w:p w:rsidR="00917078" w:rsidRPr="002E2327" w:rsidRDefault="00917078">
    <w:pPr>
      <w:pStyle w:val="Header"/>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078" w:rsidRDefault="0091707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917078" w:rsidRPr="0096343C">
      <w:tc>
        <w:tcPr>
          <w:tcW w:w="4200" w:type="dxa"/>
          <w:tcMar>
            <w:left w:w="0" w:type="dxa"/>
            <w:right w:w="0" w:type="dxa"/>
          </w:tcMar>
        </w:tcPr>
        <w:p w:rsidR="00917078" w:rsidRDefault="0091707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917078" w:rsidRDefault="0091707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917078" w:rsidRDefault="0091707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917078" w:rsidRPr="00FF6BA5" w:rsidRDefault="0091707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917078" w:rsidRPr="00FF6BA5" w:rsidRDefault="0091707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917078" w:rsidRPr="00FF6BA5" w:rsidRDefault="0091707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917078" w:rsidRPr="00FF6BA5" w:rsidRDefault="0091707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917078" w:rsidRPr="0096343C" w:rsidTr="00245129">
      <w:tc>
        <w:tcPr>
          <w:tcW w:w="4200" w:type="dxa"/>
          <w:tcMar>
            <w:left w:w="0" w:type="dxa"/>
            <w:right w:w="0" w:type="dxa"/>
          </w:tcMar>
        </w:tcPr>
        <w:p w:rsidR="00917078" w:rsidRPr="00755F22" w:rsidRDefault="0091707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917078" w:rsidRPr="00755F22" w:rsidRDefault="0091707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917078" w:rsidRPr="00755F22" w:rsidRDefault="00917078"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917078" w:rsidRPr="00755F22" w:rsidRDefault="00917078"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917078" w:rsidRPr="00755F22" w:rsidRDefault="00917078"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917078" w:rsidRPr="00755F22" w:rsidRDefault="0091707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917078" w:rsidRPr="00FF6BA5" w:rsidRDefault="00917078" w:rsidP="00755F22">
    <w:pPr>
      <w:tabs>
        <w:tab w:val="left" w:pos="-1440"/>
        <w:tab w:val="left" w:pos="-720"/>
      </w:tabs>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078" w:rsidRDefault="00917078">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917078" w:rsidRPr="0096343C">
      <w:tc>
        <w:tcPr>
          <w:tcW w:w="4200" w:type="dxa"/>
          <w:tcMar>
            <w:left w:w="0" w:type="dxa"/>
            <w:right w:w="0" w:type="dxa"/>
          </w:tcMar>
        </w:tcPr>
        <w:p w:rsidR="00917078" w:rsidRDefault="0091707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917078" w:rsidRDefault="0091707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917078" w:rsidRDefault="0091707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917078" w:rsidRPr="003C2C0F" w:rsidRDefault="0091707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917078" w:rsidRPr="003C2C0F" w:rsidRDefault="0091707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917078" w:rsidRPr="003C2C0F" w:rsidRDefault="0091707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917078" w:rsidRPr="0096343C" w:rsidTr="00245129">
      <w:tc>
        <w:tcPr>
          <w:tcW w:w="4200" w:type="dxa"/>
          <w:tcMar>
            <w:left w:w="0" w:type="dxa"/>
            <w:right w:w="0" w:type="dxa"/>
          </w:tcMar>
        </w:tcPr>
        <w:p w:rsidR="00917078" w:rsidRPr="00FF6EEC" w:rsidRDefault="00917078" w:rsidP="00FF6EEC">
          <w:pPr>
            <w:rPr>
              <w:sz w:val="20"/>
              <w:szCs w:val="20"/>
            </w:rPr>
          </w:pPr>
          <w:r w:rsidRPr="00FF6EEC">
            <w:rPr>
              <w:sz w:val="20"/>
              <w:szCs w:val="20"/>
            </w:rPr>
            <w:t>PRONOUNCEMENTS OF APPEALS RESERVED</w:t>
          </w:r>
        </w:p>
      </w:tc>
      <w:tc>
        <w:tcPr>
          <w:tcW w:w="1200" w:type="dxa"/>
          <w:tcMar>
            <w:left w:w="0" w:type="dxa"/>
            <w:right w:w="0" w:type="dxa"/>
          </w:tcMar>
        </w:tcPr>
        <w:p w:rsidR="00917078" w:rsidRPr="00FF6EEC" w:rsidRDefault="00917078" w:rsidP="00FF6EEC">
          <w:pPr>
            <w:jc w:val="center"/>
            <w:rPr>
              <w:sz w:val="20"/>
              <w:szCs w:val="20"/>
            </w:rPr>
          </w:pPr>
        </w:p>
        <w:p w:rsidR="00917078" w:rsidRPr="00FF6EEC" w:rsidRDefault="00917078" w:rsidP="00FF6EEC">
          <w:pPr>
            <w:jc w:val="center"/>
            <w:rPr>
              <w:sz w:val="20"/>
              <w:szCs w:val="20"/>
            </w:rPr>
          </w:pPr>
        </w:p>
        <w:p w:rsidR="00917078" w:rsidRPr="00FF6EEC" w:rsidRDefault="00917078" w:rsidP="00FF6EEC">
          <w:pPr>
            <w:jc w:val="center"/>
            <w:rPr>
              <w:sz w:val="20"/>
              <w:szCs w:val="20"/>
            </w:rPr>
          </w:pPr>
        </w:p>
      </w:tc>
      <w:tc>
        <w:tcPr>
          <w:tcW w:w="4080" w:type="dxa"/>
          <w:tcMar>
            <w:left w:w="0" w:type="dxa"/>
            <w:right w:w="0" w:type="dxa"/>
          </w:tcMar>
        </w:tcPr>
        <w:p w:rsidR="00917078" w:rsidRPr="00FF6EEC" w:rsidRDefault="00917078" w:rsidP="00FF6EEC">
          <w:pPr>
            <w:rPr>
              <w:sz w:val="20"/>
              <w:szCs w:val="20"/>
              <w:lang w:val="fr-CA"/>
            </w:rPr>
          </w:pPr>
          <w:r w:rsidRPr="00FF6EEC">
            <w:rPr>
              <w:sz w:val="20"/>
              <w:szCs w:val="20"/>
              <w:lang w:val="fr-CA"/>
            </w:rPr>
            <w:t>JUGEMENTS RENDUS SUR LES APPELS EN DÉLIBÉRÉ</w:t>
          </w:r>
        </w:p>
      </w:tc>
    </w:tr>
  </w:tbl>
  <w:p w:rsidR="00917078" w:rsidRPr="003C2C0F" w:rsidRDefault="00917078"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820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5B2"/>
    <w:rsid w:val="00002704"/>
    <w:rsid w:val="00020DC3"/>
    <w:rsid w:val="0003223B"/>
    <w:rsid w:val="000327B2"/>
    <w:rsid w:val="00041EAC"/>
    <w:rsid w:val="0004528B"/>
    <w:rsid w:val="00047CBB"/>
    <w:rsid w:val="00064FBA"/>
    <w:rsid w:val="00091F63"/>
    <w:rsid w:val="00091FA6"/>
    <w:rsid w:val="00096BD9"/>
    <w:rsid w:val="000B3C9A"/>
    <w:rsid w:val="000B40A2"/>
    <w:rsid w:val="000B4624"/>
    <w:rsid w:val="000C0ACD"/>
    <w:rsid w:val="000C0D2A"/>
    <w:rsid w:val="000C5CE8"/>
    <w:rsid w:val="000E27A5"/>
    <w:rsid w:val="000E2959"/>
    <w:rsid w:val="000F0B60"/>
    <w:rsid w:val="00102926"/>
    <w:rsid w:val="0010587F"/>
    <w:rsid w:val="00111C6B"/>
    <w:rsid w:val="0012102B"/>
    <w:rsid w:val="0013369E"/>
    <w:rsid w:val="0013595D"/>
    <w:rsid w:val="00140A86"/>
    <w:rsid w:val="00147A11"/>
    <w:rsid w:val="00164E6D"/>
    <w:rsid w:val="00183454"/>
    <w:rsid w:val="001B157C"/>
    <w:rsid w:val="001B4006"/>
    <w:rsid w:val="001B5C23"/>
    <w:rsid w:val="001D0D5F"/>
    <w:rsid w:val="001D6B8C"/>
    <w:rsid w:val="001F1F83"/>
    <w:rsid w:val="001F40DF"/>
    <w:rsid w:val="001F43F8"/>
    <w:rsid w:val="001F6B2D"/>
    <w:rsid w:val="002021A9"/>
    <w:rsid w:val="002139A7"/>
    <w:rsid w:val="00215F7C"/>
    <w:rsid w:val="0022323B"/>
    <w:rsid w:val="0022378B"/>
    <w:rsid w:val="002410B8"/>
    <w:rsid w:val="00242AEE"/>
    <w:rsid w:val="00245129"/>
    <w:rsid w:val="00245879"/>
    <w:rsid w:val="00253236"/>
    <w:rsid w:val="00267FD5"/>
    <w:rsid w:val="00270573"/>
    <w:rsid w:val="00274D34"/>
    <w:rsid w:val="00283ED8"/>
    <w:rsid w:val="002868D0"/>
    <w:rsid w:val="002A008C"/>
    <w:rsid w:val="002A27D1"/>
    <w:rsid w:val="002A4AFA"/>
    <w:rsid w:val="002B516C"/>
    <w:rsid w:val="002D72EB"/>
    <w:rsid w:val="002E2327"/>
    <w:rsid w:val="002E3583"/>
    <w:rsid w:val="002E5576"/>
    <w:rsid w:val="0030050B"/>
    <w:rsid w:val="00331B52"/>
    <w:rsid w:val="003359D3"/>
    <w:rsid w:val="00355967"/>
    <w:rsid w:val="00382C47"/>
    <w:rsid w:val="00384384"/>
    <w:rsid w:val="003866AE"/>
    <w:rsid w:val="003944E3"/>
    <w:rsid w:val="003B3977"/>
    <w:rsid w:val="003C3097"/>
    <w:rsid w:val="003E1D4C"/>
    <w:rsid w:val="004137A0"/>
    <w:rsid w:val="00422D9A"/>
    <w:rsid w:val="00432989"/>
    <w:rsid w:val="00432B1A"/>
    <w:rsid w:val="00440E24"/>
    <w:rsid w:val="004450E7"/>
    <w:rsid w:val="0044776A"/>
    <w:rsid w:val="00460AFC"/>
    <w:rsid w:val="0047471F"/>
    <w:rsid w:val="004769A1"/>
    <w:rsid w:val="004A767C"/>
    <w:rsid w:val="004B195E"/>
    <w:rsid w:val="004B66B4"/>
    <w:rsid w:val="004B7F60"/>
    <w:rsid w:val="004C1AAC"/>
    <w:rsid w:val="004E1E0A"/>
    <w:rsid w:val="004F090E"/>
    <w:rsid w:val="004F0EC4"/>
    <w:rsid w:val="00501F3C"/>
    <w:rsid w:val="0052229C"/>
    <w:rsid w:val="00527CC7"/>
    <w:rsid w:val="0056248C"/>
    <w:rsid w:val="00566486"/>
    <w:rsid w:val="005705B2"/>
    <w:rsid w:val="00571CA4"/>
    <w:rsid w:val="00582136"/>
    <w:rsid w:val="005A5E8D"/>
    <w:rsid w:val="005C6840"/>
    <w:rsid w:val="005F1ED8"/>
    <w:rsid w:val="005F263E"/>
    <w:rsid w:val="00600252"/>
    <w:rsid w:val="00612A40"/>
    <w:rsid w:val="00621A43"/>
    <w:rsid w:val="0062714A"/>
    <w:rsid w:val="00635179"/>
    <w:rsid w:val="00663158"/>
    <w:rsid w:val="00675479"/>
    <w:rsid w:val="00680709"/>
    <w:rsid w:val="00681F61"/>
    <w:rsid w:val="00682602"/>
    <w:rsid w:val="00696BF9"/>
    <w:rsid w:val="00697C62"/>
    <w:rsid w:val="006A329B"/>
    <w:rsid w:val="006A5035"/>
    <w:rsid w:val="006A5D47"/>
    <w:rsid w:val="006A7EB8"/>
    <w:rsid w:val="006B5FC0"/>
    <w:rsid w:val="006B6926"/>
    <w:rsid w:val="006C3F47"/>
    <w:rsid w:val="006C40BD"/>
    <w:rsid w:val="006C5F7A"/>
    <w:rsid w:val="006E06AF"/>
    <w:rsid w:val="006F350F"/>
    <w:rsid w:val="007042E0"/>
    <w:rsid w:val="00732DB7"/>
    <w:rsid w:val="0073528C"/>
    <w:rsid w:val="0074238B"/>
    <w:rsid w:val="00745EF7"/>
    <w:rsid w:val="0074616E"/>
    <w:rsid w:val="00755F22"/>
    <w:rsid w:val="00762008"/>
    <w:rsid w:val="00766E4A"/>
    <w:rsid w:val="007820CE"/>
    <w:rsid w:val="00782AE4"/>
    <w:rsid w:val="00786B0B"/>
    <w:rsid w:val="0079724F"/>
    <w:rsid w:val="007A3EAE"/>
    <w:rsid w:val="007A4F08"/>
    <w:rsid w:val="007A67CE"/>
    <w:rsid w:val="007B5AF9"/>
    <w:rsid w:val="007C04FC"/>
    <w:rsid w:val="007C3DB0"/>
    <w:rsid w:val="007C47C2"/>
    <w:rsid w:val="007D3E0F"/>
    <w:rsid w:val="007E4282"/>
    <w:rsid w:val="007E6F25"/>
    <w:rsid w:val="007E781E"/>
    <w:rsid w:val="007F105B"/>
    <w:rsid w:val="007F387B"/>
    <w:rsid w:val="00802863"/>
    <w:rsid w:val="008112A9"/>
    <w:rsid w:val="0081473A"/>
    <w:rsid w:val="00815B3C"/>
    <w:rsid w:val="0081610A"/>
    <w:rsid w:val="0082783A"/>
    <w:rsid w:val="00831CA9"/>
    <w:rsid w:val="00840C63"/>
    <w:rsid w:val="00850E1F"/>
    <w:rsid w:val="0085476B"/>
    <w:rsid w:val="0086340B"/>
    <w:rsid w:val="0088323A"/>
    <w:rsid w:val="008902B1"/>
    <w:rsid w:val="00890FEB"/>
    <w:rsid w:val="00895E7E"/>
    <w:rsid w:val="008A5C1A"/>
    <w:rsid w:val="008D266B"/>
    <w:rsid w:val="008D292F"/>
    <w:rsid w:val="008E03DC"/>
    <w:rsid w:val="008F38BE"/>
    <w:rsid w:val="0090195E"/>
    <w:rsid w:val="00902E51"/>
    <w:rsid w:val="00905ECB"/>
    <w:rsid w:val="00917078"/>
    <w:rsid w:val="00924065"/>
    <w:rsid w:val="00930D68"/>
    <w:rsid w:val="00932756"/>
    <w:rsid w:val="00932DB4"/>
    <w:rsid w:val="00941A4B"/>
    <w:rsid w:val="00943325"/>
    <w:rsid w:val="00946242"/>
    <w:rsid w:val="0095096B"/>
    <w:rsid w:val="0096343C"/>
    <w:rsid w:val="00970CD3"/>
    <w:rsid w:val="009723FA"/>
    <w:rsid w:val="00984546"/>
    <w:rsid w:val="00996510"/>
    <w:rsid w:val="009D1F15"/>
    <w:rsid w:val="009D555E"/>
    <w:rsid w:val="009F3024"/>
    <w:rsid w:val="009F39BA"/>
    <w:rsid w:val="00A0355E"/>
    <w:rsid w:val="00A056EE"/>
    <w:rsid w:val="00A375D1"/>
    <w:rsid w:val="00A51D10"/>
    <w:rsid w:val="00A52A83"/>
    <w:rsid w:val="00A53023"/>
    <w:rsid w:val="00A6552C"/>
    <w:rsid w:val="00A87207"/>
    <w:rsid w:val="00A935AA"/>
    <w:rsid w:val="00A956D3"/>
    <w:rsid w:val="00AB2201"/>
    <w:rsid w:val="00AD1D34"/>
    <w:rsid w:val="00AD3259"/>
    <w:rsid w:val="00AE5484"/>
    <w:rsid w:val="00AF1715"/>
    <w:rsid w:val="00AF3904"/>
    <w:rsid w:val="00B010C0"/>
    <w:rsid w:val="00B4740D"/>
    <w:rsid w:val="00B61629"/>
    <w:rsid w:val="00B7374B"/>
    <w:rsid w:val="00B90DC0"/>
    <w:rsid w:val="00BA116A"/>
    <w:rsid w:val="00BA5582"/>
    <w:rsid w:val="00BA6468"/>
    <w:rsid w:val="00BB04F4"/>
    <w:rsid w:val="00BB1D44"/>
    <w:rsid w:val="00BD06DA"/>
    <w:rsid w:val="00BD4217"/>
    <w:rsid w:val="00BF25F3"/>
    <w:rsid w:val="00C01FCB"/>
    <w:rsid w:val="00C1697B"/>
    <w:rsid w:val="00C21644"/>
    <w:rsid w:val="00C21CB5"/>
    <w:rsid w:val="00C46376"/>
    <w:rsid w:val="00C50A5C"/>
    <w:rsid w:val="00C50FDF"/>
    <w:rsid w:val="00C5128B"/>
    <w:rsid w:val="00C63381"/>
    <w:rsid w:val="00C661B7"/>
    <w:rsid w:val="00C72588"/>
    <w:rsid w:val="00C73D06"/>
    <w:rsid w:val="00C73E1B"/>
    <w:rsid w:val="00C7556C"/>
    <w:rsid w:val="00C759B4"/>
    <w:rsid w:val="00C77713"/>
    <w:rsid w:val="00C85BB7"/>
    <w:rsid w:val="00CA2DEA"/>
    <w:rsid w:val="00CA518B"/>
    <w:rsid w:val="00CB3520"/>
    <w:rsid w:val="00CB43D5"/>
    <w:rsid w:val="00CC4D84"/>
    <w:rsid w:val="00CD451A"/>
    <w:rsid w:val="00CE198A"/>
    <w:rsid w:val="00CF08C8"/>
    <w:rsid w:val="00D004FC"/>
    <w:rsid w:val="00D55EDC"/>
    <w:rsid w:val="00D64901"/>
    <w:rsid w:val="00D76BDF"/>
    <w:rsid w:val="00D818B6"/>
    <w:rsid w:val="00D823AE"/>
    <w:rsid w:val="00D862C1"/>
    <w:rsid w:val="00D93B50"/>
    <w:rsid w:val="00D94028"/>
    <w:rsid w:val="00D94670"/>
    <w:rsid w:val="00DA46F6"/>
    <w:rsid w:val="00DA756F"/>
    <w:rsid w:val="00DD0B49"/>
    <w:rsid w:val="00DE0502"/>
    <w:rsid w:val="00DE0A2B"/>
    <w:rsid w:val="00DE349D"/>
    <w:rsid w:val="00E033CB"/>
    <w:rsid w:val="00E059D1"/>
    <w:rsid w:val="00E06DFA"/>
    <w:rsid w:val="00E20A0A"/>
    <w:rsid w:val="00E240C2"/>
    <w:rsid w:val="00E32D39"/>
    <w:rsid w:val="00E356C7"/>
    <w:rsid w:val="00E414CA"/>
    <w:rsid w:val="00E41A5A"/>
    <w:rsid w:val="00E45FE4"/>
    <w:rsid w:val="00E64FA7"/>
    <w:rsid w:val="00E75CFD"/>
    <w:rsid w:val="00E770CB"/>
    <w:rsid w:val="00E8544A"/>
    <w:rsid w:val="00E903A1"/>
    <w:rsid w:val="00E940EB"/>
    <w:rsid w:val="00E942C2"/>
    <w:rsid w:val="00E9703F"/>
    <w:rsid w:val="00EA1155"/>
    <w:rsid w:val="00EB2B90"/>
    <w:rsid w:val="00EC059B"/>
    <w:rsid w:val="00EC6C28"/>
    <w:rsid w:val="00ED7E83"/>
    <w:rsid w:val="00EE091F"/>
    <w:rsid w:val="00EF4B63"/>
    <w:rsid w:val="00F0068D"/>
    <w:rsid w:val="00F0576D"/>
    <w:rsid w:val="00F14E6D"/>
    <w:rsid w:val="00F15EA8"/>
    <w:rsid w:val="00F16C8D"/>
    <w:rsid w:val="00F25B55"/>
    <w:rsid w:val="00F26C61"/>
    <w:rsid w:val="00F33CCE"/>
    <w:rsid w:val="00F40249"/>
    <w:rsid w:val="00F526C8"/>
    <w:rsid w:val="00F761A3"/>
    <w:rsid w:val="00F9272D"/>
    <w:rsid w:val="00F9518C"/>
    <w:rsid w:val="00FA316E"/>
    <w:rsid w:val="00FA3373"/>
    <w:rsid w:val="00FA59EF"/>
    <w:rsid w:val="00FB19A2"/>
    <w:rsid w:val="00FB4A2E"/>
    <w:rsid w:val="00FD479C"/>
    <w:rsid w:val="00FE0F5B"/>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20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1"/>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styleId="BalloonText">
    <w:name w:val="Balloon Text"/>
    <w:basedOn w:val="Normal"/>
    <w:link w:val="BalloonTextChar"/>
    <w:uiPriority w:val="99"/>
    <w:semiHidden/>
    <w:unhideWhenUsed/>
    <w:rsid w:val="002237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378B"/>
    <w:rPr>
      <w:rFonts w:ascii="Segoe UI" w:hAnsi="Segoe UI" w:cs="Segoe UI"/>
      <w:sz w:val="18"/>
      <w:szCs w:val="18"/>
      <w:lang w:val="en-CA"/>
    </w:rPr>
  </w:style>
  <w:style w:type="paragraph" w:customStyle="1" w:styleId="SCCAppellantInfoCoram">
    <w:name w:val="SCC.AppellantInfo.Coram"/>
    <w:basedOn w:val="Normal"/>
    <w:next w:val="Normal"/>
    <w:link w:val="SCCAppellantInfoCoramChar"/>
    <w:rsid w:val="0090195E"/>
    <w:rPr>
      <w:b/>
      <w:szCs w:val="24"/>
    </w:rPr>
  </w:style>
  <w:style w:type="character" w:customStyle="1" w:styleId="SCCAppellantInfoCoramChar">
    <w:name w:val="SCC.AppellantInfo.Coram Char"/>
    <w:basedOn w:val="DefaultParagraphFont"/>
    <w:link w:val="SCCAppellantInfoCoram"/>
    <w:rsid w:val="0090195E"/>
    <w:rPr>
      <w:b/>
      <w:szCs w:val="24"/>
      <w:lang w:val="en-CA"/>
    </w:rPr>
  </w:style>
  <w:style w:type="paragraph" w:customStyle="1" w:styleId="SCCAppellantInfoAppellantInfo">
    <w:name w:val="SCC.AppellantInfo.AppellantInfo"/>
    <w:basedOn w:val="Normal"/>
    <w:next w:val="Normal"/>
    <w:link w:val="SCCAppellantInfoAppellantInfoChar"/>
    <w:rsid w:val="0090195E"/>
    <w:rPr>
      <w:szCs w:val="24"/>
    </w:rPr>
  </w:style>
  <w:style w:type="character" w:customStyle="1" w:styleId="SCCAppellantInfoAppellantInfoChar">
    <w:name w:val="SCC.AppellantInfo.AppellantInfo Char"/>
    <w:basedOn w:val="DefaultParagraphFont"/>
    <w:link w:val="SCCAppellantInfoAppellantInfo"/>
    <w:rsid w:val="0090195E"/>
    <w:rPr>
      <w:szCs w:val="24"/>
      <w:lang w:val="en-CA"/>
    </w:rPr>
  </w:style>
  <w:style w:type="character" w:styleId="FollowedHyperlink">
    <w:name w:val="FollowedHyperlink"/>
    <w:basedOn w:val="DefaultParagraphFont"/>
    <w:uiPriority w:val="99"/>
    <w:semiHidden/>
    <w:unhideWhenUsed/>
    <w:rsid w:val="00E033CB"/>
    <w:rPr>
      <w:color w:val="800080"/>
      <w:u w:val="single"/>
    </w:rPr>
  </w:style>
  <w:style w:type="paragraph" w:customStyle="1" w:styleId="SCCBanSummary">
    <w:name w:val="SCC.BanSummary"/>
    <w:basedOn w:val="Normal"/>
    <w:next w:val="Normal"/>
    <w:link w:val="SCCBanSummaryChar"/>
    <w:rsid w:val="00E033CB"/>
    <w:pPr>
      <w:jc w:val="both"/>
    </w:pPr>
    <w:rPr>
      <w:rFonts w:eastAsia="Calibri" w:cs="Times New Roman"/>
      <w:smallCaps/>
    </w:rPr>
  </w:style>
  <w:style w:type="character" w:customStyle="1" w:styleId="SCCBanSummaryChar">
    <w:name w:val="SCC.BanSummary Char"/>
    <w:basedOn w:val="DefaultParagraphFont"/>
    <w:link w:val="SCCBanSummary"/>
    <w:rsid w:val="00E033CB"/>
    <w:rPr>
      <w:rFonts w:eastAsia="Calibri" w:cs="Times New Roman"/>
      <w:smallCaps/>
      <w:lang w:val="en-CA"/>
    </w:rPr>
  </w:style>
  <w:style w:type="paragraph" w:styleId="NoSpacing">
    <w:name w:val="No Spacing"/>
    <w:uiPriority w:val="1"/>
    <w:qFormat/>
    <w:rsid w:val="00E033CB"/>
    <w:pPr>
      <w:widowControl w:val="0"/>
      <w:autoSpaceDE w:val="0"/>
      <w:autoSpaceDN w:val="0"/>
      <w:adjustRightInd w:val="0"/>
    </w:pPr>
    <w:rPr>
      <w:rFonts w:eastAsia="Times New Roman" w:cs="Times New Roman"/>
      <w:szCs w:val="24"/>
      <w:lang w:eastAsia="en-CA"/>
    </w:rPr>
  </w:style>
  <w:style w:type="paragraph" w:styleId="DocumentMap">
    <w:name w:val="Document Map"/>
    <w:basedOn w:val="Normal"/>
    <w:link w:val="DocumentMapChar"/>
    <w:uiPriority w:val="99"/>
    <w:semiHidden/>
    <w:unhideWhenUsed/>
    <w:rsid w:val="00E033CB"/>
    <w:rPr>
      <w:rFonts w:ascii="Tahoma" w:eastAsia="Times New Roman" w:hAnsi="Tahoma" w:cs="Tahoma"/>
      <w:sz w:val="16"/>
      <w:szCs w:val="16"/>
      <w:lang w:val="en-US"/>
    </w:rPr>
  </w:style>
  <w:style w:type="character" w:customStyle="1" w:styleId="DocumentMapChar">
    <w:name w:val="Document Map Char"/>
    <w:basedOn w:val="DefaultParagraphFont"/>
    <w:link w:val="DocumentMap"/>
    <w:uiPriority w:val="99"/>
    <w:semiHidden/>
    <w:rsid w:val="00E033CB"/>
    <w:rPr>
      <w:rFonts w:ascii="Tahoma" w:eastAsia="Times New Roman" w:hAnsi="Tahoma" w:cs="Tahoma"/>
      <w:sz w:val="16"/>
      <w:szCs w:val="16"/>
    </w:rPr>
  </w:style>
  <w:style w:type="paragraph" w:customStyle="1" w:styleId="Style268435469">
    <w:name w:val="Style268435469"/>
    <w:rsid w:val="00E033CB"/>
    <w:pPr>
      <w:autoSpaceDE w:val="0"/>
      <w:autoSpaceDN w:val="0"/>
      <w:adjustRightInd w:val="0"/>
    </w:pPr>
    <w:rPr>
      <w:rFonts w:ascii="Arial" w:eastAsia="Calibri" w:hAnsi="Arial" w:cs="Arial"/>
      <w:szCs w:val="24"/>
      <w:lang w:val="en-CA"/>
    </w:rPr>
  </w:style>
  <w:style w:type="paragraph" w:styleId="PlainText">
    <w:name w:val="Plain Text"/>
    <w:basedOn w:val="Normal"/>
    <w:link w:val="PlainTextChar"/>
    <w:uiPriority w:val="99"/>
    <w:semiHidden/>
    <w:unhideWhenUsed/>
    <w:rsid w:val="00E033CB"/>
    <w:rPr>
      <w:rFonts w:ascii="Consolas" w:eastAsia="Times New Roman" w:hAnsi="Consolas" w:cs="Times New Roman"/>
      <w:sz w:val="21"/>
      <w:szCs w:val="21"/>
      <w:lang w:val="en-US"/>
    </w:rPr>
  </w:style>
  <w:style w:type="character" w:customStyle="1" w:styleId="PlainTextChar">
    <w:name w:val="Plain Text Char"/>
    <w:basedOn w:val="DefaultParagraphFont"/>
    <w:link w:val="PlainText"/>
    <w:uiPriority w:val="99"/>
    <w:semiHidden/>
    <w:rsid w:val="00E033CB"/>
    <w:rPr>
      <w:rFonts w:ascii="Consolas" w:eastAsia="Times New Roman" w:hAnsi="Consolas" w:cs="Times New Roman"/>
      <w:sz w:val="21"/>
      <w:szCs w:val="21"/>
    </w:rPr>
  </w:style>
  <w:style w:type="character" w:styleId="CommentReference">
    <w:name w:val="annotation reference"/>
    <w:basedOn w:val="DefaultParagraphFont"/>
    <w:uiPriority w:val="99"/>
    <w:semiHidden/>
    <w:unhideWhenUsed/>
    <w:rsid w:val="00E033CB"/>
    <w:rPr>
      <w:sz w:val="16"/>
      <w:szCs w:val="16"/>
    </w:rPr>
  </w:style>
  <w:style w:type="paragraph" w:styleId="CommentText">
    <w:name w:val="annotation text"/>
    <w:basedOn w:val="Normal"/>
    <w:link w:val="CommentTextChar"/>
    <w:uiPriority w:val="99"/>
    <w:semiHidden/>
    <w:unhideWhenUsed/>
    <w:rsid w:val="00E033CB"/>
    <w:rPr>
      <w:rFonts w:eastAsia="Times New Roman" w:cs="Times New Roman"/>
      <w:sz w:val="20"/>
      <w:szCs w:val="20"/>
      <w:lang w:val="en-US"/>
    </w:rPr>
  </w:style>
  <w:style w:type="character" w:customStyle="1" w:styleId="CommentTextChar">
    <w:name w:val="Comment Text Char"/>
    <w:basedOn w:val="DefaultParagraphFont"/>
    <w:link w:val="CommentText"/>
    <w:uiPriority w:val="99"/>
    <w:semiHidden/>
    <w:rsid w:val="00E033CB"/>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033CB"/>
    <w:rPr>
      <w:b/>
      <w:bCs/>
    </w:rPr>
  </w:style>
  <w:style w:type="character" w:customStyle="1" w:styleId="CommentSubjectChar">
    <w:name w:val="Comment Subject Char"/>
    <w:basedOn w:val="CommentTextChar"/>
    <w:link w:val="CommentSubject"/>
    <w:uiPriority w:val="99"/>
    <w:semiHidden/>
    <w:rsid w:val="00E033CB"/>
    <w:rPr>
      <w:rFonts w:eastAsia="Times New Roman" w:cs="Times New Roman"/>
      <w:b/>
      <w:bCs/>
      <w:sz w:val="20"/>
      <w:szCs w:val="20"/>
    </w:rPr>
  </w:style>
  <w:style w:type="paragraph" w:customStyle="1" w:styleId="SCCSsoc">
    <w:name w:val="SCC.Ssoc"/>
    <w:basedOn w:val="Normal"/>
    <w:next w:val="Normal"/>
    <w:link w:val="SCCSsocChar"/>
    <w:rsid w:val="00E033CB"/>
    <w:rPr>
      <w:rFonts w:eastAsia="Times New Roman" w:cs="Times New Roman"/>
      <w:i/>
      <w:szCs w:val="20"/>
      <w:lang w:val="fr-CA" w:eastAsia="en-CA"/>
    </w:rPr>
  </w:style>
  <w:style w:type="character" w:customStyle="1" w:styleId="SCCSsocChar">
    <w:name w:val="SCC.Ssoc Char"/>
    <w:basedOn w:val="DefaultParagraphFont"/>
    <w:link w:val="SCCSsoc"/>
    <w:rsid w:val="00E033CB"/>
    <w:rPr>
      <w:rFonts w:eastAsia="Times New Roman" w:cs="Times New Roman"/>
      <w:i/>
      <w:szCs w:val="20"/>
      <w:lang w:val="fr-CA" w:eastAsia="en-CA"/>
    </w:rPr>
  </w:style>
  <w:style w:type="paragraph" w:customStyle="1" w:styleId="SCCLsocSubfileSeparator">
    <w:name w:val="SCC.Lsoc.SubfileSeparator"/>
    <w:basedOn w:val="Normal"/>
    <w:next w:val="Normal"/>
    <w:link w:val="SCCLsocSubfileSeparatorChar"/>
    <w:rsid w:val="00943325"/>
    <w:pPr>
      <w:spacing w:after="720"/>
    </w:pPr>
    <w:rPr>
      <w:rFonts w:eastAsia="Times New Roman" w:cs="Times New Roman"/>
      <w:szCs w:val="20"/>
      <w:lang w:eastAsia="en-CA"/>
    </w:rPr>
  </w:style>
  <w:style w:type="character" w:customStyle="1" w:styleId="SCCLsocSubfileSeparatorChar">
    <w:name w:val="SCC.Lsoc.SubfileSeparator Char"/>
    <w:basedOn w:val="DefaultParagraphFont"/>
    <w:link w:val="SCCLsocSubfileSeparator"/>
    <w:rsid w:val="00943325"/>
    <w:rPr>
      <w:rFonts w:eastAsia="Times New Roman" w:cs="Times New Roman"/>
      <w:szCs w:val="20"/>
      <w:lang w:val="en-CA" w:eastAsia="en-CA"/>
    </w:rPr>
  </w:style>
  <w:style w:type="character" w:customStyle="1" w:styleId="SCCLowerCourtJudge">
    <w:name w:val="SCC.LowerCourtJudge"/>
    <w:basedOn w:val="DefaultParagraphFont"/>
    <w:uiPriority w:val="1"/>
    <w:qFormat/>
    <w:rsid w:val="00270573"/>
  </w:style>
  <w:style w:type="paragraph" w:customStyle="1" w:styleId="SCCCaseDescriptor">
    <w:name w:val="SCC.CaseDescriptor"/>
    <w:basedOn w:val="Normal"/>
    <w:link w:val="SCCCaseDescriptorChar"/>
    <w:qFormat/>
    <w:rsid w:val="00905ECB"/>
    <w:rPr>
      <w:rFonts w:eastAsia="Times New Roman" w:cs="Times New Roman"/>
      <w:b/>
      <w:szCs w:val="20"/>
      <w:lang w:eastAsia="en-CA"/>
    </w:rPr>
  </w:style>
  <w:style w:type="character" w:customStyle="1" w:styleId="SCCCaseDescriptorChar">
    <w:name w:val="SCC.CaseDescriptor Char"/>
    <w:basedOn w:val="DefaultParagraphFont"/>
    <w:link w:val="SCCCaseDescriptor"/>
    <w:rsid w:val="00905ECB"/>
    <w:rPr>
      <w:rFonts w:eastAsia="Times New Roman" w:cs="Times New Roman"/>
      <w:b/>
      <w:szCs w:val="2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74905">
      <w:bodyDiv w:val="1"/>
      <w:marLeft w:val="0"/>
      <w:marRight w:val="0"/>
      <w:marTop w:val="0"/>
      <w:marBottom w:val="0"/>
      <w:divBdr>
        <w:top w:val="none" w:sz="0" w:space="0" w:color="auto"/>
        <w:left w:val="none" w:sz="0" w:space="0" w:color="auto"/>
        <w:bottom w:val="none" w:sz="0" w:space="0" w:color="auto"/>
        <w:right w:val="none" w:sz="0" w:space="0" w:color="auto"/>
      </w:divBdr>
    </w:div>
    <w:div w:id="73666597">
      <w:bodyDiv w:val="1"/>
      <w:marLeft w:val="0"/>
      <w:marRight w:val="0"/>
      <w:marTop w:val="0"/>
      <w:marBottom w:val="0"/>
      <w:divBdr>
        <w:top w:val="none" w:sz="0" w:space="0" w:color="auto"/>
        <w:left w:val="none" w:sz="0" w:space="0" w:color="auto"/>
        <w:bottom w:val="none" w:sz="0" w:space="0" w:color="auto"/>
        <w:right w:val="none" w:sz="0" w:space="0" w:color="auto"/>
      </w:divBdr>
    </w:div>
    <w:div w:id="172663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canlii.org/en/sk/skqb/doc/2016/2016skqb218/2016skqb218.html?resultIndex=1" TargetMode="External"/><Relationship Id="rId21" Type="http://schemas.openxmlformats.org/officeDocument/2006/relationships/hyperlink" Target="https://www.canlii.org/fr/qc/qctp/doc/2014/2014qctp115/2014qctp115.html" TargetMode="External"/><Relationship Id="rId34" Type="http://schemas.openxmlformats.org/officeDocument/2006/relationships/hyperlink" Target="http://canlii.ca/t/h334k" TargetMode="External"/><Relationship Id="rId42" Type="http://schemas.openxmlformats.org/officeDocument/2006/relationships/hyperlink" Target="http://canlii.ca/t/grxss" TargetMode="External"/><Relationship Id="rId47" Type="http://schemas.openxmlformats.org/officeDocument/2006/relationships/hyperlink" Target="https://www.canlii.org/en/nl/nlsctd/doc/2014/2014canlii76043/2014canlii76043.html?autocompleteStr=2014%20NLTD(G)%20163&amp;autocompletePos=1" TargetMode="External"/><Relationship Id="rId50" Type="http://schemas.openxmlformats.org/officeDocument/2006/relationships/hyperlink" Target="https://www.canlii.org/en/nl/nlca/doc/2017/2017nlca28/2017nlca28.html?autocompleteStr=2017%20NLCA%2028&amp;autocompletePos=1" TargetMode="External"/><Relationship Id="rId55" Type="http://schemas.openxmlformats.org/officeDocument/2006/relationships/hyperlink" Target="https://www.canlii.org/en/on/onsc/doc/2016/2016onsc4624/2016onsc4624.html?autocompleteStr=2016%20ONSC%204624&amp;autocompletePos=1" TargetMode="External"/><Relationship Id="rId63" Type="http://schemas.openxmlformats.org/officeDocument/2006/relationships/header" Target="header7.xml"/><Relationship Id="rId68" Type="http://schemas.openxmlformats.org/officeDocument/2006/relationships/footer" Target="footer9.xml"/><Relationship Id="rId76" Type="http://schemas.openxmlformats.org/officeDocument/2006/relationships/footer" Target="footer12.xml"/><Relationship Id="rId84" Type="http://schemas.openxmlformats.org/officeDocument/2006/relationships/hyperlink" Target="http://www.scc-csc.ca/case-dossier/info/sum-som-fra.aspx?cas=37779" TargetMode="External"/><Relationship Id="rId89" Type="http://schemas.openxmlformats.org/officeDocument/2006/relationships/footer" Target="footer15.xml"/><Relationship Id="rId97" Type="http://schemas.openxmlformats.org/officeDocument/2006/relationships/footer" Target="footer19.xml"/><Relationship Id="rId7" Type="http://schemas.openxmlformats.org/officeDocument/2006/relationships/image" Target="media/image1.wmf"/><Relationship Id="rId71" Type="http://schemas.openxmlformats.org/officeDocument/2006/relationships/hyperlink" Target="http://www.scc-csc.ca/case-dossier/info/sum-som-eng.aspx?cas=36875" TargetMode="External"/><Relationship Id="rId92"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4.xml"/><Relationship Id="rId29" Type="http://schemas.openxmlformats.org/officeDocument/2006/relationships/hyperlink" Target="https://www.canlii.org/en/sk/skca/doc/2017/2017skca29/2017skca29.html?resultIndex=1" TargetMode="External"/><Relationship Id="rId11" Type="http://schemas.openxmlformats.org/officeDocument/2006/relationships/footer" Target="footer1.xml"/><Relationship Id="rId24" Type="http://schemas.openxmlformats.org/officeDocument/2006/relationships/hyperlink" Target="https://www.canlii.org/fr/qc/qctp/doc/2014/2014qctp115/2014qctp115.html" TargetMode="External"/><Relationship Id="rId32" Type="http://schemas.openxmlformats.org/officeDocument/2006/relationships/hyperlink" Target="http://canlii.ca/t/h334k" TargetMode="External"/><Relationship Id="rId37" Type="http://schemas.openxmlformats.org/officeDocument/2006/relationships/hyperlink" Target="https://www.canlii.org/fr/qc/qcca/doc/2017/2017qcca1367/2017qcca1367.pdf" TargetMode="External"/><Relationship Id="rId40" Type="http://schemas.openxmlformats.org/officeDocument/2006/relationships/hyperlink" Target="https://www.canlii.org/en/ca/laws/stat/rsc-1985-c-i-17/latest/rsc-1985-c-i-17.html" TargetMode="External"/><Relationship Id="rId45" Type="http://schemas.openxmlformats.org/officeDocument/2006/relationships/hyperlink" Target="http://canlii.ca/t/grxss" TargetMode="External"/><Relationship Id="rId53" Type="http://schemas.openxmlformats.org/officeDocument/2006/relationships/hyperlink" Target="http://canlii.ca/t/g62sd" TargetMode="External"/><Relationship Id="rId58" Type="http://schemas.openxmlformats.org/officeDocument/2006/relationships/hyperlink" Target="https://www.canlii.org/en/on/onca/doc/2017/2017onca395/2017onca395.html?autocompleteStr=2017%20ONCA%20395&amp;autocompletePos=1" TargetMode="External"/><Relationship Id="rId66" Type="http://schemas.openxmlformats.org/officeDocument/2006/relationships/header" Target="header9.xml"/><Relationship Id="rId74" Type="http://schemas.openxmlformats.org/officeDocument/2006/relationships/header" Target="header12.xml"/><Relationship Id="rId79" Type="http://schemas.openxmlformats.org/officeDocument/2006/relationships/hyperlink" Target="http://www.scc-csc.ca/case-dossier/info/sum-som-fra.aspx?cas=37381" TargetMode="External"/><Relationship Id="rId87" Type="http://schemas.openxmlformats.org/officeDocument/2006/relationships/header" Target="header15.xml"/><Relationship Id="rId5" Type="http://schemas.openxmlformats.org/officeDocument/2006/relationships/footnotes" Target="footnotes.xml"/><Relationship Id="rId61" Type="http://schemas.openxmlformats.org/officeDocument/2006/relationships/footer" Target="footer5.xml"/><Relationship Id="rId82" Type="http://schemas.openxmlformats.org/officeDocument/2006/relationships/hyperlink" Target="http://www.scc-csc.ca/case-dossier/info/sum-som-eng.aspx?cas=37441" TargetMode="External"/><Relationship Id="rId90" Type="http://schemas.openxmlformats.org/officeDocument/2006/relationships/header" Target="header16.xml"/><Relationship Id="rId95" Type="http://schemas.openxmlformats.org/officeDocument/2006/relationships/footer" Target="footer18.xml"/><Relationship Id="rId19" Type="http://schemas.openxmlformats.org/officeDocument/2006/relationships/hyperlink" Target="https://www.canlii.org/en/on/onca/doc/2017/2017onca379/2017onca379.html?autocompleteStr=2017%20ONCA%20379&amp;autocompletePos=1" TargetMode="External"/><Relationship Id="rId14" Type="http://schemas.openxmlformats.org/officeDocument/2006/relationships/header" Target="header3.xml"/><Relationship Id="rId22" Type="http://schemas.openxmlformats.org/officeDocument/2006/relationships/hyperlink" Target="https://www.canlii.org/fr/qc/qcca/doc/2017/2017qcca842/2017qcca842.html" TargetMode="External"/><Relationship Id="rId27" Type="http://schemas.openxmlformats.org/officeDocument/2006/relationships/hyperlink" Target="https://www.canlii.org/en/sk/skca/doc/2017/2017skca29/2017skca29.html?resultIndex=1" TargetMode="External"/><Relationship Id="rId30" Type="http://schemas.openxmlformats.org/officeDocument/2006/relationships/hyperlink" Target="http://canlii.ca/t/h4nc2" TargetMode="External"/><Relationship Id="rId35" Type="http://schemas.openxmlformats.org/officeDocument/2006/relationships/hyperlink" Target="http://canlii.ca/t/h470x" TargetMode="External"/><Relationship Id="rId43" Type="http://schemas.openxmlformats.org/officeDocument/2006/relationships/hyperlink" Target="http://canlii.ca/t/h3mcw" TargetMode="External"/><Relationship Id="rId48" Type="http://schemas.openxmlformats.org/officeDocument/2006/relationships/hyperlink" Target="https://www.canlii.org/en/nl/nlca/doc/2017/2017nlca28/2017nlca28.html?autocompleteStr=2017%20NLCA%2028&amp;autocompletePos=1" TargetMode="External"/><Relationship Id="rId56" Type="http://schemas.openxmlformats.org/officeDocument/2006/relationships/hyperlink" Target="https://www.canlii.org/en/on/onca/doc/2017/2017onca395/2017onca395.html?autocompleteStr=2017%20ONCA%20395&amp;autocompletePos=1" TargetMode="External"/><Relationship Id="rId64" Type="http://schemas.openxmlformats.org/officeDocument/2006/relationships/footer" Target="footer7.xml"/><Relationship Id="rId69" Type="http://schemas.openxmlformats.org/officeDocument/2006/relationships/header" Target="header10.xml"/><Relationship Id="rId77" Type="http://schemas.openxmlformats.org/officeDocument/2006/relationships/header" Target="header13.xml"/><Relationship Id="rId100" Type="http://schemas.openxmlformats.org/officeDocument/2006/relationships/fontTable" Target="fontTable.xml"/><Relationship Id="rId8" Type="http://schemas.openxmlformats.org/officeDocument/2006/relationships/hyperlink" Target="http://www.scc-csc.ca" TargetMode="External"/><Relationship Id="rId51" Type="http://schemas.openxmlformats.org/officeDocument/2006/relationships/hyperlink" Target="http://canlii.ca/t/g62sd" TargetMode="External"/><Relationship Id="rId72" Type="http://schemas.openxmlformats.org/officeDocument/2006/relationships/hyperlink" Target="http://www.scc-csc.ca/case-dossier/info/sum-som-eng.aspx?cas=37168" TargetMode="External"/><Relationship Id="rId80" Type="http://schemas.openxmlformats.org/officeDocument/2006/relationships/hyperlink" Target="http://www.scc-csc.ca/case-dossier/info/sum-som-fra.aspx?cas=37421" TargetMode="External"/><Relationship Id="rId85" Type="http://schemas.openxmlformats.org/officeDocument/2006/relationships/hyperlink" Target="http://www.scc-csc.ca/case-dossier/info/sum-som-eng.aspx?cas=37524" TargetMode="External"/><Relationship Id="rId93" Type="http://schemas.openxmlformats.org/officeDocument/2006/relationships/header" Target="header18.xml"/><Relationship Id="rId98" Type="http://schemas.openxmlformats.org/officeDocument/2006/relationships/header" Target="header20.xml"/><Relationship Id="rId3"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yperlink" Target="https://www.canlii.org/fr/qc/qcca/doc/2017/2017qcca842/2017qcca842.html" TargetMode="External"/><Relationship Id="rId33" Type="http://schemas.openxmlformats.org/officeDocument/2006/relationships/hyperlink" Target="http://canlii.ca/t/h470x" TargetMode="External"/><Relationship Id="rId38" Type="http://schemas.openxmlformats.org/officeDocument/2006/relationships/hyperlink" Target="https://www.canlii.org/en/qc/qccs/doc/2017/2017qccs1600/2017qccs1600.pdf" TargetMode="External"/><Relationship Id="rId46" Type="http://schemas.openxmlformats.org/officeDocument/2006/relationships/hyperlink" Target="http://canlii.ca/t/h3mcw" TargetMode="External"/><Relationship Id="rId59" Type="http://schemas.openxmlformats.org/officeDocument/2006/relationships/header" Target="header5.xml"/><Relationship Id="rId67" Type="http://schemas.openxmlformats.org/officeDocument/2006/relationships/footer" Target="footer8.xml"/><Relationship Id="rId20" Type="http://schemas.openxmlformats.org/officeDocument/2006/relationships/hyperlink" Target="https://www.canlii.org/fr/qc/qctp/doc/2014/2014qctp116/2014qctp116.html" TargetMode="External"/><Relationship Id="rId41" Type="http://schemas.openxmlformats.org/officeDocument/2006/relationships/hyperlink" Target="https://www.canlii.org/en/ca/laws/stat/rsc-1985-c-i-17/latest/rsc-1985-c-i-17.html" TargetMode="External"/><Relationship Id="rId54" Type="http://schemas.openxmlformats.org/officeDocument/2006/relationships/hyperlink" Target="http://canlii.ca/t/h398h" TargetMode="External"/><Relationship Id="rId62" Type="http://schemas.openxmlformats.org/officeDocument/2006/relationships/footer" Target="footer6.xml"/><Relationship Id="rId70" Type="http://schemas.openxmlformats.org/officeDocument/2006/relationships/footer" Target="footer10.xml"/><Relationship Id="rId75" Type="http://schemas.openxmlformats.org/officeDocument/2006/relationships/footer" Target="footer11.xml"/><Relationship Id="rId83" Type="http://schemas.openxmlformats.org/officeDocument/2006/relationships/hyperlink" Target="http://www.scc-csc.ca/case-dossier/info/sum-som-eng.aspx?cas=37513" TargetMode="External"/><Relationship Id="rId88" Type="http://schemas.openxmlformats.org/officeDocument/2006/relationships/footer" Target="footer14.xml"/><Relationship Id="rId91" Type="http://schemas.openxmlformats.org/officeDocument/2006/relationships/footer" Target="footer16.xml"/><Relationship Id="rId96" Type="http://schemas.openxmlformats.org/officeDocument/2006/relationships/header" Target="header19.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3.xml"/><Relationship Id="rId23" Type="http://schemas.openxmlformats.org/officeDocument/2006/relationships/hyperlink" Target="https://www.canlii.org/fr/qc/qctp/doc/2014/2014qctp116/2014qctp116.html" TargetMode="External"/><Relationship Id="rId28" Type="http://schemas.openxmlformats.org/officeDocument/2006/relationships/hyperlink" Target="https://www.canlii.org/en/sk/skqb/doc/2016/2016skqb218/2016skqb218.html?resultIndex=1" TargetMode="External"/><Relationship Id="rId36" Type="http://schemas.openxmlformats.org/officeDocument/2006/relationships/hyperlink" Target="https://www.canlii.org/en/qc/qccs/doc/2017/2017qccs1600/2017qccs1600.pdf" TargetMode="External"/><Relationship Id="rId49" Type="http://schemas.openxmlformats.org/officeDocument/2006/relationships/hyperlink" Target="https://www.canlii.org/en/nl/nlsctd/doc/2014/2014canlii76043/2014canlii76043.html?autocompleteStr=2014%20NLTD(G)%20163&amp;autocompletePos=1" TargetMode="External"/><Relationship Id="rId57" Type="http://schemas.openxmlformats.org/officeDocument/2006/relationships/hyperlink" Target="https://www.canlii.org/en/on/onsc/doc/2016/2016onsc4624/2016onsc4624.html?autocompleteStr=2016%20ONSC%204624&amp;autocompletePos=1" TargetMode="External"/><Relationship Id="rId10" Type="http://schemas.openxmlformats.org/officeDocument/2006/relationships/header" Target="header1.xml"/><Relationship Id="rId31" Type="http://schemas.openxmlformats.org/officeDocument/2006/relationships/hyperlink" Target="http://canlii.ca/t/h4nc2" TargetMode="External"/><Relationship Id="rId44" Type="http://schemas.openxmlformats.org/officeDocument/2006/relationships/hyperlink" Target="https://www.canlii.org/en/ca/laws/stat/rsc-1985-c-i-17/latest/rsc-1985-c-i-17.html" TargetMode="External"/><Relationship Id="rId52" Type="http://schemas.openxmlformats.org/officeDocument/2006/relationships/hyperlink" Target="http://canlii.ca/t/h398h" TargetMode="External"/><Relationship Id="rId60" Type="http://schemas.openxmlformats.org/officeDocument/2006/relationships/header" Target="header6.xml"/><Relationship Id="rId65" Type="http://schemas.openxmlformats.org/officeDocument/2006/relationships/header" Target="header8.xml"/><Relationship Id="rId73" Type="http://schemas.openxmlformats.org/officeDocument/2006/relationships/header" Target="header11.xml"/><Relationship Id="rId78" Type="http://schemas.openxmlformats.org/officeDocument/2006/relationships/footer" Target="footer13.xml"/><Relationship Id="rId81" Type="http://schemas.openxmlformats.org/officeDocument/2006/relationships/hyperlink" Target="http://www.scc-csc.ca/case-dossier/info/sum-som-fra.aspx?cas=37422" TargetMode="External"/><Relationship Id="rId86" Type="http://schemas.openxmlformats.org/officeDocument/2006/relationships/header" Target="header14.xml"/><Relationship Id="rId94" Type="http://schemas.openxmlformats.org/officeDocument/2006/relationships/footer" Target="footer17.xml"/><Relationship Id="rId99" Type="http://schemas.openxmlformats.org/officeDocument/2006/relationships/footer" Target="footer20.xm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cc-csc.ca" TargetMode="External"/><Relationship Id="rId13" Type="http://schemas.openxmlformats.org/officeDocument/2006/relationships/footer" Target="footer2.xml"/><Relationship Id="rId18" Type="http://schemas.openxmlformats.org/officeDocument/2006/relationships/hyperlink" Target="https://www.canlii.org/en/on/onca/doc/2017/2017onca379/2017onca379.html?autocompleteStr=2017%20ONCA%20379&amp;autocompletePos=1" TargetMode="External"/><Relationship Id="rId39" Type="http://schemas.openxmlformats.org/officeDocument/2006/relationships/hyperlink" Target="https://www.canlii.org/fr/qc/qcca/doc/2017/2017qcca1367/2017qcca1367.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oulxg\AppData\Roaming\Microsoft\Templates\Bulletin\Bulletin%20of%20Proceedings%20-%20Revis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Bulletin of Proceedings - Revised</Template>
  <TotalTime>0</TotalTime>
  <Pages>54</Pages>
  <Words>27924</Words>
  <Characters>159167</Characters>
  <Application>Microsoft Office Word</Application>
  <DocSecurity>0</DocSecurity>
  <Lines>1326</Lines>
  <Paragraphs>373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186718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2017-12-20T15:11:00Z</dcterms:created>
  <dcterms:modified xsi:type="dcterms:W3CDTF">2018-01-05T16:36:00Z</dcterms:modified>
</cp:coreProperties>
</file>