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F3" w:rsidRPr="00C04776" w:rsidRDefault="00382C47" w:rsidP="00C7556C">
      <w:pPr>
        <w:jc w:val="center"/>
      </w:pPr>
      <w:r w:rsidRPr="00C04776">
        <w:rPr>
          <w:noProof/>
          <w:lang w:val="en-US"/>
        </w:rPr>
        <w:drawing>
          <wp:inline distT="0" distB="0" distL="0" distR="0">
            <wp:extent cx="120015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384384" w:rsidRPr="00C04776" w:rsidRDefault="00384384" w:rsidP="00BF25F3">
      <w:pPr>
        <w:tabs>
          <w:tab w:val="left" w:pos="607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BF25F3" w:rsidRPr="00C04776" w:rsidTr="002E5576">
        <w:tc>
          <w:tcPr>
            <w:tcW w:w="4518" w:type="dxa"/>
          </w:tcPr>
          <w:p w:rsidR="00BF25F3" w:rsidRPr="00C04776" w:rsidRDefault="00BF25F3" w:rsidP="00BF25F3">
            <w:pPr>
              <w:tabs>
                <w:tab w:val="left" w:pos="6075"/>
              </w:tabs>
              <w:jc w:val="center"/>
              <w:rPr>
                <w:b/>
                <w:sz w:val="32"/>
                <w:szCs w:val="32"/>
              </w:rPr>
            </w:pPr>
            <w:r w:rsidRPr="00C04776">
              <w:rPr>
                <w:b/>
                <w:sz w:val="32"/>
                <w:szCs w:val="32"/>
              </w:rPr>
              <w:t>SUPREME COURT OF CANADA</w:t>
            </w:r>
          </w:p>
        </w:tc>
        <w:tc>
          <w:tcPr>
            <w:tcW w:w="630" w:type="dxa"/>
          </w:tcPr>
          <w:p w:rsidR="00BF25F3" w:rsidRPr="00C04776" w:rsidRDefault="00BF25F3" w:rsidP="00BF25F3">
            <w:pPr>
              <w:tabs>
                <w:tab w:val="left" w:pos="6075"/>
              </w:tabs>
              <w:jc w:val="center"/>
              <w:rPr>
                <w:sz w:val="32"/>
                <w:szCs w:val="32"/>
              </w:rPr>
            </w:pPr>
          </w:p>
        </w:tc>
        <w:tc>
          <w:tcPr>
            <w:tcW w:w="4428" w:type="dxa"/>
          </w:tcPr>
          <w:p w:rsidR="00BF25F3" w:rsidRPr="00C04776" w:rsidRDefault="00BF25F3" w:rsidP="00BF25F3">
            <w:pPr>
              <w:tabs>
                <w:tab w:val="left" w:pos="6075"/>
              </w:tabs>
              <w:jc w:val="center"/>
              <w:rPr>
                <w:b/>
                <w:sz w:val="32"/>
                <w:szCs w:val="32"/>
                <w:lang w:val="fr-CA"/>
              </w:rPr>
            </w:pPr>
            <w:r w:rsidRPr="00C04776">
              <w:rPr>
                <w:b/>
                <w:sz w:val="32"/>
                <w:szCs w:val="32"/>
                <w:lang w:val="fr-CA"/>
              </w:rPr>
              <w:t>COUR SUPRÊME DU CANADA</w:t>
            </w:r>
          </w:p>
        </w:tc>
      </w:tr>
      <w:tr w:rsidR="00BF25F3" w:rsidRPr="00C04776" w:rsidTr="002E5576">
        <w:tc>
          <w:tcPr>
            <w:tcW w:w="4518" w:type="dxa"/>
          </w:tcPr>
          <w:p w:rsidR="00BF25F3" w:rsidRPr="00C04776" w:rsidRDefault="00BF25F3" w:rsidP="00BF25F3">
            <w:pPr>
              <w:tabs>
                <w:tab w:val="left" w:pos="6075"/>
              </w:tabs>
            </w:pPr>
          </w:p>
          <w:p w:rsidR="001B5C23" w:rsidRPr="00C04776" w:rsidRDefault="001B5C23" w:rsidP="00BF25F3">
            <w:pPr>
              <w:tabs>
                <w:tab w:val="left" w:pos="6075"/>
              </w:tabs>
            </w:pPr>
          </w:p>
          <w:p w:rsidR="001B5C23" w:rsidRPr="00C04776" w:rsidRDefault="001B5C23" w:rsidP="00BF25F3">
            <w:pPr>
              <w:tabs>
                <w:tab w:val="left" w:pos="6075"/>
              </w:tabs>
            </w:pPr>
          </w:p>
        </w:tc>
        <w:tc>
          <w:tcPr>
            <w:tcW w:w="630" w:type="dxa"/>
          </w:tcPr>
          <w:p w:rsidR="00BF25F3" w:rsidRPr="00C04776" w:rsidRDefault="00BF25F3" w:rsidP="00BF25F3">
            <w:pPr>
              <w:tabs>
                <w:tab w:val="left" w:pos="6075"/>
              </w:tabs>
            </w:pPr>
          </w:p>
        </w:tc>
        <w:tc>
          <w:tcPr>
            <w:tcW w:w="4428" w:type="dxa"/>
          </w:tcPr>
          <w:p w:rsidR="00BF25F3" w:rsidRPr="00C04776" w:rsidRDefault="00BF25F3" w:rsidP="00BF25F3">
            <w:pPr>
              <w:tabs>
                <w:tab w:val="left" w:pos="6075"/>
              </w:tabs>
              <w:rPr>
                <w:lang w:val="fr-CA"/>
              </w:rPr>
            </w:pPr>
          </w:p>
        </w:tc>
      </w:tr>
      <w:tr w:rsidR="00BF25F3" w:rsidRPr="00C04776" w:rsidTr="002E5576">
        <w:tc>
          <w:tcPr>
            <w:tcW w:w="4518" w:type="dxa"/>
          </w:tcPr>
          <w:p w:rsidR="001B5C23" w:rsidRPr="00C04776" w:rsidRDefault="00BF25F3" w:rsidP="00BF25F3">
            <w:pPr>
              <w:tabs>
                <w:tab w:val="left" w:pos="6075"/>
              </w:tabs>
              <w:jc w:val="center"/>
              <w:rPr>
                <w:sz w:val="28"/>
                <w:szCs w:val="28"/>
              </w:rPr>
            </w:pPr>
            <w:r w:rsidRPr="00C04776">
              <w:rPr>
                <w:sz w:val="28"/>
                <w:szCs w:val="28"/>
              </w:rPr>
              <w:t>BULLETIN OF</w:t>
            </w:r>
          </w:p>
          <w:p w:rsidR="00BF25F3" w:rsidRPr="00C04776" w:rsidRDefault="00BF25F3" w:rsidP="00BF25F3">
            <w:pPr>
              <w:tabs>
                <w:tab w:val="left" w:pos="6075"/>
              </w:tabs>
              <w:jc w:val="center"/>
              <w:rPr>
                <w:sz w:val="28"/>
                <w:szCs w:val="28"/>
              </w:rPr>
            </w:pPr>
            <w:r w:rsidRPr="00C04776">
              <w:rPr>
                <w:sz w:val="28"/>
                <w:szCs w:val="28"/>
              </w:rPr>
              <w:t xml:space="preserve"> PROCEEDINGS</w:t>
            </w:r>
          </w:p>
        </w:tc>
        <w:tc>
          <w:tcPr>
            <w:tcW w:w="630" w:type="dxa"/>
          </w:tcPr>
          <w:p w:rsidR="00BF25F3" w:rsidRPr="00C04776" w:rsidRDefault="00BF25F3" w:rsidP="00BF25F3">
            <w:pPr>
              <w:tabs>
                <w:tab w:val="left" w:pos="6075"/>
              </w:tabs>
            </w:pPr>
          </w:p>
        </w:tc>
        <w:tc>
          <w:tcPr>
            <w:tcW w:w="4428" w:type="dxa"/>
          </w:tcPr>
          <w:p w:rsidR="001B5C23" w:rsidRPr="00C04776" w:rsidRDefault="00BF25F3" w:rsidP="00BF25F3">
            <w:pPr>
              <w:tabs>
                <w:tab w:val="left" w:pos="6075"/>
              </w:tabs>
              <w:jc w:val="center"/>
              <w:rPr>
                <w:sz w:val="28"/>
                <w:szCs w:val="28"/>
                <w:lang w:val="fr-CA"/>
              </w:rPr>
            </w:pPr>
            <w:r w:rsidRPr="00C04776">
              <w:rPr>
                <w:sz w:val="28"/>
                <w:szCs w:val="28"/>
                <w:lang w:val="fr-CA"/>
              </w:rPr>
              <w:t>BULLETIN DES</w:t>
            </w:r>
          </w:p>
          <w:p w:rsidR="00BF25F3" w:rsidRPr="00C04776" w:rsidRDefault="00BF25F3" w:rsidP="00BF25F3">
            <w:pPr>
              <w:tabs>
                <w:tab w:val="left" w:pos="6075"/>
              </w:tabs>
              <w:jc w:val="center"/>
              <w:rPr>
                <w:sz w:val="28"/>
                <w:szCs w:val="28"/>
                <w:lang w:val="fr-CA"/>
              </w:rPr>
            </w:pPr>
            <w:r w:rsidRPr="00C04776">
              <w:rPr>
                <w:sz w:val="28"/>
                <w:szCs w:val="28"/>
                <w:lang w:val="fr-CA"/>
              </w:rPr>
              <w:t xml:space="preserve"> PROCÉDURES</w:t>
            </w:r>
          </w:p>
        </w:tc>
      </w:tr>
      <w:tr w:rsidR="00BF25F3" w:rsidRPr="00C04776" w:rsidTr="002E5576">
        <w:tc>
          <w:tcPr>
            <w:tcW w:w="4518" w:type="dxa"/>
          </w:tcPr>
          <w:p w:rsidR="00BF25F3" w:rsidRPr="00C04776" w:rsidRDefault="00BF25F3" w:rsidP="00BF25F3">
            <w:pPr>
              <w:tabs>
                <w:tab w:val="left" w:pos="6075"/>
              </w:tabs>
            </w:pPr>
          </w:p>
          <w:p w:rsidR="001B5C23" w:rsidRPr="00C04776" w:rsidRDefault="001B5C23" w:rsidP="00BF25F3">
            <w:pPr>
              <w:tabs>
                <w:tab w:val="left" w:pos="6075"/>
              </w:tabs>
            </w:pPr>
          </w:p>
        </w:tc>
        <w:tc>
          <w:tcPr>
            <w:tcW w:w="630" w:type="dxa"/>
          </w:tcPr>
          <w:p w:rsidR="00BF25F3" w:rsidRPr="00C04776" w:rsidRDefault="00BF25F3" w:rsidP="00BF25F3">
            <w:pPr>
              <w:tabs>
                <w:tab w:val="left" w:pos="6075"/>
              </w:tabs>
            </w:pPr>
          </w:p>
        </w:tc>
        <w:tc>
          <w:tcPr>
            <w:tcW w:w="4428" w:type="dxa"/>
          </w:tcPr>
          <w:p w:rsidR="00BF25F3" w:rsidRPr="00C04776" w:rsidRDefault="00BF25F3" w:rsidP="00BF25F3">
            <w:pPr>
              <w:tabs>
                <w:tab w:val="left" w:pos="6075"/>
              </w:tabs>
              <w:rPr>
                <w:lang w:val="fr-CA"/>
              </w:rPr>
            </w:pPr>
          </w:p>
        </w:tc>
      </w:tr>
      <w:tr w:rsidR="00BF25F3" w:rsidRPr="003D7763" w:rsidTr="002E5576">
        <w:tc>
          <w:tcPr>
            <w:tcW w:w="4518" w:type="dxa"/>
          </w:tcPr>
          <w:p w:rsidR="00BF25F3" w:rsidRPr="00C04776" w:rsidRDefault="00BF25F3" w:rsidP="00BF25F3">
            <w:pPr>
              <w:tabs>
                <w:tab w:val="left" w:pos="6075"/>
              </w:tabs>
              <w:jc w:val="both"/>
              <w:rPr>
                <w:rFonts w:ascii="Arial" w:hAnsi="Arial" w:cs="Arial"/>
                <w:i/>
                <w:sz w:val="20"/>
                <w:szCs w:val="20"/>
              </w:rPr>
            </w:pPr>
            <w:r w:rsidRPr="00C04776">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C04776" w:rsidRDefault="00BF25F3" w:rsidP="00BF25F3">
            <w:pPr>
              <w:tabs>
                <w:tab w:val="left" w:pos="6075"/>
              </w:tabs>
              <w:jc w:val="both"/>
              <w:rPr>
                <w:rFonts w:ascii="Arial" w:hAnsi="Arial" w:cs="Arial"/>
                <w:i/>
                <w:sz w:val="20"/>
                <w:szCs w:val="20"/>
              </w:rPr>
            </w:pPr>
          </w:p>
        </w:tc>
        <w:tc>
          <w:tcPr>
            <w:tcW w:w="4428" w:type="dxa"/>
          </w:tcPr>
          <w:p w:rsidR="00BF25F3" w:rsidRPr="00C04776" w:rsidRDefault="00BF25F3" w:rsidP="00BF25F3">
            <w:pPr>
              <w:tabs>
                <w:tab w:val="left" w:pos="6075"/>
              </w:tabs>
              <w:jc w:val="both"/>
              <w:rPr>
                <w:rFonts w:ascii="Arial" w:hAnsi="Arial" w:cs="Arial"/>
                <w:i/>
                <w:sz w:val="20"/>
                <w:szCs w:val="20"/>
                <w:lang w:val="fr-CA"/>
              </w:rPr>
            </w:pPr>
            <w:r w:rsidRPr="00C04776">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3D7763" w:rsidTr="002E5576">
        <w:tc>
          <w:tcPr>
            <w:tcW w:w="4518" w:type="dxa"/>
          </w:tcPr>
          <w:p w:rsidR="00BF25F3" w:rsidRPr="00C04776" w:rsidRDefault="00BF25F3" w:rsidP="00BF25F3">
            <w:pPr>
              <w:tabs>
                <w:tab w:val="left" w:pos="6075"/>
              </w:tabs>
              <w:rPr>
                <w:lang w:val="fr-CA"/>
              </w:rPr>
            </w:pPr>
          </w:p>
          <w:p w:rsidR="00D862C1" w:rsidRPr="00C04776" w:rsidRDefault="00D862C1" w:rsidP="00BF25F3">
            <w:pPr>
              <w:tabs>
                <w:tab w:val="left" w:pos="6075"/>
              </w:tabs>
              <w:rPr>
                <w:lang w:val="fr-CA"/>
              </w:rPr>
            </w:pPr>
          </w:p>
        </w:tc>
        <w:tc>
          <w:tcPr>
            <w:tcW w:w="630" w:type="dxa"/>
          </w:tcPr>
          <w:p w:rsidR="00BF25F3" w:rsidRPr="00C04776" w:rsidRDefault="00BF25F3" w:rsidP="00BF25F3">
            <w:pPr>
              <w:tabs>
                <w:tab w:val="left" w:pos="6075"/>
              </w:tabs>
              <w:rPr>
                <w:lang w:val="fr-CA"/>
              </w:rPr>
            </w:pPr>
          </w:p>
        </w:tc>
        <w:tc>
          <w:tcPr>
            <w:tcW w:w="4428" w:type="dxa"/>
          </w:tcPr>
          <w:p w:rsidR="00BF25F3" w:rsidRPr="00C04776" w:rsidRDefault="00BF25F3" w:rsidP="00BF25F3">
            <w:pPr>
              <w:tabs>
                <w:tab w:val="left" w:pos="6075"/>
              </w:tabs>
              <w:rPr>
                <w:lang w:val="fr-CA"/>
              </w:rPr>
            </w:pPr>
          </w:p>
        </w:tc>
      </w:tr>
      <w:tr w:rsidR="00BF25F3" w:rsidRPr="003D7763" w:rsidTr="002E5576">
        <w:tc>
          <w:tcPr>
            <w:tcW w:w="4518" w:type="dxa"/>
          </w:tcPr>
          <w:p w:rsidR="00BF25F3" w:rsidRPr="00C04776" w:rsidRDefault="00BF25F3" w:rsidP="009F3024">
            <w:pPr>
              <w:tabs>
                <w:tab w:val="left" w:pos="6075"/>
              </w:tabs>
              <w:jc w:val="both"/>
              <w:rPr>
                <w:rFonts w:ascii="Arial" w:hAnsi="Arial" w:cs="Arial"/>
                <w:i/>
                <w:sz w:val="20"/>
                <w:szCs w:val="20"/>
              </w:rPr>
            </w:pPr>
            <w:r w:rsidRPr="00C04776">
              <w:rPr>
                <w:rFonts w:ascii="Arial" w:hAnsi="Arial" w:cs="Arial"/>
                <w:i/>
                <w:sz w:val="20"/>
                <w:szCs w:val="20"/>
              </w:rPr>
              <w:t>During Court sessions</w:t>
            </w:r>
            <w:r w:rsidR="00845C2A" w:rsidRPr="00C04776">
              <w:rPr>
                <w:rFonts w:ascii="Arial" w:hAnsi="Arial" w:cs="Arial"/>
                <w:i/>
                <w:sz w:val="20"/>
                <w:szCs w:val="20"/>
              </w:rPr>
              <w:t>,</w:t>
            </w:r>
            <w:r w:rsidRPr="00C04776">
              <w:rPr>
                <w:rFonts w:ascii="Arial" w:hAnsi="Arial" w:cs="Arial"/>
                <w:i/>
                <w:sz w:val="20"/>
                <w:szCs w:val="20"/>
              </w:rPr>
              <w:t xml:space="preserve"> </w:t>
            </w:r>
            <w:r w:rsidR="009F3024" w:rsidRPr="00C04776">
              <w:rPr>
                <w:rFonts w:ascii="Arial" w:hAnsi="Arial" w:cs="Arial"/>
                <w:i/>
                <w:sz w:val="20"/>
                <w:szCs w:val="20"/>
              </w:rPr>
              <w:t xml:space="preserve">the Bulletin </w:t>
            </w:r>
            <w:r w:rsidRPr="00C04776">
              <w:rPr>
                <w:rFonts w:ascii="Arial" w:hAnsi="Arial" w:cs="Arial"/>
                <w:i/>
                <w:sz w:val="20"/>
                <w:szCs w:val="20"/>
              </w:rPr>
              <w:t>is usually issued weekly.</w:t>
            </w:r>
          </w:p>
        </w:tc>
        <w:tc>
          <w:tcPr>
            <w:tcW w:w="630" w:type="dxa"/>
          </w:tcPr>
          <w:p w:rsidR="00BF25F3" w:rsidRPr="00C04776" w:rsidRDefault="00BF25F3" w:rsidP="00BF25F3">
            <w:pPr>
              <w:tabs>
                <w:tab w:val="left" w:pos="6075"/>
              </w:tabs>
              <w:jc w:val="both"/>
              <w:rPr>
                <w:rFonts w:ascii="Arial" w:hAnsi="Arial" w:cs="Arial"/>
                <w:i/>
                <w:sz w:val="20"/>
                <w:szCs w:val="20"/>
              </w:rPr>
            </w:pPr>
          </w:p>
        </w:tc>
        <w:tc>
          <w:tcPr>
            <w:tcW w:w="4428" w:type="dxa"/>
          </w:tcPr>
          <w:p w:rsidR="00BF25F3" w:rsidRPr="00C04776" w:rsidRDefault="00BF25F3" w:rsidP="00BF25F3">
            <w:pPr>
              <w:tabs>
                <w:tab w:val="left" w:pos="6075"/>
              </w:tabs>
              <w:jc w:val="both"/>
              <w:rPr>
                <w:rFonts w:ascii="Arial" w:hAnsi="Arial" w:cs="Arial"/>
                <w:i/>
                <w:sz w:val="20"/>
                <w:szCs w:val="20"/>
                <w:lang w:val="fr-CA"/>
              </w:rPr>
            </w:pPr>
            <w:r w:rsidRPr="00C04776">
              <w:rPr>
                <w:rFonts w:ascii="Arial" w:hAnsi="Arial" w:cs="Arial"/>
                <w:i/>
                <w:sz w:val="20"/>
                <w:szCs w:val="20"/>
                <w:lang w:val="fr-CA"/>
              </w:rPr>
              <w:t>Le Bulletin paraît en principe toutes les semaines pendant les sessions de la Cour.</w:t>
            </w:r>
          </w:p>
        </w:tc>
      </w:tr>
      <w:tr w:rsidR="00BF25F3" w:rsidRPr="003D7763" w:rsidTr="002E5576">
        <w:tc>
          <w:tcPr>
            <w:tcW w:w="4518" w:type="dxa"/>
          </w:tcPr>
          <w:p w:rsidR="00BF25F3" w:rsidRPr="00C04776" w:rsidRDefault="00BF25F3" w:rsidP="00BF25F3">
            <w:pPr>
              <w:tabs>
                <w:tab w:val="left" w:pos="6075"/>
              </w:tabs>
              <w:rPr>
                <w:lang w:val="fr-CA"/>
              </w:rPr>
            </w:pPr>
          </w:p>
          <w:p w:rsidR="00D862C1" w:rsidRPr="00C04776" w:rsidRDefault="00D862C1" w:rsidP="00BF25F3">
            <w:pPr>
              <w:tabs>
                <w:tab w:val="left" w:pos="6075"/>
              </w:tabs>
              <w:rPr>
                <w:lang w:val="fr-CA"/>
              </w:rPr>
            </w:pPr>
          </w:p>
        </w:tc>
        <w:tc>
          <w:tcPr>
            <w:tcW w:w="630" w:type="dxa"/>
          </w:tcPr>
          <w:p w:rsidR="00BF25F3" w:rsidRPr="00C04776" w:rsidRDefault="00BF25F3" w:rsidP="00BF25F3">
            <w:pPr>
              <w:tabs>
                <w:tab w:val="left" w:pos="6075"/>
              </w:tabs>
              <w:rPr>
                <w:lang w:val="fr-CA"/>
              </w:rPr>
            </w:pPr>
          </w:p>
        </w:tc>
        <w:tc>
          <w:tcPr>
            <w:tcW w:w="4428" w:type="dxa"/>
          </w:tcPr>
          <w:p w:rsidR="00BF25F3" w:rsidRPr="00C04776" w:rsidRDefault="00BF25F3" w:rsidP="00BF25F3">
            <w:pPr>
              <w:tabs>
                <w:tab w:val="left" w:pos="6075"/>
              </w:tabs>
              <w:rPr>
                <w:lang w:val="fr-CA"/>
              </w:rPr>
            </w:pPr>
          </w:p>
        </w:tc>
      </w:tr>
      <w:tr w:rsidR="00BF25F3" w:rsidRPr="003D7763" w:rsidTr="002E5576">
        <w:tc>
          <w:tcPr>
            <w:tcW w:w="4518" w:type="dxa"/>
          </w:tcPr>
          <w:p w:rsidR="00BF25F3" w:rsidRPr="00C04776" w:rsidRDefault="000E27A5" w:rsidP="00BF25F3">
            <w:pPr>
              <w:tabs>
                <w:tab w:val="left" w:pos="6075"/>
              </w:tabs>
              <w:jc w:val="both"/>
              <w:rPr>
                <w:rFonts w:ascii="Arial" w:hAnsi="Arial" w:cs="Arial"/>
                <w:i/>
                <w:sz w:val="20"/>
                <w:szCs w:val="20"/>
              </w:rPr>
            </w:pPr>
            <w:r w:rsidRPr="00C04776">
              <w:rPr>
                <w:rFonts w:ascii="Arial" w:hAnsi="Arial" w:cs="Arial"/>
                <w:i/>
                <w:sz w:val="20"/>
                <w:szCs w:val="20"/>
              </w:rPr>
              <w:fldChar w:fldCharType="begin"/>
            </w:r>
            <w:r w:rsidR="00BF25F3" w:rsidRPr="00C04776">
              <w:rPr>
                <w:rFonts w:ascii="Arial" w:hAnsi="Arial" w:cs="Arial"/>
                <w:i/>
                <w:sz w:val="20"/>
                <w:szCs w:val="20"/>
              </w:rPr>
              <w:instrText xml:space="preserve"> SEQ CHAPTER \h \r 1</w:instrText>
            </w:r>
            <w:r w:rsidRPr="00C04776">
              <w:rPr>
                <w:rFonts w:ascii="Arial" w:hAnsi="Arial" w:cs="Arial"/>
                <w:i/>
                <w:sz w:val="20"/>
                <w:szCs w:val="20"/>
              </w:rPr>
              <w:fldChar w:fldCharType="end"/>
            </w:r>
            <w:r w:rsidR="00BF25F3" w:rsidRPr="00C04776">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C04776" w:rsidRDefault="00BF25F3" w:rsidP="00BF25F3">
            <w:pPr>
              <w:tabs>
                <w:tab w:val="left" w:pos="6075"/>
              </w:tabs>
              <w:jc w:val="both"/>
              <w:rPr>
                <w:rFonts w:ascii="Arial" w:hAnsi="Arial" w:cs="Arial"/>
                <w:i/>
                <w:sz w:val="20"/>
                <w:szCs w:val="20"/>
              </w:rPr>
            </w:pPr>
          </w:p>
        </w:tc>
        <w:tc>
          <w:tcPr>
            <w:tcW w:w="4428" w:type="dxa"/>
          </w:tcPr>
          <w:p w:rsidR="00BF25F3" w:rsidRPr="00C04776" w:rsidRDefault="000E27A5" w:rsidP="00BF25F3">
            <w:pPr>
              <w:tabs>
                <w:tab w:val="left" w:pos="6075"/>
              </w:tabs>
              <w:jc w:val="both"/>
              <w:rPr>
                <w:rFonts w:ascii="Arial" w:hAnsi="Arial" w:cs="Arial"/>
                <w:i/>
                <w:sz w:val="20"/>
                <w:szCs w:val="20"/>
                <w:lang w:val="fr-CA"/>
              </w:rPr>
            </w:pPr>
            <w:r w:rsidRPr="00C04776">
              <w:rPr>
                <w:rFonts w:ascii="Arial" w:hAnsi="Arial" w:cs="Arial"/>
                <w:i/>
                <w:sz w:val="20"/>
                <w:szCs w:val="20"/>
                <w:lang w:val="fr-CA"/>
              </w:rPr>
              <w:fldChar w:fldCharType="begin"/>
            </w:r>
            <w:r w:rsidR="00BF25F3" w:rsidRPr="00C04776">
              <w:rPr>
                <w:rFonts w:ascii="Arial" w:hAnsi="Arial" w:cs="Arial"/>
                <w:i/>
                <w:sz w:val="20"/>
                <w:szCs w:val="20"/>
                <w:lang w:val="fr-CA"/>
              </w:rPr>
              <w:instrText xml:space="preserve"> SEQ CHAPTER \h \r 1</w:instrText>
            </w:r>
            <w:r w:rsidRPr="00C04776">
              <w:rPr>
                <w:rFonts w:ascii="Arial" w:hAnsi="Arial" w:cs="Arial"/>
                <w:i/>
                <w:sz w:val="20"/>
                <w:szCs w:val="20"/>
                <w:lang w:val="fr-CA"/>
              </w:rPr>
              <w:fldChar w:fldCharType="end"/>
            </w:r>
            <w:r w:rsidR="00BF25F3" w:rsidRPr="00C04776">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3D7763" w:rsidTr="002E5576">
        <w:tc>
          <w:tcPr>
            <w:tcW w:w="4518" w:type="dxa"/>
          </w:tcPr>
          <w:p w:rsidR="009F3024" w:rsidRPr="00C04776" w:rsidRDefault="009F3024" w:rsidP="009F3024">
            <w:pPr>
              <w:tabs>
                <w:tab w:val="left" w:pos="6075"/>
              </w:tabs>
              <w:rPr>
                <w:rFonts w:cs="Times New Roman"/>
                <w:szCs w:val="24"/>
                <w:lang w:val="fr-CA"/>
              </w:rPr>
            </w:pPr>
          </w:p>
          <w:p w:rsidR="009F3024" w:rsidRPr="00C04776" w:rsidRDefault="009F3024" w:rsidP="009F3024">
            <w:pPr>
              <w:tabs>
                <w:tab w:val="left" w:pos="6075"/>
              </w:tabs>
              <w:rPr>
                <w:rFonts w:cs="Times New Roman"/>
                <w:szCs w:val="24"/>
                <w:lang w:val="fr-CA"/>
              </w:rPr>
            </w:pPr>
          </w:p>
        </w:tc>
        <w:tc>
          <w:tcPr>
            <w:tcW w:w="630" w:type="dxa"/>
          </w:tcPr>
          <w:p w:rsidR="009F3024" w:rsidRPr="00C04776" w:rsidRDefault="009F3024" w:rsidP="009F3024">
            <w:pPr>
              <w:tabs>
                <w:tab w:val="left" w:pos="6075"/>
              </w:tabs>
              <w:rPr>
                <w:rFonts w:cs="Times New Roman"/>
                <w:szCs w:val="24"/>
                <w:lang w:val="fr-CA"/>
              </w:rPr>
            </w:pPr>
          </w:p>
        </w:tc>
        <w:tc>
          <w:tcPr>
            <w:tcW w:w="4428" w:type="dxa"/>
          </w:tcPr>
          <w:p w:rsidR="009F3024" w:rsidRPr="00C04776" w:rsidRDefault="009F3024" w:rsidP="009F3024">
            <w:pPr>
              <w:tabs>
                <w:tab w:val="left" w:pos="6075"/>
              </w:tabs>
              <w:rPr>
                <w:rFonts w:cs="Times New Roman"/>
                <w:szCs w:val="24"/>
                <w:lang w:val="fr-CA"/>
              </w:rPr>
            </w:pPr>
          </w:p>
        </w:tc>
      </w:tr>
      <w:tr w:rsidR="009F3024" w:rsidRPr="003D7763" w:rsidTr="002E5576">
        <w:tc>
          <w:tcPr>
            <w:tcW w:w="4518" w:type="dxa"/>
          </w:tcPr>
          <w:p w:rsidR="009F3024" w:rsidRPr="00C04776" w:rsidRDefault="00845C2A" w:rsidP="00845C2A">
            <w:pPr>
              <w:tabs>
                <w:tab w:val="left" w:pos="6075"/>
              </w:tabs>
              <w:jc w:val="both"/>
              <w:rPr>
                <w:rFonts w:ascii="Arial" w:hAnsi="Arial" w:cs="Arial"/>
                <w:i/>
                <w:sz w:val="20"/>
                <w:szCs w:val="20"/>
              </w:rPr>
            </w:pPr>
            <w:r w:rsidRPr="00C04776">
              <w:rPr>
                <w:rFonts w:ascii="Arial" w:hAnsi="Arial" w:cs="Arial"/>
                <w:i/>
                <w:sz w:val="20"/>
                <w:szCs w:val="20"/>
                <w:lang w:val="en-US"/>
              </w:rPr>
              <w:t>Please c</w:t>
            </w:r>
            <w:proofErr w:type="spellStart"/>
            <w:r w:rsidR="009F3024" w:rsidRPr="00C04776">
              <w:rPr>
                <w:rFonts w:ascii="Arial" w:hAnsi="Arial" w:cs="Arial"/>
                <w:i/>
                <w:sz w:val="20"/>
                <w:szCs w:val="20"/>
              </w:rPr>
              <w:t>onsult</w:t>
            </w:r>
            <w:proofErr w:type="spellEnd"/>
            <w:r w:rsidR="009F3024" w:rsidRPr="00C04776">
              <w:rPr>
                <w:rFonts w:ascii="Arial" w:hAnsi="Arial" w:cs="Arial"/>
                <w:i/>
                <w:sz w:val="20"/>
                <w:szCs w:val="20"/>
              </w:rPr>
              <w:t xml:space="preserve"> the Supreme Court of Canada website at </w:t>
            </w:r>
            <w:hyperlink r:id="rId8" w:history="1">
              <w:r w:rsidR="00E414CA" w:rsidRPr="00C04776">
                <w:rPr>
                  <w:rStyle w:val="Hyperlink"/>
                  <w:rFonts w:ascii="Arial" w:hAnsi="Arial" w:cs="Arial"/>
                  <w:i/>
                  <w:sz w:val="20"/>
                  <w:szCs w:val="20"/>
                </w:rPr>
                <w:t>www.scc-csc.ca</w:t>
              </w:r>
            </w:hyperlink>
            <w:r w:rsidR="009F3024" w:rsidRPr="00C04776">
              <w:rPr>
                <w:rFonts w:ascii="Arial" w:hAnsi="Arial" w:cs="Arial"/>
                <w:i/>
                <w:sz w:val="20"/>
                <w:szCs w:val="20"/>
              </w:rPr>
              <w:t xml:space="preserve"> for more information.</w:t>
            </w:r>
          </w:p>
        </w:tc>
        <w:tc>
          <w:tcPr>
            <w:tcW w:w="630" w:type="dxa"/>
          </w:tcPr>
          <w:p w:rsidR="009F3024" w:rsidRPr="00C04776" w:rsidRDefault="009F3024" w:rsidP="00BF25F3">
            <w:pPr>
              <w:tabs>
                <w:tab w:val="left" w:pos="6075"/>
              </w:tabs>
              <w:jc w:val="both"/>
              <w:rPr>
                <w:rFonts w:ascii="Arial" w:hAnsi="Arial" w:cs="Arial"/>
                <w:i/>
                <w:sz w:val="20"/>
                <w:szCs w:val="20"/>
              </w:rPr>
            </w:pPr>
          </w:p>
        </w:tc>
        <w:tc>
          <w:tcPr>
            <w:tcW w:w="4428" w:type="dxa"/>
          </w:tcPr>
          <w:p w:rsidR="009F3024" w:rsidRPr="00C04776" w:rsidRDefault="009F3024" w:rsidP="00E414CA">
            <w:pPr>
              <w:tabs>
                <w:tab w:val="left" w:pos="6075"/>
              </w:tabs>
              <w:jc w:val="both"/>
              <w:rPr>
                <w:rFonts w:ascii="Arial" w:hAnsi="Arial" w:cs="Arial"/>
                <w:i/>
                <w:sz w:val="20"/>
                <w:szCs w:val="20"/>
                <w:lang w:val="fr-CA"/>
              </w:rPr>
            </w:pPr>
            <w:r w:rsidRPr="00C04776">
              <w:rPr>
                <w:rFonts w:ascii="Arial" w:hAnsi="Arial" w:cs="Arial"/>
                <w:i/>
                <w:sz w:val="20"/>
                <w:szCs w:val="20"/>
                <w:lang w:val="fr-CA"/>
              </w:rPr>
              <w:t xml:space="preserve">Pour de plus amples informations, </w:t>
            </w:r>
            <w:r w:rsidR="00845C2A" w:rsidRPr="00C04776">
              <w:rPr>
                <w:rFonts w:ascii="Arial" w:hAnsi="Arial" w:cs="Arial"/>
                <w:i/>
                <w:sz w:val="20"/>
                <w:szCs w:val="20"/>
                <w:lang w:val="fr-CA"/>
              </w:rPr>
              <w:t xml:space="preserve">veuillez </w:t>
            </w:r>
            <w:r w:rsidRPr="00C04776">
              <w:rPr>
                <w:rFonts w:ascii="Arial" w:hAnsi="Arial" w:cs="Arial"/>
                <w:i/>
                <w:sz w:val="20"/>
                <w:szCs w:val="20"/>
                <w:lang w:val="fr-CA"/>
              </w:rPr>
              <w:t xml:space="preserve">consulter le site Web de la Cour suprême du Canada à l’adresse suivante : </w:t>
            </w:r>
            <w:hyperlink r:id="rId9" w:history="1">
              <w:r w:rsidR="0081473A" w:rsidRPr="00C04776">
                <w:rPr>
                  <w:rStyle w:val="Hyperlink"/>
                  <w:rFonts w:ascii="Arial" w:hAnsi="Arial" w:cs="Arial"/>
                  <w:i/>
                  <w:sz w:val="20"/>
                  <w:szCs w:val="20"/>
                  <w:lang w:val="fr-CA"/>
                </w:rPr>
                <w:t>www.scc-csc.ca</w:t>
              </w:r>
            </w:hyperlink>
            <w:r w:rsidRPr="00C04776">
              <w:rPr>
                <w:rFonts w:ascii="Arial" w:hAnsi="Arial" w:cs="Arial"/>
                <w:i/>
                <w:sz w:val="20"/>
                <w:szCs w:val="20"/>
                <w:lang w:val="fr-CA"/>
              </w:rPr>
              <w:t xml:space="preserve"> </w:t>
            </w:r>
          </w:p>
        </w:tc>
      </w:tr>
    </w:tbl>
    <w:p w:rsidR="00BF25F3" w:rsidRPr="00C04776" w:rsidRDefault="00BF25F3" w:rsidP="00BF25F3">
      <w:pPr>
        <w:tabs>
          <w:tab w:val="left" w:pos="6075"/>
        </w:tabs>
        <w:rPr>
          <w:lang w:val="fr-CA"/>
        </w:rPr>
      </w:pPr>
    </w:p>
    <w:p w:rsidR="00440E24" w:rsidRPr="00C04776" w:rsidRDefault="00440E24" w:rsidP="00440E24">
      <w:pPr>
        <w:pBdr>
          <w:bottom w:val="single" w:sz="6" w:space="1" w:color="auto"/>
        </w:pBdr>
        <w:tabs>
          <w:tab w:val="left" w:pos="6075"/>
        </w:tabs>
        <w:rPr>
          <w:lang w:val="fr-CA"/>
        </w:rPr>
      </w:pPr>
    </w:p>
    <w:p w:rsidR="00440E24" w:rsidRPr="00C04776" w:rsidRDefault="00440E24" w:rsidP="00440E24">
      <w:pPr>
        <w:rPr>
          <w:lang w:val="fr-CA"/>
        </w:rPr>
      </w:pPr>
    </w:p>
    <w:p w:rsidR="00600252" w:rsidRPr="00C04776" w:rsidRDefault="00CA30A7" w:rsidP="00F0068D">
      <w:pPr>
        <w:pBdr>
          <w:bottom w:val="single" w:sz="6" w:space="1" w:color="auto"/>
        </w:pBdr>
        <w:tabs>
          <w:tab w:val="center" w:pos="4680"/>
          <w:tab w:val="right" w:pos="9360"/>
        </w:tabs>
        <w:rPr>
          <w:lang w:val="fr-CA"/>
        </w:rPr>
      </w:pPr>
      <w:proofErr w:type="spellStart"/>
      <w:r w:rsidRPr="00C04776">
        <w:rPr>
          <w:lang w:val="fr-CA"/>
        </w:rPr>
        <w:t>September</w:t>
      </w:r>
      <w:proofErr w:type="spellEnd"/>
      <w:r w:rsidRPr="00C04776">
        <w:rPr>
          <w:lang w:val="fr-CA"/>
        </w:rPr>
        <w:t xml:space="preserve"> 14</w:t>
      </w:r>
      <w:r w:rsidR="00440E24" w:rsidRPr="00C04776">
        <w:rPr>
          <w:lang w:val="fr-CA"/>
        </w:rPr>
        <w:t>, 201</w:t>
      </w:r>
      <w:r w:rsidR="00DC0577" w:rsidRPr="00C04776">
        <w:rPr>
          <w:lang w:val="fr-CA"/>
        </w:rPr>
        <w:t>8</w:t>
      </w:r>
      <w:r w:rsidR="00F0068D" w:rsidRPr="00C04776">
        <w:rPr>
          <w:lang w:val="fr-CA"/>
        </w:rPr>
        <w:tab/>
      </w:r>
      <w:r w:rsidRPr="00C04776">
        <w:rPr>
          <w:lang w:val="fr-CA"/>
        </w:rPr>
        <w:t>1</w:t>
      </w:r>
      <w:r w:rsidR="00F0068D" w:rsidRPr="00C04776">
        <w:rPr>
          <w:lang w:val="fr-CA"/>
        </w:rPr>
        <w:t>1</w:t>
      </w:r>
      <w:r w:rsidRPr="00C04776">
        <w:rPr>
          <w:lang w:val="fr-CA"/>
        </w:rPr>
        <w:t>47</w:t>
      </w:r>
      <w:r w:rsidR="00F0068D" w:rsidRPr="00C04776">
        <w:rPr>
          <w:lang w:val="fr-CA"/>
        </w:rPr>
        <w:t xml:space="preserve"> - </w:t>
      </w:r>
      <w:r w:rsidR="007C4B4E" w:rsidRPr="00C04776">
        <w:rPr>
          <w:lang w:val="fr-CA"/>
        </w:rPr>
        <w:t>1162</w:t>
      </w:r>
      <w:r w:rsidR="00440E24" w:rsidRPr="00C04776">
        <w:rPr>
          <w:lang w:val="fr-CA"/>
        </w:rPr>
        <w:tab/>
        <w:t>Le</w:t>
      </w:r>
      <w:r w:rsidR="00C73D06" w:rsidRPr="00C04776">
        <w:rPr>
          <w:lang w:val="fr-CA"/>
        </w:rPr>
        <w:t xml:space="preserve"> </w:t>
      </w:r>
      <w:r w:rsidRPr="00C04776">
        <w:rPr>
          <w:lang w:val="fr-CA"/>
        </w:rPr>
        <w:t>14 septembre</w:t>
      </w:r>
      <w:r w:rsidR="00440E24" w:rsidRPr="00C04776">
        <w:rPr>
          <w:lang w:val="fr-CA"/>
        </w:rPr>
        <w:t xml:space="preserve"> 201</w:t>
      </w:r>
      <w:r w:rsidR="00DC0577" w:rsidRPr="00C04776">
        <w:rPr>
          <w:lang w:val="fr-CA"/>
        </w:rPr>
        <w:t>8</w:t>
      </w:r>
    </w:p>
    <w:p w:rsidR="00440E24" w:rsidRPr="00C04776" w:rsidRDefault="00440E24" w:rsidP="00440E24">
      <w:pPr>
        <w:pBdr>
          <w:bottom w:val="single" w:sz="6" w:space="1" w:color="auto"/>
        </w:pBdr>
        <w:tabs>
          <w:tab w:val="right" w:pos="9360"/>
        </w:tabs>
        <w:rPr>
          <w:lang w:val="fr-CA"/>
        </w:rPr>
      </w:pPr>
    </w:p>
    <w:p w:rsidR="00440E24" w:rsidRPr="00C04776" w:rsidRDefault="00440E24" w:rsidP="00440E24">
      <w:pPr>
        <w:pBdr>
          <w:bottom w:val="single" w:sz="6" w:space="1" w:color="auto"/>
        </w:pBdr>
        <w:tabs>
          <w:tab w:val="right" w:pos="9360"/>
        </w:tabs>
        <w:rPr>
          <w:sz w:val="18"/>
          <w:szCs w:val="18"/>
          <w:lang w:val="en-US"/>
        </w:rPr>
      </w:pPr>
      <w:r w:rsidRPr="00C04776">
        <w:rPr>
          <w:sz w:val="18"/>
          <w:szCs w:val="18"/>
          <w:lang w:val="en-US"/>
        </w:rPr>
        <w:t>© Supreme Court of Canada (</w:t>
      </w:r>
      <w:r w:rsidR="0030050B" w:rsidRPr="00C04776">
        <w:rPr>
          <w:sz w:val="18"/>
          <w:szCs w:val="18"/>
          <w:lang w:val="en-US"/>
        </w:rPr>
        <w:t>201</w:t>
      </w:r>
      <w:r w:rsidR="004E5524" w:rsidRPr="00C04776">
        <w:rPr>
          <w:sz w:val="18"/>
          <w:szCs w:val="18"/>
          <w:lang w:val="en-US"/>
        </w:rPr>
        <w:t>8</w:t>
      </w:r>
      <w:r w:rsidRPr="00C04776">
        <w:rPr>
          <w:sz w:val="18"/>
          <w:szCs w:val="18"/>
          <w:lang w:val="en-US"/>
        </w:rPr>
        <w:t>)</w:t>
      </w:r>
      <w:r w:rsidRPr="00C04776">
        <w:rPr>
          <w:sz w:val="18"/>
          <w:szCs w:val="18"/>
          <w:lang w:val="en-US"/>
        </w:rPr>
        <w:tab/>
        <w:t>© Cour suprême du Canada (</w:t>
      </w:r>
      <w:r w:rsidR="0030050B" w:rsidRPr="00C04776">
        <w:rPr>
          <w:sz w:val="18"/>
          <w:szCs w:val="18"/>
          <w:lang w:val="en-US"/>
        </w:rPr>
        <w:t>201</w:t>
      </w:r>
      <w:r w:rsidR="004E5524" w:rsidRPr="00C04776">
        <w:rPr>
          <w:sz w:val="18"/>
          <w:szCs w:val="18"/>
          <w:lang w:val="en-US"/>
        </w:rPr>
        <w:t>8</w:t>
      </w:r>
      <w:r w:rsidRPr="00C04776">
        <w:rPr>
          <w:sz w:val="18"/>
          <w:szCs w:val="18"/>
          <w:lang w:val="en-US"/>
        </w:rPr>
        <w:t>)</w:t>
      </w:r>
    </w:p>
    <w:p w:rsidR="00440E24" w:rsidRPr="00C04776" w:rsidRDefault="00440E24" w:rsidP="00440E24">
      <w:pPr>
        <w:pBdr>
          <w:bottom w:val="single" w:sz="6" w:space="1" w:color="auto"/>
        </w:pBdr>
        <w:tabs>
          <w:tab w:val="right" w:pos="9360"/>
        </w:tabs>
        <w:rPr>
          <w:sz w:val="18"/>
          <w:szCs w:val="18"/>
          <w:lang w:val="fr-CA"/>
        </w:rPr>
      </w:pPr>
      <w:r w:rsidRPr="00C04776">
        <w:rPr>
          <w:sz w:val="18"/>
          <w:szCs w:val="18"/>
          <w:lang w:val="fr-CA"/>
        </w:rPr>
        <w:t>ISSN 1918-8358 (Online)</w:t>
      </w:r>
      <w:r w:rsidRPr="00C04776">
        <w:rPr>
          <w:sz w:val="18"/>
          <w:szCs w:val="18"/>
          <w:lang w:val="fr-CA"/>
        </w:rPr>
        <w:tab/>
        <w:t>ISSN 1918-8358 (En ligne)</w:t>
      </w:r>
    </w:p>
    <w:p w:rsidR="00600252" w:rsidRPr="00C04776" w:rsidRDefault="00600252" w:rsidP="00BF25F3">
      <w:pPr>
        <w:pBdr>
          <w:bottom w:val="single" w:sz="6" w:space="1" w:color="auto"/>
        </w:pBdr>
        <w:tabs>
          <w:tab w:val="left" w:pos="6075"/>
        </w:tabs>
        <w:rPr>
          <w:lang w:val="fr-CA"/>
        </w:rPr>
      </w:pPr>
    </w:p>
    <w:p w:rsidR="0030050B" w:rsidRPr="00C04776" w:rsidRDefault="0030050B"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050"/>
      </w:tblGrid>
      <w:tr w:rsidR="00245129" w:rsidRPr="00C04776" w:rsidTr="00245129">
        <w:tc>
          <w:tcPr>
            <w:tcW w:w="4290" w:type="dxa"/>
            <w:shd w:val="clear" w:color="auto" w:fill="auto"/>
            <w:tcMar>
              <w:left w:w="0" w:type="dxa"/>
              <w:right w:w="0" w:type="dxa"/>
            </w:tcMar>
          </w:tcPr>
          <w:p w:rsidR="00245129" w:rsidRPr="00C04776" w:rsidRDefault="00245129" w:rsidP="00245129">
            <w:pPr>
              <w:jc w:val="both"/>
              <w:rPr>
                <w:rFonts w:eastAsia="Times New Roman" w:cs="Times New Roman"/>
                <w:b/>
                <w:sz w:val="20"/>
                <w:szCs w:val="20"/>
                <w:lang w:eastAsia="en-CA"/>
              </w:rPr>
            </w:pPr>
            <w:r w:rsidRPr="00C04776">
              <w:rPr>
                <w:b/>
              </w:rPr>
              <w:lastRenderedPageBreak/>
              <w:t>CONTENTS</w:t>
            </w:r>
          </w:p>
        </w:tc>
        <w:tc>
          <w:tcPr>
            <w:tcW w:w="1200" w:type="dxa"/>
            <w:shd w:val="clear" w:color="auto" w:fill="auto"/>
            <w:tcMar>
              <w:left w:w="0" w:type="dxa"/>
              <w:right w:w="0" w:type="dxa"/>
            </w:tcMar>
          </w:tcPr>
          <w:p w:rsidR="00245129" w:rsidRPr="00C04776" w:rsidRDefault="00245129" w:rsidP="00245129">
            <w:pPr>
              <w:jc w:val="center"/>
              <w:rPr>
                <w:rFonts w:eastAsia="Times New Roman" w:cs="Times New Roman"/>
                <w:b/>
                <w:sz w:val="20"/>
                <w:szCs w:val="20"/>
                <w:lang w:eastAsia="en-CA"/>
              </w:rPr>
            </w:pPr>
          </w:p>
          <w:p w:rsidR="00245129" w:rsidRPr="00C04776"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C04776" w:rsidRDefault="00245129" w:rsidP="00245129">
            <w:pPr>
              <w:rPr>
                <w:rFonts w:eastAsia="Times New Roman" w:cs="Times New Roman"/>
                <w:b/>
                <w:sz w:val="20"/>
                <w:szCs w:val="20"/>
                <w:lang w:val="fr-CA" w:eastAsia="en-CA"/>
              </w:rPr>
            </w:pPr>
            <w:r w:rsidRPr="00C04776">
              <w:rPr>
                <w:b/>
                <w:lang w:val="fr-CA"/>
              </w:rPr>
              <w:t>TABLE DES MATIÈRES</w:t>
            </w:r>
          </w:p>
        </w:tc>
      </w:tr>
    </w:tbl>
    <w:p w:rsidR="0095096B" w:rsidRPr="00C04776"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3888"/>
      </w:tblGrid>
      <w:tr w:rsidR="0095096B" w:rsidRPr="003D7763" w:rsidTr="00164E6D">
        <w:tc>
          <w:tcPr>
            <w:tcW w:w="3708" w:type="dxa"/>
          </w:tcPr>
          <w:p w:rsidR="0095096B" w:rsidRPr="00C04776" w:rsidRDefault="0095096B" w:rsidP="0095096B">
            <w:pPr>
              <w:tabs>
                <w:tab w:val="right" w:pos="9360"/>
              </w:tabs>
              <w:rPr>
                <w:rFonts w:cs="Times New Roman"/>
                <w:sz w:val="20"/>
                <w:szCs w:val="20"/>
              </w:rPr>
            </w:pPr>
            <w:r w:rsidRPr="00C04776">
              <w:rPr>
                <w:rFonts w:cs="Times New Roman"/>
                <w:sz w:val="20"/>
                <w:szCs w:val="20"/>
              </w:rPr>
              <w:t xml:space="preserve">Applications for leave to appeal </w:t>
            </w:r>
          </w:p>
          <w:p w:rsidR="0095096B" w:rsidRPr="00C04776" w:rsidRDefault="0095096B" w:rsidP="0095096B">
            <w:pPr>
              <w:tabs>
                <w:tab w:val="right" w:pos="9360"/>
              </w:tabs>
              <w:rPr>
                <w:rFonts w:cs="Times New Roman"/>
                <w:sz w:val="20"/>
                <w:szCs w:val="20"/>
              </w:rPr>
            </w:pPr>
            <w:r w:rsidRPr="00C04776">
              <w:rPr>
                <w:rFonts w:cs="Times New Roman"/>
                <w:sz w:val="20"/>
                <w:szCs w:val="20"/>
              </w:rPr>
              <w:t>filed</w:t>
            </w:r>
          </w:p>
          <w:p w:rsidR="0095096B" w:rsidRPr="00C04776" w:rsidRDefault="0095096B" w:rsidP="0095096B">
            <w:pPr>
              <w:tabs>
                <w:tab w:val="right" w:pos="9360"/>
              </w:tabs>
              <w:rPr>
                <w:rFonts w:cs="Times New Roman"/>
                <w:sz w:val="20"/>
                <w:szCs w:val="20"/>
              </w:rPr>
            </w:pPr>
          </w:p>
          <w:p w:rsidR="0095096B" w:rsidRPr="00C04776" w:rsidRDefault="0095096B" w:rsidP="0095096B">
            <w:pPr>
              <w:tabs>
                <w:tab w:val="right" w:pos="9360"/>
              </w:tabs>
              <w:rPr>
                <w:rFonts w:cs="Times New Roman"/>
                <w:sz w:val="20"/>
                <w:szCs w:val="20"/>
              </w:rPr>
            </w:pPr>
            <w:r w:rsidRPr="00C04776">
              <w:rPr>
                <w:rFonts w:cs="Times New Roman"/>
                <w:sz w:val="20"/>
                <w:szCs w:val="20"/>
              </w:rPr>
              <w:t>A</w:t>
            </w:r>
            <w:r w:rsidR="00845C2A" w:rsidRPr="00C04776">
              <w:rPr>
                <w:rFonts w:cs="Times New Roman"/>
                <w:sz w:val="20"/>
                <w:szCs w:val="20"/>
              </w:rPr>
              <w:t>pplications for leave submitted to the</w:t>
            </w:r>
            <w:r w:rsidRPr="00C04776">
              <w:rPr>
                <w:rFonts w:cs="Times New Roman"/>
                <w:sz w:val="20"/>
                <w:szCs w:val="20"/>
              </w:rPr>
              <w:t xml:space="preserve"> Court since </w:t>
            </w:r>
            <w:r w:rsidR="00845C2A" w:rsidRPr="00C04776">
              <w:rPr>
                <w:rFonts w:cs="Times New Roman"/>
                <w:sz w:val="20"/>
                <w:szCs w:val="20"/>
              </w:rPr>
              <w:t xml:space="preserve">the </w:t>
            </w:r>
            <w:r w:rsidRPr="00C04776">
              <w:rPr>
                <w:rFonts w:cs="Times New Roman"/>
                <w:sz w:val="20"/>
                <w:szCs w:val="20"/>
              </w:rPr>
              <w:t>last issue</w:t>
            </w:r>
          </w:p>
          <w:p w:rsidR="0095096B" w:rsidRPr="00C04776" w:rsidRDefault="0095096B" w:rsidP="0095096B">
            <w:pPr>
              <w:tabs>
                <w:tab w:val="right" w:pos="9360"/>
              </w:tabs>
              <w:rPr>
                <w:rFonts w:cs="Times New Roman"/>
                <w:sz w:val="20"/>
                <w:szCs w:val="20"/>
              </w:rPr>
            </w:pPr>
          </w:p>
          <w:p w:rsidR="0095096B" w:rsidRPr="00C04776" w:rsidRDefault="0095096B" w:rsidP="0095096B">
            <w:pPr>
              <w:tabs>
                <w:tab w:val="right" w:pos="9360"/>
              </w:tabs>
              <w:rPr>
                <w:rFonts w:cs="Times New Roman"/>
                <w:sz w:val="20"/>
                <w:szCs w:val="20"/>
              </w:rPr>
            </w:pPr>
            <w:r w:rsidRPr="00C04776">
              <w:rPr>
                <w:rFonts w:cs="Times New Roman"/>
                <w:sz w:val="20"/>
                <w:szCs w:val="20"/>
              </w:rPr>
              <w:t>Motions</w:t>
            </w:r>
          </w:p>
          <w:p w:rsidR="0095096B" w:rsidRPr="00C04776" w:rsidRDefault="0095096B" w:rsidP="0095096B">
            <w:pPr>
              <w:tabs>
                <w:tab w:val="right" w:pos="9360"/>
              </w:tabs>
              <w:rPr>
                <w:rFonts w:cs="Times New Roman"/>
                <w:sz w:val="20"/>
                <w:szCs w:val="20"/>
              </w:rPr>
            </w:pPr>
          </w:p>
          <w:p w:rsidR="0095096B" w:rsidRPr="00C04776" w:rsidRDefault="0095096B" w:rsidP="0095096B">
            <w:pPr>
              <w:tabs>
                <w:tab w:val="right" w:pos="9360"/>
              </w:tabs>
              <w:rPr>
                <w:rFonts w:cs="Times New Roman"/>
                <w:sz w:val="20"/>
                <w:szCs w:val="20"/>
              </w:rPr>
            </w:pPr>
            <w:r w:rsidRPr="00C04776">
              <w:rPr>
                <w:rFonts w:cs="Times New Roman"/>
                <w:sz w:val="20"/>
                <w:szCs w:val="20"/>
              </w:rPr>
              <w:t xml:space="preserve">Notices of appeal filed since </w:t>
            </w:r>
            <w:r w:rsidR="00845C2A" w:rsidRPr="00C04776">
              <w:rPr>
                <w:rFonts w:cs="Times New Roman"/>
                <w:sz w:val="20"/>
                <w:szCs w:val="20"/>
              </w:rPr>
              <w:t xml:space="preserve">the </w:t>
            </w:r>
            <w:r w:rsidRPr="00C04776">
              <w:rPr>
                <w:rFonts w:cs="Times New Roman"/>
                <w:sz w:val="20"/>
                <w:szCs w:val="20"/>
              </w:rPr>
              <w:t xml:space="preserve">last </w:t>
            </w:r>
          </w:p>
          <w:p w:rsidR="0095096B" w:rsidRPr="00C04776" w:rsidRDefault="0095096B" w:rsidP="0095096B">
            <w:pPr>
              <w:tabs>
                <w:tab w:val="right" w:pos="9360"/>
              </w:tabs>
              <w:rPr>
                <w:rFonts w:cs="Times New Roman"/>
                <w:sz w:val="20"/>
                <w:szCs w:val="20"/>
              </w:rPr>
            </w:pPr>
            <w:r w:rsidRPr="00C04776">
              <w:rPr>
                <w:rFonts w:cs="Times New Roman"/>
                <w:sz w:val="20"/>
                <w:szCs w:val="20"/>
              </w:rPr>
              <w:t>issue</w:t>
            </w:r>
          </w:p>
          <w:p w:rsidR="0095096B" w:rsidRPr="00C04776" w:rsidRDefault="0095096B" w:rsidP="0095096B">
            <w:pPr>
              <w:tabs>
                <w:tab w:val="right" w:pos="9360"/>
              </w:tabs>
              <w:rPr>
                <w:rFonts w:cs="Times New Roman"/>
                <w:sz w:val="20"/>
                <w:szCs w:val="20"/>
              </w:rPr>
            </w:pPr>
          </w:p>
          <w:p w:rsidR="0095096B" w:rsidRPr="00C04776" w:rsidRDefault="0095096B" w:rsidP="0095096B">
            <w:pPr>
              <w:tabs>
                <w:tab w:val="right" w:pos="9360"/>
              </w:tabs>
              <w:rPr>
                <w:rFonts w:cs="Times New Roman"/>
                <w:sz w:val="20"/>
                <w:szCs w:val="20"/>
              </w:rPr>
            </w:pPr>
            <w:r w:rsidRPr="00C04776">
              <w:rPr>
                <w:rFonts w:cs="Times New Roman"/>
                <w:sz w:val="20"/>
                <w:szCs w:val="20"/>
              </w:rPr>
              <w:t>Pronouncements of appeals reserved</w:t>
            </w:r>
          </w:p>
          <w:p w:rsidR="0095096B" w:rsidRPr="00C04776" w:rsidRDefault="0095096B" w:rsidP="0095096B">
            <w:pPr>
              <w:tabs>
                <w:tab w:val="right" w:pos="9360"/>
              </w:tabs>
              <w:rPr>
                <w:rFonts w:cs="Times New Roman"/>
                <w:sz w:val="20"/>
                <w:szCs w:val="20"/>
              </w:rPr>
            </w:pPr>
          </w:p>
          <w:p w:rsidR="0095096B" w:rsidRPr="00C04776" w:rsidRDefault="0095096B" w:rsidP="0095096B">
            <w:pPr>
              <w:tabs>
                <w:tab w:val="right" w:pos="9360"/>
              </w:tabs>
              <w:rPr>
                <w:rFonts w:cs="Times New Roman"/>
                <w:sz w:val="20"/>
                <w:szCs w:val="20"/>
              </w:rPr>
            </w:pPr>
          </w:p>
          <w:p w:rsidR="0095096B" w:rsidRPr="00C04776" w:rsidRDefault="0095096B" w:rsidP="0095096B">
            <w:pPr>
              <w:tabs>
                <w:tab w:val="right" w:pos="9360"/>
              </w:tabs>
              <w:rPr>
                <w:rFonts w:cs="Times New Roman"/>
                <w:sz w:val="20"/>
                <w:szCs w:val="20"/>
              </w:rPr>
            </w:pPr>
            <w:r w:rsidRPr="00C04776">
              <w:rPr>
                <w:rFonts w:cs="Times New Roman"/>
                <w:sz w:val="20"/>
                <w:szCs w:val="20"/>
              </w:rPr>
              <w:t>Headnotes of recent judgments</w:t>
            </w:r>
          </w:p>
          <w:p w:rsidR="00A87207" w:rsidRPr="00C04776" w:rsidRDefault="00A87207" w:rsidP="00EB4EB1">
            <w:pPr>
              <w:tabs>
                <w:tab w:val="right" w:pos="9360"/>
              </w:tabs>
              <w:rPr>
                <w:rFonts w:cs="Times New Roman"/>
                <w:sz w:val="20"/>
                <w:szCs w:val="20"/>
              </w:rPr>
            </w:pPr>
          </w:p>
        </w:tc>
        <w:tc>
          <w:tcPr>
            <w:tcW w:w="1980" w:type="dxa"/>
          </w:tcPr>
          <w:p w:rsidR="0095096B" w:rsidRPr="00C04776" w:rsidRDefault="0067305D" w:rsidP="0095096B">
            <w:pPr>
              <w:jc w:val="center"/>
              <w:rPr>
                <w:rFonts w:cs="Times New Roman"/>
                <w:sz w:val="20"/>
                <w:szCs w:val="20"/>
              </w:rPr>
            </w:pPr>
            <w:r w:rsidRPr="00C04776">
              <w:rPr>
                <w:rFonts w:cs="Times New Roman"/>
                <w:sz w:val="20"/>
                <w:szCs w:val="20"/>
              </w:rPr>
              <w:t xml:space="preserve">1147 </w:t>
            </w:r>
            <w:r w:rsidR="000E27A5" w:rsidRPr="00C04776">
              <w:rPr>
                <w:rFonts w:cs="Times New Roman"/>
                <w:sz w:val="20"/>
                <w:szCs w:val="20"/>
              </w:rPr>
              <w:fldChar w:fldCharType="begin"/>
            </w:r>
            <w:r w:rsidR="0095096B" w:rsidRPr="00C04776">
              <w:rPr>
                <w:rFonts w:cs="Times New Roman"/>
                <w:sz w:val="20"/>
                <w:szCs w:val="20"/>
              </w:rPr>
              <w:instrText xml:space="preserve"> SEQ CHAPTER \h \r 1</w:instrText>
            </w:r>
            <w:r w:rsidR="000E27A5" w:rsidRPr="00C04776">
              <w:rPr>
                <w:rFonts w:cs="Times New Roman"/>
                <w:sz w:val="20"/>
                <w:szCs w:val="20"/>
              </w:rPr>
              <w:fldChar w:fldCharType="end"/>
            </w:r>
            <w:r w:rsidR="0095096B" w:rsidRPr="00C04776">
              <w:rPr>
                <w:rFonts w:cs="Times New Roman"/>
                <w:sz w:val="20"/>
                <w:szCs w:val="20"/>
              </w:rPr>
              <w:t>-</w:t>
            </w:r>
            <w:r w:rsidRPr="00C04776">
              <w:rPr>
                <w:rFonts w:cs="Times New Roman"/>
                <w:sz w:val="20"/>
                <w:szCs w:val="20"/>
              </w:rPr>
              <w:t xml:space="preserve"> 1148</w:t>
            </w:r>
          </w:p>
          <w:p w:rsidR="0095096B" w:rsidRPr="00C04776" w:rsidRDefault="0095096B" w:rsidP="0095096B">
            <w:pPr>
              <w:jc w:val="center"/>
              <w:rPr>
                <w:rFonts w:cs="Times New Roman"/>
                <w:sz w:val="20"/>
                <w:szCs w:val="20"/>
              </w:rPr>
            </w:pPr>
          </w:p>
          <w:p w:rsidR="0095096B" w:rsidRPr="00C04776" w:rsidRDefault="0095096B" w:rsidP="0095096B">
            <w:pPr>
              <w:jc w:val="center"/>
              <w:rPr>
                <w:rFonts w:cs="Times New Roman"/>
                <w:sz w:val="20"/>
                <w:szCs w:val="20"/>
              </w:rPr>
            </w:pPr>
          </w:p>
          <w:p w:rsidR="0095096B" w:rsidRPr="00C04776" w:rsidRDefault="00E65B77" w:rsidP="0095096B">
            <w:pPr>
              <w:jc w:val="center"/>
              <w:rPr>
                <w:rFonts w:cs="Times New Roman"/>
                <w:sz w:val="20"/>
                <w:szCs w:val="20"/>
              </w:rPr>
            </w:pPr>
            <w:r w:rsidRPr="00C04776">
              <w:rPr>
                <w:rFonts w:cs="Times New Roman"/>
                <w:sz w:val="20"/>
                <w:szCs w:val="20"/>
              </w:rPr>
              <w:t>1149</w:t>
            </w:r>
          </w:p>
          <w:p w:rsidR="0095096B" w:rsidRPr="00C04776" w:rsidRDefault="0095096B" w:rsidP="0095096B">
            <w:pPr>
              <w:jc w:val="center"/>
              <w:rPr>
                <w:rFonts w:cs="Times New Roman"/>
                <w:sz w:val="20"/>
                <w:szCs w:val="20"/>
              </w:rPr>
            </w:pPr>
          </w:p>
          <w:p w:rsidR="0095096B" w:rsidRPr="00C04776" w:rsidRDefault="0095096B" w:rsidP="0095096B">
            <w:pPr>
              <w:jc w:val="center"/>
              <w:rPr>
                <w:rFonts w:cs="Times New Roman"/>
                <w:sz w:val="20"/>
                <w:szCs w:val="20"/>
              </w:rPr>
            </w:pPr>
          </w:p>
          <w:p w:rsidR="0095096B" w:rsidRPr="00C04776" w:rsidRDefault="00E65B77" w:rsidP="0095096B">
            <w:pPr>
              <w:jc w:val="center"/>
              <w:rPr>
                <w:rFonts w:cs="Times New Roman"/>
                <w:sz w:val="20"/>
                <w:szCs w:val="20"/>
              </w:rPr>
            </w:pPr>
            <w:r w:rsidRPr="00C04776">
              <w:rPr>
                <w:rFonts w:cs="Times New Roman"/>
                <w:sz w:val="20"/>
                <w:szCs w:val="20"/>
              </w:rPr>
              <w:t>1150 - 1153</w:t>
            </w:r>
          </w:p>
          <w:p w:rsidR="0095096B" w:rsidRPr="00C04776" w:rsidRDefault="0095096B" w:rsidP="0095096B">
            <w:pPr>
              <w:jc w:val="center"/>
              <w:rPr>
                <w:rFonts w:cs="Times New Roman"/>
                <w:sz w:val="20"/>
                <w:szCs w:val="20"/>
              </w:rPr>
            </w:pPr>
          </w:p>
          <w:p w:rsidR="0095096B" w:rsidRPr="00C04776" w:rsidRDefault="00E65B77" w:rsidP="0095096B">
            <w:pPr>
              <w:jc w:val="center"/>
              <w:rPr>
                <w:rFonts w:cs="Times New Roman"/>
                <w:sz w:val="20"/>
                <w:szCs w:val="20"/>
              </w:rPr>
            </w:pPr>
            <w:r w:rsidRPr="00C04776">
              <w:rPr>
                <w:rFonts w:cs="Times New Roman"/>
                <w:sz w:val="20"/>
                <w:szCs w:val="20"/>
              </w:rPr>
              <w:t>1154 - 1155</w:t>
            </w:r>
          </w:p>
          <w:p w:rsidR="0095096B" w:rsidRPr="00C04776" w:rsidRDefault="0095096B" w:rsidP="0095096B">
            <w:pPr>
              <w:jc w:val="center"/>
              <w:rPr>
                <w:rFonts w:cs="Times New Roman"/>
                <w:sz w:val="20"/>
                <w:szCs w:val="20"/>
              </w:rPr>
            </w:pPr>
          </w:p>
          <w:p w:rsidR="0095096B" w:rsidRPr="00C04776" w:rsidRDefault="0095096B" w:rsidP="0095096B">
            <w:pPr>
              <w:jc w:val="center"/>
              <w:rPr>
                <w:rFonts w:cs="Times New Roman"/>
                <w:sz w:val="20"/>
                <w:szCs w:val="20"/>
              </w:rPr>
            </w:pPr>
          </w:p>
          <w:p w:rsidR="0095096B" w:rsidRPr="00C04776" w:rsidRDefault="00E65B77" w:rsidP="0095096B">
            <w:pPr>
              <w:jc w:val="center"/>
              <w:rPr>
                <w:rFonts w:cs="Times New Roman"/>
                <w:sz w:val="20"/>
                <w:szCs w:val="20"/>
              </w:rPr>
            </w:pPr>
            <w:r w:rsidRPr="00C04776">
              <w:rPr>
                <w:rFonts w:cs="Times New Roman"/>
                <w:sz w:val="20"/>
                <w:szCs w:val="20"/>
              </w:rPr>
              <w:t>1156</w:t>
            </w:r>
          </w:p>
          <w:p w:rsidR="0095096B" w:rsidRPr="00C04776" w:rsidRDefault="0095096B" w:rsidP="0095096B">
            <w:pPr>
              <w:jc w:val="center"/>
              <w:rPr>
                <w:rFonts w:cs="Times New Roman"/>
                <w:sz w:val="20"/>
                <w:szCs w:val="20"/>
              </w:rPr>
            </w:pPr>
          </w:p>
          <w:p w:rsidR="0095096B" w:rsidRPr="00C04776" w:rsidRDefault="0095096B" w:rsidP="0095096B">
            <w:pPr>
              <w:jc w:val="center"/>
              <w:rPr>
                <w:rFonts w:cs="Times New Roman"/>
                <w:sz w:val="20"/>
                <w:szCs w:val="20"/>
              </w:rPr>
            </w:pPr>
          </w:p>
          <w:p w:rsidR="0095096B" w:rsidRPr="00C04776" w:rsidRDefault="00E65B77" w:rsidP="0095096B">
            <w:pPr>
              <w:jc w:val="center"/>
              <w:rPr>
                <w:rFonts w:cs="Times New Roman"/>
                <w:sz w:val="20"/>
                <w:szCs w:val="20"/>
              </w:rPr>
            </w:pPr>
            <w:r w:rsidRPr="00C04776">
              <w:rPr>
                <w:rFonts w:cs="Times New Roman"/>
                <w:sz w:val="20"/>
                <w:szCs w:val="20"/>
              </w:rPr>
              <w:t xml:space="preserve">1157 - </w:t>
            </w:r>
            <w:r w:rsidR="007C4B4E" w:rsidRPr="00C04776">
              <w:rPr>
                <w:rFonts w:cs="Times New Roman"/>
                <w:sz w:val="20"/>
                <w:szCs w:val="20"/>
              </w:rPr>
              <w:t>1162</w:t>
            </w:r>
          </w:p>
          <w:p w:rsidR="00A87207" w:rsidRPr="00C04776" w:rsidRDefault="00A87207" w:rsidP="00EB4EB1">
            <w:pPr>
              <w:rPr>
                <w:rFonts w:cs="Times New Roman"/>
                <w:sz w:val="20"/>
                <w:szCs w:val="20"/>
              </w:rPr>
            </w:pPr>
          </w:p>
        </w:tc>
        <w:tc>
          <w:tcPr>
            <w:tcW w:w="3888" w:type="dxa"/>
          </w:tcPr>
          <w:p w:rsidR="0095096B" w:rsidRPr="00C04776" w:rsidRDefault="000E27A5" w:rsidP="0095096B">
            <w:pPr>
              <w:rPr>
                <w:rFonts w:cs="Times New Roman"/>
                <w:sz w:val="20"/>
                <w:szCs w:val="20"/>
                <w:lang w:val="fr-CA"/>
              </w:rPr>
            </w:pPr>
            <w:r w:rsidRPr="00C04776">
              <w:rPr>
                <w:rFonts w:cs="Times New Roman"/>
                <w:sz w:val="20"/>
                <w:szCs w:val="20"/>
                <w:lang w:val="fr-CA"/>
              </w:rPr>
              <w:fldChar w:fldCharType="begin"/>
            </w:r>
            <w:r w:rsidR="0095096B" w:rsidRPr="00C04776">
              <w:rPr>
                <w:rFonts w:cs="Times New Roman"/>
                <w:sz w:val="20"/>
                <w:szCs w:val="20"/>
                <w:lang w:val="fr-CA"/>
              </w:rPr>
              <w:instrText xml:space="preserve"> SEQ CHAPTER \h \r 1</w:instrText>
            </w:r>
            <w:r w:rsidRPr="00C04776">
              <w:rPr>
                <w:rFonts w:cs="Times New Roman"/>
                <w:sz w:val="20"/>
                <w:szCs w:val="20"/>
                <w:lang w:val="fr-CA"/>
              </w:rPr>
              <w:fldChar w:fldCharType="end"/>
            </w:r>
            <w:r w:rsidR="0095096B" w:rsidRPr="00C04776">
              <w:rPr>
                <w:rFonts w:cs="Times New Roman"/>
                <w:sz w:val="20"/>
                <w:szCs w:val="20"/>
                <w:lang w:val="fr-CA"/>
              </w:rPr>
              <w:t>Demandes d</w:t>
            </w:r>
            <w:r w:rsidR="004137A0" w:rsidRPr="00C04776">
              <w:rPr>
                <w:rFonts w:cs="Times New Roman"/>
                <w:sz w:val="20"/>
                <w:szCs w:val="20"/>
                <w:lang w:val="fr-CA"/>
              </w:rPr>
              <w:t>’</w:t>
            </w:r>
            <w:r w:rsidR="0095096B" w:rsidRPr="00C04776">
              <w:rPr>
                <w:rFonts w:cs="Times New Roman"/>
                <w:sz w:val="20"/>
                <w:szCs w:val="20"/>
                <w:lang w:val="fr-CA"/>
              </w:rPr>
              <w:t>autorisation d</w:t>
            </w:r>
            <w:r w:rsidR="004137A0" w:rsidRPr="00C04776">
              <w:rPr>
                <w:rFonts w:cs="Times New Roman"/>
                <w:sz w:val="20"/>
                <w:szCs w:val="20"/>
                <w:lang w:val="fr-CA"/>
              </w:rPr>
              <w:t>’</w:t>
            </w:r>
            <w:r w:rsidR="0095096B" w:rsidRPr="00C04776">
              <w:rPr>
                <w:rFonts w:cs="Times New Roman"/>
                <w:sz w:val="20"/>
                <w:szCs w:val="20"/>
                <w:lang w:val="fr-CA"/>
              </w:rPr>
              <w:t xml:space="preserve">appel </w:t>
            </w:r>
          </w:p>
          <w:p w:rsidR="0095096B" w:rsidRPr="00C04776" w:rsidRDefault="0095096B" w:rsidP="0095096B">
            <w:pPr>
              <w:rPr>
                <w:rFonts w:cs="Times New Roman"/>
                <w:sz w:val="20"/>
                <w:szCs w:val="20"/>
                <w:lang w:val="fr-CA"/>
              </w:rPr>
            </w:pPr>
            <w:r w:rsidRPr="00C04776">
              <w:rPr>
                <w:rFonts w:cs="Times New Roman"/>
                <w:sz w:val="20"/>
                <w:szCs w:val="20"/>
                <w:lang w:val="fr-CA"/>
              </w:rPr>
              <w:t>déposées</w:t>
            </w:r>
          </w:p>
          <w:p w:rsidR="0095096B" w:rsidRPr="00C04776" w:rsidRDefault="0095096B" w:rsidP="0095096B">
            <w:pPr>
              <w:rPr>
                <w:rFonts w:cs="Times New Roman"/>
                <w:sz w:val="20"/>
                <w:szCs w:val="20"/>
                <w:lang w:val="fr-CA"/>
              </w:rPr>
            </w:pPr>
          </w:p>
          <w:p w:rsidR="0095096B" w:rsidRPr="00C04776" w:rsidRDefault="0095096B" w:rsidP="0095096B">
            <w:pPr>
              <w:rPr>
                <w:rFonts w:cs="Times New Roman"/>
                <w:sz w:val="20"/>
                <w:szCs w:val="20"/>
                <w:lang w:val="fr-CA"/>
              </w:rPr>
            </w:pPr>
            <w:r w:rsidRPr="00C04776">
              <w:rPr>
                <w:rFonts w:cs="Times New Roman"/>
                <w:sz w:val="20"/>
                <w:szCs w:val="20"/>
                <w:lang w:val="fr-CA"/>
              </w:rPr>
              <w:t xml:space="preserve">Demandes soumises à la Cour depuis la </w:t>
            </w:r>
          </w:p>
          <w:p w:rsidR="0095096B" w:rsidRPr="00C04776" w:rsidRDefault="0095096B" w:rsidP="0095096B">
            <w:pPr>
              <w:rPr>
                <w:rFonts w:cs="Times New Roman"/>
                <w:sz w:val="20"/>
                <w:szCs w:val="20"/>
                <w:lang w:val="fr-CA"/>
              </w:rPr>
            </w:pPr>
            <w:r w:rsidRPr="00C04776">
              <w:rPr>
                <w:rFonts w:cs="Times New Roman"/>
                <w:sz w:val="20"/>
                <w:szCs w:val="20"/>
                <w:lang w:val="fr-CA"/>
              </w:rPr>
              <w:t>dernière parution</w:t>
            </w:r>
          </w:p>
          <w:p w:rsidR="0095096B" w:rsidRPr="00C04776" w:rsidRDefault="0095096B" w:rsidP="0095096B">
            <w:pPr>
              <w:rPr>
                <w:rFonts w:cs="Times New Roman"/>
                <w:sz w:val="20"/>
                <w:szCs w:val="20"/>
                <w:lang w:val="fr-CA"/>
              </w:rPr>
            </w:pPr>
          </w:p>
          <w:p w:rsidR="0095096B" w:rsidRPr="00C04776" w:rsidRDefault="0095096B" w:rsidP="0095096B">
            <w:pPr>
              <w:rPr>
                <w:rFonts w:cs="Times New Roman"/>
                <w:sz w:val="20"/>
                <w:szCs w:val="20"/>
                <w:lang w:val="fr-CA"/>
              </w:rPr>
            </w:pPr>
            <w:r w:rsidRPr="00C04776">
              <w:rPr>
                <w:rFonts w:cs="Times New Roman"/>
                <w:sz w:val="20"/>
                <w:szCs w:val="20"/>
                <w:lang w:val="fr-CA"/>
              </w:rPr>
              <w:t>Requêtes</w:t>
            </w:r>
          </w:p>
          <w:p w:rsidR="0095096B" w:rsidRPr="00C04776" w:rsidRDefault="0095096B" w:rsidP="0095096B">
            <w:pPr>
              <w:rPr>
                <w:rFonts w:cs="Times New Roman"/>
                <w:sz w:val="20"/>
                <w:szCs w:val="20"/>
                <w:lang w:val="fr-CA"/>
              </w:rPr>
            </w:pPr>
          </w:p>
          <w:p w:rsidR="0095096B" w:rsidRPr="00C04776" w:rsidRDefault="0095096B" w:rsidP="0095096B">
            <w:pPr>
              <w:rPr>
                <w:rFonts w:cs="Times New Roman"/>
                <w:sz w:val="20"/>
                <w:szCs w:val="20"/>
                <w:lang w:val="fr-CA"/>
              </w:rPr>
            </w:pPr>
            <w:r w:rsidRPr="00C04776">
              <w:rPr>
                <w:rFonts w:cs="Times New Roman"/>
                <w:sz w:val="20"/>
                <w:szCs w:val="20"/>
                <w:lang w:val="fr-CA"/>
              </w:rPr>
              <w:t>Avis d</w:t>
            </w:r>
            <w:r w:rsidR="004137A0" w:rsidRPr="00C04776">
              <w:rPr>
                <w:rFonts w:cs="Times New Roman"/>
                <w:sz w:val="20"/>
                <w:szCs w:val="20"/>
                <w:lang w:val="fr-CA"/>
              </w:rPr>
              <w:t>’</w:t>
            </w:r>
            <w:r w:rsidRPr="00C04776">
              <w:rPr>
                <w:rFonts w:cs="Times New Roman"/>
                <w:sz w:val="20"/>
                <w:szCs w:val="20"/>
                <w:lang w:val="fr-CA"/>
              </w:rPr>
              <w:t xml:space="preserve">appel déposés depuis la dernière </w:t>
            </w:r>
          </w:p>
          <w:p w:rsidR="0095096B" w:rsidRPr="00C04776" w:rsidRDefault="0095096B" w:rsidP="0095096B">
            <w:pPr>
              <w:rPr>
                <w:rFonts w:cs="Times New Roman"/>
                <w:sz w:val="20"/>
                <w:szCs w:val="20"/>
                <w:lang w:val="fr-CA"/>
              </w:rPr>
            </w:pPr>
            <w:r w:rsidRPr="00C04776">
              <w:rPr>
                <w:rFonts w:cs="Times New Roman"/>
                <w:sz w:val="20"/>
                <w:szCs w:val="20"/>
                <w:lang w:val="fr-CA"/>
              </w:rPr>
              <w:t>parution</w:t>
            </w:r>
          </w:p>
          <w:p w:rsidR="0095096B" w:rsidRPr="00C04776" w:rsidRDefault="0095096B" w:rsidP="0095096B">
            <w:pPr>
              <w:rPr>
                <w:rFonts w:cs="Times New Roman"/>
                <w:sz w:val="20"/>
                <w:szCs w:val="20"/>
                <w:lang w:val="fr-CA"/>
              </w:rPr>
            </w:pPr>
          </w:p>
          <w:p w:rsidR="0095096B" w:rsidRPr="00C04776" w:rsidRDefault="0095096B" w:rsidP="0095096B">
            <w:pPr>
              <w:rPr>
                <w:rFonts w:cs="Times New Roman"/>
                <w:sz w:val="20"/>
                <w:szCs w:val="20"/>
                <w:lang w:val="fr-CA"/>
              </w:rPr>
            </w:pPr>
            <w:r w:rsidRPr="00C04776">
              <w:rPr>
                <w:rFonts w:cs="Times New Roman"/>
                <w:sz w:val="20"/>
                <w:szCs w:val="20"/>
                <w:lang w:val="fr-CA"/>
              </w:rPr>
              <w:t xml:space="preserve">Jugements rendus sur les appels en </w:t>
            </w:r>
          </w:p>
          <w:p w:rsidR="0095096B" w:rsidRPr="00C04776" w:rsidRDefault="0095096B" w:rsidP="0095096B">
            <w:pPr>
              <w:rPr>
                <w:rFonts w:cs="Times New Roman"/>
                <w:sz w:val="20"/>
                <w:szCs w:val="20"/>
                <w:lang w:val="fr-CA"/>
              </w:rPr>
            </w:pPr>
            <w:r w:rsidRPr="00C04776">
              <w:rPr>
                <w:rFonts w:cs="Times New Roman"/>
                <w:sz w:val="20"/>
                <w:szCs w:val="20"/>
                <w:lang w:val="fr-CA"/>
              </w:rPr>
              <w:t>délibéré</w:t>
            </w:r>
          </w:p>
          <w:p w:rsidR="0095096B" w:rsidRPr="00C04776" w:rsidRDefault="0095096B" w:rsidP="0095096B">
            <w:pPr>
              <w:rPr>
                <w:rFonts w:cs="Times New Roman"/>
                <w:sz w:val="20"/>
                <w:szCs w:val="20"/>
                <w:lang w:val="fr-CA"/>
              </w:rPr>
            </w:pPr>
          </w:p>
          <w:p w:rsidR="00A87207" w:rsidRPr="00C04776" w:rsidRDefault="0095096B" w:rsidP="00EB4EB1">
            <w:pPr>
              <w:rPr>
                <w:rFonts w:cs="Times New Roman"/>
                <w:sz w:val="20"/>
                <w:szCs w:val="20"/>
                <w:lang w:val="fr-CA"/>
              </w:rPr>
            </w:pPr>
            <w:r w:rsidRPr="00C04776">
              <w:rPr>
                <w:rFonts w:cs="Times New Roman"/>
                <w:sz w:val="20"/>
                <w:szCs w:val="20"/>
                <w:lang w:val="fr-CA"/>
              </w:rPr>
              <w:t xml:space="preserve">Sommaires de </w:t>
            </w:r>
            <w:r w:rsidR="00C50A5C" w:rsidRPr="00C04776">
              <w:rPr>
                <w:rFonts w:cs="Times New Roman"/>
                <w:sz w:val="20"/>
                <w:szCs w:val="20"/>
                <w:lang w:val="fr-CA"/>
              </w:rPr>
              <w:t>jugements récents</w:t>
            </w:r>
          </w:p>
        </w:tc>
      </w:tr>
    </w:tbl>
    <w:p w:rsidR="0095096B" w:rsidRPr="00C04776" w:rsidRDefault="0095096B" w:rsidP="0095096B">
      <w:pPr>
        <w:tabs>
          <w:tab w:val="right" w:pos="9360"/>
        </w:tabs>
        <w:rPr>
          <w:lang w:val="fr-CA"/>
        </w:rPr>
      </w:pPr>
    </w:p>
    <w:tbl>
      <w:tblPr>
        <w:tblStyle w:val="TableGrid"/>
        <w:tblW w:w="0" w:type="auto"/>
        <w:tblLook w:val="04A0" w:firstRow="1" w:lastRow="0" w:firstColumn="1" w:lastColumn="0" w:noHBand="0" w:noVBand="1"/>
      </w:tblPr>
      <w:tblGrid>
        <w:gridCol w:w="9576"/>
      </w:tblGrid>
      <w:tr w:rsidR="0079724F" w:rsidRPr="003D7763" w:rsidTr="0079724F">
        <w:tc>
          <w:tcPr>
            <w:tcW w:w="9576" w:type="dxa"/>
          </w:tcPr>
          <w:p w:rsidR="0079724F" w:rsidRPr="00C04776" w:rsidRDefault="0079724F" w:rsidP="00215F7C">
            <w:pPr>
              <w:keepNext/>
              <w:tabs>
                <w:tab w:val="right" w:pos="9360"/>
              </w:tabs>
              <w:jc w:val="center"/>
              <w:rPr>
                <w:szCs w:val="24"/>
              </w:rPr>
            </w:pPr>
            <w:r w:rsidRPr="00C04776">
              <w:rPr>
                <w:szCs w:val="24"/>
              </w:rPr>
              <w:t>NOTICE</w:t>
            </w:r>
          </w:p>
          <w:p w:rsidR="0079724F" w:rsidRPr="00C04776" w:rsidRDefault="0079724F" w:rsidP="00215F7C">
            <w:pPr>
              <w:keepNext/>
              <w:tabs>
                <w:tab w:val="right" w:pos="9360"/>
              </w:tabs>
              <w:rPr>
                <w:szCs w:val="24"/>
              </w:rPr>
            </w:pPr>
          </w:p>
          <w:p w:rsidR="0079724F" w:rsidRPr="00C04776" w:rsidRDefault="0079724F" w:rsidP="00215F7C">
            <w:pPr>
              <w:keepNext/>
              <w:tabs>
                <w:tab w:val="right" w:pos="9360"/>
              </w:tabs>
              <w:jc w:val="both"/>
              <w:rPr>
                <w:szCs w:val="24"/>
              </w:rPr>
            </w:pPr>
            <w:r w:rsidRPr="00C04776">
              <w:rPr>
                <w:szCs w:val="24"/>
              </w:rPr>
              <w:t>Case summaries included in the Bulletin are prepared by the Office of the Registrar of the Supreme Court of Canada (Law Branch) for information purposes only.</w:t>
            </w:r>
          </w:p>
          <w:p w:rsidR="0079724F" w:rsidRPr="00C04776" w:rsidRDefault="0079724F" w:rsidP="00215F7C">
            <w:pPr>
              <w:keepNext/>
              <w:tabs>
                <w:tab w:val="right" w:pos="9360"/>
              </w:tabs>
              <w:rPr>
                <w:szCs w:val="24"/>
              </w:rPr>
            </w:pPr>
          </w:p>
          <w:p w:rsidR="0079724F" w:rsidRPr="00C04776" w:rsidRDefault="0079724F" w:rsidP="00215F7C">
            <w:pPr>
              <w:keepNext/>
              <w:tabs>
                <w:tab w:val="right" w:pos="9360"/>
              </w:tabs>
              <w:rPr>
                <w:szCs w:val="24"/>
              </w:rPr>
            </w:pPr>
          </w:p>
          <w:p w:rsidR="0079724F" w:rsidRPr="00C04776" w:rsidRDefault="0079724F" w:rsidP="00215F7C">
            <w:pPr>
              <w:keepNext/>
              <w:tabs>
                <w:tab w:val="right" w:pos="9360"/>
              </w:tabs>
              <w:jc w:val="center"/>
              <w:rPr>
                <w:szCs w:val="24"/>
                <w:lang w:val="fr-CA"/>
              </w:rPr>
            </w:pPr>
            <w:r w:rsidRPr="00C04776">
              <w:rPr>
                <w:szCs w:val="24"/>
                <w:lang w:val="fr-CA"/>
              </w:rPr>
              <w:t>AVIS</w:t>
            </w:r>
          </w:p>
          <w:p w:rsidR="0079724F" w:rsidRPr="00C04776" w:rsidRDefault="0079724F" w:rsidP="00215F7C">
            <w:pPr>
              <w:keepNext/>
              <w:tabs>
                <w:tab w:val="right" w:pos="9360"/>
              </w:tabs>
              <w:rPr>
                <w:szCs w:val="24"/>
                <w:lang w:val="fr-CA"/>
              </w:rPr>
            </w:pPr>
          </w:p>
          <w:p w:rsidR="0079724F" w:rsidRPr="00C04776" w:rsidRDefault="0079724F" w:rsidP="00215F7C">
            <w:pPr>
              <w:keepNext/>
              <w:tabs>
                <w:tab w:val="right" w:pos="9360"/>
              </w:tabs>
              <w:jc w:val="both"/>
              <w:rPr>
                <w:sz w:val="20"/>
                <w:szCs w:val="20"/>
                <w:lang w:val="fr-CA"/>
              </w:rPr>
            </w:pPr>
            <w:r w:rsidRPr="00C04776">
              <w:rPr>
                <w:szCs w:val="24"/>
                <w:lang w:val="fr-CA"/>
              </w:rPr>
              <w:t>Les résumés de dossiers publiés dans le bulletin sont préparés par le Bureau du registraire (Direction générale du droit) uniquement à titre d’information.</w:t>
            </w:r>
          </w:p>
        </w:tc>
      </w:tr>
    </w:tbl>
    <w:p w:rsidR="0095096B" w:rsidRPr="00C04776" w:rsidRDefault="0095096B" w:rsidP="0095096B">
      <w:pPr>
        <w:tabs>
          <w:tab w:val="right" w:pos="9360"/>
        </w:tabs>
        <w:rPr>
          <w:lang w:val="fr-CA"/>
        </w:rPr>
      </w:pPr>
    </w:p>
    <w:p w:rsidR="00C01FCB" w:rsidRPr="00C04776" w:rsidRDefault="00C01FCB" w:rsidP="0095096B">
      <w:pPr>
        <w:tabs>
          <w:tab w:val="right" w:pos="9360"/>
        </w:tabs>
        <w:rPr>
          <w:lang w:val="fr-CA"/>
        </w:rPr>
      </w:pPr>
    </w:p>
    <w:p w:rsidR="00C01FCB" w:rsidRPr="00C04776" w:rsidRDefault="00C01FCB" w:rsidP="0095096B">
      <w:pPr>
        <w:tabs>
          <w:tab w:val="right" w:pos="9360"/>
        </w:tabs>
        <w:rPr>
          <w:lang w:val="fr-CA"/>
        </w:rPr>
      </w:pPr>
    </w:p>
    <w:p w:rsidR="00A87207" w:rsidRPr="00C04776" w:rsidRDefault="00A87207" w:rsidP="0095096B">
      <w:pPr>
        <w:tabs>
          <w:tab w:val="right" w:pos="9360"/>
        </w:tabs>
        <w:rPr>
          <w:lang w:val="fr-CA"/>
        </w:rPr>
        <w:sectPr w:rsidR="00A87207" w:rsidRPr="00C04776" w:rsidSect="0044776A">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7207" w:rsidRPr="00C04776" w:rsidTr="00245129">
        <w:tc>
          <w:tcPr>
            <w:tcW w:w="4200" w:type="dxa"/>
            <w:shd w:val="clear" w:color="auto" w:fill="auto"/>
            <w:tcMar>
              <w:left w:w="0" w:type="dxa"/>
              <w:right w:w="0" w:type="dxa"/>
            </w:tcMar>
          </w:tcPr>
          <w:p w:rsidR="00A87207" w:rsidRPr="00C04776" w:rsidRDefault="00A87207" w:rsidP="00BA6468">
            <w:pPr>
              <w:rPr>
                <w:rFonts w:eastAsia="Times New Roman" w:cs="Times New Roman"/>
                <w:b/>
                <w:sz w:val="20"/>
                <w:szCs w:val="20"/>
                <w:lang w:eastAsia="en-CA"/>
              </w:rPr>
            </w:pPr>
            <w:r w:rsidRPr="00C04776">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C04776" w:rsidRDefault="00A87207" w:rsidP="002E2327">
            <w:pPr>
              <w:jc w:val="center"/>
              <w:rPr>
                <w:rFonts w:eastAsia="Times New Roman" w:cs="Times New Roman"/>
                <w:b/>
                <w:sz w:val="20"/>
                <w:szCs w:val="20"/>
                <w:lang w:eastAsia="en-CA"/>
              </w:rPr>
            </w:pPr>
          </w:p>
          <w:p w:rsidR="00A87207" w:rsidRPr="00C04776" w:rsidRDefault="00A87207" w:rsidP="002E2327">
            <w:pPr>
              <w:jc w:val="center"/>
              <w:rPr>
                <w:rFonts w:eastAsia="Times New Roman" w:cs="Times New Roman"/>
                <w:b/>
                <w:sz w:val="20"/>
                <w:szCs w:val="20"/>
                <w:lang w:eastAsia="en-CA"/>
              </w:rPr>
            </w:pPr>
          </w:p>
          <w:p w:rsidR="00A87207" w:rsidRPr="00C04776"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C04776" w:rsidRDefault="00A87207" w:rsidP="00A87207">
            <w:pPr>
              <w:rPr>
                <w:rFonts w:eastAsia="Times New Roman" w:cs="Times New Roman"/>
                <w:b/>
                <w:sz w:val="20"/>
                <w:szCs w:val="20"/>
                <w:lang w:val="fr-CA" w:eastAsia="en-CA"/>
              </w:rPr>
            </w:pPr>
            <w:r w:rsidRPr="00C04776">
              <w:rPr>
                <w:rFonts w:eastAsia="Times New Roman" w:cs="Times New Roman"/>
                <w:b/>
                <w:szCs w:val="20"/>
                <w:lang w:val="fr-CA" w:eastAsia="en-CA"/>
              </w:rPr>
              <w:t>DEMANDES D’AUTORISATION D’APPEL DÉPOSÉES</w:t>
            </w:r>
          </w:p>
        </w:tc>
      </w:tr>
    </w:tbl>
    <w:p w:rsidR="00A87207" w:rsidRPr="00C04776"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1A0CAA" w:rsidRPr="00C04776" w:rsidTr="003B3977">
        <w:tc>
          <w:tcPr>
            <w:tcW w:w="4320" w:type="dxa"/>
            <w:shd w:val="clear" w:color="auto" w:fill="auto"/>
          </w:tcPr>
          <w:p w:rsidR="001A0CAA" w:rsidRPr="00C04776" w:rsidRDefault="001A0CAA" w:rsidP="001A0CAA">
            <w:pPr>
              <w:rPr>
                <w:b/>
                <w:sz w:val="20"/>
                <w:szCs w:val="20"/>
              </w:rPr>
            </w:pPr>
            <w:r w:rsidRPr="00C04776">
              <w:rPr>
                <w:b/>
                <w:sz w:val="20"/>
                <w:szCs w:val="20"/>
              </w:rPr>
              <w:t xml:space="preserve">Gordon </w:t>
            </w:r>
            <w:proofErr w:type="spellStart"/>
            <w:r w:rsidRPr="00C04776">
              <w:rPr>
                <w:b/>
                <w:sz w:val="20"/>
                <w:szCs w:val="20"/>
              </w:rPr>
              <w:t>Aylward</w:t>
            </w:r>
            <w:proofErr w:type="spellEnd"/>
          </w:p>
          <w:p w:rsidR="001A0CAA" w:rsidRPr="00C04776" w:rsidRDefault="001A0CAA" w:rsidP="001A0CAA">
            <w:pPr>
              <w:tabs>
                <w:tab w:val="left" w:pos="-1440"/>
                <w:tab w:val="left" w:pos="-720"/>
              </w:tabs>
              <w:rPr>
                <w:sz w:val="20"/>
                <w:szCs w:val="20"/>
              </w:rPr>
            </w:pPr>
            <w:r w:rsidRPr="00C04776">
              <w:rPr>
                <w:sz w:val="20"/>
                <w:szCs w:val="20"/>
              </w:rPr>
              <w:tab/>
            </w:r>
            <w:proofErr w:type="spellStart"/>
            <w:r w:rsidRPr="00C04776">
              <w:rPr>
                <w:sz w:val="20"/>
                <w:szCs w:val="20"/>
              </w:rPr>
              <w:t>Gordan</w:t>
            </w:r>
            <w:proofErr w:type="spellEnd"/>
            <w:r w:rsidRPr="00C04776">
              <w:rPr>
                <w:sz w:val="20"/>
                <w:szCs w:val="20"/>
              </w:rPr>
              <w:t xml:space="preserve"> </w:t>
            </w:r>
            <w:proofErr w:type="spellStart"/>
            <w:r w:rsidRPr="00C04776">
              <w:rPr>
                <w:sz w:val="20"/>
                <w:szCs w:val="20"/>
              </w:rPr>
              <w:t>Aylward</w:t>
            </w:r>
            <w:proofErr w:type="spellEnd"/>
          </w:p>
          <w:p w:rsidR="001A0CAA" w:rsidRPr="00C04776" w:rsidRDefault="001A0CAA" w:rsidP="001A0CAA">
            <w:pPr>
              <w:tabs>
                <w:tab w:val="left" w:pos="-1440"/>
                <w:tab w:val="left" w:pos="-720"/>
              </w:tabs>
              <w:rPr>
                <w:sz w:val="20"/>
                <w:szCs w:val="20"/>
                <w:lang w:val="en-US"/>
              </w:rPr>
            </w:pPr>
          </w:p>
          <w:p w:rsidR="001A0CAA" w:rsidRPr="00C04776" w:rsidRDefault="001A0CAA" w:rsidP="001A0CAA">
            <w:pPr>
              <w:tabs>
                <w:tab w:val="left" w:pos="-1440"/>
                <w:tab w:val="left" w:pos="-720"/>
              </w:tabs>
              <w:rPr>
                <w:sz w:val="20"/>
                <w:szCs w:val="20"/>
                <w:lang w:val="en-US"/>
              </w:rPr>
            </w:pPr>
            <w:r w:rsidRPr="00C04776">
              <w:rPr>
                <w:sz w:val="20"/>
                <w:szCs w:val="20"/>
                <w:lang w:val="en-US"/>
              </w:rPr>
              <w:tab/>
              <w:t>v. (38228)</w:t>
            </w:r>
          </w:p>
          <w:p w:rsidR="001A0CAA" w:rsidRPr="00C04776" w:rsidRDefault="001A0CAA" w:rsidP="001A0CAA">
            <w:pPr>
              <w:tabs>
                <w:tab w:val="left" w:pos="-1440"/>
                <w:tab w:val="left" w:pos="-720"/>
              </w:tabs>
              <w:rPr>
                <w:sz w:val="20"/>
                <w:szCs w:val="20"/>
                <w:lang w:val="en-US"/>
              </w:rPr>
            </w:pPr>
          </w:p>
          <w:p w:rsidR="001A0CAA" w:rsidRPr="00C04776" w:rsidRDefault="001A0CAA" w:rsidP="001A0CAA">
            <w:pPr>
              <w:tabs>
                <w:tab w:val="left" w:pos="-1440"/>
                <w:tab w:val="left" w:pos="-720"/>
              </w:tabs>
              <w:rPr>
                <w:b/>
                <w:sz w:val="20"/>
                <w:szCs w:val="20"/>
              </w:rPr>
            </w:pPr>
            <w:r w:rsidRPr="00C04776">
              <w:rPr>
                <w:b/>
                <w:sz w:val="20"/>
                <w:szCs w:val="20"/>
                <w:lang w:val="en-US"/>
              </w:rPr>
              <w:t xml:space="preserve">Law Society of Newfoundland and Labrador </w:t>
            </w:r>
            <w:r w:rsidRPr="00C04776">
              <w:rPr>
                <w:b/>
                <w:sz w:val="20"/>
                <w:szCs w:val="20"/>
              </w:rPr>
              <w:t>(N.L.)</w:t>
            </w:r>
          </w:p>
          <w:p w:rsidR="001A0CAA" w:rsidRPr="00C04776" w:rsidRDefault="001A0CAA" w:rsidP="001A0CAA">
            <w:pPr>
              <w:tabs>
                <w:tab w:val="left" w:pos="-1440"/>
                <w:tab w:val="left" w:pos="-720"/>
              </w:tabs>
              <w:rPr>
                <w:sz w:val="20"/>
                <w:szCs w:val="20"/>
              </w:rPr>
            </w:pPr>
            <w:r w:rsidRPr="00C04776">
              <w:rPr>
                <w:sz w:val="20"/>
                <w:szCs w:val="20"/>
              </w:rPr>
              <w:tab/>
              <w:t>Daniel M. Boone</w:t>
            </w:r>
          </w:p>
          <w:p w:rsidR="001A0CAA" w:rsidRPr="00C04776" w:rsidRDefault="001A0CAA" w:rsidP="001A0CAA">
            <w:pPr>
              <w:tabs>
                <w:tab w:val="left" w:pos="-1440"/>
                <w:tab w:val="left" w:pos="-720"/>
              </w:tabs>
              <w:rPr>
                <w:sz w:val="20"/>
                <w:szCs w:val="20"/>
              </w:rPr>
            </w:pPr>
            <w:r w:rsidRPr="00C04776">
              <w:rPr>
                <w:sz w:val="20"/>
                <w:szCs w:val="20"/>
              </w:rPr>
              <w:tab/>
              <w:t xml:space="preserve">Stewart </w:t>
            </w:r>
            <w:proofErr w:type="spellStart"/>
            <w:r w:rsidRPr="00C04776">
              <w:rPr>
                <w:sz w:val="20"/>
                <w:szCs w:val="20"/>
              </w:rPr>
              <w:t>McKelvey</w:t>
            </w:r>
            <w:proofErr w:type="spellEnd"/>
          </w:p>
          <w:p w:rsidR="001A0CAA" w:rsidRPr="00C04776" w:rsidRDefault="001A0CAA" w:rsidP="001A0CAA">
            <w:pPr>
              <w:tabs>
                <w:tab w:val="left" w:pos="-1440"/>
                <w:tab w:val="left" w:pos="-720"/>
              </w:tabs>
              <w:rPr>
                <w:sz w:val="20"/>
                <w:szCs w:val="20"/>
              </w:rPr>
            </w:pPr>
          </w:p>
          <w:p w:rsidR="001A0CAA" w:rsidRPr="00C04776" w:rsidRDefault="001A0CAA" w:rsidP="001A0CAA">
            <w:pPr>
              <w:rPr>
                <w:sz w:val="20"/>
                <w:szCs w:val="20"/>
              </w:rPr>
            </w:pPr>
            <w:r w:rsidRPr="00C04776">
              <w:rPr>
                <w:sz w:val="20"/>
                <w:szCs w:val="20"/>
              </w:rPr>
              <w:t>FILING DATE: 23.07.2018</w:t>
            </w:r>
          </w:p>
          <w:p w:rsidR="001A0CAA" w:rsidRPr="00C04776" w:rsidRDefault="003D7763" w:rsidP="001A0CAA">
            <w:pPr>
              <w:rPr>
                <w:sz w:val="20"/>
                <w:szCs w:val="20"/>
              </w:rPr>
            </w:pPr>
            <w:r>
              <w:rPr>
                <w:sz w:val="20"/>
                <w:szCs w:val="20"/>
                <w:lang w:val="fr-CA"/>
              </w:rPr>
              <w:pict>
                <v:rect id="_x0000_i1025" style="width:108pt;height:1pt" o:hrpct="0" o:hralign="center" o:hrstd="t" o:hrnoshade="t" o:hr="t" fillcolor="black [3213]" stroked="f"/>
              </w:pict>
            </w:r>
          </w:p>
        </w:tc>
        <w:tc>
          <w:tcPr>
            <w:tcW w:w="1181" w:type="dxa"/>
            <w:shd w:val="clear" w:color="auto" w:fill="auto"/>
          </w:tcPr>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p w:rsidR="001A0CAA" w:rsidRPr="00C04776" w:rsidRDefault="001A0CAA" w:rsidP="001A0CAA">
            <w:pPr>
              <w:jc w:val="center"/>
              <w:rPr>
                <w:sz w:val="20"/>
                <w:szCs w:val="20"/>
              </w:rPr>
            </w:pPr>
          </w:p>
        </w:tc>
        <w:tc>
          <w:tcPr>
            <w:tcW w:w="4320" w:type="dxa"/>
            <w:shd w:val="clear" w:color="auto" w:fill="auto"/>
          </w:tcPr>
          <w:p w:rsidR="001A0CAA" w:rsidRPr="00C04776" w:rsidRDefault="001A0CAA" w:rsidP="001A0CAA">
            <w:pPr>
              <w:rPr>
                <w:b/>
                <w:sz w:val="20"/>
                <w:szCs w:val="20"/>
              </w:rPr>
            </w:pPr>
            <w:r w:rsidRPr="00C04776">
              <w:rPr>
                <w:b/>
                <w:sz w:val="20"/>
                <w:szCs w:val="20"/>
              </w:rPr>
              <w:t>Church of Jesus Christ of</w:t>
            </w:r>
            <w:r w:rsidR="00C41AE0" w:rsidRPr="00C04776">
              <w:rPr>
                <w:b/>
                <w:sz w:val="20"/>
                <w:szCs w:val="20"/>
              </w:rPr>
              <w:t xml:space="preserve"> Latter-Day Saints, Servant: Xi</w:t>
            </w:r>
            <w:r w:rsidRPr="00C04776">
              <w:rPr>
                <w:b/>
                <w:sz w:val="20"/>
                <w:szCs w:val="20"/>
              </w:rPr>
              <w:t>u Jian Sun, The Spiritual Adam</w:t>
            </w:r>
          </w:p>
          <w:p w:rsidR="001A0CAA" w:rsidRPr="00C04776" w:rsidRDefault="001A0CAA" w:rsidP="001A0CAA">
            <w:pPr>
              <w:tabs>
                <w:tab w:val="left" w:pos="-1440"/>
                <w:tab w:val="left" w:pos="-720"/>
              </w:tabs>
              <w:rPr>
                <w:sz w:val="20"/>
                <w:szCs w:val="20"/>
              </w:rPr>
            </w:pPr>
            <w:r w:rsidRPr="00C04776">
              <w:rPr>
                <w:sz w:val="20"/>
                <w:szCs w:val="20"/>
              </w:rPr>
              <w:tab/>
            </w:r>
            <w:r w:rsidR="00C41AE0" w:rsidRPr="00C04776">
              <w:rPr>
                <w:sz w:val="20"/>
                <w:szCs w:val="20"/>
              </w:rPr>
              <w:t>Xi</w:t>
            </w:r>
            <w:r w:rsidRPr="00C04776">
              <w:rPr>
                <w:sz w:val="20"/>
                <w:szCs w:val="20"/>
              </w:rPr>
              <w:t>u Jian Sun</w:t>
            </w:r>
          </w:p>
          <w:p w:rsidR="001A0CAA" w:rsidRPr="00C04776" w:rsidRDefault="001A0CAA" w:rsidP="001A0CAA">
            <w:pPr>
              <w:tabs>
                <w:tab w:val="left" w:pos="-1440"/>
                <w:tab w:val="left" w:pos="-720"/>
              </w:tabs>
              <w:rPr>
                <w:sz w:val="20"/>
                <w:szCs w:val="20"/>
                <w:lang w:val="en-US"/>
              </w:rPr>
            </w:pPr>
          </w:p>
          <w:p w:rsidR="001A0CAA" w:rsidRPr="00C04776" w:rsidRDefault="001A0CAA" w:rsidP="001A0CAA">
            <w:pPr>
              <w:tabs>
                <w:tab w:val="left" w:pos="-1440"/>
                <w:tab w:val="left" w:pos="-720"/>
              </w:tabs>
              <w:rPr>
                <w:sz w:val="20"/>
                <w:szCs w:val="20"/>
                <w:lang w:val="en-US"/>
              </w:rPr>
            </w:pPr>
            <w:r w:rsidRPr="00C04776">
              <w:rPr>
                <w:sz w:val="20"/>
                <w:szCs w:val="20"/>
                <w:lang w:val="en-US"/>
              </w:rPr>
              <w:tab/>
              <w:t>v. (38227)</w:t>
            </w:r>
          </w:p>
          <w:p w:rsidR="001A0CAA" w:rsidRPr="00C04776" w:rsidRDefault="001A0CAA" w:rsidP="001A0CAA">
            <w:pPr>
              <w:tabs>
                <w:tab w:val="left" w:pos="-1440"/>
                <w:tab w:val="left" w:pos="-720"/>
              </w:tabs>
              <w:rPr>
                <w:sz w:val="20"/>
                <w:szCs w:val="20"/>
                <w:lang w:val="en-US"/>
              </w:rPr>
            </w:pPr>
          </w:p>
          <w:p w:rsidR="001A0CAA" w:rsidRPr="00C04776" w:rsidRDefault="001A0CAA" w:rsidP="001A0CAA">
            <w:pPr>
              <w:tabs>
                <w:tab w:val="left" w:pos="-1440"/>
                <w:tab w:val="left" w:pos="-720"/>
              </w:tabs>
              <w:rPr>
                <w:b/>
                <w:sz w:val="20"/>
                <w:szCs w:val="20"/>
              </w:rPr>
            </w:pPr>
            <w:r w:rsidRPr="00C04776">
              <w:rPr>
                <w:b/>
                <w:sz w:val="20"/>
                <w:szCs w:val="20"/>
                <w:lang w:val="en-US"/>
              </w:rPr>
              <w:t xml:space="preserve">Xiu Fang Sun (Family) </w:t>
            </w:r>
            <w:r w:rsidRPr="00C04776">
              <w:rPr>
                <w:b/>
                <w:sz w:val="20"/>
                <w:szCs w:val="20"/>
              </w:rPr>
              <w:t>(Alta.)</w:t>
            </w:r>
          </w:p>
          <w:p w:rsidR="001A0CAA" w:rsidRPr="00C04776" w:rsidRDefault="001A0CAA" w:rsidP="001A0CAA">
            <w:pPr>
              <w:tabs>
                <w:tab w:val="left" w:pos="-1440"/>
                <w:tab w:val="left" w:pos="-720"/>
              </w:tabs>
              <w:rPr>
                <w:sz w:val="20"/>
                <w:szCs w:val="20"/>
              </w:rPr>
            </w:pPr>
            <w:r w:rsidRPr="00C04776">
              <w:rPr>
                <w:sz w:val="20"/>
                <w:szCs w:val="20"/>
              </w:rPr>
              <w:tab/>
              <w:t>Xiu Fang Sun</w:t>
            </w:r>
          </w:p>
          <w:p w:rsidR="001A0CAA" w:rsidRPr="00C04776" w:rsidRDefault="001A0CAA" w:rsidP="001A0CAA">
            <w:pPr>
              <w:tabs>
                <w:tab w:val="left" w:pos="-1440"/>
                <w:tab w:val="left" w:pos="-720"/>
              </w:tabs>
              <w:rPr>
                <w:sz w:val="20"/>
                <w:szCs w:val="20"/>
              </w:rPr>
            </w:pPr>
            <w:r w:rsidRPr="00C04776">
              <w:rPr>
                <w:sz w:val="20"/>
                <w:szCs w:val="20"/>
              </w:rPr>
              <w:tab/>
            </w:r>
          </w:p>
          <w:p w:rsidR="001A0CAA" w:rsidRPr="00C04776" w:rsidRDefault="001A0CAA" w:rsidP="001A0CAA">
            <w:pPr>
              <w:rPr>
                <w:sz w:val="20"/>
                <w:szCs w:val="20"/>
              </w:rPr>
            </w:pPr>
            <w:r w:rsidRPr="00C04776">
              <w:rPr>
                <w:sz w:val="20"/>
                <w:szCs w:val="20"/>
              </w:rPr>
              <w:t>FILING DATE: 18.07.2018</w:t>
            </w:r>
          </w:p>
          <w:p w:rsidR="001A0CAA" w:rsidRPr="00C04776" w:rsidRDefault="003D7763" w:rsidP="001A0CAA">
            <w:pPr>
              <w:rPr>
                <w:sz w:val="20"/>
                <w:szCs w:val="20"/>
              </w:rPr>
            </w:pPr>
            <w:r>
              <w:rPr>
                <w:sz w:val="20"/>
                <w:szCs w:val="20"/>
                <w:lang w:val="fr-CA"/>
              </w:rPr>
              <w:pict w14:anchorId="4E7C225A">
                <v:rect id="_x0000_i1026" style="width:108pt;height:1pt" o:hrpct="0" o:hralign="center" o:hrstd="t" o:hrnoshade="t" o:hr="t" fillcolor="black [3213]" stroked="f"/>
              </w:pict>
            </w:r>
          </w:p>
        </w:tc>
      </w:tr>
      <w:tr w:rsidR="00C41AE0" w:rsidRPr="00C04776" w:rsidTr="003B3977">
        <w:tc>
          <w:tcPr>
            <w:tcW w:w="4320" w:type="dxa"/>
            <w:shd w:val="clear" w:color="auto" w:fill="auto"/>
          </w:tcPr>
          <w:p w:rsidR="00C41AE0" w:rsidRPr="00C04776" w:rsidRDefault="00C41AE0" w:rsidP="00C41AE0">
            <w:pPr>
              <w:rPr>
                <w:b/>
                <w:sz w:val="20"/>
                <w:szCs w:val="20"/>
              </w:rPr>
            </w:pPr>
            <w:r w:rsidRPr="00C04776">
              <w:rPr>
                <w:b/>
                <w:sz w:val="20"/>
                <w:szCs w:val="20"/>
              </w:rPr>
              <w:t>Lombadisha Olenga</w:t>
            </w:r>
          </w:p>
          <w:p w:rsidR="00C41AE0" w:rsidRPr="00C04776" w:rsidRDefault="00C41AE0" w:rsidP="00C41AE0">
            <w:pPr>
              <w:tabs>
                <w:tab w:val="left" w:pos="-1440"/>
                <w:tab w:val="left" w:pos="-720"/>
              </w:tabs>
              <w:rPr>
                <w:sz w:val="20"/>
                <w:szCs w:val="20"/>
              </w:rPr>
            </w:pPr>
            <w:r w:rsidRPr="00C04776">
              <w:rPr>
                <w:sz w:val="20"/>
                <w:szCs w:val="20"/>
              </w:rPr>
              <w:tab/>
              <w:t>Lombadisha Olenga</w:t>
            </w:r>
          </w:p>
          <w:p w:rsidR="00C41AE0" w:rsidRPr="00C04776" w:rsidRDefault="00C41AE0" w:rsidP="00C41AE0">
            <w:pPr>
              <w:tabs>
                <w:tab w:val="left" w:pos="-1440"/>
                <w:tab w:val="left" w:pos="-720"/>
              </w:tabs>
              <w:rPr>
                <w:sz w:val="20"/>
                <w:szCs w:val="20"/>
                <w:lang w:val="en-US"/>
              </w:rPr>
            </w:pPr>
          </w:p>
          <w:p w:rsidR="00C41AE0" w:rsidRPr="00C04776" w:rsidRDefault="00C41AE0" w:rsidP="00C41AE0">
            <w:pPr>
              <w:tabs>
                <w:tab w:val="left" w:pos="-1440"/>
                <w:tab w:val="left" w:pos="-720"/>
              </w:tabs>
              <w:rPr>
                <w:sz w:val="20"/>
                <w:szCs w:val="20"/>
                <w:lang w:val="en-US"/>
              </w:rPr>
            </w:pPr>
            <w:r w:rsidRPr="00C04776">
              <w:rPr>
                <w:sz w:val="20"/>
                <w:szCs w:val="20"/>
                <w:lang w:val="en-US"/>
              </w:rPr>
              <w:tab/>
              <w:t>v. (38231)</w:t>
            </w:r>
          </w:p>
          <w:p w:rsidR="00C41AE0" w:rsidRPr="00C04776" w:rsidRDefault="00C41AE0" w:rsidP="00C41AE0">
            <w:pPr>
              <w:tabs>
                <w:tab w:val="left" w:pos="-1440"/>
                <w:tab w:val="left" w:pos="-720"/>
              </w:tabs>
              <w:rPr>
                <w:sz w:val="20"/>
                <w:szCs w:val="20"/>
                <w:lang w:val="en-US"/>
              </w:rPr>
            </w:pPr>
          </w:p>
          <w:p w:rsidR="00C41AE0" w:rsidRPr="00C04776" w:rsidRDefault="00C41AE0" w:rsidP="00C41AE0">
            <w:pPr>
              <w:tabs>
                <w:tab w:val="left" w:pos="-1440"/>
                <w:tab w:val="left" w:pos="-720"/>
              </w:tabs>
              <w:rPr>
                <w:b/>
                <w:sz w:val="20"/>
                <w:szCs w:val="20"/>
              </w:rPr>
            </w:pPr>
            <w:r w:rsidRPr="00C04776">
              <w:rPr>
                <w:b/>
                <w:sz w:val="20"/>
                <w:szCs w:val="20"/>
                <w:lang w:val="en-US"/>
              </w:rPr>
              <w:t xml:space="preserve">Mainstreet Equity Corp. </w:t>
            </w:r>
            <w:r w:rsidRPr="00C04776">
              <w:rPr>
                <w:b/>
                <w:sz w:val="20"/>
                <w:szCs w:val="20"/>
              </w:rPr>
              <w:t>(B.C.)</w:t>
            </w:r>
          </w:p>
          <w:p w:rsidR="00C41AE0" w:rsidRPr="00C04776" w:rsidRDefault="00C41AE0" w:rsidP="00C41AE0">
            <w:pPr>
              <w:tabs>
                <w:tab w:val="left" w:pos="-1440"/>
                <w:tab w:val="left" w:pos="-720"/>
              </w:tabs>
              <w:rPr>
                <w:sz w:val="20"/>
                <w:szCs w:val="20"/>
              </w:rPr>
            </w:pPr>
            <w:r w:rsidRPr="00C04776">
              <w:rPr>
                <w:sz w:val="20"/>
                <w:szCs w:val="20"/>
              </w:rPr>
              <w:tab/>
              <w:t>David Moonje</w:t>
            </w:r>
          </w:p>
          <w:p w:rsidR="00C41AE0" w:rsidRPr="00C04776" w:rsidRDefault="00C41AE0" w:rsidP="00C41AE0">
            <w:pPr>
              <w:tabs>
                <w:tab w:val="left" w:pos="-1440"/>
                <w:tab w:val="left" w:pos="-720"/>
              </w:tabs>
              <w:rPr>
                <w:sz w:val="20"/>
                <w:szCs w:val="20"/>
              </w:rPr>
            </w:pPr>
          </w:p>
          <w:p w:rsidR="00C41AE0" w:rsidRPr="00C04776" w:rsidRDefault="00C41AE0" w:rsidP="00C41AE0">
            <w:pPr>
              <w:rPr>
                <w:sz w:val="20"/>
                <w:szCs w:val="20"/>
              </w:rPr>
            </w:pPr>
            <w:r w:rsidRPr="00C04776">
              <w:rPr>
                <w:sz w:val="20"/>
                <w:szCs w:val="20"/>
              </w:rPr>
              <w:t>FILING DATE: 03.08.2018</w:t>
            </w:r>
          </w:p>
          <w:p w:rsidR="00C41AE0" w:rsidRPr="00C04776" w:rsidRDefault="003D7763" w:rsidP="00C41AE0">
            <w:pPr>
              <w:rPr>
                <w:sz w:val="20"/>
                <w:szCs w:val="20"/>
                <w:lang w:val="fr-CA"/>
              </w:rPr>
            </w:pPr>
            <w:r>
              <w:rPr>
                <w:sz w:val="20"/>
                <w:szCs w:val="20"/>
                <w:lang w:val="fr-CA"/>
              </w:rPr>
              <w:pict w14:anchorId="2A9AFBF8">
                <v:rect id="_x0000_i1027" style="width:108pt;height:1pt" o:hrpct="0" o:hralign="center" o:hrstd="t" o:hrnoshade="t" o:hr="t" fillcolor="black [3213]" stroked="f"/>
              </w:pict>
            </w:r>
          </w:p>
          <w:p w:rsidR="00C41AE0" w:rsidRPr="00C04776" w:rsidRDefault="00C41AE0" w:rsidP="00C41AE0">
            <w:pPr>
              <w:rPr>
                <w:sz w:val="20"/>
                <w:szCs w:val="20"/>
              </w:rPr>
            </w:pPr>
          </w:p>
        </w:tc>
        <w:tc>
          <w:tcPr>
            <w:tcW w:w="1181" w:type="dxa"/>
            <w:shd w:val="clear" w:color="auto" w:fill="auto"/>
          </w:tcPr>
          <w:p w:rsidR="00C41AE0" w:rsidRPr="00C04776" w:rsidRDefault="00C41AE0" w:rsidP="00C41AE0">
            <w:pPr>
              <w:jc w:val="center"/>
              <w:rPr>
                <w:sz w:val="20"/>
                <w:szCs w:val="20"/>
              </w:rPr>
            </w:pPr>
          </w:p>
        </w:tc>
        <w:tc>
          <w:tcPr>
            <w:tcW w:w="4320" w:type="dxa"/>
            <w:shd w:val="clear" w:color="auto" w:fill="auto"/>
          </w:tcPr>
          <w:p w:rsidR="00C41AE0" w:rsidRPr="00C04776" w:rsidRDefault="00C41AE0" w:rsidP="00C41AE0">
            <w:pPr>
              <w:rPr>
                <w:b/>
                <w:sz w:val="20"/>
                <w:szCs w:val="20"/>
                <w:lang w:val="fr-CA"/>
              </w:rPr>
            </w:pPr>
            <w:r w:rsidRPr="00C04776">
              <w:rPr>
                <w:b/>
                <w:sz w:val="20"/>
                <w:szCs w:val="20"/>
                <w:lang w:val="fr-CA"/>
              </w:rPr>
              <w:t>Charles Girard, représentant du groupe</w:t>
            </w:r>
          </w:p>
          <w:p w:rsidR="00C41AE0" w:rsidRPr="00C04776" w:rsidRDefault="00C41AE0" w:rsidP="00C41AE0">
            <w:pPr>
              <w:tabs>
                <w:tab w:val="left" w:pos="-1440"/>
                <w:tab w:val="left" w:pos="-720"/>
              </w:tabs>
              <w:rPr>
                <w:sz w:val="20"/>
                <w:szCs w:val="20"/>
                <w:lang w:val="fr-CA"/>
              </w:rPr>
            </w:pPr>
            <w:r w:rsidRPr="00C04776">
              <w:rPr>
                <w:sz w:val="20"/>
                <w:szCs w:val="20"/>
                <w:lang w:val="fr-CA"/>
              </w:rPr>
              <w:tab/>
              <w:t>David Bourgoin</w:t>
            </w:r>
          </w:p>
          <w:p w:rsidR="00C41AE0" w:rsidRPr="00C04776" w:rsidRDefault="00C41AE0" w:rsidP="00C41AE0">
            <w:pPr>
              <w:tabs>
                <w:tab w:val="left" w:pos="-1440"/>
                <w:tab w:val="left" w:pos="-720"/>
              </w:tabs>
              <w:ind w:left="720"/>
              <w:rPr>
                <w:sz w:val="20"/>
                <w:szCs w:val="20"/>
                <w:lang w:val="fr-CA"/>
              </w:rPr>
            </w:pPr>
            <w:r w:rsidRPr="00C04776">
              <w:rPr>
                <w:sz w:val="20"/>
                <w:szCs w:val="20"/>
                <w:lang w:val="fr-CA"/>
              </w:rPr>
              <w:t>BGA inc.</w:t>
            </w:r>
          </w:p>
          <w:p w:rsidR="00C41AE0" w:rsidRPr="00C04776" w:rsidRDefault="00C41AE0" w:rsidP="00C41AE0">
            <w:pPr>
              <w:tabs>
                <w:tab w:val="left" w:pos="-1440"/>
                <w:tab w:val="left" w:pos="-720"/>
              </w:tabs>
              <w:rPr>
                <w:sz w:val="20"/>
                <w:szCs w:val="20"/>
                <w:lang w:val="fr-CA"/>
              </w:rPr>
            </w:pPr>
          </w:p>
          <w:p w:rsidR="00C41AE0" w:rsidRPr="00C04776" w:rsidRDefault="00C41AE0" w:rsidP="00C41AE0">
            <w:pPr>
              <w:tabs>
                <w:tab w:val="left" w:pos="-1440"/>
                <w:tab w:val="left" w:pos="-720"/>
              </w:tabs>
              <w:rPr>
                <w:sz w:val="20"/>
                <w:szCs w:val="20"/>
                <w:lang w:val="fr-CA"/>
              </w:rPr>
            </w:pPr>
            <w:r w:rsidRPr="00C04776">
              <w:rPr>
                <w:sz w:val="20"/>
                <w:szCs w:val="20"/>
                <w:lang w:val="fr-CA"/>
              </w:rPr>
              <w:tab/>
              <w:t>c. (38225)</w:t>
            </w:r>
          </w:p>
          <w:p w:rsidR="00C41AE0" w:rsidRPr="00C04776" w:rsidRDefault="00C41AE0" w:rsidP="00C41AE0">
            <w:pPr>
              <w:tabs>
                <w:tab w:val="left" w:pos="-1440"/>
                <w:tab w:val="left" w:pos="-720"/>
              </w:tabs>
              <w:rPr>
                <w:sz w:val="20"/>
                <w:szCs w:val="20"/>
                <w:lang w:val="fr-CA"/>
              </w:rPr>
            </w:pPr>
          </w:p>
          <w:p w:rsidR="00C41AE0" w:rsidRPr="00C04776" w:rsidRDefault="00C41AE0" w:rsidP="00C41AE0">
            <w:pPr>
              <w:tabs>
                <w:tab w:val="left" w:pos="-1440"/>
                <w:tab w:val="left" w:pos="-720"/>
              </w:tabs>
              <w:rPr>
                <w:b/>
                <w:sz w:val="20"/>
                <w:szCs w:val="20"/>
                <w:lang w:val="fr-CA"/>
              </w:rPr>
            </w:pPr>
            <w:r w:rsidRPr="00C04776">
              <w:rPr>
                <w:b/>
                <w:sz w:val="20"/>
                <w:szCs w:val="20"/>
                <w:lang w:val="fr-CA"/>
              </w:rPr>
              <w:t>Vidéotron S.E.N.C. (Qc)</w:t>
            </w:r>
          </w:p>
          <w:p w:rsidR="00C41AE0" w:rsidRPr="00C04776" w:rsidRDefault="00C41AE0" w:rsidP="00C41AE0">
            <w:pPr>
              <w:tabs>
                <w:tab w:val="left" w:pos="-1440"/>
                <w:tab w:val="left" w:pos="-720"/>
              </w:tabs>
              <w:rPr>
                <w:sz w:val="20"/>
                <w:szCs w:val="20"/>
                <w:lang w:val="fr-CA"/>
              </w:rPr>
            </w:pPr>
            <w:r w:rsidRPr="00C04776">
              <w:rPr>
                <w:sz w:val="20"/>
                <w:szCs w:val="20"/>
                <w:lang w:val="fr-CA"/>
              </w:rPr>
              <w:tab/>
              <w:t>Sébastien Richemont</w:t>
            </w:r>
          </w:p>
          <w:p w:rsidR="00C41AE0" w:rsidRPr="00C04776" w:rsidRDefault="00C41AE0" w:rsidP="00C41AE0">
            <w:pPr>
              <w:tabs>
                <w:tab w:val="left" w:pos="-1440"/>
                <w:tab w:val="left" w:pos="-720"/>
              </w:tabs>
              <w:rPr>
                <w:sz w:val="20"/>
                <w:szCs w:val="20"/>
                <w:lang w:val="fr-CA"/>
              </w:rPr>
            </w:pPr>
            <w:r w:rsidRPr="00C04776">
              <w:rPr>
                <w:sz w:val="20"/>
                <w:szCs w:val="20"/>
                <w:lang w:val="fr-CA"/>
              </w:rPr>
              <w:tab/>
              <w:t>Woods S.E.N.C.R.L.</w:t>
            </w:r>
          </w:p>
          <w:p w:rsidR="00C41AE0" w:rsidRPr="00C04776" w:rsidRDefault="00C41AE0" w:rsidP="00C41AE0">
            <w:pPr>
              <w:tabs>
                <w:tab w:val="left" w:pos="-1440"/>
                <w:tab w:val="left" w:pos="-720"/>
              </w:tabs>
              <w:rPr>
                <w:sz w:val="20"/>
                <w:szCs w:val="20"/>
                <w:lang w:val="fr-CA"/>
              </w:rPr>
            </w:pPr>
          </w:p>
          <w:p w:rsidR="00C41AE0" w:rsidRPr="00C04776" w:rsidRDefault="00C41AE0" w:rsidP="00C41AE0">
            <w:pPr>
              <w:rPr>
                <w:sz w:val="20"/>
                <w:szCs w:val="20"/>
                <w:lang w:val="fr-CA"/>
              </w:rPr>
            </w:pPr>
            <w:r w:rsidRPr="00C04776">
              <w:rPr>
                <w:sz w:val="20"/>
                <w:szCs w:val="20"/>
                <w:lang w:val="fr-CA"/>
              </w:rPr>
              <w:t>DATE DE PRODUCTION: 09.08.2018</w:t>
            </w:r>
          </w:p>
          <w:p w:rsidR="00C41AE0" w:rsidRPr="00C04776" w:rsidRDefault="003D7763" w:rsidP="00C41AE0">
            <w:pPr>
              <w:rPr>
                <w:sz w:val="20"/>
                <w:szCs w:val="20"/>
                <w:lang w:val="fr-CA"/>
              </w:rPr>
            </w:pPr>
            <w:r>
              <w:rPr>
                <w:sz w:val="20"/>
                <w:szCs w:val="20"/>
                <w:lang w:val="fr-CA"/>
              </w:rPr>
              <w:pict w14:anchorId="3FA515C3">
                <v:rect id="_x0000_i1028" style="width:108pt;height:1pt" o:hrpct="0" o:hralign="center" o:hrstd="t" o:hrnoshade="t" o:hr="t" fillcolor="black [3213]" stroked="f"/>
              </w:pict>
            </w:r>
          </w:p>
          <w:p w:rsidR="00C41AE0" w:rsidRPr="00C04776" w:rsidRDefault="00C41AE0" w:rsidP="00C41AE0">
            <w:pPr>
              <w:rPr>
                <w:sz w:val="20"/>
                <w:szCs w:val="20"/>
              </w:rPr>
            </w:pPr>
          </w:p>
        </w:tc>
      </w:tr>
      <w:tr w:rsidR="00100478" w:rsidRPr="00C04776" w:rsidTr="003B3977">
        <w:tc>
          <w:tcPr>
            <w:tcW w:w="4320" w:type="dxa"/>
            <w:shd w:val="clear" w:color="auto" w:fill="auto"/>
          </w:tcPr>
          <w:p w:rsidR="00100478" w:rsidRPr="00C04776" w:rsidRDefault="00100478" w:rsidP="00100478">
            <w:pPr>
              <w:rPr>
                <w:b/>
                <w:sz w:val="20"/>
                <w:szCs w:val="20"/>
              </w:rPr>
            </w:pPr>
            <w:r w:rsidRPr="00C04776">
              <w:rPr>
                <w:b/>
                <w:sz w:val="20"/>
                <w:szCs w:val="20"/>
              </w:rPr>
              <w:t>The Catalyst Capital Group Inc.</w:t>
            </w:r>
          </w:p>
          <w:p w:rsidR="00100478" w:rsidRPr="00C04776" w:rsidRDefault="00100478" w:rsidP="00100478">
            <w:pPr>
              <w:tabs>
                <w:tab w:val="left" w:pos="-1440"/>
                <w:tab w:val="left" w:pos="-720"/>
              </w:tabs>
              <w:rPr>
                <w:sz w:val="20"/>
                <w:szCs w:val="20"/>
              </w:rPr>
            </w:pPr>
            <w:r w:rsidRPr="00C04776">
              <w:rPr>
                <w:sz w:val="20"/>
                <w:szCs w:val="20"/>
              </w:rPr>
              <w:tab/>
              <w:t>David C. Moore</w:t>
            </w:r>
          </w:p>
          <w:p w:rsidR="00100478" w:rsidRPr="00C04776" w:rsidRDefault="00100478" w:rsidP="00100478">
            <w:pPr>
              <w:tabs>
                <w:tab w:val="left" w:pos="-1440"/>
                <w:tab w:val="left" w:pos="-720"/>
              </w:tabs>
              <w:ind w:left="720"/>
              <w:rPr>
                <w:sz w:val="20"/>
                <w:szCs w:val="20"/>
              </w:rPr>
            </w:pPr>
            <w:r w:rsidRPr="00C04776">
              <w:rPr>
                <w:sz w:val="20"/>
                <w:szCs w:val="20"/>
              </w:rPr>
              <w:t>Moore Barristers</w:t>
            </w:r>
          </w:p>
          <w:p w:rsidR="00100478" w:rsidRPr="00C04776" w:rsidRDefault="00100478" w:rsidP="00100478">
            <w:pPr>
              <w:tabs>
                <w:tab w:val="left" w:pos="-1440"/>
                <w:tab w:val="left" w:pos="-720"/>
              </w:tabs>
              <w:rPr>
                <w:sz w:val="20"/>
                <w:szCs w:val="20"/>
                <w:lang w:val="en-US"/>
              </w:rPr>
            </w:pPr>
          </w:p>
          <w:p w:rsidR="00100478" w:rsidRPr="00C04776" w:rsidRDefault="00100478" w:rsidP="00100478">
            <w:pPr>
              <w:tabs>
                <w:tab w:val="left" w:pos="-1440"/>
                <w:tab w:val="left" w:pos="-720"/>
              </w:tabs>
              <w:rPr>
                <w:sz w:val="20"/>
                <w:szCs w:val="20"/>
                <w:lang w:val="en-US"/>
              </w:rPr>
            </w:pPr>
            <w:r w:rsidRPr="00C04776">
              <w:rPr>
                <w:sz w:val="20"/>
                <w:szCs w:val="20"/>
                <w:lang w:val="en-US"/>
              </w:rPr>
              <w:tab/>
              <w:t>v. (38232)</w:t>
            </w:r>
          </w:p>
          <w:p w:rsidR="00100478" w:rsidRPr="00C04776" w:rsidRDefault="00100478" w:rsidP="00100478">
            <w:pPr>
              <w:tabs>
                <w:tab w:val="left" w:pos="-1440"/>
                <w:tab w:val="left" w:pos="-720"/>
              </w:tabs>
              <w:rPr>
                <w:sz w:val="20"/>
                <w:szCs w:val="20"/>
                <w:lang w:val="en-US"/>
              </w:rPr>
            </w:pPr>
          </w:p>
          <w:p w:rsidR="00100478" w:rsidRPr="00C04776" w:rsidRDefault="00100478" w:rsidP="00100478">
            <w:pPr>
              <w:tabs>
                <w:tab w:val="left" w:pos="-1440"/>
                <w:tab w:val="left" w:pos="-720"/>
              </w:tabs>
              <w:rPr>
                <w:b/>
                <w:sz w:val="20"/>
                <w:szCs w:val="20"/>
                <w:lang w:val="fr-CA"/>
              </w:rPr>
            </w:pPr>
            <w:r w:rsidRPr="00C04776">
              <w:rPr>
                <w:b/>
                <w:sz w:val="20"/>
                <w:szCs w:val="20"/>
                <w:lang w:val="fr-CA"/>
              </w:rPr>
              <w:t>Brandon Moyse et al. (Ont.)</w:t>
            </w:r>
          </w:p>
          <w:p w:rsidR="00100478" w:rsidRPr="00C04776" w:rsidRDefault="00100478" w:rsidP="00100478">
            <w:pPr>
              <w:tabs>
                <w:tab w:val="left" w:pos="-1440"/>
                <w:tab w:val="left" w:pos="-720"/>
              </w:tabs>
              <w:rPr>
                <w:sz w:val="20"/>
                <w:szCs w:val="20"/>
              </w:rPr>
            </w:pPr>
            <w:r w:rsidRPr="00C04776">
              <w:rPr>
                <w:sz w:val="20"/>
                <w:szCs w:val="20"/>
                <w:lang w:val="fr-CA"/>
              </w:rPr>
              <w:tab/>
            </w:r>
            <w:r w:rsidRPr="00C04776">
              <w:rPr>
                <w:sz w:val="20"/>
                <w:szCs w:val="20"/>
              </w:rPr>
              <w:t>Robert A. Centa</w:t>
            </w:r>
          </w:p>
          <w:p w:rsidR="00100478" w:rsidRPr="00C04776" w:rsidRDefault="00100478" w:rsidP="00100478">
            <w:pPr>
              <w:tabs>
                <w:tab w:val="left" w:pos="-1440"/>
                <w:tab w:val="left" w:pos="-720"/>
              </w:tabs>
              <w:ind w:left="720"/>
              <w:rPr>
                <w:sz w:val="20"/>
                <w:szCs w:val="20"/>
              </w:rPr>
            </w:pPr>
            <w:r w:rsidRPr="00C04776">
              <w:rPr>
                <w:sz w:val="20"/>
                <w:szCs w:val="20"/>
              </w:rPr>
              <w:t>Paliare, Roland, Rosenberg, Rothstein LLP</w:t>
            </w:r>
          </w:p>
          <w:p w:rsidR="00100478" w:rsidRPr="00C04776" w:rsidRDefault="00100478" w:rsidP="00100478">
            <w:pPr>
              <w:tabs>
                <w:tab w:val="left" w:pos="-1440"/>
                <w:tab w:val="left" w:pos="-720"/>
              </w:tabs>
              <w:rPr>
                <w:sz w:val="20"/>
                <w:szCs w:val="20"/>
              </w:rPr>
            </w:pPr>
          </w:p>
          <w:p w:rsidR="00100478" w:rsidRPr="00C04776" w:rsidRDefault="00100478" w:rsidP="00100478">
            <w:pPr>
              <w:rPr>
                <w:sz w:val="20"/>
                <w:szCs w:val="20"/>
              </w:rPr>
            </w:pPr>
            <w:r w:rsidRPr="00C04776">
              <w:rPr>
                <w:sz w:val="20"/>
                <w:szCs w:val="20"/>
              </w:rPr>
              <w:t>FILING DATE: 08.08.2018</w:t>
            </w:r>
          </w:p>
          <w:p w:rsidR="00100478" w:rsidRPr="00C04776" w:rsidRDefault="003D7763" w:rsidP="00100478">
            <w:pPr>
              <w:rPr>
                <w:sz w:val="20"/>
                <w:szCs w:val="20"/>
                <w:lang w:val="fr-CA"/>
              </w:rPr>
            </w:pPr>
            <w:r>
              <w:rPr>
                <w:sz w:val="20"/>
                <w:szCs w:val="20"/>
                <w:lang w:val="fr-CA"/>
              </w:rPr>
              <w:pict w14:anchorId="40D92436">
                <v:rect id="_x0000_i1029" style="width:108pt;height:1pt" o:hrpct="0" o:hralign="center" o:hrstd="t" o:hrnoshade="t" o:hr="t" fillcolor="black [3213]" stroked="f"/>
              </w:pict>
            </w:r>
          </w:p>
          <w:p w:rsidR="00100478" w:rsidRPr="00C04776" w:rsidRDefault="00100478" w:rsidP="00100478">
            <w:pPr>
              <w:rPr>
                <w:sz w:val="20"/>
                <w:szCs w:val="20"/>
              </w:rPr>
            </w:pPr>
          </w:p>
        </w:tc>
        <w:tc>
          <w:tcPr>
            <w:tcW w:w="1181" w:type="dxa"/>
            <w:shd w:val="clear" w:color="auto" w:fill="auto"/>
          </w:tcPr>
          <w:p w:rsidR="00100478" w:rsidRPr="00C04776" w:rsidRDefault="00100478" w:rsidP="00100478">
            <w:pPr>
              <w:jc w:val="center"/>
              <w:rPr>
                <w:sz w:val="20"/>
                <w:szCs w:val="20"/>
              </w:rPr>
            </w:pPr>
          </w:p>
        </w:tc>
        <w:tc>
          <w:tcPr>
            <w:tcW w:w="4320" w:type="dxa"/>
            <w:shd w:val="clear" w:color="auto" w:fill="auto"/>
          </w:tcPr>
          <w:p w:rsidR="00100478" w:rsidRPr="00C04776" w:rsidRDefault="00100478" w:rsidP="00100478">
            <w:pPr>
              <w:rPr>
                <w:b/>
                <w:sz w:val="20"/>
                <w:szCs w:val="20"/>
                <w:lang w:val="fr-CA"/>
              </w:rPr>
            </w:pPr>
            <w:r w:rsidRPr="00C04776">
              <w:rPr>
                <w:b/>
                <w:sz w:val="20"/>
                <w:szCs w:val="20"/>
                <w:lang w:val="fr-CA"/>
              </w:rPr>
              <w:t>Procureur g</w:t>
            </w:r>
            <w:r w:rsidR="000B2172" w:rsidRPr="00C04776">
              <w:rPr>
                <w:b/>
                <w:sz w:val="20"/>
                <w:szCs w:val="20"/>
                <w:lang w:val="fr-CA"/>
              </w:rPr>
              <w:t>é</w:t>
            </w:r>
            <w:r w:rsidRPr="00C04776">
              <w:rPr>
                <w:b/>
                <w:sz w:val="20"/>
                <w:szCs w:val="20"/>
                <w:lang w:val="fr-CA"/>
              </w:rPr>
              <w:t>n</w:t>
            </w:r>
            <w:r w:rsidR="000B2172" w:rsidRPr="00C04776">
              <w:rPr>
                <w:b/>
                <w:sz w:val="20"/>
                <w:szCs w:val="20"/>
                <w:lang w:val="fr-CA"/>
              </w:rPr>
              <w:t>é</w:t>
            </w:r>
            <w:r w:rsidRPr="00C04776">
              <w:rPr>
                <w:b/>
                <w:sz w:val="20"/>
                <w:szCs w:val="20"/>
                <w:lang w:val="fr-CA"/>
              </w:rPr>
              <w:t>ral du Canada</w:t>
            </w:r>
          </w:p>
          <w:p w:rsidR="00100478" w:rsidRPr="00C04776" w:rsidRDefault="00100478" w:rsidP="00100478">
            <w:pPr>
              <w:tabs>
                <w:tab w:val="left" w:pos="-1440"/>
                <w:tab w:val="left" w:pos="-720"/>
              </w:tabs>
              <w:rPr>
                <w:sz w:val="20"/>
                <w:szCs w:val="20"/>
                <w:lang w:val="fr-CA"/>
              </w:rPr>
            </w:pPr>
            <w:r w:rsidRPr="00C04776">
              <w:rPr>
                <w:sz w:val="20"/>
                <w:szCs w:val="20"/>
                <w:lang w:val="fr-CA"/>
              </w:rPr>
              <w:tab/>
              <w:t>Ian Demers</w:t>
            </w:r>
          </w:p>
          <w:p w:rsidR="00100478" w:rsidRPr="00C04776" w:rsidRDefault="00100478" w:rsidP="00100478">
            <w:pPr>
              <w:tabs>
                <w:tab w:val="left" w:pos="-1440"/>
                <w:tab w:val="left" w:pos="-720"/>
              </w:tabs>
              <w:ind w:left="720"/>
              <w:rPr>
                <w:sz w:val="20"/>
                <w:szCs w:val="20"/>
                <w:lang w:val="fr-CA"/>
              </w:rPr>
            </w:pPr>
            <w:r w:rsidRPr="00C04776">
              <w:rPr>
                <w:sz w:val="20"/>
                <w:szCs w:val="20"/>
                <w:lang w:val="fr-CA"/>
              </w:rPr>
              <w:t>P.G. du Canada</w:t>
            </w:r>
          </w:p>
          <w:p w:rsidR="00100478" w:rsidRPr="00C04776" w:rsidRDefault="00100478" w:rsidP="00100478">
            <w:pPr>
              <w:tabs>
                <w:tab w:val="left" w:pos="-1440"/>
                <w:tab w:val="left" w:pos="-720"/>
              </w:tabs>
              <w:rPr>
                <w:sz w:val="20"/>
                <w:szCs w:val="20"/>
                <w:lang w:val="fr-CA"/>
              </w:rPr>
            </w:pPr>
          </w:p>
          <w:p w:rsidR="00100478" w:rsidRPr="00C04776" w:rsidRDefault="00100478" w:rsidP="00100478">
            <w:pPr>
              <w:tabs>
                <w:tab w:val="left" w:pos="-1440"/>
                <w:tab w:val="left" w:pos="-720"/>
              </w:tabs>
              <w:rPr>
                <w:sz w:val="20"/>
                <w:szCs w:val="20"/>
                <w:lang w:val="fr-CA"/>
              </w:rPr>
            </w:pPr>
            <w:r w:rsidRPr="00C04776">
              <w:rPr>
                <w:sz w:val="20"/>
                <w:szCs w:val="20"/>
                <w:lang w:val="fr-CA"/>
              </w:rPr>
              <w:tab/>
              <w:t>c. (38226)</w:t>
            </w:r>
          </w:p>
          <w:p w:rsidR="00100478" w:rsidRPr="00C04776" w:rsidRDefault="00100478" w:rsidP="00100478">
            <w:pPr>
              <w:tabs>
                <w:tab w:val="left" w:pos="-1440"/>
                <w:tab w:val="left" w:pos="-720"/>
              </w:tabs>
              <w:rPr>
                <w:sz w:val="20"/>
                <w:szCs w:val="20"/>
                <w:lang w:val="fr-CA"/>
              </w:rPr>
            </w:pPr>
          </w:p>
          <w:p w:rsidR="00100478" w:rsidRPr="00C04776" w:rsidRDefault="00100478" w:rsidP="00100478">
            <w:pPr>
              <w:tabs>
                <w:tab w:val="left" w:pos="-1440"/>
                <w:tab w:val="left" w:pos="-720"/>
              </w:tabs>
              <w:rPr>
                <w:b/>
                <w:sz w:val="20"/>
                <w:szCs w:val="20"/>
                <w:lang w:val="fr-CA"/>
              </w:rPr>
            </w:pPr>
            <w:r w:rsidRPr="00C04776">
              <w:rPr>
                <w:b/>
                <w:sz w:val="20"/>
                <w:szCs w:val="20"/>
                <w:lang w:val="fr-CA"/>
              </w:rPr>
              <w:t>Sa Majesté la Reine et autre (</w:t>
            </w:r>
            <w:r w:rsidR="00EF4745" w:rsidRPr="00C04776">
              <w:rPr>
                <w:b/>
                <w:sz w:val="20"/>
                <w:szCs w:val="20"/>
                <w:lang w:val="fr-CA"/>
              </w:rPr>
              <w:t>Qc</w:t>
            </w:r>
            <w:r w:rsidRPr="00C04776">
              <w:rPr>
                <w:b/>
                <w:sz w:val="20"/>
                <w:szCs w:val="20"/>
                <w:lang w:val="fr-CA"/>
              </w:rPr>
              <w:t>)</w:t>
            </w:r>
          </w:p>
          <w:p w:rsidR="00100478" w:rsidRPr="00C04776" w:rsidRDefault="00100478" w:rsidP="00100478">
            <w:pPr>
              <w:tabs>
                <w:tab w:val="left" w:pos="-1440"/>
                <w:tab w:val="left" w:pos="-720"/>
              </w:tabs>
              <w:rPr>
                <w:sz w:val="20"/>
                <w:szCs w:val="20"/>
                <w:lang w:val="fr-CA"/>
              </w:rPr>
            </w:pPr>
            <w:r w:rsidRPr="00C04776">
              <w:rPr>
                <w:sz w:val="20"/>
                <w:szCs w:val="20"/>
                <w:lang w:val="fr-CA"/>
              </w:rPr>
              <w:tab/>
              <w:t>Juan Manzano</w:t>
            </w:r>
          </w:p>
          <w:p w:rsidR="00100478" w:rsidRPr="00C04776" w:rsidRDefault="00100478" w:rsidP="00100478">
            <w:pPr>
              <w:tabs>
                <w:tab w:val="left" w:pos="-1440"/>
                <w:tab w:val="left" w:pos="-720"/>
              </w:tabs>
              <w:ind w:left="720"/>
              <w:rPr>
                <w:sz w:val="20"/>
                <w:szCs w:val="20"/>
                <w:lang w:val="fr-CA"/>
              </w:rPr>
            </w:pPr>
            <w:r w:rsidRPr="00C04776">
              <w:rPr>
                <w:sz w:val="20"/>
                <w:szCs w:val="20"/>
                <w:lang w:val="fr-CA"/>
              </w:rPr>
              <w:t>Directeur des poursuites criminelles et pénales du Québec</w:t>
            </w:r>
          </w:p>
          <w:p w:rsidR="00100478" w:rsidRPr="00C04776" w:rsidRDefault="00100478" w:rsidP="00100478">
            <w:pPr>
              <w:tabs>
                <w:tab w:val="left" w:pos="-1440"/>
                <w:tab w:val="left" w:pos="-720"/>
              </w:tabs>
              <w:rPr>
                <w:sz w:val="20"/>
                <w:szCs w:val="20"/>
                <w:lang w:val="fr-CA"/>
              </w:rPr>
            </w:pPr>
          </w:p>
          <w:p w:rsidR="00100478" w:rsidRPr="00C04776" w:rsidRDefault="00EF4745" w:rsidP="00100478">
            <w:pPr>
              <w:rPr>
                <w:sz w:val="20"/>
                <w:szCs w:val="20"/>
              </w:rPr>
            </w:pPr>
            <w:r w:rsidRPr="00C04776">
              <w:rPr>
                <w:sz w:val="20"/>
                <w:szCs w:val="20"/>
              </w:rPr>
              <w:t>DATE DE PRODUCTION</w:t>
            </w:r>
            <w:r w:rsidR="00100478" w:rsidRPr="00C04776">
              <w:rPr>
                <w:sz w:val="20"/>
                <w:szCs w:val="20"/>
              </w:rPr>
              <w:t>: 09.08.2018</w:t>
            </w:r>
          </w:p>
          <w:p w:rsidR="00100478" w:rsidRPr="00C04776" w:rsidRDefault="003D7763" w:rsidP="00100478">
            <w:pPr>
              <w:rPr>
                <w:sz w:val="20"/>
                <w:szCs w:val="20"/>
              </w:rPr>
            </w:pPr>
            <w:r>
              <w:rPr>
                <w:sz w:val="20"/>
                <w:szCs w:val="20"/>
                <w:lang w:val="fr-CA"/>
              </w:rPr>
              <w:pict w14:anchorId="12D97310">
                <v:rect id="_x0000_i1030" style="width:108pt;height:1pt" o:hrpct="0" o:hralign="center" o:hrstd="t" o:hrnoshade="t" o:hr="t" fillcolor="black [3213]" stroked="f"/>
              </w:pict>
            </w:r>
          </w:p>
        </w:tc>
      </w:tr>
      <w:tr w:rsidR="00EF4745" w:rsidRPr="00C04776" w:rsidTr="003B3977">
        <w:tc>
          <w:tcPr>
            <w:tcW w:w="4320" w:type="dxa"/>
            <w:shd w:val="clear" w:color="auto" w:fill="auto"/>
          </w:tcPr>
          <w:p w:rsidR="00EF4745" w:rsidRPr="00C04776" w:rsidRDefault="00EF4745" w:rsidP="00EF4745">
            <w:pPr>
              <w:rPr>
                <w:b/>
                <w:sz w:val="20"/>
                <w:szCs w:val="20"/>
              </w:rPr>
            </w:pPr>
            <w:r w:rsidRPr="00C04776">
              <w:rPr>
                <w:b/>
                <w:sz w:val="20"/>
                <w:szCs w:val="20"/>
              </w:rPr>
              <w:t>Ricardo De Barros</w:t>
            </w:r>
          </w:p>
          <w:p w:rsidR="00EF4745" w:rsidRPr="00C04776" w:rsidRDefault="00EF4745" w:rsidP="00EF4745">
            <w:pPr>
              <w:tabs>
                <w:tab w:val="left" w:pos="-1440"/>
                <w:tab w:val="left" w:pos="-720"/>
              </w:tabs>
              <w:rPr>
                <w:sz w:val="20"/>
                <w:szCs w:val="20"/>
              </w:rPr>
            </w:pPr>
            <w:r w:rsidRPr="00C04776">
              <w:rPr>
                <w:sz w:val="20"/>
                <w:szCs w:val="20"/>
              </w:rPr>
              <w:tab/>
              <w:t xml:space="preserve">Lionel Rossdeutscher </w:t>
            </w:r>
          </w:p>
          <w:p w:rsidR="00EF4745" w:rsidRPr="00C04776" w:rsidRDefault="00EF4745" w:rsidP="00EF4745">
            <w:pPr>
              <w:tabs>
                <w:tab w:val="left" w:pos="-1440"/>
                <w:tab w:val="left" w:pos="-720"/>
              </w:tabs>
              <w:rPr>
                <w:sz w:val="20"/>
                <w:szCs w:val="20"/>
                <w:lang w:val="en-US"/>
              </w:rPr>
            </w:pPr>
          </w:p>
          <w:p w:rsidR="00EF4745" w:rsidRPr="00C04776" w:rsidRDefault="00EF4745" w:rsidP="00EF4745">
            <w:pPr>
              <w:tabs>
                <w:tab w:val="left" w:pos="-1440"/>
                <w:tab w:val="left" w:pos="-720"/>
              </w:tabs>
              <w:rPr>
                <w:sz w:val="20"/>
                <w:szCs w:val="20"/>
                <w:lang w:val="en-US"/>
              </w:rPr>
            </w:pPr>
            <w:r w:rsidRPr="00C04776">
              <w:rPr>
                <w:sz w:val="20"/>
                <w:szCs w:val="20"/>
                <w:lang w:val="en-US"/>
              </w:rPr>
              <w:tab/>
              <w:t>v. (38230)</w:t>
            </w:r>
          </w:p>
          <w:p w:rsidR="00EF4745" w:rsidRPr="00C04776" w:rsidRDefault="00EF4745" w:rsidP="00EF4745">
            <w:pPr>
              <w:tabs>
                <w:tab w:val="left" w:pos="-1440"/>
                <w:tab w:val="left" w:pos="-720"/>
              </w:tabs>
              <w:rPr>
                <w:sz w:val="20"/>
                <w:szCs w:val="20"/>
                <w:lang w:val="en-US"/>
              </w:rPr>
            </w:pPr>
          </w:p>
          <w:p w:rsidR="00EF4745" w:rsidRPr="00C04776" w:rsidRDefault="00EF4745" w:rsidP="00EF4745">
            <w:pPr>
              <w:tabs>
                <w:tab w:val="left" w:pos="-1440"/>
                <w:tab w:val="left" w:pos="-720"/>
              </w:tabs>
              <w:rPr>
                <w:b/>
                <w:sz w:val="20"/>
                <w:szCs w:val="20"/>
              </w:rPr>
            </w:pPr>
            <w:r w:rsidRPr="00C04776">
              <w:rPr>
                <w:b/>
                <w:sz w:val="20"/>
                <w:szCs w:val="20"/>
                <w:lang w:val="en-US"/>
              </w:rPr>
              <w:t>M</w:t>
            </w:r>
            <w:r w:rsidRPr="00C04776">
              <w:rPr>
                <w:b/>
                <w:sz w:val="20"/>
                <w:szCs w:val="20"/>
                <w:vertAlign w:val="superscript"/>
                <w:lang w:val="en-US"/>
              </w:rPr>
              <w:t>e</w:t>
            </w:r>
            <w:r w:rsidRPr="00C04776">
              <w:rPr>
                <w:b/>
                <w:sz w:val="20"/>
                <w:szCs w:val="20"/>
                <w:lang w:val="en-US"/>
              </w:rPr>
              <w:t xml:space="preserve"> Annick Normandin, Notary, es qualite, Syndic Adjoint of the Board of Notaries of Quebec et al. </w:t>
            </w:r>
            <w:r w:rsidRPr="00C04776">
              <w:rPr>
                <w:b/>
                <w:sz w:val="20"/>
                <w:szCs w:val="20"/>
              </w:rPr>
              <w:t>(Que.)</w:t>
            </w:r>
          </w:p>
          <w:p w:rsidR="00EF4745" w:rsidRPr="00C04776" w:rsidRDefault="00EF4745" w:rsidP="00EF4745">
            <w:pPr>
              <w:tabs>
                <w:tab w:val="left" w:pos="-1440"/>
                <w:tab w:val="left" w:pos="-720"/>
              </w:tabs>
              <w:rPr>
                <w:sz w:val="20"/>
                <w:szCs w:val="20"/>
              </w:rPr>
            </w:pPr>
            <w:r w:rsidRPr="00C04776">
              <w:rPr>
                <w:sz w:val="20"/>
                <w:szCs w:val="20"/>
              </w:rPr>
              <w:tab/>
              <w:t>Marie-Claude Sarrazin</w:t>
            </w:r>
          </w:p>
          <w:p w:rsidR="00EF4745" w:rsidRPr="00C04776" w:rsidRDefault="00EF4745" w:rsidP="00EF4745">
            <w:pPr>
              <w:tabs>
                <w:tab w:val="left" w:pos="-1440"/>
                <w:tab w:val="left" w:pos="-720"/>
              </w:tabs>
              <w:rPr>
                <w:sz w:val="20"/>
                <w:szCs w:val="20"/>
              </w:rPr>
            </w:pPr>
            <w:r w:rsidRPr="00C04776">
              <w:rPr>
                <w:sz w:val="20"/>
                <w:szCs w:val="20"/>
              </w:rPr>
              <w:tab/>
              <w:t>Sarrazin Plourde</w:t>
            </w:r>
          </w:p>
          <w:p w:rsidR="00EF4745" w:rsidRPr="00C04776" w:rsidRDefault="00EF4745" w:rsidP="00EF4745">
            <w:pPr>
              <w:tabs>
                <w:tab w:val="left" w:pos="-1440"/>
                <w:tab w:val="left" w:pos="-720"/>
              </w:tabs>
              <w:rPr>
                <w:sz w:val="20"/>
                <w:szCs w:val="20"/>
              </w:rPr>
            </w:pPr>
          </w:p>
          <w:p w:rsidR="00EF4745" w:rsidRPr="00C04776" w:rsidRDefault="00EF4745" w:rsidP="00EF4745">
            <w:pPr>
              <w:rPr>
                <w:sz w:val="20"/>
                <w:szCs w:val="20"/>
              </w:rPr>
            </w:pPr>
            <w:r w:rsidRPr="00C04776">
              <w:rPr>
                <w:sz w:val="20"/>
                <w:szCs w:val="20"/>
              </w:rPr>
              <w:t>FILING DATE: 10.08.2018</w:t>
            </w:r>
          </w:p>
          <w:p w:rsidR="00EF4745" w:rsidRPr="00C04776" w:rsidRDefault="003D7763" w:rsidP="00EF4745">
            <w:pPr>
              <w:rPr>
                <w:sz w:val="20"/>
                <w:szCs w:val="20"/>
              </w:rPr>
            </w:pPr>
            <w:r>
              <w:rPr>
                <w:sz w:val="20"/>
                <w:szCs w:val="20"/>
                <w:lang w:val="fr-CA"/>
              </w:rPr>
              <w:pict w14:anchorId="72109A1E">
                <v:rect id="_x0000_i1031" style="width:108pt;height:1pt" o:hrpct="0" o:hralign="center" o:hrstd="t" o:hrnoshade="t" o:hr="t" fillcolor="black [3213]" stroked="f"/>
              </w:pict>
            </w:r>
          </w:p>
        </w:tc>
        <w:tc>
          <w:tcPr>
            <w:tcW w:w="1181" w:type="dxa"/>
            <w:shd w:val="clear" w:color="auto" w:fill="auto"/>
          </w:tcPr>
          <w:p w:rsidR="00EF4745" w:rsidRPr="00C04776" w:rsidRDefault="00EF4745" w:rsidP="00EF4745">
            <w:pPr>
              <w:jc w:val="center"/>
              <w:rPr>
                <w:sz w:val="20"/>
                <w:szCs w:val="20"/>
              </w:rPr>
            </w:pPr>
          </w:p>
        </w:tc>
        <w:tc>
          <w:tcPr>
            <w:tcW w:w="4320" w:type="dxa"/>
            <w:shd w:val="clear" w:color="auto" w:fill="auto"/>
          </w:tcPr>
          <w:p w:rsidR="00EF4745" w:rsidRPr="00C04776" w:rsidRDefault="00EF4745" w:rsidP="00EF4745">
            <w:pPr>
              <w:rPr>
                <w:b/>
                <w:sz w:val="20"/>
                <w:szCs w:val="20"/>
              </w:rPr>
            </w:pPr>
            <w:r w:rsidRPr="00C04776">
              <w:rPr>
                <w:b/>
                <w:sz w:val="20"/>
                <w:szCs w:val="20"/>
              </w:rPr>
              <w:t>Facebook, Inc.</w:t>
            </w:r>
          </w:p>
          <w:p w:rsidR="00EF4745" w:rsidRPr="00C04776" w:rsidRDefault="00EF4745" w:rsidP="00EF4745">
            <w:pPr>
              <w:tabs>
                <w:tab w:val="left" w:pos="-1440"/>
                <w:tab w:val="left" w:pos="-720"/>
              </w:tabs>
              <w:rPr>
                <w:sz w:val="20"/>
                <w:szCs w:val="20"/>
              </w:rPr>
            </w:pPr>
            <w:r w:rsidRPr="00C04776">
              <w:rPr>
                <w:sz w:val="20"/>
                <w:szCs w:val="20"/>
              </w:rPr>
              <w:tab/>
              <w:t>Tristram J. Mallett</w:t>
            </w:r>
          </w:p>
          <w:p w:rsidR="00EF4745" w:rsidRPr="00C04776" w:rsidRDefault="00EF4745" w:rsidP="00EF4745">
            <w:pPr>
              <w:tabs>
                <w:tab w:val="left" w:pos="-1440"/>
                <w:tab w:val="left" w:pos="-720"/>
              </w:tabs>
              <w:ind w:left="720"/>
              <w:rPr>
                <w:sz w:val="20"/>
                <w:szCs w:val="20"/>
              </w:rPr>
            </w:pPr>
            <w:r w:rsidRPr="00C04776">
              <w:rPr>
                <w:sz w:val="20"/>
                <w:szCs w:val="20"/>
              </w:rPr>
              <w:t>Osler, Hoskin &amp; Harcourt LLP</w:t>
            </w:r>
          </w:p>
          <w:p w:rsidR="00EF4745" w:rsidRPr="00C04776" w:rsidRDefault="00EF4745" w:rsidP="00EF4745">
            <w:pPr>
              <w:tabs>
                <w:tab w:val="left" w:pos="-1440"/>
                <w:tab w:val="left" w:pos="-720"/>
              </w:tabs>
              <w:rPr>
                <w:sz w:val="20"/>
                <w:szCs w:val="20"/>
              </w:rPr>
            </w:pPr>
          </w:p>
          <w:p w:rsidR="00EF4745" w:rsidRPr="00C04776" w:rsidRDefault="00EF4745" w:rsidP="00EF4745">
            <w:pPr>
              <w:tabs>
                <w:tab w:val="left" w:pos="-1440"/>
                <w:tab w:val="left" w:pos="-720"/>
              </w:tabs>
              <w:rPr>
                <w:sz w:val="20"/>
                <w:szCs w:val="20"/>
                <w:lang w:val="fr-CA"/>
              </w:rPr>
            </w:pPr>
            <w:r w:rsidRPr="00C04776">
              <w:rPr>
                <w:sz w:val="20"/>
                <w:szCs w:val="20"/>
                <w:lang w:val="en-US"/>
              </w:rPr>
              <w:tab/>
            </w:r>
            <w:r w:rsidRPr="00C04776">
              <w:rPr>
                <w:sz w:val="20"/>
                <w:szCs w:val="20"/>
                <w:lang w:val="fr-CA"/>
              </w:rPr>
              <w:t>v. (38233)</w:t>
            </w:r>
          </w:p>
          <w:p w:rsidR="00EF4745" w:rsidRPr="00C04776" w:rsidRDefault="00EF4745" w:rsidP="00EF4745">
            <w:pPr>
              <w:tabs>
                <w:tab w:val="left" w:pos="-1440"/>
                <w:tab w:val="left" w:pos="-720"/>
              </w:tabs>
              <w:rPr>
                <w:sz w:val="20"/>
                <w:szCs w:val="20"/>
                <w:lang w:val="fr-CA"/>
              </w:rPr>
            </w:pPr>
          </w:p>
          <w:p w:rsidR="00EF4745" w:rsidRPr="00C04776" w:rsidRDefault="00EF4745" w:rsidP="00EF4745">
            <w:pPr>
              <w:tabs>
                <w:tab w:val="left" w:pos="-1440"/>
                <w:tab w:val="left" w:pos="-720"/>
              </w:tabs>
              <w:rPr>
                <w:b/>
                <w:sz w:val="20"/>
                <w:szCs w:val="20"/>
                <w:lang w:val="fr-CA"/>
              </w:rPr>
            </w:pPr>
            <w:r w:rsidRPr="00C04776">
              <w:rPr>
                <w:b/>
                <w:sz w:val="20"/>
                <w:szCs w:val="20"/>
                <w:lang w:val="fr-CA"/>
              </w:rPr>
              <w:t>Deborah Louise Douez (B.C.)</w:t>
            </w:r>
          </w:p>
          <w:p w:rsidR="00EF4745" w:rsidRPr="00C04776" w:rsidRDefault="00EF4745" w:rsidP="00EF4745">
            <w:pPr>
              <w:tabs>
                <w:tab w:val="left" w:pos="-1440"/>
                <w:tab w:val="left" w:pos="-720"/>
              </w:tabs>
              <w:rPr>
                <w:sz w:val="20"/>
                <w:szCs w:val="20"/>
              </w:rPr>
            </w:pPr>
            <w:r w:rsidRPr="00C04776">
              <w:rPr>
                <w:sz w:val="20"/>
                <w:szCs w:val="20"/>
                <w:lang w:val="fr-CA"/>
              </w:rPr>
              <w:tab/>
            </w:r>
            <w:r w:rsidRPr="00C04776">
              <w:rPr>
                <w:sz w:val="20"/>
                <w:szCs w:val="20"/>
              </w:rPr>
              <w:t>Christopher A. Rhone</w:t>
            </w:r>
          </w:p>
          <w:p w:rsidR="00EF4745" w:rsidRPr="00C04776" w:rsidRDefault="00EF4745" w:rsidP="00EF4745">
            <w:pPr>
              <w:tabs>
                <w:tab w:val="left" w:pos="-1440"/>
                <w:tab w:val="left" w:pos="-720"/>
              </w:tabs>
              <w:rPr>
                <w:sz w:val="20"/>
                <w:szCs w:val="20"/>
              </w:rPr>
            </w:pPr>
            <w:r w:rsidRPr="00C04776">
              <w:rPr>
                <w:sz w:val="20"/>
                <w:szCs w:val="20"/>
              </w:rPr>
              <w:tab/>
              <w:t>Branch, MacMaster</w:t>
            </w:r>
          </w:p>
          <w:p w:rsidR="00EF4745" w:rsidRPr="00C04776" w:rsidRDefault="00EF4745" w:rsidP="00EF4745">
            <w:pPr>
              <w:tabs>
                <w:tab w:val="left" w:pos="-1440"/>
                <w:tab w:val="left" w:pos="-720"/>
              </w:tabs>
              <w:rPr>
                <w:sz w:val="20"/>
                <w:szCs w:val="20"/>
              </w:rPr>
            </w:pPr>
          </w:p>
          <w:p w:rsidR="00EF4745" w:rsidRPr="00C04776" w:rsidRDefault="00EF4745" w:rsidP="00EF4745">
            <w:pPr>
              <w:rPr>
                <w:sz w:val="20"/>
                <w:szCs w:val="20"/>
              </w:rPr>
            </w:pPr>
            <w:r w:rsidRPr="00C04776">
              <w:rPr>
                <w:sz w:val="20"/>
                <w:szCs w:val="20"/>
              </w:rPr>
              <w:t>FILING DATE: 09.08.2018</w:t>
            </w:r>
          </w:p>
          <w:p w:rsidR="00EF4745" w:rsidRPr="00C04776" w:rsidRDefault="003D7763" w:rsidP="00EF4745">
            <w:pPr>
              <w:rPr>
                <w:sz w:val="20"/>
                <w:szCs w:val="20"/>
              </w:rPr>
            </w:pPr>
            <w:r>
              <w:rPr>
                <w:sz w:val="20"/>
                <w:szCs w:val="20"/>
                <w:lang w:val="fr-CA"/>
              </w:rPr>
              <w:pict w14:anchorId="62D21EF0">
                <v:rect id="_x0000_i1032" style="width:108pt;height:1pt" o:hrpct="0" o:hralign="center" o:hrstd="t" o:hrnoshade="t" o:hr="t" fillcolor="black [3213]" stroked="f"/>
              </w:pict>
            </w:r>
          </w:p>
        </w:tc>
      </w:tr>
      <w:tr w:rsidR="003D7F1C" w:rsidRPr="00C04776" w:rsidTr="003B3977">
        <w:tc>
          <w:tcPr>
            <w:tcW w:w="4320" w:type="dxa"/>
            <w:shd w:val="clear" w:color="auto" w:fill="auto"/>
          </w:tcPr>
          <w:p w:rsidR="003D7F1C" w:rsidRPr="00C04776" w:rsidRDefault="003D7F1C" w:rsidP="003D7F1C">
            <w:pPr>
              <w:rPr>
                <w:b/>
                <w:sz w:val="20"/>
                <w:szCs w:val="20"/>
              </w:rPr>
            </w:pPr>
            <w:r w:rsidRPr="00C04776">
              <w:rPr>
                <w:b/>
                <w:sz w:val="20"/>
                <w:szCs w:val="20"/>
              </w:rPr>
              <w:t>William Hamilton Crook</w:t>
            </w:r>
          </w:p>
          <w:p w:rsidR="003D7F1C" w:rsidRPr="00C04776" w:rsidRDefault="003D7F1C" w:rsidP="003D7F1C">
            <w:pPr>
              <w:tabs>
                <w:tab w:val="left" w:pos="-1440"/>
                <w:tab w:val="left" w:pos="-720"/>
              </w:tabs>
              <w:rPr>
                <w:sz w:val="20"/>
                <w:szCs w:val="20"/>
              </w:rPr>
            </w:pPr>
            <w:r w:rsidRPr="00C04776">
              <w:rPr>
                <w:sz w:val="20"/>
                <w:szCs w:val="20"/>
              </w:rPr>
              <w:tab/>
              <w:t>William Hamilton Crook</w:t>
            </w:r>
          </w:p>
          <w:p w:rsidR="003D7F1C" w:rsidRPr="00C04776" w:rsidRDefault="003D7F1C" w:rsidP="003D7F1C">
            <w:pPr>
              <w:tabs>
                <w:tab w:val="left" w:pos="-1440"/>
                <w:tab w:val="left" w:pos="-720"/>
              </w:tabs>
              <w:rPr>
                <w:sz w:val="20"/>
                <w:szCs w:val="20"/>
                <w:lang w:val="en-US"/>
              </w:rPr>
            </w:pPr>
          </w:p>
          <w:p w:rsidR="003D7F1C" w:rsidRPr="00C04776" w:rsidRDefault="003D7F1C" w:rsidP="003D7F1C">
            <w:pPr>
              <w:tabs>
                <w:tab w:val="left" w:pos="-1440"/>
                <w:tab w:val="left" w:pos="-720"/>
              </w:tabs>
              <w:rPr>
                <w:sz w:val="20"/>
                <w:szCs w:val="20"/>
                <w:lang w:val="en-US"/>
              </w:rPr>
            </w:pPr>
            <w:r w:rsidRPr="00C04776">
              <w:rPr>
                <w:sz w:val="20"/>
                <w:szCs w:val="20"/>
                <w:lang w:val="en-US"/>
              </w:rPr>
              <w:tab/>
              <w:t>v. (38234)</w:t>
            </w:r>
          </w:p>
          <w:p w:rsidR="003D7F1C" w:rsidRPr="00C04776" w:rsidRDefault="003D7F1C" w:rsidP="003D7F1C">
            <w:pPr>
              <w:tabs>
                <w:tab w:val="left" w:pos="-1440"/>
                <w:tab w:val="left" w:pos="-720"/>
              </w:tabs>
              <w:rPr>
                <w:sz w:val="20"/>
                <w:szCs w:val="20"/>
                <w:lang w:val="en-US"/>
              </w:rPr>
            </w:pPr>
          </w:p>
          <w:p w:rsidR="003D7F1C" w:rsidRPr="00C04776" w:rsidRDefault="003D7F1C" w:rsidP="003D7F1C">
            <w:pPr>
              <w:tabs>
                <w:tab w:val="left" w:pos="-1440"/>
                <w:tab w:val="left" w:pos="-720"/>
              </w:tabs>
              <w:rPr>
                <w:b/>
                <w:sz w:val="20"/>
                <w:szCs w:val="20"/>
              </w:rPr>
            </w:pPr>
            <w:r w:rsidRPr="00C04776">
              <w:rPr>
                <w:b/>
                <w:sz w:val="20"/>
                <w:szCs w:val="20"/>
                <w:lang w:val="en-US"/>
              </w:rPr>
              <w:t xml:space="preserve">Her Majesty the Queen </w:t>
            </w:r>
            <w:r w:rsidRPr="00C04776">
              <w:rPr>
                <w:b/>
                <w:sz w:val="20"/>
                <w:szCs w:val="20"/>
              </w:rPr>
              <w:t>(F.C.)</w:t>
            </w:r>
          </w:p>
          <w:p w:rsidR="003D7F1C" w:rsidRPr="00C04776" w:rsidRDefault="003D7F1C" w:rsidP="003D7F1C">
            <w:pPr>
              <w:tabs>
                <w:tab w:val="left" w:pos="-1440"/>
                <w:tab w:val="left" w:pos="-720"/>
              </w:tabs>
              <w:rPr>
                <w:sz w:val="20"/>
                <w:szCs w:val="20"/>
              </w:rPr>
            </w:pPr>
            <w:r w:rsidRPr="00C04776">
              <w:rPr>
                <w:sz w:val="20"/>
                <w:szCs w:val="20"/>
              </w:rPr>
              <w:tab/>
              <w:t>Heather Thompson</w:t>
            </w:r>
          </w:p>
          <w:p w:rsidR="003D7F1C" w:rsidRPr="00C04776" w:rsidRDefault="003D7F1C" w:rsidP="003D7F1C">
            <w:pPr>
              <w:tabs>
                <w:tab w:val="left" w:pos="-1440"/>
                <w:tab w:val="left" w:pos="-720"/>
              </w:tabs>
              <w:rPr>
                <w:sz w:val="20"/>
                <w:szCs w:val="20"/>
              </w:rPr>
            </w:pPr>
            <w:r w:rsidRPr="00C04776">
              <w:rPr>
                <w:sz w:val="20"/>
                <w:szCs w:val="20"/>
              </w:rPr>
              <w:tab/>
              <w:t>Department of Justice Canada</w:t>
            </w:r>
          </w:p>
          <w:p w:rsidR="003D7F1C" w:rsidRPr="00C04776" w:rsidRDefault="003D7F1C" w:rsidP="003D7F1C">
            <w:pPr>
              <w:tabs>
                <w:tab w:val="left" w:pos="-1440"/>
                <w:tab w:val="left" w:pos="-720"/>
              </w:tabs>
              <w:rPr>
                <w:sz w:val="20"/>
                <w:szCs w:val="20"/>
              </w:rPr>
            </w:pPr>
          </w:p>
          <w:p w:rsidR="003D7F1C" w:rsidRPr="00C04776" w:rsidRDefault="003D7F1C" w:rsidP="003D7F1C">
            <w:pPr>
              <w:rPr>
                <w:sz w:val="20"/>
                <w:szCs w:val="20"/>
              </w:rPr>
            </w:pPr>
            <w:r w:rsidRPr="00C04776">
              <w:rPr>
                <w:sz w:val="20"/>
                <w:szCs w:val="20"/>
              </w:rPr>
              <w:t>FILING DATE: 24.0</w:t>
            </w:r>
            <w:r w:rsidR="00F4016B" w:rsidRPr="00C04776">
              <w:rPr>
                <w:sz w:val="20"/>
                <w:szCs w:val="20"/>
              </w:rPr>
              <w:t>4</w:t>
            </w:r>
            <w:r w:rsidRPr="00C04776">
              <w:rPr>
                <w:sz w:val="20"/>
                <w:szCs w:val="20"/>
              </w:rPr>
              <w:t>.2018</w:t>
            </w:r>
          </w:p>
          <w:p w:rsidR="003D7F1C" w:rsidRPr="00C04776" w:rsidRDefault="003D7763" w:rsidP="003D7F1C">
            <w:pPr>
              <w:rPr>
                <w:sz w:val="20"/>
                <w:szCs w:val="20"/>
              </w:rPr>
            </w:pPr>
            <w:r>
              <w:rPr>
                <w:sz w:val="20"/>
                <w:szCs w:val="20"/>
                <w:lang w:val="fr-CA"/>
              </w:rPr>
              <w:pict w14:anchorId="5C57DCF2">
                <v:rect id="_x0000_i1033" style="width:108pt;height:1pt" o:hrpct="0" o:hralign="center" o:hrstd="t" o:hrnoshade="t" o:hr="t" fillcolor="black [3213]" stroked="f"/>
              </w:pict>
            </w:r>
          </w:p>
        </w:tc>
        <w:tc>
          <w:tcPr>
            <w:tcW w:w="1181" w:type="dxa"/>
            <w:shd w:val="clear" w:color="auto" w:fill="auto"/>
          </w:tcPr>
          <w:p w:rsidR="003D7F1C" w:rsidRPr="00C04776" w:rsidRDefault="003D7F1C" w:rsidP="003D7F1C">
            <w:pPr>
              <w:jc w:val="center"/>
              <w:rPr>
                <w:sz w:val="20"/>
                <w:szCs w:val="20"/>
              </w:rPr>
            </w:pPr>
          </w:p>
        </w:tc>
        <w:tc>
          <w:tcPr>
            <w:tcW w:w="4320" w:type="dxa"/>
            <w:shd w:val="clear" w:color="auto" w:fill="auto"/>
          </w:tcPr>
          <w:p w:rsidR="003D7F1C" w:rsidRPr="00C04776" w:rsidRDefault="003D7F1C" w:rsidP="003D7F1C">
            <w:pPr>
              <w:rPr>
                <w:b/>
                <w:sz w:val="20"/>
                <w:szCs w:val="20"/>
                <w:lang w:val="fr-CA"/>
              </w:rPr>
            </w:pPr>
            <w:r w:rsidRPr="00C04776">
              <w:rPr>
                <w:b/>
                <w:sz w:val="20"/>
                <w:szCs w:val="20"/>
                <w:lang w:val="fr-CA"/>
              </w:rPr>
              <w:t>Flaura Danielle Mills</w:t>
            </w:r>
          </w:p>
          <w:p w:rsidR="003D7F1C" w:rsidRPr="00C04776" w:rsidRDefault="003D7F1C" w:rsidP="003D7F1C">
            <w:pPr>
              <w:tabs>
                <w:tab w:val="left" w:pos="-1440"/>
                <w:tab w:val="left" w:pos="-720"/>
              </w:tabs>
              <w:rPr>
                <w:sz w:val="20"/>
                <w:szCs w:val="20"/>
                <w:lang w:val="fr-CA"/>
              </w:rPr>
            </w:pPr>
            <w:r w:rsidRPr="00C04776">
              <w:rPr>
                <w:sz w:val="20"/>
                <w:szCs w:val="20"/>
                <w:lang w:val="fr-CA"/>
              </w:rPr>
              <w:tab/>
              <w:t>Flaura Fanielle Mills</w:t>
            </w:r>
          </w:p>
          <w:p w:rsidR="003D7F1C" w:rsidRPr="00C04776" w:rsidRDefault="003D7F1C" w:rsidP="003D7F1C">
            <w:pPr>
              <w:tabs>
                <w:tab w:val="left" w:pos="-1440"/>
                <w:tab w:val="left" w:pos="-720"/>
              </w:tabs>
              <w:rPr>
                <w:sz w:val="20"/>
                <w:szCs w:val="20"/>
                <w:lang w:val="fr-CA"/>
              </w:rPr>
            </w:pPr>
          </w:p>
          <w:p w:rsidR="003D7F1C" w:rsidRPr="00C04776" w:rsidRDefault="003D7F1C" w:rsidP="003D7F1C">
            <w:pPr>
              <w:tabs>
                <w:tab w:val="left" w:pos="-1440"/>
                <w:tab w:val="left" w:pos="-720"/>
              </w:tabs>
              <w:rPr>
                <w:sz w:val="20"/>
                <w:szCs w:val="20"/>
                <w:lang w:val="en-US"/>
              </w:rPr>
            </w:pPr>
            <w:r w:rsidRPr="00C04776">
              <w:rPr>
                <w:sz w:val="20"/>
                <w:szCs w:val="20"/>
                <w:lang w:val="fr-CA"/>
              </w:rPr>
              <w:tab/>
            </w:r>
            <w:r w:rsidRPr="00C04776">
              <w:rPr>
                <w:sz w:val="20"/>
                <w:szCs w:val="20"/>
                <w:lang w:val="en-US"/>
              </w:rPr>
              <w:t>v. (38235)</w:t>
            </w:r>
          </w:p>
          <w:p w:rsidR="003D7F1C" w:rsidRPr="00C04776" w:rsidRDefault="003D7F1C" w:rsidP="003D7F1C">
            <w:pPr>
              <w:tabs>
                <w:tab w:val="left" w:pos="-1440"/>
                <w:tab w:val="left" w:pos="-720"/>
              </w:tabs>
              <w:rPr>
                <w:sz w:val="20"/>
                <w:szCs w:val="20"/>
                <w:lang w:val="en-US"/>
              </w:rPr>
            </w:pPr>
          </w:p>
          <w:p w:rsidR="003D7F1C" w:rsidRPr="00C04776" w:rsidRDefault="003D7F1C" w:rsidP="003D7F1C">
            <w:pPr>
              <w:tabs>
                <w:tab w:val="left" w:pos="-1440"/>
                <w:tab w:val="left" w:pos="-720"/>
              </w:tabs>
              <w:rPr>
                <w:b/>
                <w:sz w:val="20"/>
                <w:szCs w:val="20"/>
              </w:rPr>
            </w:pPr>
            <w:r w:rsidRPr="00C04776">
              <w:rPr>
                <w:b/>
                <w:sz w:val="20"/>
                <w:szCs w:val="20"/>
                <w:lang w:val="en-US"/>
              </w:rPr>
              <w:t>Edward George Mills (Alta.)</w:t>
            </w:r>
          </w:p>
          <w:p w:rsidR="003D7F1C" w:rsidRPr="00C04776" w:rsidRDefault="003D7F1C" w:rsidP="003D7F1C">
            <w:pPr>
              <w:tabs>
                <w:tab w:val="left" w:pos="-1440"/>
                <w:tab w:val="left" w:pos="-720"/>
              </w:tabs>
              <w:rPr>
                <w:sz w:val="20"/>
                <w:szCs w:val="20"/>
              </w:rPr>
            </w:pPr>
            <w:r w:rsidRPr="00C04776">
              <w:rPr>
                <w:sz w:val="20"/>
                <w:szCs w:val="20"/>
              </w:rPr>
              <w:tab/>
              <w:t>Lauren Turnquist</w:t>
            </w:r>
          </w:p>
          <w:p w:rsidR="003D7F1C" w:rsidRPr="00C04776" w:rsidRDefault="003D7F1C" w:rsidP="003D7F1C">
            <w:pPr>
              <w:tabs>
                <w:tab w:val="left" w:pos="-1440"/>
                <w:tab w:val="left" w:pos="-720"/>
              </w:tabs>
              <w:rPr>
                <w:sz w:val="20"/>
                <w:szCs w:val="20"/>
              </w:rPr>
            </w:pPr>
            <w:r w:rsidRPr="00C04776">
              <w:rPr>
                <w:sz w:val="20"/>
                <w:szCs w:val="20"/>
              </w:rPr>
              <w:tab/>
              <w:t>Miles Davison LLP</w:t>
            </w:r>
          </w:p>
          <w:p w:rsidR="003D7F1C" w:rsidRPr="00C04776" w:rsidRDefault="003D7F1C" w:rsidP="003D7F1C">
            <w:pPr>
              <w:tabs>
                <w:tab w:val="left" w:pos="-1440"/>
                <w:tab w:val="left" w:pos="-720"/>
              </w:tabs>
              <w:rPr>
                <w:sz w:val="20"/>
                <w:szCs w:val="20"/>
              </w:rPr>
            </w:pPr>
          </w:p>
          <w:p w:rsidR="003D7F1C" w:rsidRPr="00C04776" w:rsidRDefault="003D7F1C" w:rsidP="003D7F1C">
            <w:pPr>
              <w:rPr>
                <w:sz w:val="20"/>
                <w:szCs w:val="20"/>
              </w:rPr>
            </w:pPr>
            <w:r w:rsidRPr="00C04776">
              <w:rPr>
                <w:sz w:val="20"/>
                <w:szCs w:val="20"/>
              </w:rPr>
              <w:t>FILING DATE: 13.07.2018</w:t>
            </w:r>
          </w:p>
          <w:p w:rsidR="003D7F1C" w:rsidRPr="00C04776" w:rsidRDefault="003D7763" w:rsidP="003D7F1C">
            <w:pPr>
              <w:rPr>
                <w:sz w:val="20"/>
                <w:szCs w:val="20"/>
                <w:lang w:val="fr-CA"/>
              </w:rPr>
            </w:pPr>
            <w:r>
              <w:rPr>
                <w:sz w:val="20"/>
                <w:szCs w:val="20"/>
                <w:lang w:val="fr-CA"/>
              </w:rPr>
              <w:pict w14:anchorId="5989155F">
                <v:rect id="_x0000_i1034" style="width:108pt;height:1pt" o:hrpct="0" o:hralign="center" o:hrstd="t" o:hrnoshade="t" o:hr="t" fillcolor="black [3213]" stroked="f"/>
              </w:pict>
            </w:r>
          </w:p>
          <w:p w:rsidR="001F5A22" w:rsidRPr="00C04776" w:rsidRDefault="001F5A22" w:rsidP="003D7F1C">
            <w:pPr>
              <w:rPr>
                <w:sz w:val="20"/>
                <w:szCs w:val="20"/>
              </w:rPr>
            </w:pPr>
          </w:p>
        </w:tc>
      </w:tr>
      <w:tr w:rsidR="00DA76F0" w:rsidRPr="00C04776" w:rsidTr="003B3977">
        <w:tc>
          <w:tcPr>
            <w:tcW w:w="4320" w:type="dxa"/>
            <w:shd w:val="clear" w:color="auto" w:fill="auto"/>
          </w:tcPr>
          <w:p w:rsidR="00DA76F0" w:rsidRPr="00C04776" w:rsidRDefault="00DA76F0" w:rsidP="00DA76F0">
            <w:pPr>
              <w:rPr>
                <w:b/>
                <w:sz w:val="20"/>
                <w:szCs w:val="20"/>
              </w:rPr>
            </w:pPr>
            <w:r w:rsidRPr="00C04776">
              <w:rPr>
                <w:b/>
                <w:sz w:val="20"/>
                <w:szCs w:val="20"/>
              </w:rPr>
              <w:t>Steven Nowack</w:t>
            </w:r>
          </w:p>
          <w:p w:rsidR="00DA76F0" w:rsidRPr="00C04776" w:rsidRDefault="00DA76F0" w:rsidP="00DA76F0">
            <w:pPr>
              <w:tabs>
                <w:tab w:val="left" w:pos="-1440"/>
                <w:tab w:val="left" w:pos="-720"/>
              </w:tabs>
              <w:rPr>
                <w:sz w:val="20"/>
                <w:szCs w:val="20"/>
              </w:rPr>
            </w:pPr>
            <w:r w:rsidRPr="00C04776">
              <w:rPr>
                <w:sz w:val="20"/>
                <w:szCs w:val="20"/>
              </w:rPr>
              <w:tab/>
              <w:t>Paul Slansky</w:t>
            </w:r>
          </w:p>
          <w:p w:rsidR="00DA76F0" w:rsidRPr="00C04776" w:rsidRDefault="00DA76F0" w:rsidP="00DA76F0">
            <w:pPr>
              <w:tabs>
                <w:tab w:val="left" w:pos="-1440"/>
                <w:tab w:val="left" w:pos="-720"/>
              </w:tabs>
              <w:ind w:left="720"/>
              <w:rPr>
                <w:sz w:val="20"/>
                <w:szCs w:val="20"/>
              </w:rPr>
            </w:pPr>
            <w:r w:rsidRPr="00C04776">
              <w:rPr>
                <w:sz w:val="20"/>
                <w:szCs w:val="20"/>
              </w:rPr>
              <w:t>Slansky Law Professional Corporation</w:t>
            </w:r>
          </w:p>
          <w:p w:rsidR="00DA76F0" w:rsidRPr="00C04776" w:rsidRDefault="00DA76F0" w:rsidP="00DA76F0">
            <w:pPr>
              <w:tabs>
                <w:tab w:val="left" w:pos="-1440"/>
                <w:tab w:val="left" w:pos="-720"/>
              </w:tabs>
              <w:rPr>
                <w:sz w:val="20"/>
                <w:szCs w:val="20"/>
              </w:rPr>
            </w:pPr>
          </w:p>
          <w:p w:rsidR="00DA76F0" w:rsidRPr="00C04776" w:rsidRDefault="00DA76F0" w:rsidP="00DA76F0">
            <w:pPr>
              <w:tabs>
                <w:tab w:val="left" w:pos="-1440"/>
                <w:tab w:val="left" w:pos="-720"/>
              </w:tabs>
              <w:rPr>
                <w:sz w:val="20"/>
                <w:szCs w:val="20"/>
                <w:lang w:val="fr-CA"/>
              </w:rPr>
            </w:pPr>
            <w:r w:rsidRPr="00C04776">
              <w:rPr>
                <w:sz w:val="20"/>
                <w:szCs w:val="20"/>
                <w:lang w:val="en-US"/>
              </w:rPr>
              <w:tab/>
            </w:r>
            <w:r w:rsidRPr="00C04776">
              <w:rPr>
                <w:sz w:val="20"/>
                <w:szCs w:val="20"/>
                <w:lang w:val="fr-CA"/>
              </w:rPr>
              <w:t>v. (38236)</w:t>
            </w:r>
          </w:p>
          <w:p w:rsidR="00DA76F0" w:rsidRPr="00C04776" w:rsidRDefault="00DA76F0" w:rsidP="00DA76F0">
            <w:pPr>
              <w:tabs>
                <w:tab w:val="left" w:pos="-1440"/>
                <w:tab w:val="left" w:pos="-720"/>
              </w:tabs>
              <w:rPr>
                <w:sz w:val="20"/>
                <w:szCs w:val="20"/>
                <w:lang w:val="fr-CA"/>
              </w:rPr>
            </w:pPr>
          </w:p>
          <w:p w:rsidR="00DA76F0" w:rsidRPr="00C04776" w:rsidRDefault="00DA76F0" w:rsidP="00DA76F0">
            <w:pPr>
              <w:tabs>
                <w:tab w:val="left" w:pos="-1440"/>
                <w:tab w:val="left" w:pos="-720"/>
              </w:tabs>
              <w:rPr>
                <w:b/>
                <w:sz w:val="20"/>
                <w:szCs w:val="20"/>
                <w:lang w:val="fr-CA"/>
              </w:rPr>
            </w:pPr>
            <w:r w:rsidRPr="00C04776">
              <w:rPr>
                <w:b/>
                <w:sz w:val="20"/>
                <w:szCs w:val="20"/>
                <w:lang w:val="fr-CA"/>
              </w:rPr>
              <w:t>2363523 Ontario Inc. (Ont.)</w:t>
            </w:r>
          </w:p>
          <w:p w:rsidR="00DA76F0" w:rsidRPr="00C04776" w:rsidRDefault="00DA76F0" w:rsidP="00DA76F0">
            <w:pPr>
              <w:tabs>
                <w:tab w:val="left" w:pos="-1440"/>
                <w:tab w:val="left" w:pos="-720"/>
              </w:tabs>
              <w:rPr>
                <w:sz w:val="20"/>
                <w:szCs w:val="20"/>
                <w:lang w:val="fr-CA"/>
              </w:rPr>
            </w:pPr>
            <w:r w:rsidRPr="00C04776">
              <w:rPr>
                <w:sz w:val="20"/>
                <w:szCs w:val="20"/>
                <w:lang w:val="fr-CA"/>
              </w:rPr>
              <w:tab/>
              <w:t xml:space="preserve">Norman </w:t>
            </w:r>
            <w:proofErr w:type="spellStart"/>
            <w:r w:rsidRPr="00C04776">
              <w:rPr>
                <w:sz w:val="20"/>
                <w:szCs w:val="20"/>
                <w:lang w:val="fr-CA"/>
              </w:rPr>
              <w:t>Groot</w:t>
            </w:r>
            <w:proofErr w:type="spellEnd"/>
          </w:p>
          <w:p w:rsidR="00DA76F0" w:rsidRPr="00C04776" w:rsidRDefault="00DA76F0" w:rsidP="00DA76F0">
            <w:pPr>
              <w:tabs>
                <w:tab w:val="left" w:pos="-1440"/>
                <w:tab w:val="left" w:pos="-720"/>
              </w:tabs>
              <w:rPr>
                <w:sz w:val="20"/>
                <w:szCs w:val="20"/>
              </w:rPr>
            </w:pPr>
            <w:r w:rsidRPr="00C04776">
              <w:rPr>
                <w:sz w:val="20"/>
                <w:szCs w:val="20"/>
                <w:lang w:val="fr-CA"/>
              </w:rPr>
              <w:tab/>
            </w:r>
            <w:r w:rsidRPr="00C04776">
              <w:rPr>
                <w:sz w:val="20"/>
                <w:szCs w:val="20"/>
              </w:rPr>
              <w:t>Investigation Counsel PC</w:t>
            </w:r>
          </w:p>
          <w:p w:rsidR="00DA76F0" w:rsidRPr="00C04776" w:rsidRDefault="00DA76F0" w:rsidP="00DA76F0">
            <w:pPr>
              <w:tabs>
                <w:tab w:val="left" w:pos="-1440"/>
                <w:tab w:val="left" w:pos="-720"/>
              </w:tabs>
              <w:rPr>
                <w:sz w:val="20"/>
                <w:szCs w:val="20"/>
              </w:rPr>
            </w:pPr>
          </w:p>
          <w:p w:rsidR="00DA76F0" w:rsidRPr="00C04776" w:rsidRDefault="00DA76F0" w:rsidP="00DA76F0">
            <w:pPr>
              <w:rPr>
                <w:sz w:val="20"/>
                <w:szCs w:val="20"/>
              </w:rPr>
            </w:pPr>
            <w:r w:rsidRPr="00C04776">
              <w:rPr>
                <w:sz w:val="20"/>
                <w:szCs w:val="20"/>
              </w:rPr>
              <w:t>FILING DATE: 02.08.2018</w:t>
            </w:r>
          </w:p>
          <w:p w:rsidR="00DA76F0" w:rsidRPr="00C04776" w:rsidRDefault="003D7763" w:rsidP="00DA76F0">
            <w:pPr>
              <w:rPr>
                <w:sz w:val="20"/>
                <w:szCs w:val="20"/>
                <w:lang w:val="fr-CA"/>
              </w:rPr>
            </w:pPr>
            <w:r>
              <w:rPr>
                <w:sz w:val="20"/>
                <w:szCs w:val="20"/>
                <w:lang w:val="fr-CA"/>
              </w:rPr>
              <w:pict w14:anchorId="4F7B83A9">
                <v:rect id="_x0000_i1035" style="width:108pt;height:1pt" o:hrpct="0" o:hralign="center" o:hrstd="t" o:hrnoshade="t" o:hr="t" fillcolor="black [3213]" stroked="f"/>
              </w:pict>
            </w:r>
          </w:p>
          <w:p w:rsidR="00B9708F" w:rsidRPr="00C04776" w:rsidRDefault="00B9708F" w:rsidP="00DA76F0">
            <w:pPr>
              <w:rPr>
                <w:sz w:val="20"/>
                <w:szCs w:val="20"/>
              </w:rPr>
            </w:pPr>
          </w:p>
        </w:tc>
        <w:tc>
          <w:tcPr>
            <w:tcW w:w="1181" w:type="dxa"/>
            <w:shd w:val="clear" w:color="auto" w:fill="auto"/>
          </w:tcPr>
          <w:p w:rsidR="00DA76F0" w:rsidRPr="00C04776" w:rsidRDefault="00DA76F0" w:rsidP="00DA76F0">
            <w:pPr>
              <w:jc w:val="center"/>
              <w:rPr>
                <w:sz w:val="20"/>
                <w:szCs w:val="20"/>
              </w:rPr>
            </w:pPr>
          </w:p>
        </w:tc>
        <w:tc>
          <w:tcPr>
            <w:tcW w:w="4320" w:type="dxa"/>
            <w:shd w:val="clear" w:color="auto" w:fill="auto"/>
          </w:tcPr>
          <w:p w:rsidR="00DA76F0" w:rsidRPr="00C04776" w:rsidRDefault="00DA76F0" w:rsidP="00DA76F0">
            <w:pPr>
              <w:rPr>
                <w:b/>
                <w:sz w:val="20"/>
                <w:szCs w:val="20"/>
                <w:lang w:val="fr-CA"/>
              </w:rPr>
            </w:pPr>
            <w:r w:rsidRPr="00C04776">
              <w:rPr>
                <w:b/>
                <w:sz w:val="20"/>
                <w:szCs w:val="20"/>
                <w:lang w:val="fr-CA"/>
              </w:rPr>
              <w:t xml:space="preserve">Roch </w:t>
            </w:r>
            <w:proofErr w:type="spellStart"/>
            <w:r w:rsidRPr="00C04776">
              <w:rPr>
                <w:b/>
                <w:sz w:val="20"/>
                <w:szCs w:val="20"/>
                <w:lang w:val="fr-CA"/>
              </w:rPr>
              <w:t>Guimont</w:t>
            </w:r>
            <w:proofErr w:type="spellEnd"/>
          </w:p>
          <w:p w:rsidR="00DA76F0" w:rsidRPr="00C04776" w:rsidRDefault="00DA76F0" w:rsidP="00DA76F0">
            <w:pPr>
              <w:tabs>
                <w:tab w:val="left" w:pos="-1440"/>
                <w:tab w:val="left" w:pos="-720"/>
              </w:tabs>
              <w:rPr>
                <w:sz w:val="20"/>
                <w:szCs w:val="20"/>
                <w:lang w:val="fr-CA"/>
              </w:rPr>
            </w:pPr>
            <w:r w:rsidRPr="00C04776">
              <w:rPr>
                <w:sz w:val="20"/>
                <w:szCs w:val="20"/>
                <w:lang w:val="fr-CA"/>
              </w:rPr>
              <w:tab/>
              <w:t xml:space="preserve">Roch </w:t>
            </w:r>
            <w:proofErr w:type="spellStart"/>
            <w:r w:rsidRPr="00C04776">
              <w:rPr>
                <w:sz w:val="20"/>
                <w:szCs w:val="20"/>
                <w:lang w:val="fr-CA"/>
              </w:rPr>
              <w:t>Guimont</w:t>
            </w:r>
            <w:proofErr w:type="spellEnd"/>
          </w:p>
          <w:p w:rsidR="00DA76F0" w:rsidRPr="00C04776" w:rsidRDefault="00DA76F0" w:rsidP="00DA76F0">
            <w:pPr>
              <w:tabs>
                <w:tab w:val="left" w:pos="-1440"/>
                <w:tab w:val="left" w:pos="-720"/>
              </w:tabs>
              <w:rPr>
                <w:sz w:val="20"/>
                <w:szCs w:val="20"/>
                <w:lang w:val="fr-CA"/>
              </w:rPr>
            </w:pPr>
          </w:p>
          <w:p w:rsidR="00DA76F0" w:rsidRPr="00C04776" w:rsidRDefault="00DA76F0" w:rsidP="00DA76F0">
            <w:pPr>
              <w:tabs>
                <w:tab w:val="left" w:pos="-1440"/>
                <w:tab w:val="left" w:pos="-720"/>
              </w:tabs>
              <w:rPr>
                <w:sz w:val="20"/>
                <w:szCs w:val="20"/>
                <w:lang w:val="fr-CA"/>
              </w:rPr>
            </w:pPr>
            <w:r w:rsidRPr="00C04776">
              <w:rPr>
                <w:sz w:val="20"/>
                <w:szCs w:val="20"/>
                <w:lang w:val="fr-CA"/>
              </w:rPr>
              <w:tab/>
              <w:t>c. (38237)</w:t>
            </w:r>
          </w:p>
          <w:p w:rsidR="00DA76F0" w:rsidRPr="00C04776" w:rsidRDefault="00DA76F0" w:rsidP="00DA76F0">
            <w:pPr>
              <w:tabs>
                <w:tab w:val="left" w:pos="-1440"/>
                <w:tab w:val="left" w:pos="-720"/>
              </w:tabs>
              <w:rPr>
                <w:sz w:val="20"/>
                <w:szCs w:val="20"/>
                <w:lang w:val="fr-CA"/>
              </w:rPr>
            </w:pPr>
          </w:p>
          <w:p w:rsidR="00DA76F0" w:rsidRPr="00C04776" w:rsidRDefault="00DA76F0" w:rsidP="00DA76F0">
            <w:pPr>
              <w:tabs>
                <w:tab w:val="left" w:pos="-1440"/>
                <w:tab w:val="left" w:pos="-720"/>
              </w:tabs>
              <w:rPr>
                <w:b/>
                <w:sz w:val="20"/>
                <w:szCs w:val="20"/>
                <w:lang w:val="fr-CA"/>
              </w:rPr>
            </w:pPr>
            <w:r w:rsidRPr="00C04776">
              <w:rPr>
                <w:b/>
                <w:sz w:val="20"/>
                <w:szCs w:val="20"/>
                <w:lang w:val="fr-CA"/>
              </w:rPr>
              <w:t>Michelle Lamarche et autres (Qc)</w:t>
            </w:r>
          </w:p>
          <w:p w:rsidR="00DA76F0" w:rsidRPr="00C04776" w:rsidRDefault="00DA76F0" w:rsidP="00DA76F0">
            <w:pPr>
              <w:tabs>
                <w:tab w:val="left" w:pos="-1440"/>
                <w:tab w:val="left" w:pos="-720"/>
              </w:tabs>
              <w:rPr>
                <w:sz w:val="20"/>
                <w:szCs w:val="20"/>
                <w:lang w:val="fr-CA"/>
              </w:rPr>
            </w:pPr>
            <w:r w:rsidRPr="00C04776">
              <w:rPr>
                <w:sz w:val="20"/>
                <w:szCs w:val="20"/>
                <w:lang w:val="fr-CA"/>
              </w:rPr>
              <w:tab/>
              <w:t>Éric Meunier</w:t>
            </w:r>
          </w:p>
          <w:p w:rsidR="00DA76F0" w:rsidRPr="00C04776" w:rsidRDefault="00DA76F0" w:rsidP="00DA76F0">
            <w:pPr>
              <w:tabs>
                <w:tab w:val="left" w:pos="-1440"/>
                <w:tab w:val="left" w:pos="-720"/>
              </w:tabs>
              <w:rPr>
                <w:sz w:val="20"/>
                <w:szCs w:val="20"/>
                <w:lang w:val="fr-CA"/>
              </w:rPr>
            </w:pPr>
            <w:r w:rsidRPr="00C04776">
              <w:rPr>
                <w:sz w:val="20"/>
                <w:szCs w:val="20"/>
                <w:lang w:val="fr-CA"/>
              </w:rPr>
              <w:tab/>
            </w:r>
            <w:proofErr w:type="spellStart"/>
            <w:r w:rsidRPr="00C04776">
              <w:rPr>
                <w:sz w:val="20"/>
                <w:szCs w:val="20"/>
                <w:lang w:val="fr-CA"/>
              </w:rPr>
              <w:t>Québécor</w:t>
            </w:r>
            <w:proofErr w:type="spellEnd"/>
            <w:r w:rsidRPr="00C04776">
              <w:rPr>
                <w:sz w:val="20"/>
                <w:szCs w:val="20"/>
                <w:lang w:val="fr-CA"/>
              </w:rPr>
              <w:t xml:space="preserve"> Média inc.</w:t>
            </w:r>
          </w:p>
          <w:p w:rsidR="00DA76F0" w:rsidRPr="00C04776" w:rsidRDefault="00DA76F0" w:rsidP="00DA76F0">
            <w:pPr>
              <w:tabs>
                <w:tab w:val="left" w:pos="-1440"/>
                <w:tab w:val="left" w:pos="-720"/>
              </w:tabs>
              <w:rPr>
                <w:sz w:val="20"/>
                <w:szCs w:val="20"/>
                <w:lang w:val="fr-CA"/>
              </w:rPr>
            </w:pPr>
          </w:p>
          <w:p w:rsidR="00DA76F0" w:rsidRPr="00C04776" w:rsidRDefault="00B9708F" w:rsidP="00DA76F0">
            <w:pPr>
              <w:rPr>
                <w:sz w:val="20"/>
                <w:szCs w:val="20"/>
                <w:lang w:val="fr-CA"/>
              </w:rPr>
            </w:pPr>
            <w:r w:rsidRPr="00C04776">
              <w:rPr>
                <w:sz w:val="20"/>
                <w:szCs w:val="20"/>
                <w:lang w:val="fr-CA"/>
              </w:rPr>
              <w:t>DATE DE PRODUCTION</w:t>
            </w:r>
            <w:r w:rsidR="00DA76F0" w:rsidRPr="00C04776">
              <w:rPr>
                <w:sz w:val="20"/>
                <w:szCs w:val="20"/>
                <w:lang w:val="fr-CA"/>
              </w:rPr>
              <w:t>: 13.08.2018</w:t>
            </w:r>
          </w:p>
          <w:p w:rsidR="00DA76F0" w:rsidRPr="00C04776" w:rsidRDefault="003D7763" w:rsidP="00DA76F0">
            <w:pPr>
              <w:rPr>
                <w:sz w:val="20"/>
                <w:szCs w:val="20"/>
              </w:rPr>
            </w:pPr>
            <w:r>
              <w:rPr>
                <w:sz w:val="20"/>
                <w:szCs w:val="20"/>
                <w:lang w:val="fr-CA"/>
              </w:rPr>
              <w:pict w14:anchorId="14A68C9B">
                <v:rect id="_x0000_i1036" style="width:108pt;height:1pt" o:hrpct="0" o:hralign="center" o:hrstd="t" o:hrnoshade="t" o:hr="t" fillcolor="black [3213]" stroked="f"/>
              </w:pict>
            </w:r>
          </w:p>
        </w:tc>
      </w:tr>
      <w:tr w:rsidR="00B9708F" w:rsidRPr="00C04776" w:rsidTr="003B3977">
        <w:tc>
          <w:tcPr>
            <w:tcW w:w="4320" w:type="dxa"/>
            <w:shd w:val="clear" w:color="auto" w:fill="auto"/>
          </w:tcPr>
          <w:p w:rsidR="00B9708F" w:rsidRPr="00C04776" w:rsidRDefault="00B9708F" w:rsidP="00B9708F">
            <w:pPr>
              <w:rPr>
                <w:b/>
                <w:sz w:val="20"/>
                <w:szCs w:val="20"/>
                <w:lang w:val="en-US"/>
              </w:rPr>
            </w:pPr>
            <w:r w:rsidRPr="00C04776">
              <w:rPr>
                <w:b/>
                <w:sz w:val="20"/>
                <w:szCs w:val="20"/>
                <w:lang w:val="en-US"/>
              </w:rPr>
              <w:t xml:space="preserve">Claude-Alain </w:t>
            </w:r>
            <w:proofErr w:type="spellStart"/>
            <w:r w:rsidRPr="00C04776">
              <w:rPr>
                <w:b/>
                <w:sz w:val="20"/>
                <w:szCs w:val="20"/>
                <w:lang w:val="en-US"/>
              </w:rPr>
              <w:t>Burdet</w:t>
            </w:r>
            <w:proofErr w:type="spellEnd"/>
            <w:r w:rsidRPr="00C04776">
              <w:rPr>
                <w:b/>
                <w:sz w:val="20"/>
                <w:szCs w:val="20"/>
                <w:lang w:val="en-US"/>
              </w:rPr>
              <w:t xml:space="preserve"> in Trust</w:t>
            </w:r>
            <w:r w:rsidR="007778C4" w:rsidRPr="00C04776">
              <w:rPr>
                <w:b/>
                <w:sz w:val="20"/>
                <w:szCs w:val="20"/>
                <w:lang w:val="en-US"/>
              </w:rPr>
              <w:t xml:space="preserve"> et al.</w:t>
            </w:r>
          </w:p>
          <w:p w:rsidR="00B9708F" w:rsidRPr="00C04776" w:rsidRDefault="00B9708F" w:rsidP="00B9708F">
            <w:pPr>
              <w:tabs>
                <w:tab w:val="left" w:pos="-1440"/>
                <w:tab w:val="left" w:pos="-720"/>
              </w:tabs>
              <w:rPr>
                <w:sz w:val="20"/>
                <w:szCs w:val="20"/>
                <w:lang w:val="en-US"/>
              </w:rPr>
            </w:pPr>
            <w:r w:rsidRPr="00C04776">
              <w:rPr>
                <w:sz w:val="20"/>
                <w:szCs w:val="20"/>
                <w:lang w:val="en-US"/>
              </w:rPr>
              <w:tab/>
              <w:t xml:space="preserve">Claude-Alain </w:t>
            </w:r>
            <w:proofErr w:type="spellStart"/>
            <w:r w:rsidRPr="00C04776">
              <w:rPr>
                <w:sz w:val="20"/>
                <w:szCs w:val="20"/>
                <w:lang w:val="en-US"/>
              </w:rPr>
              <w:t>Burdet</w:t>
            </w:r>
            <w:proofErr w:type="spellEnd"/>
          </w:p>
          <w:p w:rsidR="00B9708F" w:rsidRPr="00C04776" w:rsidRDefault="00B9708F" w:rsidP="00B9708F">
            <w:pPr>
              <w:tabs>
                <w:tab w:val="left" w:pos="-1440"/>
                <w:tab w:val="left" w:pos="-720"/>
              </w:tabs>
              <w:ind w:left="720"/>
              <w:rPr>
                <w:sz w:val="20"/>
                <w:szCs w:val="20"/>
                <w:lang w:val="en-US"/>
              </w:rPr>
            </w:pPr>
            <w:r w:rsidRPr="00C04776">
              <w:rPr>
                <w:sz w:val="20"/>
                <w:szCs w:val="20"/>
                <w:lang w:val="en-US"/>
              </w:rPr>
              <w:t>Nelson Street Law Office</w:t>
            </w:r>
          </w:p>
          <w:p w:rsidR="00B9708F" w:rsidRPr="00C04776" w:rsidRDefault="00B9708F" w:rsidP="00B9708F">
            <w:pPr>
              <w:tabs>
                <w:tab w:val="left" w:pos="-1440"/>
                <w:tab w:val="left" w:pos="-720"/>
              </w:tabs>
              <w:rPr>
                <w:sz w:val="20"/>
                <w:szCs w:val="20"/>
                <w:lang w:val="en-US"/>
              </w:rPr>
            </w:pPr>
          </w:p>
          <w:p w:rsidR="00B9708F" w:rsidRPr="00C04776" w:rsidRDefault="00B9708F" w:rsidP="00B9708F">
            <w:pPr>
              <w:tabs>
                <w:tab w:val="left" w:pos="-1440"/>
                <w:tab w:val="left" w:pos="-720"/>
              </w:tabs>
              <w:rPr>
                <w:sz w:val="20"/>
                <w:szCs w:val="20"/>
                <w:lang w:val="en-US"/>
              </w:rPr>
            </w:pPr>
            <w:r w:rsidRPr="00C04776">
              <w:rPr>
                <w:sz w:val="20"/>
                <w:szCs w:val="20"/>
                <w:lang w:val="en-US"/>
              </w:rPr>
              <w:tab/>
              <w:t>v. (38152)</w:t>
            </w:r>
          </w:p>
          <w:p w:rsidR="00B9708F" w:rsidRPr="00C04776" w:rsidRDefault="00B9708F" w:rsidP="00B9708F">
            <w:pPr>
              <w:tabs>
                <w:tab w:val="left" w:pos="-1440"/>
                <w:tab w:val="left" w:pos="-720"/>
              </w:tabs>
              <w:rPr>
                <w:sz w:val="20"/>
                <w:szCs w:val="20"/>
                <w:lang w:val="en-US"/>
              </w:rPr>
            </w:pPr>
          </w:p>
          <w:p w:rsidR="00B9708F" w:rsidRPr="00C04776" w:rsidRDefault="00B9708F" w:rsidP="00B9708F">
            <w:pPr>
              <w:tabs>
                <w:tab w:val="left" w:pos="-1440"/>
                <w:tab w:val="left" w:pos="-720"/>
              </w:tabs>
              <w:rPr>
                <w:b/>
                <w:sz w:val="20"/>
                <w:szCs w:val="20"/>
                <w:lang w:val="en-US"/>
              </w:rPr>
            </w:pPr>
            <w:r w:rsidRPr="00C04776">
              <w:rPr>
                <w:b/>
                <w:sz w:val="20"/>
                <w:szCs w:val="20"/>
                <w:lang w:val="en-US"/>
              </w:rPr>
              <w:t>Carleton Condominium Corporation No. 396 (Ont.)</w:t>
            </w:r>
          </w:p>
          <w:p w:rsidR="00B9708F" w:rsidRPr="00C04776" w:rsidRDefault="00B9708F" w:rsidP="00B9708F">
            <w:pPr>
              <w:tabs>
                <w:tab w:val="left" w:pos="-1440"/>
                <w:tab w:val="left" w:pos="-720"/>
              </w:tabs>
              <w:rPr>
                <w:sz w:val="20"/>
                <w:szCs w:val="20"/>
                <w:lang w:val="en-US"/>
              </w:rPr>
            </w:pPr>
            <w:r w:rsidRPr="00C04776">
              <w:rPr>
                <w:sz w:val="20"/>
                <w:szCs w:val="20"/>
                <w:lang w:val="en-US"/>
              </w:rPr>
              <w:tab/>
              <w:t>Gary G. Boyd</w:t>
            </w:r>
          </w:p>
          <w:p w:rsidR="00B9708F" w:rsidRPr="00C04776" w:rsidRDefault="00B9708F" w:rsidP="00B9708F">
            <w:pPr>
              <w:tabs>
                <w:tab w:val="left" w:pos="-1440"/>
                <w:tab w:val="left" w:pos="-720"/>
              </w:tabs>
              <w:rPr>
                <w:sz w:val="20"/>
                <w:szCs w:val="20"/>
                <w:lang w:val="en-US"/>
              </w:rPr>
            </w:pPr>
            <w:r w:rsidRPr="00C04776">
              <w:rPr>
                <w:sz w:val="20"/>
                <w:szCs w:val="20"/>
                <w:lang w:val="en-US"/>
              </w:rPr>
              <w:tab/>
              <w:t>Low Murchison Radnoff LLP</w:t>
            </w:r>
          </w:p>
          <w:p w:rsidR="00B9708F" w:rsidRPr="00C04776" w:rsidRDefault="00B9708F" w:rsidP="00B9708F">
            <w:pPr>
              <w:tabs>
                <w:tab w:val="left" w:pos="-1440"/>
                <w:tab w:val="left" w:pos="-720"/>
              </w:tabs>
              <w:rPr>
                <w:sz w:val="20"/>
                <w:szCs w:val="20"/>
                <w:lang w:val="en-US"/>
              </w:rPr>
            </w:pPr>
          </w:p>
          <w:p w:rsidR="00B9708F" w:rsidRPr="00C04776" w:rsidRDefault="004C5D38" w:rsidP="00B9708F">
            <w:pPr>
              <w:rPr>
                <w:sz w:val="20"/>
                <w:szCs w:val="20"/>
                <w:lang w:val="en-US"/>
              </w:rPr>
            </w:pPr>
            <w:r w:rsidRPr="00C04776">
              <w:rPr>
                <w:sz w:val="20"/>
                <w:szCs w:val="20"/>
                <w:lang w:val="en-US"/>
              </w:rPr>
              <w:t xml:space="preserve">FILING </w:t>
            </w:r>
            <w:r w:rsidR="00B9708F" w:rsidRPr="00C04776">
              <w:rPr>
                <w:sz w:val="20"/>
                <w:szCs w:val="20"/>
                <w:lang w:val="en-US"/>
              </w:rPr>
              <w:t>DATE: 08.06.2018</w:t>
            </w:r>
          </w:p>
          <w:p w:rsidR="00B9708F" w:rsidRPr="00C04776" w:rsidRDefault="003D7763" w:rsidP="00B9708F">
            <w:pPr>
              <w:rPr>
                <w:sz w:val="20"/>
                <w:szCs w:val="20"/>
              </w:rPr>
            </w:pPr>
            <w:r>
              <w:rPr>
                <w:sz w:val="20"/>
                <w:szCs w:val="20"/>
                <w:lang w:val="fr-CA"/>
              </w:rPr>
              <w:pict w14:anchorId="6ECB0561">
                <v:rect id="_x0000_i1037" style="width:108pt;height:1pt" o:hrpct="0" o:hralign="center" o:hrstd="t" o:hrnoshade="t" o:hr="t" fillcolor="black [3213]" stroked="f"/>
              </w:pict>
            </w:r>
          </w:p>
        </w:tc>
        <w:tc>
          <w:tcPr>
            <w:tcW w:w="1181" w:type="dxa"/>
            <w:shd w:val="clear" w:color="auto" w:fill="auto"/>
          </w:tcPr>
          <w:p w:rsidR="00B9708F" w:rsidRPr="00C04776" w:rsidRDefault="00B9708F" w:rsidP="00B9708F">
            <w:pPr>
              <w:jc w:val="center"/>
              <w:rPr>
                <w:sz w:val="20"/>
                <w:szCs w:val="20"/>
              </w:rPr>
            </w:pPr>
          </w:p>
        </w:tc>
        <w:tc>
          <w:tcPr>
            <w:tcW w:w="4320" w:type="dxa"/>
            <w:shd w:val="clear" w:color="auto" w:fill="auto"/>
          </w:tcPr>
          <w:p w:rsidR="006C5212" w:rsidRPr="00C04776" w:rsidRDefault="006C5212" w:rsidP="006C5212">
            <w:pPr>
              <w:rPr>
                <w:b/>
                <w:sz w:val="20"/>
                <w:szCs w:val="20"/>
              </w:rPr>
            </w:pPr>
            <w:r w:rsidRPr="00C04776">
              <w:rPr>
                <w:b/>
                <w:sz w:val="20"/>
                <w:szCs w:val="20"/>
              </w:rPr>
              <w:t>George Salmon</w:t>
            </w:r>
          </w:p>
          <w:p w:rsidR="006C5212" w:rsidRPr="00C04776" w:rsidRDefault="006C5212" w:rsidP="006C5212">
            <w:pPr>
              <w:tabs>
                <w:tab w:val="left" w:pos="-1440"/>
                <w:tab w:val="left" w:pos="-720"/>
              </w:tabs>
              <w:rPr>
                <w:sz w:val="20"/>
                <w:szCs w:val="20"/>
                <w:lang w:val="en-US"/>
              </w:rPr>
            </w:pPr>
            <w:r w:rsidRPr="00C04776">
              <w:rPr>
                <w:sz w:val="20"/>
                <w:szCs w:val="20"/>
                <w:lang w:val="en-US"/>
              </w:rPr>
              <w:tab/>
            </w:r>
            <w:r w:rsidR="00FD78C4" w:rsidRPr="00C04776">
              <w:rPr>
                <w:sz w:val="20"/>
                <w:szCs w:val="20"/>
                <w:lang w:val="en-US"/>
              </w:rPr>
              <w:t>George Salmon</w:t>
            </w:r>
          </w:p>
          <w:p w:rsidR="006C5212" w:rsidRPr="00C04776" w:rsidRDefault="006C5212" w:rsidP="006C5212">
            <w:pPr>
              <w:rPr>
                <w:sz w:val="20"/>
                <w:szCs w:val="20"/>
              </w:rPr>
            </w:pPr>
          </w:p>
          <w:p w:rsidR="006C5212" w:rsidRPr="00C04776" w:rsidRDefault="006C5212" w:rsidP="006C5212">
            <w:pPr>
              <w:rPr>
                <w:sz w:val="20"/>
                <w:szCs w:val="20"/>
              </w:rPr>
            </w:pPr>
            <w:r w:rsidRPr="00C04776">
              <w:rPr>
                <w:sz w:val="20"/>
                <w:szCs w:val="20"/>
              </w:rPr>
              <w:tab/>
              <w:t>v. (38229)</w:t>
            </w:r>
          </w:p>
          <w:p w:rsidR="006C5212" w:rsidRPr="00C04776" w:rsidRDefault="006C5212" w:rsidP="006C5212">
            <w:pPr>
              <w:rPr>
                <w:sz w:val="20"/>
                <w:szCs w:val="20"/>
              </w:rPr>
            </w:pPr>
          </w:p>
          <w:p w:rsidR="006C5212" w:rsidRPr="00C04776" w:rsidRDefault="006C5212" w:rsidP="006C5212">
            <w:pPr>
              <w:rPr>
                <w:b/>
                <w:sz w:val="20"/>
                <w:szCs w:val="20"/>
              </w:rPr>
            </w:pPr>
            <w:r w:rsidRPr="00C04776">
              <w:rPr>
                <w:b/>
                <w:sz w:val="20"/>
                <w:szCs w:val="20"/>
              </w:rPr>
              <w:t>Her Majesty the Queen (Ont.)</w:t>
            </w:r>
          </w:p>
          <w:p w:rsidR="006C5212" w:rsidRPr="00C04776" w:rsidRDefault="006C5212" w:rsidP="006C5212">
            <w:pPr>
              <w:tabs>
                <w:tab w:val="left" w:pos="-1440"/>
                <w:tab w:val="left" w:pos="-720"/>
              </w:tabs>
              <w:rPr>
                <w:sz w:val="20"/>
                <w:szCs w:val="20"/>
                <w:lang w:val="en-US"/>
              </w:rPr>
            </w:pPr>
            <w:r w:rsidRPr="00C04776">
              <w:rPr>
                <w:sz w:val="20"/>
                <w:szCs w:val="20"/>
                <w:lang w:val="en-US"/>
              </w:rPr>
              <w:tab/>
            </w:r>
            <w:r w:rsidR="001575AF" w:rsidRPr="00C04776">
              <w:rPr>
                <w:sz w:val="20"/>
                <w:szCs w:val="20"/>
                <w:lang w:val="en-US"/>
              </w:rPr>
              <w:t xml:space="preserve">Marie </w:t>
            </w:r>
            <w:proofErr w:type="spellStart"/>
            <w:r w:rsidR="001575AF" w:rsidRPr="00C04776">
              <w:rPr>
                <w:sz w:val="20"/>
                <w:szCs w:val="20"/>
                <w:lang w:val="en-US"/>
              </w:rPr>
              <w:t>Comiskey</w:t>
            </w:r>
            <w:proofErr w:type="spellEnd"/>
          </w:p>
          <w:p w:rsidR="006C5212" w:rsidRPr="00C04776" w:rsidRDefault="006C5212" w:rsidP="006C5212">
            <w:pPr>
              <w:tabs>
                <w:tab w:val="left" w:pos="-1440"/>
                <w:tab w:val="left" w:pos="-720"/>
              </w:tabs>
              <w:rPr>
                <w:sz w:val="20"/>
                <w:szCs w:val="20"/>
                <w:lang w:val="en-US"/>
              </w:rPr>
            </w:pPr>
            <w:r w:rsidRPr="00C04776">
              <w:rPr>
                <w:sz w:val="20"/>
                <w:szCs w:val="20"/>
                <w:lang w:val="en-US"/>
              </w:rPr>
              <w:tab/>
            </w:r>
            <w:r w:rsidR="001575AF" w:rsidRPr="00C04776">
              <w:rPr>
                <w:sz w:val="20"/>
                <w:szCs w:val="20"/>
                <w:lang w:val="en-US"/>
              </w:rPr>
              <w:t>A.G. of Canada</w:t>
            </w:r>
          </w:p>
          <w:p w:rsidR="006C5212" w:rsidRPr="00C04776" w:rsidRDefault="006C5212" w:rsidP="006C5212">
            <w:pPr>
              <w:rPr>
                <w:sz w:val="20"/>
                <w:szCs w:val="20"/>
              </w:rPr>
            </w:pPr>
          </w:p>
          <w:p w:rsidR="006C5212" w:rsidRPr="00C04776" w:rsidRDefault="006C5212" w:rsidP="006C5212">
            <w:pPr>
              <w:rPr>
                <w:sz w:val="20"/>
                <w:szCs w:val="20"/>
                <w:lang w:val="en-US"/>
              </w:rPr>
            </w:pPr>
            <w:r w:rsidRPr="00C04776">
              <w:rPr>
                <w:sz w:val="20"/>
                <w:szCs w:val="20"/>
                <w:lang w:val="en-US"/>
              </w:rPr>
              <w:t>FILING DATE: 11.05.2018</w:t>
            </w:r>
          </w:p>
          <w:p w:rsidR="00B9708F" w:rsidRPr="00C04776" w:rsidRDefault="003D7763" w:rsidP="006C5212">
            <w:pPr>
              <w:rPr>
                <w:b/>
                <w:sz w:val="20"/>
                <w:szCs w:val="20"/>
              </w:rPr>
            </w:pPr>
            <w:r>
              <w:rPr>
                <w:sz w:val="20"/>
                <w:szCs w:val="20"/>
                <w:lang w:val="fr-CA"/>
              </w:rPr>
              <w:pict>
                <v:rect id="_x0000_i1038" style="width:106.1pt;height:1pt" o:hrpct="500" o:hralign="center" o:hrstd="t" o:hrnoshade="t" o:hr="t" fillcolor="black [3213]" stroked="f"/>
              </w:pict>
            </w:r>
          </w:p>
        </w:tc>
      </w:tr>
    </w:tbl>
    <w:p w:rsidR="00242AEE" w:rsidRPr="00C04776" w:rsidRDefault="00242AEE" w:rsidP="0095096B">
      <w:pPr>
        <w:tabs>
          <w:tab w:val="right" w:pos="9360"/>
        </w:tabs>
        <w:rPr>
          <w:sz w:val="20"/>
          <w:szCs w:val="20"/>
        </w:rPr>
      </w:pPr>
    </w:p>
    <w:p w:rsidR="00C01FCB" w:rsidRPr="00C04776" w:rsidRDefault="00C01FCB" w:rsidP="0095096B">
      <w:pPr>
        <w:tabs>
          <w:tab w:val="right" w:pos="9360"/>
        </w:tabs>
        <w:rPr>
          <w:sz w:val="20"/>
          <w:szCs w:val="20"/>
        </w:rPr>
      </w:pPr>
    </w:p>
    <w:p w:rsidR="00C01FCB" w:rsidRPr="00C04776" w:rsidRDefault="00C01FCB" w:rsidP="0095096B">
      <w:pPr>
        <w:tabs>
          <w:tab w:val="right" w:pos="9360"/>
        </w:tabs>
        <w:rPr>
          <w:sz w:val="20"/>
          <w:szCs w:val="20"/>
        </w:rPr>
      </w:pPr>
    </w:p>
    <w:p w:rsidR="00242AEE" w:rsidRPr="00C04776" w:rsidRDefault="00242AEE" w:rsidP="0095096B">
      <w:pPr>
        <w:tabs>
          <w:tab w:val="right" w:pos="9360"/>
        </w:tabs>
        <w:rPr>
          <w:sz w:val="20"/>
          <w:szCs w:val="20"/>
        </w:rPr>
        <w:sectPr w:rsidR="00242AEE" w:rsidRPr="00C04776" w:rsidSect="00C41AE0">
          <w:headerReference w:type="default" r:id="rId10"/>
          <w:footerReference w:type="default" r:id="rId11"/>
          <w:headerReference w:type="first" r:id="rId12"/>
          <w:footerReference w:type="first" r:id="rId13"/>
          <w:pgSz w:w="12240" w:h="15840"/>
          <w:pgMar w:top="720" w:right="965" w:bottom="1080" w:left="1656" w:header="706" w:footer="706" w:gutter="0"/>
          <w:pgNumType w:start="1147"/>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E2327" w:rsidRPr="003D7763" w:rsidTr="00BA6468">
        <w:trPr>
          <w:trHeight w:val="900"/>
        </w:trPr>
        <w:tc>
          <w:tcPr>
            <w:tcW w:w="4200" w:type="dxa"/>
            <w:tcMar>
              <w:left w:w="0" w:type="dxa"/>
              <w:right w:w="0" w:type="dxa"/>
            </w:tcMar>
          </w:tcPr>
          <w:p w:rsidR="002E2327" w:rsidRPr="00C04776" w:rsidRDefault="002E2327" w:rsidP="002E2327">
            <w:pPr>
              <w:keepNext/>
              <w:keepLines/>
              <w:widowControl w:val="0"/>
              <w:rPr>
                <w:b/>
                <w:szCs w:val="24"/>
              </w:rPr>
            </w:pPr>
            <w:r w:rsidRPr="00C04776">
              <w:rPr>
                <w:b/>
                <w:szCs w:val="24"/>
              </w:rPr>
              <w:t>APPLICATIONS FOR LEAVE SUBMITTED TO COURT</w:t>
            </w:r>
            <w:r w:rsidR="003E5F3E" w:rsidRPr="00C04776">
              <w:rPr>
                <w:b/>
                <w:szCs w:val="24"/>
              </w:rPr>
              <w:t xml:space="preserve"> THE</w:t>
            </w:r>
            <w:r w:rsidRPr="00C04776">
              <w:rPr>
                <w:b/>
                <w:szCs w:val="24"/>
              </w:rPr>
              <w:t xml:space="preserve"> SINCE LAST ISSUE</w:t>
            </w:r>
          </w:p>
        </w:tc>
        <w:tc>
          <w:tcPr>
            <w:tcW w:w="1200" w:type="dxa"/>
            <w:tcMar>
              <w:left w:w="0" w:type="dxa"/>
              <w:right w:w="0" w:type="dxa"/>
            </w:tcMar>
          </w:tcPr>
          <w:p w:rsidR="002E2327" w:rsidRPr="00C04776" w:rsidRDefault="002E2327" w:rsidP="002E2327">
            <w:pPr>
              <w:keepNext/>
              <w:keepLines/>
              <w:widowControl w:val="0"/>
              <w:jc w:val="center"/>
              <w:rPr>
                <w:b/>
                <w:szCs w:val="24"/>
              </w:rPr>
            </w:pPr>
          </w:p>
          <w:p w:rsidR="001D0D5F" w:rsidRPr="00C04776" w:rsidRDefault="001D0D5F" w:rsidP="002E2327">
            <w:pPr>
              <w:keepNext/>
              <w:keepLines/>
              <w:widowControl w:val="0"/>
              <w:jc w:val="center"/>
              <w:rPr>
                <w:b/>
                <w:szCs w:val="24"/>
              </w:rPr>
            </w:pPr>
          </w:p>
          <w:p w:rsidR="001D0D5F" w:rsidRPr="00C04776" w:rsidRDefault="001D0D5F" w:rsidP="002E2327">
            <w:pPr>
              <w:keepNext/>
              <w:keepLines/>
              <w:widowControl w:val="0"/>
              <w:jc w:val="center"/>
              <w:rPr>
                <w:b/>
                <w:szCs w:val="24"/>
              </w:rPr>
            </w:pPr>
          </w:p>
          <w:p w:rsidR="001D0D5F" w:rsidRPr="00C04776" w:rsidRDefault="001D0D5F" w:rsidP="002E2327">
            <w:pPr>
              <w:keepNext/>
              <w:keepLines/>
              <w:widowControl w:val="0"/>
              <w:jc w:val="center"/>
              <w:rPr>
                <w:b/>
                <w:szCs w:val="24"/>
              </w:rPr>
            </w:pPr>
          </w:p>
        </w:tc>
        <w:tc>
          <w:tcPr>
            <w:tcW w:w="4080" w:type="dxa"/>
            <w:tcMar>
              <w:left w:w="0" w:type="dxa"/>
              <w:right w:w="0" w:type="dxa"/>
            </w:tcMar>
          </w:tcPr>
          <w:p w:rsidR="002E2327" w:rsidRPr="00C04776" w:rsidRDefault="002E2327" w:rsidP="002E2327">
            <w:pPr>
              <w:keepLines/>
              <w:widowControl w:val="0"/>
              <w:rPr>
                <w:szCs w:val="24"/>
                <w:lang w:val="fr-CA"/>
              </w:rPr>
            </w:pPr>
            <w:r w:rsidRPr="00C04776">
              <w:rPr>
                <w:b/>
                <w:szCs w:val="24"/>
                <w:lang w:val="fr-CA"/>
              </w:rPr>
              <w:t>DEMANDES SOUMISES À LA COUR DEPUIS LA DERNIÈRE PARUTION</w:t>
            </w:r>
          </w:p>
          <w:p w:rsidR="002E2327" w:rsidRPr="00C04776"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04776" w:rsidRDefault="002E2327" w:rsidP="002E2327">
      <w:pPr>
        <w:widowControl w:val="0"/>
        <w:rPr>
          <w:b/>
          <w:sz w:val="20"/>
          <w:szCs w:val="20"/>
          <w:lang w:val="fr-CA"/>
        </w:rPr>
      </w:pPr>
    </w:p>
    <w:p w:rsidR="00CB3520" w:rsidRPr="00C04776" w:rsidRDefault="000A53D5" w:rsidP="00CB3520">
      <w:pPr>
        <w:widowControl w:val="0"/>
        <w:rPr>
          <w:b/>
          <w:sz w:val="20"/>
          <w:szCs w:val="20"/>
        </w:rPr>
      </w:pPr>
      <w:r w:rsidRPr="00C04776">
        <w:rPr>
          <w:b/>
          <w:sz w:val="20"/>
          <w:szCs w:val="20"/>
        </w:rPr>
        <w:t>SEPTEMBER 10</w:t>
      </w:r>
      <w:r w:rsidR="00CB3520" w:rsidRPr="00C04776">
        <w:rPr>
          <w:b/>
          <w:sz w:val="20"/>
          <w:szCs w:val="20"/>
        </w:rPr>
        <w:t>, 201</w:t>
      </w:r>
      <w:r w:rsidR="00195F99" w:rsidRPr="00C04776">
        <w:rPr>
          <w:b/>
          <w:sz w:val="20"/>
          <w:szCs w:val="20"/>
        </w:rPr>
        <w:t>8</w:t>
      </w:r>
      <w:r w:rsidR="00CB3520" w:rsidRPr="00C04776">
        <w:rPr>
          <w:b/>
          <w:sz w:val="20"/>
          <w:szCs w:val="20"/>
        </w:rPr>
        <w:t xml:space="preserve"> / LE </w:t>
      </w:r>
      <w:r w:rsidRPr="00C04776">
        <w:rPr>
          <w:b/>
          <w:sz w:val="20"/>
          <w:szCs w:val="20"/>
        </w:rPr>
        <w:t xml:space="preserve">10 SEPTEMBRE </w:t>
      </w:r>
      <w:r w:rsidR="00CB3520" w:rsidRPr="00C04776">
        <w:rPr>
          <w:b/>
          <w:sz w:val="20"/>
          <w:szCs w:val="20"/>
        </w:rPr>
        <w:t>201</w:t>
      </w:r>
      <w:r w:rsidR="00195F99" w:rsidRPr="00C04776">
        <w:rPr>
          <w:b/>
          <w:sz w:val="20"/>
          <w:szCs w:val="20"/>
        </w:rPr>
        <w:t>8</w:t>
      </w:r>
    </w:p>
    <w:p w:rsidR="00CB3520" w:rsidRPr="00C04776" w:rsidRDefault="00CB3520" w:rsidP="00CB3520">
      <w:pPr>
        <w:widowControl w:val="0"/>
        <w:rPr>
          <w:b/>
          <w:sz w:val="20"/>
          <w:szCs w:val="20"/>
        </w:rPr>
      </w:pPr>
    </w:p>
    <w:p w:rsidR="00CB3520" w:rsidRPr="00C04776" w:rsidRDefault="00CB3520" w:rsidP="00CB3520">
      <w:pPr>
        <w:widowControl w:val="0"/>
        <w:jc w:val="center"/>
        <w:rPr>
          <w:b/>
          <w:sz w:val="20"/>
          <w:szCs w:val="20"/>
        </w:rPr>
      </w:pPr>
      <w:r w:rsidRPr="00C04776">
        <w:rPr>
          <w:b/>
          <w:sz w:val="20"/>
          <w:szCs w:val="20"/>
        </w:rPr>
        <w:t xml:space="preserve">CORAM:  Chief Justice </w:t>
      </w:r>
      <w:r w:rsidR="00195F99" w:rsidRPr="00C04776">
        <w:rPr>
          <w:b/>
          <w:sz w:val="20"/>
          <w:szCs w:val="20"/>
        </w:rPr>
        <w:t>Wagner and Rowe</w:t>
      </w:r>
      <w:r w:rsidR="00253236" w:rsidRPr="00C04776">
        <w:rPr>
          <w:b/>
          <w:sz w:val="20"/>
          <w:szCs w:val="20"/>
        </w:rPr>
        <w:t xml:space="preserve"> </w:t>
      </w:r>
      <w:r w:rsidR="00195F99" w:rsidRPr="00C04776">
        <w:rPr>
          <w:b/>
          <w:sz w:val="20"/>
          <w:szCs w:val="20"/>
        </w:rPr>
        <w:t>and Martin</w:t>
      </w:r>
      <w:r w:rsidR="00FA3373" w:rsidRPr="00C04776">
        <w:rPr>
          <w:b/>
          <w:sz w:val="20"/>
          <w:szCs w:val="20"/>
        </w:rPr>
        <w:t xml:space="preserve"> </w:t>
      </w:r>
      <w:r w:rsidRPr="00C04776">
        <w:rPr>
          <w:b/>
          <w:sz w:val="20"/>
          <w:szCs w:val="20"/>
        </w:rPr>
        <w:t>JJ.</w:t>
      </w:r>
    </w:p>
    <w:p w:rsidR="00CB3520" w:rsidRPr="00C04776" w:rsidRDefault="00CB3520" w:rsidP="00CB3520">
      <w:pPr>
        <w:widowControl w:val="0"/>
        <w:jc w:val="center"/>
        <w:rPr>
          <w:sz w:val="20"/>
          <w:szCs w:val="20"/>
          <w:lang w:val="fr-CA"/>
        </w:rPr>
      </w:pPr>
      <w:r w:rsidRPr="00C04776">
        <w:rPr>
          <w:b/>
          <w:sz w:val="20"/>
          <w:szCs w:val="20"/>
          <w:lang w:val="fr-CA"/>
        </w:rPr>
        <w:t>L</w:t>
      </w:r>
      <w:r w:rsidR="00195F99" w:rsidRPr="00C04776">
        <w:rPr>
          <w:b/>
          <w:sz w:val="20"/>
          <w:szCs w:val="20"/>
          <w:lang w:val="fr-CA"/>
        </w:rPr>
        <w:t>e juge en chef Wagner</w:t>
      </w:r>
      <w:r w:rsidRPr="00C04776">
        <w:rPr>
          <w:b/>
          <w:sz w:val="20"/>
          <w:szCs w:val="20"/>
          <w:lang w:val="fr-CA"/>
        </w:rPr>
        <w:t xml:space="preserve"> et les juges</w:t>
      </w:r>
      <w:r w:rsidR="00195F99" w:rsidRPr="00C04776">
        <w:rPr>
          <w:b/>
          <w:sz w:val="20"/>
          <w:szCs w:val="20"/>
          <w:lang w:val="fr-CA"/>
        </w:rPr>
        <w:t xml:space="preserve"> Rowe et Martin</w:t>
      </w:r>
    </w:p>
    <w:p w:rsidR="00CB3520" w:rsidRPr="00C04776" w:rsidRDefault="00CB3520" w:rsidP="00CB3520">
      <w:pPr>
        <w:widowControl w:val="0"/>
        <w:rPr>
          <w:sz w:val="20"/>
          <w:szCs w:val="20"/>
          <w:lang w:val="fr-CA"/>
        </w:rPr>
      </w:pPr>
    </w:p>
    <w:p w:rsidR="00CB3520" w:rsidRPr="00C04776" w:rsidRDefault="000A53D5" w:rsidP="00CB3520">
      <w:pPr>
        <w:pStyle w:val="ListParagraph"/>
        <w:widowControl w:val="0"/>
        <w:numPr>
          <w:ilvl w:val="0"/>
          <w:numId w:val="1"/>
        </w:numPr>
        <w:ind w:hanging="720"/>
        <w:jc w:val="both"/>
        <w:rPr>
          <w:sz w:val="20"/>
          <w:szCs w:val="20"/>
        </w:rPr>
      </w:pPr>
      <w:r w:rsidRPr="00C04776">
        <w:rPr>
          <w:i/>
          <w:sz w:val="20"/>
          <w:szCs w:val="20"/>
          <w:lang w:val="fr-CA"/>
        </w:rPr>
        <w:t xml:space="preserve">Randy </w:t>
      </w:r>
      <w:proofErr w:type="spellStart"/>
      <w:r w:rsidRPr="00C04776">
        <w:rPr>
          <w:i/>
          <w:sz w:val="20"/>
          <w:szCs w:val="20"/>
          <w:lang w:val="fr-CA"/>
        </w:rPr>
        <w:t>Misir</w:t>
      </w:r>
      <w:proofErr w:type="spellEnd"/>
      <w:r w:rsidRPr="00C04776">
        <w:rPr>
          <w:i/>
          <w:sz w:val="20"/>
          <w:szCs w:val="20"/>
          <w:lang w:val="fr-CA"/>
        </w:rPr>
        <w:t xml:space="preserve"> v. </w:t>
      </w:r>
      <w:proofErr w:type="spellStart"/>
      <w:r w:rsidRPr="00C04776">
        <w:rPr>
          <w:i/>
          <w:sz w:val="20"/>
          <w:szCs w:val="20"/>
          <w:lang w:val="fr-CA"/>
        </w:rPr>
        <w:t>Geree</w:t>
      </w:r>
      <w:proofErr w:type="spellEnd"/>
      <w:r w:rsidRPr="00C04776">
        <w:rPr>
          <w:i/>
          <w:sz w:val="20"/>
          <w:szCs w:val="20"/>
          <w:lang w:val="fr-CA"/>
        </w:rPr>
        <w:t xml:space="preserve"> </w:t>
      </w:r>
      <w:proofErr w:type="spellStart"/>
      <w:r w:rsidRPr="00C04776">
        <w:rPr>
          <w:i/>
          <w:sz w:val="20"/>
          <w:szCs w:val="20"/>
          <w:lang w:val="fr-CA"/>
        </w:rPr>
        <w:t>Misir</w:t>
      </w:r>
      <w:proofErr w:type="spellEnd"/>
      <w:r w:rsidRPr="00C04776">
        <w:rPr>
          <w:i/>
          <w:sz w:val="20"/>
          <w:szCs w:val="20"/>
          <w:lang w:val="fr-CA"/>
        </w:rPr>
        <w:t xml:space="preserve"> et al.</w:t>
      </w:r>
      <w:r w:rsidR="00CB3520" w:rsidRPr="00C04776">
        <w:rPr>
          <w:sz w:val="20"/>
          <w:szCs w:val="20"/>
          <w:lang w:val="fr-CA"/>
        </w:rPr>
        <w:t xml:space="preserve"> (</w:t>
      </w:r>
      <w:r w:rsidRPr="00C04776">
        <w:rPr>
          <w:sz w:val="20"/>
          <w:szCs w:val="20"/>
          <w:lang w:val="fr-CA"/>
        </w:rPr>
        <w:t>Ont.</w:t>
      </w:r>
      <w:r w:rsidR="00CB3520" w:rsidRPr="00C04776">
        <w:rPr>
          <w:sz w:val="20"/>
          <w:szCs w:val="20"/>
          <w:lang w:val="fr-CA"/>
        </w:rPr>
        <w:t xml:space="preserve">) </w:t>
      </w:r>
      <w:r w:rsidRPr="00C04776">
        <w:rPr>
          <w:sz w:val="20"/>
          <w:szCs w:val="20"/>
        </w:rPr>
        <w:t>(</w:t>
      </w:r>
      <w:proofErr w:type="spellStart"/>
      <w:r w:rsidRPr="00C04776">
        <w:rPr>
          <w:sz w:val="20"/>
          <w:szCs w:val="20"/>
        </w:rPr>
        <w:t>Civirl</w:t>
      </w:r>
      <w:proofErr w:type="spellEnd"/>
      <w:r w:rsidR="00CB3520" w:rsidRPr="00C04776">
        <w:rPr>
          <w:sz w:val="20"/>
          <w:szCs w:val="20"/>
        </w:rPr>
        <w:t>) (By Leave) (</w:t>
      </w:r>
      <w:r w:rsidRPr="00C04776">
        <w:rPr>
          <w:sz w:val="20"/>
          <w:szCs w:val="20"/>
        </w:rPr>
        <w:t>38080</w:t>
      </w:r>
      <w:r w:rsidR="00CB3520" w:rsidRPr="00C04776">
        <w:rPr>
          <w:sz w:val="20"/>
          <w:szCs w:val="20"/>
        </w:rPr>
        <w:t>)</w:t>
      </w:r>
    </w:p>
    <w:p w:rsidR="00CB3520" w:rsidRPr="00C04776" w:rsidRDefault="00CB3520" w:rsidP="00CB3520">
      <w:pPr>
        <w:widowControl w:val="0"/>
        <w:jc w:val="both"/>
        <w:rPr>
          <w:sz w:val="20"/>
          <w:szCs w:val="20"/>
        </w:rPr>
      </w:pPr>
    </w:p>
    <w:p w:rsidR="00CB3520" w:rsidRPr="00C04776" w:rsidRDefault="000A53D5" w:rsidP="00CB3520">
      <w:pPr>
        <w:pStyle w:val="ListParagraph"/>
        <w:widowControl w:val="0"/>
        <w:numPr>
          <w:ilvl w:val="0"/>
          <w:numId w:val="1"/>
        </w:numPr>
        <w:ind w:hanging="720"/>
        <w:jc w:val="both"/>
        <w:rPr>
          <w:sz w:val="20"/>
          <w:szCs w:val="20"/>
          <w:lang w:val="fr-CA"/>
        </w:rPr>
      </w:pPr>
      <w:r w:rsidRPr="00C04776">
        <w:rPr>
          <w:i/>
          <w:sz w:val="20"/>
          <w:szCs w:val="20"/>
          <w:lang w:val="fr-CA"/>
        </w:rPr>
        <w:t>3563308 Canada inc. (Héritage Terrebonne) c. Procureure générale du Québec, en sa qualité de ministère du Développement durable, de l’Environnement, de la Faune et des Parcs</w:t>
      </w:r>
      <w:r w:rsidR="00CB3520" w:rsidRPr="00C04776">
        <w:rPr>
          <w:sz w:val="20"/>
          <w:szCs w:val="20"/>
          <w:lang w:val="fr-CA"/>
        </w:rPr>
        <w:t xml:space="preserve"> (</w:t>
      </w:r>
      <w:r w:rsidRPr="00C04776">
        <w:rPr>
          <w:sz w:val="20"/>
          <w:szCs w:val="20"/>
          <w:lang w:val="fr-CA"/>
        </w:rPr>
        <w:t>Qc</w:t>
      </w:r>
      <w:r w:rsidR="00CB3520" w:rsidRPr="00C04776">
        <w:rPr>
          <w:sz w:val="20"/>
          <w:szCs w:val="20"/>
          <w:lang w:val="fr-CA"/>
        </w:rPr>
        <w:t>) (Civil</w:t>
      </w:r>
      <w:r w:rsidRPr="00C04776">
        <w:rPr>
          <w:sz w:val="20"/>
          <w:szCs w:val="20"/>
          <w:lang w:val="fr-CA"/>
        </w:rPr>
        <w:t>e</w:t>
      </w:r>
      <w:r w:rsidR="00CB3520" w:rsidRPr="00C04776">
        <w:rPr>
          <w:sz w:val="20"/>
          <w:szCs w:val="20"/>
          <w:lang w:val="fr-CA"/>
        </w:rPr>
        <w:t>) (</w:t>
      </w:r>
      <w:r w:rsidRPr="00C04776">
        <w:rPr>
          <w:sz w:val="20"/>
          <w:szCs w:val="20"/>
          <w:lang w:val="fr-CA"/>
        </w:rPr>
        <w:t>Autorisation</w:t>
      </w:r>
      <w:r w:rsidR="00CB3520" w:rsidRPr="00C04776">
        <w:rPr>
          <w:sz w:val="20"/>
          <w:szCs w:val="20"/>
          <w:lang w:val="fr-CA"/>
        </w:rPr>
        <w:t>)</w:t>
      </w:r>
      <w:r w:rsidRPr="00C04776">
        <w:rPr>
          <w:sz w:val="20"/>
          <w:szCs w:val="20"/>
          <w:lang w:val="fr-CA"/>
        </w:rPr>
        <w:t xml:space="preserve"> (38020</w:t>
      </w:r>
      <w:r w:rsidR="00CB3520" w:rsidRPr="00C04776">
        <w:rPr>
          <w:sz w:val="20"/>
          <w:szCs w:val="20"/>
          <w:lang w:val="fr-CA"/>
        </w:rPr>
        <w:t>)</w:t>
      </w:r>
    </w:p>
    <w:p w:rsidR="00CB3520" w:rsidRPr="00C04776" w:rsidRDefault="00CB3520" w:rsidP="00CB3520">
      <w:pPr>
        <w:widowControl w:val="0"/>
        <w:rPr>
          <w:sz w:val="20"/>
          <w:szCs w:val="20"/>
          <w:lang w:val="fr-CA"/>
        </w:rPr>
      </w:pPr>
    </w:p>
    <w:p w:rsidR="00CB3520" w:rsidRPr="00C04776" w:rsidRDefault="00CB3520" w:rsidP="00CB3520">
      <w:pPr>
        <w:widowControl w:val="0"/>
        <w:rPr>
          <w:sz w:val="20"/>
          <w:szCs w:val="20"/>
          <w:lang w:val="fr-CA"/>
        </w:rPr>
      </w:pPr>
    </w:p>
    <w:p w:rsidR="00CB3520" w:rsidRPr="00C04776" w:rsidRDefault="00CB3520" w:rsidP="00CB3520">
      <w:pPr>
        <w:widowControl w:val="0"/>
        <w:jc w:val="center"/>
        <w:rPr>
          <w:b/>
          <w:sz w:val="20"/>
          <w:szCs w:val="20"/>
          <w:lang w:val="en-US"/>
        </w:rPr>
      </w:pPr>
      <w:r w:rsidRPr="00C04776">
        <w:rPr>
          <w:b/>
          <w:sz w:val="20"/>
          <w:szCs w:val="20"/>
          <w:lang w:val="en-US"/>
        </w:rPr>
        <w:t xml:space="preserve">CORAM: </w:t>
      </w:r>
      <w:r w:rsidR="00FA3373" w:rsidRPr="00C04776">
        <w:rPr>
          <w:b/>
          <w:sz w:val="20"/>
          <w:szCs w:val="20"/>
          <w:lang w:val="en-US"/>
        </w:rPr>
        <w:t>Abella</w:t>
      </w:r>
      <w:r w:rsidRPr="00C04776">
        <w:rPr>
          <w:b/>
          <w:sz w:val="20"/>
          <w:szCs w:val="20"/>
          <w:lang w:val="en-US"/>
        </w:rPr>
        <w:t xml:space="preserve">, </w:t>
      </w:r>
      <w:r w:rsidR="00195F99" w:rsidRPr="00C04776">
        <w:rPr>
          <w:b/>
          <w:sz w:val="20"/>
          <w:szCs w:val="20"/>
          <w:lang w:val="en-US"/>
        </w:rPr>
        <w:t>Gascon</w:t>
      </w:r>
      <w:r w:rsidRPr="00C04776">
        <w:rPr>
          <w:b/>
          <w:sz w:val="20"/>
          <w:szCs w:val="20"/>
          <w:lang w:val="en-US"/>
        </w:rPr>
        <w:t xml:space="preserve"> and </w:t>
      </w:r>
      <w:r w:rsidR="00E942C2" w:rsidRPr="00C04776">
        <w:rPr>
          <w:b/>
          <w:sz w:val="20"/>
          <w:szCs w:val="20"/>
          <w:lang w:val="en-US"/>
        </w:rPr>
        <w:t>Brown</w:t>
      </w:r>
      <w:r w:rsidRPr="00C04776">
        <w:rPr>
          <w:b/>
          <w:sz w:val="20"/>
          <w:szCs w:val="20"/>
          <w:lang w:val="en-US"/>
        </w:rPr>
        <w:t xml:space="preserve"> JJ.</w:t>
      </w:r>
    </w:p>
    <w:p w:rsidR="00CB3520" w:rsidRPr="00C04776" w:rsidRDefault="00CB3520" w:rsidP="00CB3520">
      <w:pPr>
        <w:widowControl w:val="0"/>
        <w:jc w:val="center"/>
        <w:rPr>
          <w:b/>
          <w:sz w:val="20"/>
          <w:szCs w:val="20"/>
          <w:lang w:val="fr-CA"/>
        </w:rPr>
      </w:pPr>
      <w:r w:rsidRPr="00C04776">
        <w:rPr>
          <w:b/>
          <w:sz w:val="20"/>
          <w:szCs w:val="20"/>
          <w:lang w:val="fr-CA"/>
        </w:rPr>
        <w:t xml:space="preserve">Les juges </w:t>
      </w:r>
      <w:r w:rsidR="00FA3373" w:rsidRPr="00C04776">
        <w:rPr>
          <w:b/>
          <w:sz w:val="20"/>
          <w:szCs w:val="20"/>
          <w:lang w:val="fr-CA"/>
        </w:rPr>
        <w:t>Abella</w:t>
      </w:r>
      <w:r w:rsidRPr="00C04776">
        <w:rPr>
          <w:b/>
          <w:sz w:val="20"/>
          <w:szCs w:val="20"/>
          <w:lang w:val="fr-CA"/>
        </w:rPr>
        <w:t xml:space="preserve">, </w:t>
      </w:r>
      <w:r w:rsidR="00195F99" w:rsidRPr="00C04776">
        <w:rPr>
          <w:b/>
          <w:sz w:val="20"/>
          <w:szCs w:val="20"/>
          <w:lang w:val="fr-CA"/>
        </w:rPr>
        <w:t>Gascon</w:t>
      </w:r>
      <w:r w:rsidRPr="00C04776">
        <w:rPr>
          <w:b/>
          <w:sz w:val="20"/>
          <w:szCs w:val="20"/>
          <w:lang w:val="fr-CA"/>
        </w:rPr>
        <w:t xml:space="preserve"> et </w:t>
      </w:r>
      <w:r w:rsidR="00E942C2" w:rsidRPr="00C04776">
        <w:rPr>
          <w:b/>
          <w:sz w:val="20"/>
          <w:szCs w:val="20"/>
          <w:lang w:val="fr-CA"/>
        </w:rPr>
        <w:t>Brown</w:t>
      </w:r>
    </w:p>
    <w:p w:rsidR="00CB3520" w:rsidRPr="00C04776" w:rsidRDefault="00CB3520" w:rsidP="00CB3520">
      <w:pPr>
        <w:widowControl w:val="0"/>
        <w:jc w:val="both"/>
        <w:rPr>
          <w:sz w:val="20"/>
          <w:szCs w:val="20"/>
          <w:lang w:val="fr-CA"/>
        </w:rPr>
      </w:pPr>
    </w:p>
    <w:p w:rsidR="00CB3520" w:rsidRPr="00C04776" w:rsidRDefault="000A53D5" w:rsidP="00CB3520">
      <w:pPr>
        <w:pStyle w:val="ListParagraph"/>
        <w:widowControl w:val="0"/>
        <w:numPr>
          <w:ilvl w:val="0"/>
          <w:numId w:val="1"/>
        </w:numPr>
        <w:ind w:hanging="720"/>
        <w:jc w:val="both"/>
        <w:rPr>
          <w:sz w:val="20"/>
          <w:szCs w:val="20"/>
          <w:lang w:val="en-US"/>
        </w:rPr>
      </w:pPr>
      <w:r w:rsidRPr="00C04776">
        <w:rPr>
          <w:i/>
          <w:sz w:val="20"/>
          <w:szCs w:val="20"/>
          <w:lang w:val="fr-CA"/>
        </w:rPr>
        <w:t xml:space="preserve">Albert </w:t>
      </w:r>
      <w:proofErr w:type="spellStart"/>
      <w:r w:rsidRPr="00C04776">
        <w:rPr>
          <w:i/>
          <w:sz w:val="20"/>
          <w:szCs w:val="20"/>
          <w:lang w:val="fr-CA"/>
        </w:rPr>
        <w:t>Duterville</w:t>
      </w:r>
      <w:proofErr w:type="spellEnd"/>
      <w:r w:rsidRPr="00C04776">
        <w:rPr>
          <w:i/>
          <w:sz w:val="20"/>
          <w:szCs w:val="20"/>
          <w:lang w:val="fr-CA"/>
        </w:rPr>
        <w:t xml:space="preserve"> c. D. Ian Glen et autre</w:t>
      </w:r>
      <w:r w:rsidR="007D0B41" w:rsidRPr="00C04776">
        <w:rPr>
          <w:i/>
          <w:sz w:val="20"/>
          <w:szCs w:val="20"/>
          <w:lang w:val="fr-CA"/>
        </w:rPr>
        <w:t>s</w:t>
      </w:r>
      <w:r w:rsidR="00CB3520" w:rsidRPr="00C04776">
        <w:rPr>
          <w:sz w:val="20"/>
          <w:szCs w:val="20"/>
          <w:lang w:val="fr-CA"/>
        </w:rPr>
        <w:t xml:space="preserve"> (</w:t>
      </w:r>
      <w:r w:rsidRPr="00C04776">
        <w:rPr>
          <w:sz w:val="20"/>
          <w:szCs w:val="20"/>
          <w:lang w:val="fr-CA"/>
        </w:rPr>
        <w:t>C.F.</w:t>
      </w:r>
      <w:r w:rsidR="00CB3520" w:rsidRPr="00C04776">
        <w:rPr>
          <w:sz w:val="20"/>
          <w:szCs w:val="20"/>
          <w:lang w:val="fr-CA"/>
        </w:rPr>
        <w:t xml:space="preserve">) </w:t>
      </w:r>
      <w:r w:rsidR="00CB3520" w:rsidRPr="00C04776">
        <w:rPr>
          <w:sz w:val="20"/>
          <w:szCs w:val="20"/>
        </w:rPr>
        <w:t>(Civil</w:t>
      </w:r>
      <w:r w:rsidRPr="00C04776">
        <w:rPr>
          <w:sz w:val="20"/>
          <w:szCs w:val="20"/>
        </w:rPr>
        <w:t>e</w:t>
      </w:r>
      <w:r w:rsidR="00CB3520" w:rsidRPr="00C04776">
        <w:rPr>
          <w:sz w:val="20"/>
          <w:szCs w:val="20"/>
        </w:rPr>
        <w:t>) (</w:t>
      </w:r>
      <w:r w:rsidRPr="00C04776">
        <w:rPr>
          <w:sz w:val="20"/>
          <w:szCs w:val="20"/>
        </w:rPr>
        <w:t>Autorisation</w:t>
      </w:r>
      <w:r w:rsidR="00CB3520" w:rsidRPr="00C04776">
        <w:rPr>
          <w:sz w:val="20"/>
          <w:szCs w:val="20"/>
        </w:rPr>
        <w:t>)</w:t>
      </w:r>
      <w:r w:rsidR="00CB3520" w:rsidRPr="00C04776">
        <w:rPr>
          <w:sz w:val="20"/>
          <w:szCs w:val="20"/>
          <w:lang w:val="en-US"/>
        </w:rPr>
        <w:t xml:space="preserve"> (3</w:t>
      </w:r>
      <w:r w:rsidRPr="00C04776">
        <w:rPr>
          <w:sz w:val="20"/>
          <w:szCs w:val="20"/>
          <w:lang w:val="en-US"/>
        </w:rPr>
        <w:t>7911</w:t>
      </w:r>
      <w:r w:rsidR="00CB3520" w:rsidRPr="00C04776">
        <w:rPr>
          <w:sz w:val="20"/>
          <w:szCs w:val="20"/>
          <w:lang w:val="en-US"/>
        </w:rPr>
        <w:t>)</w:t>
      </w:r>
    </w:p>
    <w:p w:rsidR="00CB3520" w:rsidRPr="00C04776" w:rsidRDefault="00CB3520" w:rsidP="00CB3520">
      <w:pPr>
        <w:widowControl w:val="0"/>
        <w:jc w:val="both"/>
        <w:rPr>
          <w:sz w:val="20"/>
          <w:szCs w:val="20"/>
          <w:lang w:val="en-US"/>
        </w:rPr>
      </w:pPr>
    </w:p>
    <w:p w:rsidR="00CB3520" w:rsidRPr="00C04776" w:rsidRDefault="000A53D5" w:rsidP="00CB3520">
      <w:pPr>
        <w:pStyle w:val="ListParagraph"/>
        <w:widowControl w:val="0"/>
        <w:numPr>
          <w:ilvl w:val="0"/>
          <w:numId w:val="1"/>
        </w:numPr>
        <w:ind w:hanging="720"/>
        <w:jc w:val="both"/>
        <w:rPr>
          <w:sz w:val="20"/>
          <w:szCs w:val="20"/>
          <w:lang w:val="en-US"/>
        </w:rPr>
      </w:pPr>
      <w:r w:rsidRPr="00C04776">
        <w:rPr>
          <w:i/>
          <w:sz w:val="20"/>
          <w:szCs w:val="20"/>
          <w:lang w:val="en-US"/>
        </w:rPr>
        <w:t>Arbutus Bay Estates Ltd. v. Attorney General of Canada et al.</w:t>
      </w:r>
      <w:r w:rsidR="00CB3520" w:rsidRPr="00C04776">
        <w:rPr>
          <w:sz w:val="20"/>
          <w:szCs w:val="20"/>
          <w:lang w:val="en-US"/>
        </w:rPr>
        <w:t xml:space="preserve"> (</w:t>
      </w:r>
      <w:r w:rsidRPr="00C04776">
        <w:rPr>
          <w:sz w:val="20"/>
          <w:szCs w:val="20"/>
          <w:lang w:val="en-US"/>
        </w:rPr>
        <w:t>B.C</w:t>
      </w:r>
      <w:r w:rsidR="00CB3520" w:rsidRPr="00C04776">
        <w:rPr>
          <w:sz w:val="20"/>
          <w:szCs w:val="20"/>
          <w:lang w:val="en-US"/>
        </w:rPr>
        <w:t>.) (Civil) (By Leave) (</w:t>
      </w:r>
      <w:r w:rsidRPr="00C04776">
        <w:rPr>
          <w:sz w:val="20"/>
          <w:szCs w:val="20"/>
          <w:lang w:val="en-US"/>
        </w:rPr>
        <w:t>37892</w:t>
      </w:r>
      <w:r w:rsidR="00CB3520" w:rsidRPr="00C04776">
        <w:rPr>
          <w:sz w:val="20"/>
          <w:szCs w:val="20"/>
          <w:lang w:val="en-US"/>
        </w:rPr>
        <w:t>)</w:t>
      </w:r>
    </w:p>
    <w:p w:rsidR="00CB3520" w:rsidRPr="00C04776" w:rsidRDefault="00CB3520" w:rsidP="00CB3520">
      <w:pPr>
        <w:widowControl w:val="0"/>
        <w:jc w:val="both"/>
        <w:rPr>
          <w:sz w:val="20"/>
          <w:szCs w:val="20"/>
          <w:lang w:val="en-US"/>
        </w:rPr>
      </w:pPr>
    </w:p>
    <w:p w:rsidR="00CB3520" w:rsidRPr="00C04776" w:rsidRDefault="00CB3520" w:rsidP="00CB3520">
      <w:pPr>
        <w:widowControl w:val="0"/>
        <w:jc w:val="both"/>
        <w:rPr>
          <w:sz w:val="20"/>
          <w:szCs w:val="20"/>
          <w:lang w:val="en-US"/>
        </w:rPr>
      </w:pPr>
    </w:p>
    <w:p w:rsidR="00CB3520" w:rsidRPr="00C04776" w:rsidRDefault="00CB3520" w:rsidP="00CB3520">
      <w:pPr>
        <w:widowControl w:val="0"/>
        <w:jc w:val="center"/>
        <w:rPr>
          <w:b/>
          <w:sz w:val="20"/>
          <w:szCs w:val="20"/>
        </w:rPr>
      </w:pPr>
      <w:r w:rsidRPr="00C04776">
        <w:rPr>
          <w:b/>
          <w:sz w:val="20"/>
          <w:szCs w:val="20"/>
        </w:rPr>
        <w:t xml:space="preserve">CORAM: </w:t>
      </w:r>
      <w:r w:rsidR="00253236" w:rsidRPr="00C04776">
        <w:rPr>
          <w:b/>
          <w:sz w:val="20"/>
          <w:szCs w:val="20"/>
        </w:rPr>
        <w:t>Moldaver</w:t>
      </w:r>
      <w:r w:rsidR="00E942C2" w:rsidRPr="00C04776">
        <w:rPr>
          <w:b/>
          <w:sz w:val="20"/>
          <w:szCs w:val="20"/>
        </w:rPr>
        <w:t xml:space="preserve">, </w:t>
      </w:r>
      <w:r w:rsidR="00195F99" w:rsidRPr="00C04776">
        <w:rPr>
          <w:b/>
          <w:sz w:val="20"/>
          <w:szCs w:val="20"/>
        </w:rPr>
        <w:t xml:space="preserve">Karakatsanis and </w:t>
      </w:r>
      <w:r w:rsidR="00253236" w:rsidRPr="00C04776">
        <w:rPr>
          <w:b/>
          <w:sz w:val="20"/>
          <w:szCs w:val="20"/>
        </w:rPr>
        <w:t>Côté</w:t>
      </w:r>
      <w:r w:rsidR="00195F99" w:rsidRPr="00C04776">
        <w:rPr>
          <w:b/>
          <w:sz w:val="20"/>
          <w:szCs w:val="20"/>
        </w:rPr>
        <w:t xml:space="preserve"> </w:t>
      </w:r>
      <w:r w:rsidRPr="00C04776">
        <w:rPr>
          <w:b/>
          <w:sz w:val="20"/>
          <w:szCs w:val="20"/>
        </w:rPr>
        <w:t>JJ.</w:t>
      </w:r>
    </w:p>
    <w:p w:rsidR="00CB3520" w:rsidRPr="00C04776" w:rsidRDefault="00CB3520" w:rsidP="00CB3520">
      <w:pPr>
        <w:widowControl w:val="0"/>
        <w:jc w:val="center"/>
        <w:rPr>
          <w:b/>
          <w:sz w:val="20"/>
          <w:szCs w:val="20"/>
          <w:lang w:val="fr-CA"/>
        </w:rPr>
      </w:pPr>
      <w:r w:rsidRPr="00C04776">
        <w:rPr>
          <w:b/>
          <w:sz w:val="20"/>
          <w:szCs w:val="20"/>
          <w:lang w:val="fr-CA"/>
        </w:rPr>
        <w:t xml:space="preserve">Les juges </w:t>
      </w:r>
      <w:r w:rsidR="00253236" w:rsidRPr="00C04776">
        <w:rPr>
          <w:b/>
          <w:sz w:val="20"/>
          <w:szCs w:val="20"/>
          <w:lang w:val="fr-CA"/>
        </w:rPr>
        <w:t>Moldaver</w:t>
      </w:r>
      <w:r w:rsidR="00E942C2" w:rsidRPr="00C04776">
        <w:rPr>
          <w:b/>
          <w:sz w:val="20"/>
          <w:szCs w:val="20"/>
          <w:lang w:val="fr-CA"/>
        </w:rPr>
        <w:t xml:space="preserve">, </w:t>
      </w:r>
      <w:r w:rsidR="00195F99" w:rsidRPr="00C04776">
        <w:rPr>
          <w:b/>
          <w:sz w:val="20"/>
          <w:szCs w:val="20"/>
          <w:lang w:val="fr-CA"/>
        </w:rPr>
        <w:t xml:space="preserve">Karakatsanis et </w:t>
      </w:r>
      <w:r w:rsidR="00253236" w:rsidRPr="00C04776">
        <w:rPr>
          <w:b/>
          <w:sz w:val="20"/>
          <w:szCs w:val="20"/>
          <w:lang w:val="fr-CA"/>
        </w:rPr>
        <w:t>Côté</w:t>
      </w:r>
    </w:p>
    <w:p w:rsidR="00CB3520" w:rsidRPr="00C04776" w:rsidRDefault="00CB3520" w:rsidP="00CB3520">
      <w:pPr>
        <w:widowControl w:val="0"/>
        <w:jc w:val="both"/>
        <w:rPr>
          <w:sz w:val="20"/>
          <w:szCs w:val="20"/>
          <w:lang w:val="fr-CA"/>
        </w:rPr>
      </w:pPr>
    </w:p>
    <w:p w:rsidR="00CB3520" w:rsidRPr="00C04776" w:rsidRDefault="000A53D5" w:rsidP="00CB3520">
      <w:pPr>
        <w:pStyle w:val="ListParagraph"/>
        <w:widowControl w:val="0"/>
        <w:numPr>
          <w:ilvl w:val="0"/>
          <w:numId w:val="1"/>
        </w:numPr>
        <w:ind w:hanging="720"/>
        <w:jc w:val="both"/>
        <w:rPr>
          <w:sz w:val="20"/>
          <w:szCs w:val="20"/>
        </w:rPr>
      </w:pPr>
      <w:r w:rsidRPr="00C04776">
        <w:rPr>
          <w:i/>
          <w:sz w:val="20"/>
          <w:szCs w:val="20"/>
        </w:rPr>
        <w:t>Her Majesty the Queen v. Dean Daniel Kelsie</w:t>
      </w:r>
      <w:r w:rsidR="00CB3520" w:rsidRPr="00C04776">
        <w:rPr>
          <w:sz w:val="20"/>
          <w:szCs w:val="20"/>
        </w:rPr>
        <w:t xml:space="preserve"> (</w:t>
      </w:r>
      <w:r w:rsidRPr="00C04776">
        <w:rPr>
          <w:sz w:val="20"/>
          <w:szCs w:val="20"/>
        </w:rPr>
        <w:t>N.S.) (Criminal</w:t>
      </w:r>
      <w:r w:rsidR="00CB3520" w:rsidRPr="00C04776">
        <w:rPr>
          <w:sz w:val="20"/>
          <w:szCs w:val="20"/>
        </w:rPr>
        <w:t>) (By Leave) (</w:t>
      </w:r>
      <w:r w:rsidRPr="00C04776">
        <w:rPr>
          <w:sz w:val="20"/>
          <w:szCs w:val="20"/>
        </w:rPr>
        <w:t>38129</w:t>
      </w:r>
      <w:r w:rsidR="00CB3520" w:rsidRPr="00C04776">
        <w:rPr>
          <w:sz w:val="20"/>
          <w:szCs w:val="20"/>
        </w:rPr>
        <w:t>)</w:t>
      </w:r>
    </w:p>
    <w:p w:rsidR="00CB3520" w:rsidRPr="00C04776" w:rsidRDefault="00CB3520" w:rsidP="00CB3520">
      <w:pPr>
        <w:widowControl w:val="0"/>
        <w:jc w:val="both"/>
        <w:rPr>
          <w:sz w:val="20"/>
          <w:szCs w:val="20"/>
        </w:rPr>
      </w:pPr>
    </w:p>
    <w:p w:rsidR="00CB3520" w:rsidRPr="00C04776" w:rsidRDefault="000A53D5" w:rsidP="00CB3520">
      <w:pPr>
        <w:pStyle w:val="ListParagraph"/>
        <w:widowControl w:val="0"/>
        <w:numPr>
          <w:ilvl w:val="0"/>
          <w:numId w:val="1"/>
        </w:numPr>
        <w:ind w:hanging="720"/>
        <w:jc w:val="both"/>
        <w:rPr>
          <w:sz w:val="20"/>
          <w:szCs w:val="20"/>
        </w:rPr>
      </w:pPr>
      <w:proofErr w:type="spellStart"/>
      <w:r w:rsidRPr="00C04776">
        <w:rPr>
          <w:i/>
          <w:sz w:val="20"/>
          <w:szCs w:val="20"/>
        </w:rPr>
        <w:t>Jaspal</w:t>
      </w:r>
      <w:proofErr w:type="spellEnd"/>
      <w:r w:rsidRPr="00C04776">
        <w:rPr>
          <w:i/>
          <w:sz w:val="20"/>
          <w:szCs w:val="20"/>
        </w:rPr>
        <w:t xml:space="preserve"> </w:t>
      </w:r>
      <w:proofErr w:type="spellStart"/>
      <w:r w:rsidRPr="00C04776">
        <w:rPr>
          <w:i/>
          <w:sz w:val="20"/>
          <w:szCs w:val="20"/>
        </w:rPr>
        <w:t>Samra</w:t>
      </w:r>
      <w:proofErr w:type="spellEnd"/>
      <w:r w:rsidRPr="00C04776">
        <w:rPr>
          <w:i/>
          <w:sz w:val="20"/>
          <w:szCs w:val="20"/>
        </w:rPr>
        <w:t xml:space="preserve"> v. Keith </w:t>
      </w:r>
      <w:proofErr w:type="spellStart"/>
      <w:r w:rsidRPr="00C04776">
        <w:rPr>
          <w:i/>
          <w:sz w:val="20"/>
          <w:szCs w:val="20"/>
        </w:rPr>
        <w:t>Brennestuhl</w:t>
      </w:r>
      <w:proofErr w:type="spellEnd"/>
      <w:r w:rsidRPr="00C04776">
        <w:rPr>
          <w:i/>
          <w:sz w:val="20"/>
          <w:szCs w:val="20"/>
        </w:rPr>
        <w:t>; Human Rights Tribunal of Ontario et al.</w:t>
      </w:r>
      <w:r w:rsidR="00CB3520" w:rsidRPr="00C04776">
        <w:rPr>
          <w:sz w:val="20"/>
          <w:szCs w:val="20"/>
        </w:rPr>
        <w:t xml:space="preserve"> (Ont.) (Civil) (By Leave) </w:t>
      </w:r>
      <w:r w:rsidRPr="00C04776">
        <w:rPr>
          <w:sz w:val="20"/>
          <w:szCs w:val="20"/>
        </w:rPr>
        <w:t>(37979</w:t>
      </w:r>
      <w:r w:rsidR="00CB3520" w:rsidRPr="00C04776">
        <w:rPr>
          <w:sz w:val="20"/>
          <w:szCs w:val="20"/>
        </w:rPr>
        <w:t>)</w:t>
      </w:r>
    </w:p>
    <w:p w:rsidR="00CB3520" w:rsidRPr="00C04776" w:rsidRDefault="00CB3520" w:rsidP="00CB3520">
      <w:pPr>
        <w:widowControl w:val="0"/>
        <w:rPr>
          <w:i/>
          <w:sz w:val="20"/>
          <w:szCs w:val="20"/>
        </w:rPr>
      </w:pPr>
    </w:p>
    <w:p w:rsidR="002E2327" w:rsidRPr="00C04776" w:rsidRDefault="002E2327" w:rsidP="002E2327">
      <w:pPr>
        <w:widowControl w:val="0"/>
        <w:rPr>
          <w:sz w:val="20"/>
          <w:szCs w:val="20"/>
        </w:rPr>
      </w:pPr>
    </w:p>
    <w:p w:rsidR="002E2327" w:rsidRPr="00C04776" w:rsidRDefault="003D7763" w:rsidP="002E2327">
      <w:pPr>
        <w:widowControl w:val="0"/>
        <w:rPr>
          <w:sz w:val="20"/>
          <w:szCs w:val="20"/>
        </w:rPr>
      </w:pPr>
      <w:r>
        <w:rPr>
          <w:sz w:val="20"/>
          <w:szCs w:val="20"/>
        </w:rPr>
        <w:pict>
          <v:rect id="_x0000_i1041" style="width:2in;height:1pt" o:hrpct="0" o:hralign="center" o:hrstd="t" o:hrnoshade="t" o:hr="t" fillcolor="black [3213]" stroked="f"/>
        </w:pict>
      </w:r>
    </w:p>
    <w:p w:rsidR="00D94028" w:rsidRPr="00C04776" w:rsidRDefault="00D94028" w:rsidP="002E2327">
      <w:pPr>
        <w:widowControl w:val="0"/>
        <w:rPr>
          <w:sz w:val="20"/>
          <w:szCs w:val="20"/>
        </w:rPr>
      </w:pPr>
    </w:p>
    <w:p w:rsidR="00D94028" w:rsidRPr="00C04776" w:rsidRDefault="00D94028" w:rsidP="002E2327">
      <w:pPr>
        <w:widowControl w:val="0"/>
        <w:rPr>
          <w:sz w:val="20"/>
          <w:szCs w:val="20"/>
        </w:rPr>
      </w:pPr>
    </w:p>
    <w:p w:rsidR="00D94028" w:rsidRPr="00C04776" w:rsidRDefault="00D94028" w:rsidP="002E2327">
      <w:pPr>
        <w:widowControl w:val="0"/>
        <w:rPr>
          <w:sz w:val="20"/>
          <w:szCs w:val="20"/>
        </w:rPr>
      </w:pPr>
    </w:p>
    <w:p w:rsidR="0044776A" w:rsidRPr="00C04776" w:rsidRDefault="0044776A" w:rsidP="002E2327">
      <w:pPr>
        <w:widowControl w:val="0"/>
        <w:spacing w:line="0" w:lineRule="atLeast"/>
        <w:rPr>
          <w:sz w:val="20"/>
          <w:szCs w:val="20"/>
        </w:rPr>
        <w:sectPr w:rsidR="0044776A" w:rsidRPr="00C04776" w:rsidSect="0044776A">
          <w:headerReference w:type="default" r:id="rId14"/>
          <w:footerReference w:type="default" r:id="rId15"/>
          <w:headerReference w:type="first" r:id="rId16"/>
          <w:footerReference w:type="first" r:id="rId17"/>
          <w:pgSz w:w="12240" w:h="15840"/>
          <w:pgMar w:top="720" w:right="965" w:bottom="1080" w:left="1656" w:header="706" w:footer="706" w:gutter="0"/>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90FEB" w:rsidRPr="00C04776" w:rsidTr="00BA6468">
        <w:tc>
          <w:tcPr>
            <w:tcW w:w="4230" w:type="dxa"/>
            <w:shd w:val="clear" w:color="auto" w:fill="auto"/>
            <w:tcMar>
              <w:left w:w="0" w:type="dxa"/>
              <w:right w:w="0" w:type="dxa"/>
            </w:tcMar>
          </w:tcPr>
          <w:p w:rsidR="00890FEB" w:rsidRPr="00C04776" w:rsidRDefault="00890FEB" w:rsidP="00EB2B90">
            <w:pPr>
              <w:keepNext/>
              <w:keepLines/>
              <w:tabs>
                <w:tab w:val="left" w:pos="-1440"/>
                <w:tab w:val="left" w:pos="-720"/>
              </w:tabs>
              <w:jc w:val="both"/>
              <w:rPr>
                <w:szCs w:val="24"/>
              </w:rPr>
            </w:pPr>
            <w:bookmarkStart w:id="0" w:name="QuickMark_1"/>
            <w:bookmarkEnd w:id="0"/>
            <w:r w:rsidRPr="00C04776">
              <w:rPr>
                <w:b/>
                <w:szCs w:val="24"/>
              </w:rPr>
              <w:t>MOTIONS</w:t>
            </w:r>
          </w:p>
        </w:tc>
        <w:tc>
          <w:tcPr>
            <w:tcW w:w="1170" w:type="dxa"/>
            <w:shd w:val="clear" w:color="auto" w:fill="auto"/>
            <w:tcMar>
              <w:left w:w="0" w:type="dxa"/>
              <w:right w:w="0" w:type="dxa"/>
            </w:tcMar>
          </w:tcPr>
          <w:p w:rsidR="00890FEB" w:rsidRPr="00C04776" w:rsidRDefault="00890FEB" w:rsidP="00890FEB">
            <w:pPr>
              <w:keepNext/>
              <w:keepLines/>
              <w:tabs>
                <w:tab w:val="left" w:pos="-1440"/>
                <w:tab w:val="left" w:pos="-720"/>
              </w:tabs>
              <w:jc w:val="center"/>
              <w:rPr>
                <w:szCs w:val="24"/>
              </w:rPr>
            </w:pPr>
          </w:p>
          <w:p w:rsidR="00890FEB" w:rsidRPr="00C04776"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C04776" w:rsidRDefault="00890FEB" w:rsidP="00831CA9">
            <w:pPr>
              <w:keepNext/>
              <w:keepLines/>
              <w:tabs>
                <w:tab w:val="left" w:pos="-1440"/>
                <w:tab w:val="left" w:pos="-720"/>
              </w:tabs>
              <w:rPr>
                <w:szCs w:val="24"/>
              </w:rPr>
            </w:pPr>
            <w:r w:rsidRPr="00C04776">
              <w:rPr>
                <w:b/>
                <w:szCs w:val="24"/>
              </w:rPr>
              <w:t>REQUÊTES</w:t>
            </w:r>
          </w:p>
        </w:tc>
      </w:tr>
    </w:tbl>
    <w:p w:rsidR="00890FEB" w:rsidRPr="00C04776" w:rsidRDefault="00890FEB" w:rsidP="00890FEB">
      <w:pPr>
        <w:rPr>
          <w:sz w:val="20"/>
          <w:szCs w:val="20"/>
        </w:rPr>
      </w:pPr>
    </w:p>
    <w:p w:rsidR="00183454" w:rsidRPr="00C04776" w:rsidRDefault="0096525F" w:rsidP="00183454">
      <w:pPr>
        <w:tabs>
          <w:tab w:val="left" w:pos="-1440"/>
          <w:tab w:val="left" w:pos="-720"/>
        </w:tabs>
        <w:jc w:val="both"/>
        <w:rPr>
          <w:rFonts w:eastAsia="Times New Roman" w:cs="Times New Roman"/>
          <w:sz w:val="20"/>
          <w:szCs w:val="20"/>
          <w:lang w:eastAsia="en-CA"/>
        </w:rPr>
      </w:pPr>
      <w:r w:rsidRPr="00C04776">
        <w:rPr>
          <w:rFonts w:eastAsia="Times New Roman" w:cs="Times New Roman"/>
          <w:sz w:val="20"/>
          <w:szCs w:val="20"/>
          <w:lang w:eastAsia="en-CA"/>
        </w:rPr>
        <w:t>04</w:t>
      </w:r>
      <w:r w:rsidR="00183454" w:rsidRPr="00C04776">
        <w:rPr>
          <w:rFonts w:eastAsia="Times New Roman" w:cs="Times New Roman"/>
          <w:sz w:val="20"/>
          <w:szCs w:val="20"/>
          <w:lang w:eastAsia="en-CA"/>
        </w:rPr>
        <w:t>.0</w:t>
      </w:r>
      <w:r w:rsidRPr="00C04776">
        <w:rPr>
          <w:rFonts w:eastAsia="Times New Roman" w:cs="Times New Roman"/>
          <w:sz w:val="20"/>
          <w:szCs w:val="20"/>
          <w:lang w:eastAsia="en-CA"/>
        </w:rPr>
        <w:t>9</w:t>
      </w:r>
      <w:r w:rsidR="00183454" w:rsidRPr="00C04776">
        <w:rPr>
          <w:rFonts w:eastAsia="Times New Roman" w:cs="Times New Roman"/>
          <w:sz w:val="20"/>
          <w:szCs w:val="20"/>
          <w:lang w:eastAsia="en-CA"/>
        </w:rPr>
        <w:t>.201</w:t>
      </w:r>
      <w:r w:rsidR="00C406CA" w:rsidRPr="00C04776">
        <w:rPr>
          <w:rFonts w:eastAsia="Times New Roman" w:cs="Times New Roman"/>
          <w:sz w:val="20"/>
          <w:szCs w:val="20"/>
          <w:lang w:eastAsia="en-CA"/>
        </w:rPr>
        <w:t>8</w:t>
      </w:r>
    </w:p>
    <w:p w:rsidR="00183454" w:rsidRPr="00C04776" w:rsidRDefault="00183454" w:rsidP="00183454">
      <w:pPr>
        <w:tabs>
          <w:tab w:val="left" w:pos="-1440"/>
          <w:tab w:val="left" w:pos="-720"/>
        </w:tabs>
        <w:jc w:val="both"/>
        <w:rPr>
          <w:rFonts w:eastAsia="Times New Roman" w:cs="Times New Roman"/>
          <w:sz w:val="20"/>
          <w:szCs w:val="20"/>
          <w:lang w:eastAsia="en-CA"/>
        </w:rPr>
      </w:pPr>
    </w:p>
    <w:p w:rsidR="00183454" w:rsidRPr="00C04776" w:rsidRDefault="00183454" w:rsidP="00183454">
      <w:pPr>
        <w:tabs>
          <w:tab w:val="left" w:pos="-1440"/>
          <w:tab w:val="left" w:pos="-720"/>
        </w:tabs>
        <w:jc w:val="both"/>
        <w:rPr>
          <w:rFonts w:eastAsia="Times New Roman" w:cs="Times New Roman"/>
          <w:sz w:val="20"/>
          <w:szCs w:val="20"/>
          <w:lang w:val="fr-CA" w:eastAsia="en-CA"/>
        </w:rPr>
      </w:pPr>
      <w:r w:rsidRPr="00C04776">
        <w:rPr>
          <w:rFonts w:eastAsia="Times New Roman" w:cs="Times New Roman"/>
          <w:sz w:val="20"/>
          <w:szCs w:val="20"/>
          <w:lang w:val="fr-CA" w:eastAsia="en-CA"/>
        </w:rPr>
        <w:t xml:space="preserve">Before / Devant :   </w:t>
      </w:r>
      <w:r w:rsidR="0096525F" w:rsidRPr="00C04776">
        <w:rPr>
          <w:rFonts w:eastAsia="Times New Roman" w:cs="Times New Roman"/>
          <w:sz w:val="20"/>
          <w:szCs w:val="20"/>
          <w:lang w:val="fr-CA" w:eastAsia="en-CA"/>
        </w:rPr>
        <w:t>MOLDA</w:t>
      </w:r>
      <w:r w:rsidR="00B10B1A" w:rsidRPr="00C04776">
        <w:rPr>
          <w:rFonts w:eastAsia="Times New Roman" w:cs="Times New Roman"/>
          <w:sz w:val="20"/>
          <w:szCs w:val="20"/>
          <w:lang w:val="fr-CA" w:eastAsia="en-CA"/>
        </w:rPr>
        <w:t>V</w:t>
      </w:r>
      <w:r w:rsidR="0096525F" w:rsidRPr="00C04776">
        <w:rPr>
          <w:rFonts w:eastAsia="Times New Roman" w:cs="Times New Roman"/>
          <w:sz w:val="20"/>
          <w:szCs w:val="20"/>
          <w:lang w:val="fr-CA" w:eastAsia="en-CA"/>
        </w:rPr>
        <w:t>ER</w:t>
      </w:r>
      <w:r w:rsidR="00E942C2" w:rsidRPr="00C04776">
        <w:rPr>
          <w:rFonts w:eastAsia="Times New Roman" w:cs="Times New Roman"/>
          <w:sz w:val="20"/>
          <w:szCs w:val="20"/>
          <w:lang w:val="fr-CA" w:eastAsia="en-CA"/>
        </w:rPr>
        <w:t xml:space="preserve"> </w:t>
      </w:r>
      <w:r w:rsidRPr="00C04776">
        <w:rPr>
          <w:rFonts w:eastAsia="Times New Roman" w:cs="Times New Roman"/>
          <w:sz w:val="20"/>
          <w:szCs w:val="20"/>
          <w:lang w:val="fr-CA" w:eastAsia="en-CA"/>
        </w:rPr>
        <w:t>J. / L</w:t>
      </w:r>
      <w:r w:rsidR="0096525F" w:rsidRPr="00C04776">
        <w:rPr>
          <w:rFonts w:eastAsia="Times New Roman" w:cs="Times New Roman"/>
          <w:sz w:val="20"/>
          <w:szCs w:val="20"/>
          <w:lang w:val="fr-CA" w:eastAsia="en-CA"/>
        </w:rPr>
        <w:t>E</w:t>
      </w:r>
      <w:r w:rsidR="00E942C2" w:rsidRPr="00C04776">
        <w:rPr>
          <w:rFonts w:eastAsia="Times New Roman" w:cs="Times New Roman"/>
          <w:sz w:val="20"/>
          <w:szCs w:val="20"/>
          <w:lang w:val="fr-CA" w:eastAsia="en-CA"/>
        </w:rPr>
        <w:t xml:space="preserve"> JUGE </w:t>
      </w:r>
      <w:r w:rsidR="0096525F" w:rsidRPr="00C04776">
        <w:rPr>
          <w:rFonts w:eastAsia="Times New Roman" w:cs="Times New Roman"/>
          <w:sz w:val="20"/>
          <w:szCs w:val="20"/>
          <w:lang w:val="fr-CA" w:eastAsia="en-CA"/>
        </w:rPr>
        <w:t>MOLDAVER</w:t>
      </w:r>
    </w:p>
    <w:p w:rsidR="0096525F" w:rsidRPr="00C04776" w:rsidRDefault="0096525F" w:rsidP="00183454">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1143"/>
        <w:gridCol w:w="4230"/>
      </w:tblGrid>
      <w:tr w:rsidR="0096525F" w:rsidRPr="00C04776" w:rsidTr="0096525F">
        <w:tc>
          <w:tcPr>
            <w:tcW w:w="4246" w:type="dxa"/>
          </w:tcPr>
          <w:p w:rsidR="0096525F" w:rsidRPr="00C04776" w:rsidRDefault="004812DF" w:rsidP="004812DF">
            <w:pPr>
              <w:tabs>
                <w:tab w:val="left" w:pos="-1440"/>
                <w:tab w:val="left" w:pos="-720"/>
              </w:tabs>
              <w:jc w:val="both"/>
              <w:rPr>
                <w:b/>
              </w:rPr>
            </w:pPr>
            <w:r w:rsidRPr="00C04776">
              <w:rPr>
                <w:b/>
                <w:bCs/>
                <w:lang w:val="en-GB"/>
              </w:rPr>
              <w:t>Miscellaneous motions</w:t>
            </w:r>
          </w:p>
        </w:tc>
        <w:tc>
          <w:tcPr>
            <w:tcW w:w="1143" w:type="dxa"/>
          </w:tcPr>
          <w:p w:rsidR="0096525F" w:rsidRPr="00C04776" w:rsidRDefault="0096525F" w:rsidP="0096525F">
            <w:pPr>
              <w:tabs>
                <w:tab w:val="left" w:pos="-1440"/>
                <w:tab w:val="left" w:pos="-720"/>
              </w:tabs>
              <w:jc w:val="both"/>
            </w:pPr>
          </w:p>
          <w:p w:rsidR="0096525F" w:rsidRPr="00C04776" w:rsidRDefault="0096525F" w:rsidP="0096525F">
            <w:pPr>
              <w:tabs>
                <w:tab w:val="left" w:pos="-1440"/>
                <w:tab w:val="left" w:pos="-720"/>
              </w:tabs>
              <w:jc w:val="both"/>
            </w:pPr>
          </w:p>
        </w:tc>
        <w:tc>
          <w:tcPr>
            <w:tcW w:w="4230" w:type="dxa"/>
          </w:tcPr>
          <w:p w:rsidR="0096525F" w:rsidRPr="00C04776" w:rsidRDefault="0096525F" w:rsidP="004812DF">
            <w:pPr>
              <w:keepNext/>
              <w:keepLines/>
              <w:jc w:val="both"/>
              <w:rPr>
                <w:b/>
                <w:bCs/>
                <w:lang w:val="fr-CA"/>
              </w:rPr>
            </w:pPr>
            <w:r w:rsidRPr="00C04776">
              <w:rPr>
                <w:b/>
                <w:bCs/>
                <w:lang w:val="fr-CA"/>
              </w:rPr>
              <w:t>Requête</w:t>
            </w:r>
            <w:r w:rsidR="004812DF" w:rsidRPr="00C04776">
              <w:rPr>
                <w:b/>
                <w:bCs/>
                <w:lang w:val="fr-CA"/>
              </w:rPr>
              <w:t>s diverses</w:t>
            </w:r>
          </w:p>
        </w:tc>
      </w:tr>
      <w:tr w:rsidR="00183454" w:rsidRPr="00C04776" w:rsidTr="0096525F">
        <w:tc>
          <w:tcPr>
            <w:tcW w:w="4246" w:type="dxa"/>
          </w:tcPr>
          <w:p w:rsidR="00183454" w:rsidRPr="00C04776" w:rsidRDefault="00C22343" w:rsidP="005F1ED8">
            <w:pPr>
              <w:tabs>
                <w:tab w:val="left" w:pos="-1440"/>
                <w:tab w:val="left" w:pos="-720"/>
              </w:tabs>
              <w:jc w:val="both"/>
              <w:rPr>
                <w:lang w:val="fr-CA"/>
              </w:rPr>
            </w:pPr>
            <w:r w:rsidRPr="00C04776">
              <w:rPr>
                <w:lang w:val="fr-CA"/>
              </w:rPr>
              <w:t>Michael Dwight Allen et al.</w:t>
            </w:r>
          </w:p>
          <w:p w:rsidR="00183454" w:rsidRPr="00C04776" w:rsidRDefault="00183454" w:rsidP="005F1ED8">
            <w:pPr>
              <w:tabs>
                <w:tab w:val="left" w:pos="-1440"/>
                <w:tab w:val="left" w:pos="-720"/>
              </w:tabs>
              <w:jc w:val="both"/>
              <w:rPr>
                <w:lang w:val="fr-CA"/>
              </w:rPr>
            </w:pPr>
          </w:p>
          <w:p w:rsidR="00183454" w:rsidRPr="00C04776" w:rsidRDefault="00183454" w:rsidP="005F1ED8">
            <w:pPr>
              <w:tabs>
                <w:tab w:val="left" w:pos="-1440"/>
                <w:tab w:val="left" w:pos="-720"/>
              </w:tabs>
              <w:jc w:val="both"/>
              <w:rPr>
                <w:lang w:val="en-US"/>
              </w:rPr>
            </w:pPr>
            <w:r w:rsidRPr="00C04776">
              <w:rPr>
                <w:lang w:val="fr-CA"/>
              </w:rPr>
              <w:tab/>
            </w:r>
            <w:r w:rsidR="00C22343" w:rsidRPr="00C04776">
              <w:rPr>
                <w:lang w:val="en-US"/>
              </w:rPr>
              <w:t>v</w:t>
            </w:r>
            <w:r w:rsidRPr="00C04776">
              <w:rPr>
                <w:lang w:val="en-US"/>
              </w:rPr>
              <w:t>. (</w:t>
            </w:r>
            <w:r w:rsidR="00C22343" w:rsidRPr="00C04776">
              <w:rPr>
                <w:lang w:val="en-US"/>
              </w:rPr>
              <w:t>36552</w:t>
            </w:r>
            <w:r w:rsidRPr="00C04776">
              <w:rPr>
                <w:lang w:val="en-US"/>
              </w:rPr>
              <w:t>)</w:t>
            </w:r>
          </w:p>
          <w:p w:rsidR="00183454" w:rsidRPr="00C04776" w:rsidRDefault="00183454" w:rsidP="005F1ED8">
            <w:pPr>
              <w:tabs>
                <w:tab w:val="left" w:pos="-1440"/>
                <w:tab w:val="left" w:pos="-720"/>
              </w:tabs>
              <w:jc w:val="both"/>
              <w:rPr>
                <w:lang w:val="en-US"/>
              </w:rPr>
            </w:pPr>
          </w:p>
          <w:p w:rsidR="00183454" w:rsidRPr="00C04776" w:rsidRDefault="00C22343" w:rsidP="00C22343">
            <w:pPr>
              <w:tabs>
                <w:tab w:val="left" w:pos="-1440"/>
                <w:tab w:val="left" w:pos="-720"/>
              </w:tabs>
              <w:jc w:val="both"/>
              <w:rPr>
                <w:lang w:val="en-US"/>
              </w:rPr>
            </w:pPr>
            <w:r w:rsidRPr="00C04776">
              <w:rPr>
                <w:lang w:val="en-US"/>
              </w:rPr>
              <w:t xml:space="preserve">Her Majesty the Queen </w:t>
            </w:r>
            <w:r w:rsidR="00183454" w:rsidRPr="00C04776">
              <w:rPr>
                <w:lang w:val="en-US"/>
              </w:rPr>
              <w:t>(</w:t>
            </w:r>
            <w:r w:rsidRPr="00C04776">
              <w:rPr>
                <w:lang w:val="en-US"/>
              </w:rPr>
              <w:t>Ont.</w:t>
            </w:r>
            <w:r w:rsidR="00183454" w:rsidRPr="00C04776">
              <w:rPr>
                <w:lang w:val="en-US"/>
              </w:rPr>
              <w:t>)</w:t>
            </w:r>
          </w:p>
        </w:tc>
        <w:tc>
          <w:tcPr>
            <w:tcW w:w="1143" w:type="dxa"/>
          </w:tcPr>
          <w:p w:rsidR="00183454" w:rsidRPr="00C04776" w:rsidRDefault="00183454" w:rsidP="005F1ED8">
            <w:pPr>
              <w:tabs>
                <w:tab w:val="left" w:pos="-1440"/>
                <w:tab w:val="left" w:pos="-720"/>
              </w:tabs>
              <w:jc w:val="both"/>
              <w:rPr>
                <w:lang w:val="en-US"/>
              </w:rPr>
            </w:pPr>
          </w:p>
        </w:tc>
        <w:tc>
          <w:tcPr>
            <w:tcW w:w="4230" w:type="dxa"/>
          </w:tcPr>
          <w:p w:rsidR="00183454" w:rsidRPr="00C04776" w:rsidRDefault="00183454" w:rsidP="005F1ED8">
            <w:pPr>
              <w:tabs>
                <w:tab w:val="left" w:pos="-1440"/>
                <w:tab w:val="left" w:pos="-720"/>
              </w:tabs>
              <w:jc w:val="both"/>
              <w:rPr>
                <w:lang w:val="en-US"/>
              </w:rPr>
            </w:pPr>
          </w:p>
        </w:tc>
      </w:tr>
    </w:tbl>
    <w:p w:rsidR="00183454" w:rsidRPr="00C04776" w:rsidRDefault="00183454" w:rsidP="00183454">
      <w:pPr>
        <w:tabs>
          <w:tab w:val="left" w:pos="-1440"/>
          <w:tab w:val="left" w:pos="-720"/>
        </w:tabs>
        <w:jc w:val="both"/>
        <w:rPr>
          <w:rFonts w:eastAsia="Times New Roman" w:cs="Times New Roman"/>
          <w:sz w:val="20"/>
          <w:szCs w:val="20"/>
          <w:lang w:val="en-US" w:eastAsia="en-CA"/>
        </w:rPr>
      </w:pPr>
    </w:p>
    <w:p w:rsidR="00183454" w:rsidRPr="00C04776" w:rsidRDefault="004F664C" w:rsidP="00183454">
      <w:pPr>
        <w:tabs>
          <w:tab w:val="left" w:pos="-1440"/>
          <w:tab w:val="left" w:pos="-720"/>
        </w:tabs>
        <w:jc w:val="both"/>
        <w:rPr>
          <w:rFonts w:eastAsia="Times New Roman" w:cs="Times New Roman"/>
          <w:b/>
          <w:sz w:val="20"/>
          <w:szCs w:val="20"/>
          <w:lang w:val="fr-CA" w:eastAsia="en-CA"/>
        </w:rPr>
      </w:pPr>
      <w:r w:rsidRPr="00C04776">
        <w:rPr>
          <w:rFonts w:eastAsia="Times New Roman" w:cs="Times New Roman"/>
          <w:b/>
          <w:sz w:val="20"/>
          <w:szCs w:val="20"/>
          <w:lang w:val="fr-CA" w:eastAsia="en-CA"/>
        </w:rPr>
        <w:t>GRANTED IN PART</w:t>
      </w:r>
      <w:r w:rsidR="00183454" w:rsidRPr="00C04776">
        <w:rPr>
          <w:rFonts w:eastAsia="Times New Roman" w:cs="Times New Roman"/>
          <w:b/>
          <w:sz w:val="20"/>
          <w:szCs w:val="20"/>
          <w:lang w:val="fr-CA" w:eastAsia="en-CA"/>
        </w:rPr>
        <w:t xml:space="preserve"> / </w:t>
      </w:r>
      <w:r w:rsidRPr="00C04776">
        <w:rPr>
          <w:rFonts w:eastAsia="Times New Roman" w:cs="Times New Roman"/>
          <w:b/>
          <w:sz w:val="20"/>
          <w:szCs w:val="20"/>
          <w:lang w:val="fr-CA" w:eastAsia="en-CA"/>
        </w:rPr>
        <w:t>ACCORD</w:t>
      </w:r>
      <w:r w:rsidR="00183454" w:rsidRPr="00C04776">
        <w:rPr>
          <w:rFonts w:eastAsia="Times New Roman" w:cs="Times New Roman"/>
          <w:b/>
          <w:sz w:val="20"/>
          <w:szCs w:val="20"/>
          <w:lang w:val="fr-CA" w:eastAsia="en-CA"/>
        </w:rPr>
        <w:t>ÉE</w:t>
      </w:r>
      <w:r w:rsidRPr="00C04776">
        <w:rPr>
          <w:rFonts w:eastAsia="Times New Roman" w:cs="Times New Roman"/>
          <w:b/>
          <w:sz w:val="20"/>
          <w:szCs w:val="20"/>
          <w:lang w:val="fr-CA" w:eastAsia="en-CA"/>
        </w:rPr>
        <w:t xml:space="preserve"> EN PARTIE</w:t>
      </w:r>
    </w:p>
    <w:p w:rsidR="00183454" w:rsidRPr="00C04776" w:rsidRDefault="00183454" w:rsidP="00183454">
      <w:pPr>
        <w:tabs>
          <w:tab w:val="left" w:pos="-1440"/>
          <w:tab w:val="left" w:pos="-720"/>
        </w:tabs>
        <w:jc w:val="both"/>
        <w:rPr>
          <w:rFonts w:eastAsia="Times New Roman" w:cs="Times New Roman"/>
          <w:sz w:val="20"/>
          <w:szCs w:val="20"/>
          <w:lang w:val="fr-CA" w:eastAsia="en-CA"/>
        </w:rPr>
      </w:pPr>
    </w:p>
    <w:p w:rsidR="00C22343" w:rsidRPr="00C04776" w:rsidRDefault="00C22343" w:rsidP="00C22343">
      <w:pPr>
        <w:spacing w:line="232" w:lineRule="auto"/>
        <w:jc w:val="both"/>
        <w:rPr>
          <w:rFonts w:cs="Times New Roman"/>
          <w:sz w:val="20"/>
          <w:szCs w:val="24"/>
          <w:lang w:val="en-US"/>
        </w:rPr>
      </w:pPr>
      <w:r w:rsidRPr="00C04776">
        <w:rPr>
          <w:rFonts w:cs="Times New Roman"/>
          <w:b/>
          <w:sz w:val="20"/>
          <w:szCs w:val="24"/>
        </w:rPr>
        <w:t>FURTHER</w:t>
      </w:r>
      <w:r w:rsidRPr="00C04776">
        <w:rPr>
          <w:rFonts w:cs="Times New Roman"/>
          <w:sz w:val="20"/>
          <w:szCs w:val="24"/>
        </w:rPr>
        <w:t xml:space="preserve"> to the order of the Court dated February 16, 2016;</w:t>
      </w:r>
    </w:p>
    <w:p w:rsidR="00C22343" w:rsidRPr="00C04776" w:rsidRDefault="00C22343" w:rsidP="00C22343">
      <w:pPr>
        <w:spacing w:line="232" w:lineRule="auto"/>
        <w:jc w:val="both"/>
        <w:rPr>
          <w:rFonts w:cs="Times New Roman"/>
          <w:sz w:val="20"/>
          <w:szCs w:val="24"/>
        </w:rPr>
      </w:pPr>
    </w:p>
    <w:p w:rsidR="00C22343" w:rsidRPr="00C04776" w:rsidRDefault="00C22343" w:rsidP="00C22343">
      <w:pPr>
        <w:spacing w:line="232" w:lineRule="auto"/>
        <w:jc w:val="both"/>
        <w:rPr>
          <w:rFonts w:cs="Times New Roman"/>
          <w:sz w:val="20"/>
          <w:szCs w:val="24"/>
        </w:rPr>
      </w:pPr>
      <w:r w:rsidRPr="00C04776">
        <w:rPr>
          <w:rFonts w:cs="Times New Roman"/>
          <w:b/>
          <w:sz w:val="20"/>
          <w:szCs w:val="24"/>
        </w:rPr>
        <w:t>AND UPON BEING ADVISED</w:t>
      </w:r>
      <w:r w:rsidRPr="00C04776">
        <w:rPr>
          <w:rFonts w:cs="Times New Roman"/>
          <w:sz w:val="20"/>
          <w:szCs w:val="24"/>
        </w:rPr>
        <w:t xml:space="preserve"> that the Court of Appeal for Ontario has rendered a decision on the motion to adduce new evidence;</w:t>
      </w:r>
    </w:p>
    <w:p w:rsidR="00C22343" w:rsidRPr="00C04776" w:rsidRDefault="00C22343" w:rsidP="00C22343">
      <w:pPr>
        <w:spacing w:line="232" w:lineRule="auto"/>
        <w:jc w:val="both"/>
        <w:rPr>
          <w:rFonts w:cs="Times New Roman"/>
          <w:bCs/>
          <w:sz w:val="20"/>
          <w:szCs w:val="24"/>
        </w:rPr>
      </w:pPr>
    </w:p>
    <w:p w:rsidR="00C22343" w:rsidRPr="00C04776" w:rsidRDefault="00C22343" w:rsidP="00C22343">
      <w:pPr>
        <w:spacing w:line="232" w:lineRule="auto"/>
        <w:jc w:val="both"/>
        <w:rPr>
          <w:rFonts w:cs="Times New Roman"/>
          <w:sz w:val="20"/>
          <w:szCs w:val="24"/>
        </w:rPr>
      </w:pPr>
      <w:r w:rsidRPr="00C04776">
        <w:rPr>
          <w:rFonts w:cs="Times New Roman"/>
          <w:b/>
          <w:bCs/>
          <w:sz w:val="20"/>
          <w:szCs w:val="24"/>
        </w:rPr>
        <w:t>AND THE MATERIAL FILED</w:t>
      </w:r>
      <w:r w:rsidRPr="00C04776">
        <w:rPr>
          <w:rFonts w:cs="Times New Roman"/>
          <w:sz w:val="20"/>
          <w:szCs w:val="24"/>
        </w:rPr>
        <w:t xml:space="preserve"> having been read;</w:t>
      </w:r>
    </w:p>
    <w:p w:rsidR="00C22343" w:rsidRPr="00C04776" w:rsidRDefault="00C22343" w:rsidP="00C22343">
      <w:pPr>
        <w:spacing w:line="232" w:lineRule="auto"/>
        <w:jc w:val="both"/>
        <w:rPr>
          <w:rFonts w:cs="Times New Roman"/>
          <w:sz w:val="20"/>
          <w:szCs w:val="24"/>
        </w:rPr>
      </w:pPr>
    </w:p>
    <w:p w:rsidR="00C22343" w:rsidRPr="00C04776" w:rsidRDefault="00C22343" w:rsidP="00C22343">
      <w:pPr>
        <w:spacing w:line="232" w:lineRule="auto"/>
        <w:jc w:val="both"/>
        <w:rPr>
          <w:rFonts w:cs="Times New Roman"/>
          <w:b/>
          <w:bCs/>
          <w:sz w:val="20"/>
          <w:szCs w:val="24"/>
        </w:rPr>
      </w:pPr>
      <w:r w:rsidRPr="00C04776">
        <w:rPr>
          <w:rFonts w:cs="Times New Roman"/>
          <w:b/>
          <w:bCs/>
          <w:sz w:val="20"/>
          <w:szCs w:val="24"/>
        </w:rPr>
        <w:t>IT IS HEREBY ORDERED THAT:</w:t>
      </w:r>
    </w:p>
    <w:p w:rsidR="00C22343" w:rsidRPr="00C04776" w:rsidRDefault="00C22343" w:rsidP="00C22343">
      <w:pPr>
        <w:spacing w:line="232" w:lineRule="auto"/>
        <w:jc w:val="both"/>
        <w:rPr>
          <w:rFonts w:cs="Times New Roman"/>
          <w:bCs/>
          <w:sz w:val="20"/>
          <w:szCs w:val="24"/>
        </w:rPr>
      </w:pPr>
    </w:p>
    <w:p w:rsidR="00C22343" w:rsidRPr="00C04776" w:rsidRDefault="00C22343" w:rsidP="00C22343">
      <w:pPr>
        <w:spacing w:line="232" w:lineRule="auto"/>
        <w:jc w:val="both"/>
        <w:rPr>
          <w:rFonts w:cs="Times New Roman"/>
          <w:sz w:val="20"/>
          <w:szCs w:val="24"/>
        </w:rPr>
      </w:pPr>
      <w:r w:rsidRPr="00C04776">
        <w:rPr>
          <w:rFonts w:cs="Times New Roman"/>
          <w:sz w:val="20"/>
          <w:szCs w:val="24"/>
        </w:rPr>
        <w:t xml:space="preserve">The motion to join the matters of Michael Dwight Allen, </w:t>
      </w:r>
      <w:proofErr w:type="spellStart"/>
      <w:r w:rsidRPr="00C04776">
        <w:rPr>
          <w:rFonts w:cs="Times New Roman"/>
          <w:sz w:val="20"/>
          <w:szCs w:val="24"/>
        </w:rPr>
        <w:t>Zacky</w:t>
      </w:r>
      <w:proofErr w:type="spellEnd"/>
      <w:r w:rsidRPr="00C04776">
        <w:rPr>
          <w:rFonts w:cs="Times New Roman"/>
          <w:sz w:val="20"/>
          <w:szCs w:val="24"/>
        </w:rPr>
        <w:t xml:space="preserve"> Deleon and Jaime Humberto </w:t>
      </w:r>
      <w:proofErr w:type="spellStart"/>
      <w:r w:rsidRPr="00C04776">
        <w:rPr>
          <w:rFonts w:cs="Times New Roman"/>
          <w:sz w:val="20"/>
          <w:szCs w:val="24"/>
        </w:rPr>
        <w:t>Restrepo</w:t>
      </w:r>
      <w:proofErr w:type="spellEnd"/>
      <w:r w:rsidRPr="00C04776">
        <w:rPr>
          <w:rFonts w:cs="Times New Roman"/>
          <w:sz w:val="20"/>
          <w:szCs w:val="24"/>
        </w:rPr>
        <w:t xml:space="preserve"> and to permit the filing of a single application for leave to appeal is granted. </w:t>
      </w:r>
    </w:p>
    <w:p w:rsidR="00C22343" w:rsidRPr="00C04776" w:rsidRDefault="00C22343" w:rsidP="00C22343">
      <w:pPr>
        <w:spacing w:line="232" w:lineRule="auto"/>
        <w:jc w:val="both"/>
        <w:rPr>
          <w:rFonts w:cs="Times New Roman"/>
          <w:sz w:val="20"/>
          <w:szCs w:val="24"/>
        </w:rPr>
      </w:pPr>
    </w:p>
    <w:p w:rsidR="00C22343" w:rsidRPr="00C04776" w:rsidRDefault="00C22343" w:rsidP="00C22343">
      <w:pPr>
        <w:spacing w:line="232" w:lineRule="auto"/>
        <w:jc w:val="both"/>
        <w:rPr>
          <w:rFonts w:cs="Times New Roman"/>
          <w:sz w:val="20"/>
          <w:szCs w:val="24"/>
        </w:rPr>
      </w:pPr>
      <w:r w:rsidRPr="00C04776">
        <w:rPr>
          <w:rFonts w:cs="Times New Roman"/>
          <w:sz w:val="20"/>
          <w:szCs w:val="24"/>
        </w:rPr>
        <w:t>The motion to extend the time to serve and file the application for leave to appeal from the decision of the Court of Appeal for Ontario, numbers C50346, C50350 and C50360, 2011 ONCA 752, dated November 30, 2011, is dismissed without prejudice to the applicants’ right to serve and file an application for leave to appeal from the decision of the Court of Appeal for Ontario, numbers M47018, M47019 and M47020, 2018 ONCA 498, dated May 31, 2018.</w:t>
      </w:r>
    </w:p>
    <w:p w:rsidR="00183454" w:rsidRPr="00C04776" w:rsidRDefault="00183454" w:rsidP="00183454">
      <w:pPr>
        <w:tabs>
          <w:tab w:val="left" w:pos="-1440"/>
          <w:tab w:val="left" w:pos="-720"/>
        </w:tabs>
        <w:jc w:val="both"/>
        <w:rPr>
          <w:rFonts w:eastAsia="Times New Roman" w:cs="Times New Roman"/>
          <w:sz w:val="20"/>
          <w:szCs w:val="20"/>
          <w:lang w:eastAsia="en-CA"/>
        </w:rPr>
      </w:pPr>
    </w:p>
    <w:p w:rsidR="005012C2" w:rsidRPr="00C04776" w:rsidRDefault="005012C2" w:rsidP="005012C2">
      <w:pPr>
        <w:spacing w:line="233" w:lineRule="auto"/>
        <w:jc w:val="both"/>
        <w:rPr>
          <w:rFonts w:cs="Times New Roman"/>
          <w:sz w:val="20"/>
          <w:szCs w:val="24"/>
          <w:lang w:val="en-US"/>
        </w:rPr>
      </w:pPr>
    </w:p>
    <w:p w:rsidR="005012C2" w:rsidRPr="00C04776" w:rsidRDefault="005012C2" w:rsidP="005012C2">
      <w:pPr>
        <w:spacing w:line="233" w:lineRule="auto"/>
        <w:jc w:val="both"/>
        <w:rPr>
          <w:rFonts w:cs="Times New Roman"/>
          <w:sz w:val="20"/>
          <w:szCs w:val="24"/>
          <w:lang w:val="fr-CA"/>
        </w:rPr>
      </w:pPr>
      <w:r w:rsidRPr="00C04776">
        <w:rPr>
          <w:rFonts w:cs="Times New Roman"/>
          <w:b/>
          <w:sz w:val="20"/>
          <w:szCs w:val="24"/>
          <w:lang w:val="fr-CA"/>
        </w:rPr>
        <w:t>À LA SUITE</w:t>
      </w:r>
      <w:r w:rsidRPr="00C04776">
        <w:rPr>
          <w:rFonts w:cs="Times New Roman"/>
          <w:sz w:val="20"/>
          <w:szCs w:val="24"/>
          <w:lang w:val="fr-CA"/>
        </w:rPr>
        <w:t xml:space="preserve"> de l’ordonnance de la Cour datée du 16 février 2016;</w:t>
      </w:r>
    </w:p>
    <w:p w:rsidR="005012C2" w:rsidRPr="00C04776" w:rsidRDefault="005012C2" w:rsidP="005012C2">
      <w:pPr>
        <w:spacing w:line="233" w:lineRule="auto"/>
        <w:jc w:val="both"/>
        <w:rPr>
          <w:rFonts w:cs="Times New Roman"/>
          <w:sz w:val="20"/>
          <w:szCs w:val="24"/>
          <w:lang w:val="fr-CA"/>
        </w:rPr>
      </w:pPr>
    </w:p>
    <w:p w:rsidR="005012C2" w:rsidRPr="00C04776" w:rsidRDefault="005012C2" w:rsidP="005012C2">
      <w:pPr>
        <w:spacing w:line="233" w:lineRule="auto"/>
        <w:jc w:val="both"/>
        <w:rPr>
          <w:rFonts w:cs="Times New Roman"/>
          <w:sz w:val="20"/>
          <w:szCs w:val="24"/>
          <w:lang w:val="fr-CA"/>
        </w:rPr>
      </w:pPr>
      <w:r w:rsidRPr="00C04776">
        <w:rPr>
          <w:rFonts w:cs="Times New Roman"/>
          <w:b/>
          <w:sz w:val="20"/>
          <w:szCs w:val="24"/>
          <w:lang w:val="fr-CA"/>
        </w:rPr>
        <w:t>APRÈS RÉCEPTION PAR LA COUR D’UN AVIS</w:t>
      </w:r>
      <w:r w:rsidRPr="00C04776">
        <w:rPr>
          <w:rFonts w:cs="Times New Roman"/>
          <w:sz w:val="20"/>
          <w:szCs w:val="24"/>
          <w:lang w:val="fr-CA"/>
        </w:rPr>
        <w:t xml:space="preserve"> l’informant que la Cour d’appel de l’Ontario a rendu sa décision sur la requête pour permission de présenter de nouveaux éléments de preuve;</w:t>
      </w:r>
    </w:p>
    <w:p w:rsidR="005012C2" w:rsidRPr="00C04776" w:rsidRDefault="005012C2" w:rsidP="005012C2">
      <w:pPr>
        <w:spacing w:line="233" w:lineRule="auto"/>
        <w:jc w:val="both"/>
        <w:rPr>
          <w:rFonts w:cs="Times New Roman"/>
          <w:sz w:val="20"/>
          <w:szCs w:val="24"/>
          <w:lang w:val="fr-CA"/>
        </w:rPr>
      </w:pPr>
    </w:p>
    <w:p w:rsidR="005012C2" w:rsidRPr="00C04776" w:rsidRDefault="005012C2" w:rsidP="005012C2">
      <w:pPr>
        <w:spacing w:line="233" w:lineRule="auto"/>
        <w:jc w:val="both"/>
        <w:rPr>
          <w:rFonts w:cs="Times New Roman"/>
          <w:sz w:val="20"/>
          <w:szCs w:val="24"/>
          <w:lang w:val="fr-CA"/>
        </w:rPr>
      </w:pPr>
      <w:r w:rsidRPr="00C04776">
        <w:rPr>
          <w:rFonts w:cs="Times New Roman"/>
          <w:b/>
          <w:sz w:val="20"/>
          <w:szCs w:val="24"/>
          <w:lang w:val="fr-CA"/>
        </w:rPr>
        <w:t>ET APRÈS EXAMEN</w:t>
      </w:r>
      <w:r w:rsidRPr="00C04776">
        <w:rPr>
          <w:rFonts w:cs="Times New Roman"/>
          <w:sz w:val="20"/>
          <w:szCs w:val="24"/>
          <w:lang w:val="fr-CA"/>
        </w:rPr>
        <w:t xml:space="preserve"> des documents déposés;</w:t>
      </w:r>
    </w:p>
    <w:p w:rsidR="005012C2" w:rsidRPr="00C04776" w:rsidRDefault="005012C2" w:rsidP="005012C2">
      <w:pPr>
        <w:spacing w:line="233" w:lineRule="auto"/>
        <w:jc w:val="both"/>
        <w:rPr>
          <w:rFonts w:cs="Times New Roman"/>
          <w:sz w:val="20"/>
          <w:szCs w:val="24"/>
          <w:lang w:val="fr-CA"/>
        </w:rPr>
      </w:pPr>
    </w:p>
    <w:p w:rsidR="005012C2" w:rsidRPr="00C04776" w:rsidRDefault="005012C2" w:rsidP="005012C2">
      <w:pPr>
        <w:spacing w:line="233" w:lineRule="auto"/>
        <w:jc w:val="both"/>
        <w:rPr>
          <w:rFonts w:cs="Times New Roman"/>
          <w:b/>
          <w:bCs/>
          <w:sz w:val="20"/>
          <w:szCs w:val="24"/>
          <w:lang w:val="fr-CA"/>
        </w:rPr>
      </w:pPr>
      <w:r w:rsidRPr="00C04776">
        <w:rPr>
          <w:rFonts w:cs="Times New Roman"/>
          <w:b/>
          <w:bCs/>
          <w:sz w:val="20"/>
          <w:szCs w:val="24"/>
          <w:lang w:val="fr-CA"/>
        </w:rPr>
        <w:t>IL EST ORDONNÉ CE QUI SUIT :</w:t>
      </w:r>
    </w:p>
    <w:p w:rsidR="005012C2" w:rsidRPr="00C04776" w:rsidRDefault="005012C2" w:rsidP="005012C2">
      <w:pPr>
        <w:spacing w:line="233" w:lineRule="auto"/>
        <w:jc w:val="both"/>
        <w:rPr>
          <w:rFonts w:cs="Times New Roman"/>
          <w:bCs/>
          <w:sz w:val="20"/>
          <w:szCs w:val="24"/>
          <w:lang w:val="fr-CA"/>
        </w:rPr>
      </w:pPr>
    </w:p>
    <w:p w:rsidR="005012C2" w:rsidRPr="00C04776" w:rsidRDefault="005012C2" w:rsidP="005012C2">
      <w:pPr>
        <w:spacing w:line="233" w:lineRule="auto"/>
        <w:jc w:val="both"/>
        <w:rPr>
          <w:rFonts w:cs="Times New Roman"/>
          <w:sz w:val="20"/>
          <w:szCs w:val="24"/>
          <w:lang w:val="fr-CA"/>
        </w:rPr>
      </w:pPr>
      <w:r w:rsidRPr="00C04776">
        <w:rPr>
          <w:rFonts w:cs="Times New Roman"/>
          <w:sz w:val="20"/>
          <w:szCs w:val="24"/>
          <w:lang w:val="fr-CA"/>
        </w:rPr>
        <w:t xml:space="preserve">La requête visant à joindre les instances de Michael Dwight Allen, de </w:t>
      </w:r>
      <w:proofErr w:type="spellStart"/>
      <w:r w:rsidRPr="00C04776">
        <w:rPr>
          <w:rFonts w:cs="Times New Roman"/>
          <w:sz w:val="20"/>
          <w:szCs w:val="24"/>
          <w:lang w:val="fr-CA"/>
        </w:rPr>
        <w:t>Zacky</w:t>
      </w:r>
      <w:proofErr w:type="spellEnd"/>
      <w:r w:rsidRPr="00C04776">
        <w:rPr>
          <w:rFonts w:cs="Times New Roman"/>
          <w:sz w:val="20"/>
          <w:szCs w:val="24"/>
          <w:lang w:val="fr-CA"/>
        </w:rPr>
        <w:t xml:space="preserve"> </w:t>
      </w:r>
      <w:proofErr w:type="spellStart"/>
      <w:r w:rsidRPr="00C04776">
        <w:rPr>
          <w:rFonts w:cs="Times New Roman"/>
          <w:sz w:val="20"/>
          <w:szCs w:val="24"/>
          <w:lang w:val="fr-CA"/>
        </w:rPr>
        <w:t>Deleon</w:t>
      </w:r>
      <w:proofErr w:type="spellEnd"/>
      <w:r w:rsidRPr="00C04776">
        <w:rPr>
          <w:rFonts w:cs="Times New Roman"/>
          <w:sz w:val="20"/>
          <w:szCs w:val="24"/>
          <w:lang w:val="fr-CA"/>
        </w:rPr>
        <w:t xml:space="preserve"> et de Jaime Humberto </w:t>
      </w:r>
      <w:proofErr w:type="spellStart"/>
      <w:r w:rsidRPr="00C04776">
        <w:rPr>
          <w:rFonts w:cs="Times New Roman"/>
          <w:sz w:val="20"/>
          <w:szCs w:val="24"/>
          <w:lang w:val="fr-CA"/>
        </w:rPr>
        <w:t>Restrepo</w:t>
      </w:r>
      <w:proofErr w:type="spellEnd"/>
      <w:r w:rsidRPr="00C04776">
        <w:rPr>
          <w:rFonts w:cs="Times New Roman"/>
          <w:sz w:val="20"/>
          <w:szCs w:val="24"/>
          <w:lang w:val="fr-CA"/>
        </w:rPr>
        <w:t xml:space="preserve"> et à permettre le dépôt d’une seule demande d’autorisation d’appel est accueillie.</w:t>
      </w:r>
    </w:p>
    <w:p w:rsidR="005012C2" w:rsidRPr="00C04776" w:rsidRDefault="005012C2" w:rsidP="005012C2">
      <w:pPr>
        <w:spacing w:line="233" w:lineRule="auto"/>
        <w:jc w:val="both"/>
        <w:rPr>
          <w:rFonts w:cs="Times New Roman"/>
          <w:sz w:val="20"/>
          <w:szCs w:val="24"/>
          <w:lang w:val="fr-CA"/>
        </w:rPr>
      </w:pPr>
    </w:p>
    <w:p w:rsidR="005012C2" w:rsidRPr="00C04776" w:rsidRDefault="005012C2" w:rsidP="005012C2">
      <w:pPr>
        <w:spacing w:line="233" w:lineRule="auto"/>
        <w:jc w:val="both"/>
        <w:rPr>
          <w:rFonts w:cs="Times New Roman"/>
          <w:sz w:val="20"/>
          <w:szCs w:val="24"/>
          <w:lang w:val="fr-CA"/>
        </w:rPr>
      </w:pPr>
      <w:r w:rsidRPr="00C04776">
        <w:rPr>
          <w:rFonts w:cs="Times New Roman"/>
          <w:sz w:val="20"/>
          <w:szCs w:val="24"/>
          <w:lang w:val="fr-CA"/>
        </w:rPr>
        <w:t>La requête en prorogation du délai pour la signification et le dépôt de la demande d’autorisation d’appel de la décision rendue par la Cour d’appel de l’Ontario, n</w:t>
      </w:r>
      <w:r w:rsidRPr="00C04776">
        <w:rPr>
          <w:rFonts w:cs="Times New Roman"/>
          <w:sz w:val="20"/>
          <w:szCs w:val="24"/>
          <w:vertAlign w:val="superscript"/>
          <w:lang w:val="fr-CA"/>
        </w:rPr>
        <w:t>os</w:t>
      </w:r>
      <w:r w:rsidRPr="00C04776">
        <w:rPr>
          <w:rFonts w:cs="Times New Roman"/>
          <w:sz w:val="20"/>
          <w:szCs w:val="24"/>
          <w:lang w:val="fr-CA"/>
        </w:rPr>
        <w:t xml:space="preserve"> C50346, C50350 et C50360, 2011 ONCA 752, datée du 30 novembre 2011, est rejetée sans préjudice du droit des demandeurs de signifier et de déposer une demande d’autorisation d’appel de la décision rendue par la Cour d’appel de l’Ontario, n</w:t>
      </w:r>
      <w:r w:rsidRPr="00C04776">
        <w:rPr>
          <w:rFonts w:cs="Times New Roman"/>
          <w:sz w:val="20"/>
          <w:szCs w:val="24"/>
          <w:vertAlign w:val="superscript"/>
          <w:lang w:val="fr-CA"/>
        </w:rPr>
        <w:t xml:space="preserve">os </w:t>
      </w:r>
      <w:r w:rsidRPr="00C04776">
        <w:rPr>
          <w:rFonts w:cs="Times New Roman"/>
          <w:sz w:val="20"/>
          <w:szCs w:val="24"/>
          <w:lang w:val="fr-CA"/>
        </w:rPr>
        <w:t>M47018, M47019 et M47020, 2018 ONCA 498, datée du 31 mai 2018.</w:t>
      </w:r>
    </w:p>
    <w:p w:rsidR="005012C2" w:rsidRPr="00C04776" w:rsidRDefault="005012C2" w:rsidP="00183454">
      <w:pPr>
        <w:tabs>
          <w:tab w:val="left" w:pos="-1440"/>
          <w:tab w:val="left" w:pos="-720"/>
        </w:tabs>
        <w:jc w:val="both"/>
        <w:rPr>
          <w:rFonts w:eastAsia="Times New Roman" w:cs="Times New Roman"/>
          <w:sz w:val="20"/>
          <w:szCs w:val="20"/>
          <w:lang w:val="fr-CA" w:eastAsia="en-CA"/>
        </w:rPr>
      </w:pPr>
    </w:p>
    <w:p w:rsidR="00183454" w:rsidRPr="00C04776" w:rsidRDefault="003D7763" w:rsidP="00183454">
      <w:pPr>
        <w:tabs>
          <w:tab w:val="left" w:pos="-1440"/>
          <w:tab w:val="left" w:pos="-720"/>
        </w:tabs>
        <w:jc w:val="both"/>
        <w:rPr>
          <w:rFonts w:eastAsia="Times New Roman" w:cs="Times New Roman"/>
          <w:sz w:val="20"/>
          <w:szCs w:val="20"/>
          <w:lang w:val="en-US" w:eastAsia="en-CA"/>
        </w:rPr>
      </w:pPr>
      <w:r>
        <w:rPr>
          <w:rFonts w:eastAsia="Times New Roman" w:cs="Times New Roman"/>
          <w:sz w:val="20"/>
          <w:szCs w:val="20"/>
          <w:lang w:val="fr-CA" w:eastAsia="en-CA"/>
        </w:rPr>
        <w:pict>
          <v:rect id="_x0000_i1044" style="width:2in;height:1pt" o:hrpct="0" o:hralign="center" o:hrstd="t" o:hrnoshade="t" o:hr="t" fillcolor="black [3213]" stroked="f"/>
        </w:pict>
      </w:r>
    </w:p>
    <w:p w:rsidR="00183454" w:rsidRPr="00C04776" w:rsidRDefault="00183454" w:rsidP="00183454">
      <w:pPr>
        <w:tabs>
          <w:tab w:val="left" w:pos="-1440"/>
          <w:tab w:val="left" w:pos="-720"/>
        </w:tabs>
        <w:jc w:val="both"/>
        <w:rPr>
          <w:rFonts w:eastAsia="Times New Roman" w:cs="Times New Roman"/>
          <w:sz w:val="20"/>
          <w:szCs w:val="20"/>
          <w:lang w:val="en-US" w:eastAsia="en-CA"/>
        </w:rPr>
      </w:pPr>
    </w:p>
    <w:p w:rsidR="005F6218" w:rsidRPr="00C04776" w:rsidRDefault="005F6218">
      <w:pPr>
        <w:rPr>
          <w:rFonts w:eastAsia="Times New Roman" w:cs="Times New Roman"/>
          <w:sz w:val="20"/>
          <w:szCs w:val="20"/>
          <w:lang w:val="fr-CA" w:eastAsia="en-CA"/>
        </w:rPr>
      </w:pPr>
      <w:r w:rsidRPr="00C04776">
        <w:rPr>
          <w:rFonts w:eastAsia="Times New Roman" w:cs="Times New Roman"/>
          <w:sz w:val="20"/>
          <w:szCs w:val="20"/>
          <w:lang w:val="fr-CA" w:eastAsia="en-CA"/>
        </w:rPr>
        <w:br w:type="page"/>
      </w:r>
    </w:p>
    <w:p w:rsidR="0091033E" w:rsidRPr="00C04776" w:rsidRDefault="0091033E" w:rsidP="0091033E">
      <w:pPr>
        <w:tabs>
          <w:tab w:val="left" w:pos="-1440"/>
          <w:tab w:val="left" w:pos="-720"/>
        </w:tabs>
        <w:jc w:val="both"/>
        <w:rPr>
          <w:rFonts w:eastAsia="Times New Roman" w:cs="Times New Roman"/>
          <w:sz w:val="20"/>
          <w:szCs w:val="20"/>
          <w:lang w:val="fr-CA" w:eastAsia="en-CA"/>
        </w:rPr>
      </w:pPr>
      <w:r w:rsidRPr="00C04776">
        <w:rPr>
          <w:rFonts w:eastAsia="Times New Roman" w:cs="Times New Roman"/>
          <w:sz w:val="20"/>
          <w:szCs w:val="20"/>
          <w:lang w:val="fr-CA" w:eastAsia="en-CA"/>
        </w:rPr>
        <w:t>31.08.2018</w:t>
      </w:r>
    </w:p>
    <w:p w:rsidR="0091033E" w:rsidRPr="00C04776" w:rsidRDefault="0091033E" w:rsidP="0091033E">
      <w:pPr>
        <w:tabs>
          <w:tab w:val="left" w:pos="-1440"/>
          <w:tab w:val="left" w:pos="-720"/>
        </w:tabs>
        <w:jc w:val="both"/>
        <w:rPr>
          <w:rFonts w:eastAsia="Times New Roman" w:cs="Times New Roman"/>
          <w:sz w:val="20"/>
          <w:szCs w:val="20"/>
          <w:lang w:val="fr-CA" w:eastAsia="en-CA"/>
        </w:rPr>
      </w:pPr>
    </w:p>
    <w:p w:rsidR="0091033E" w:rsidRPr="00C04776" w:rsidRDefault="0091033E" w:rsidP="0091033E">
      <w:pPr>
        <w:tabs>
          <w:tab w:val="left" w:pos="-1440"/>
          <w:tab w:val="left" w:pos="-720"/>
        </w:tabs>
        <w:jc w:val="both"/>
        <w:rPr>
          <w:rFonts w:eastAsia="Times New Roman" w:cs="Times New Roman"/>
          <w:sz w:val="20"/>
          <w:szCs w:val="20"/>
          <w:lang w:val="fr-CA" w:eastAsia="en-CA"/>
        </w:rPr>
      </w:pPr>
      <w:r w:rsidRPr="00C04776">
        <w:rPr>
          <w:rFonts w:eastAsia="Times New Roman" w:cs="Times New Roman"/>
          <w:sz w:val="20"/>
          <w:szCs w:val="20"/>
          <w:lang w:val="fr-CA" w:eastAsia="en-CA"/>
        </w:rPr>
        <w:t>Before / Devant :   BROWN J. / LE JUGE BROWN</w:t>
      </w:r>
    </w:p>
    <w:p w:rsidR="0091033E" w:rsidRPr="00C04776" w:rsidRDefault="0091033E" w:rsidP="0091033E">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060"/>
        <w:gridCol w:w="1170"/>
        <w:gridCol w:w="4219"/>
      </w:tblGrid>
      <w:tr w:rsidR="0091033E" w:rsidRPr="003D7763" w:rsidTr="0067305D">
        <w:tc>
          <w:tcPr>
            <w:tcW w:w="4230" w:type="dxa"/>
            <w:gridSpan w:val="2"/>
          </w:tcPr>
          <w:p w:rsidR="0091033E" w:rsidRPr="00C04776" w:rsidRDefault="00E8064C" w:rsidP="00E8064C">
            <w:pPr>
              <w:tabs>
                <w:tab w:val="left" w:pos="-1440"/>
                <w:tab w:val="left" w:pos="-720"/>
              </w:tabs>
              <w:jc w:val="both"/>
              <w:rPr>
                <w:b/>
              </w:rPr>
            </w:pPr>
            <w:r w:rsidRPr="00C04776">
              <w:rPr>
                <w:b/>
                <w:bCs/>
                <w:lang w:val="en-GB"/>
              </w:rPr>
              <w:t xml:space="preserve">Motion for an </w:t>
            </w:r>
            <w:r w:rsidRPr="00C04776">
              <w:rPr>
                <w:b/>
              </w:rPr>
              <w:t>extension of time to serve and file a motion for leave to intervene</w:t>
            </w:r>
            <w:r w:rsidRPr="00C04776">
              <w:rPr>
                <w:b/>
                <w:bCs/>
                <w:lang w:val="en-GB"/>
              </w:rPr>
              <w:t xml:space="preserve"> and m</w:t>
            </w:r>
            <w:r w:rsidR="0091033E" w:rsidRPr="00C04776">
              <w:rPr>
                <w:b/>
                <w:bCs/>
                <w:lang w:val="en-GB"/>
              </w:rPr>
              <w:t>otions for leave to intervene</w:t>
            </w:r>
          </w:p>
        </w:tc>
        <w:tc>
          <w:tcPr>
            <w:tcW w:w="1170" w:type="dxa"/>
          </w:tcPr>
          <w:p w:rsidR="0091033E" w:rsidRPr="00C04776" w:rsidRDefault="0091033E" w:rsidP="0067305D">
            <w:pPr>
              <w:tabs>
                <w:tab w:val="left" w:pos="-1440"/>
                <w:tab w:val="left" w:pos="-720"/>
              </w:tabs>
              <w:jc w:val="both"/>
            </w:pPr>
          </w:p>
          <w:p w:rsidR="00E8064C" w:rsidRPr="00C04776" w:rsidRDefault="00E8064C" w:rsidP="0067305D">
            <w:pPr>
              <w:tabs>
                <w:tab w:val="left" w:pos="-1440"/>
                <w:tab w:val="left" w:pos="-720"/>
              </w:tabs>
              <w:jc w:val="both"/>
            </w:pPr>
          </w:p>
          <w:p w:rsidR="00E8064C" w:rsidRPr="00C04776" w:rsidRDefault="00E8064C" w:rsidP="0067305D">
            <w:pPr>
              <w:tabs>
                <w:tab w:val="left" w:pos="-1440"/>
                <w:tab w:val="left" w:pos="-720"/>
              </w:tabs>
              <w:jc w:val="both"/>
            </w:pPr>
          </w:p>
          <w:p w:rsidR="008D30E3" w:rsidRPr="00C04776" w:rsidRDefault="008D30E3" w:rsidP="0067305D">
            <w:pPr>
              <w:tabs>
                <w:tab w:val="left" w:pos="-1440"/>
                <w:tab w:val="left" w:pos="-720"/>
              </w:tabs>
              <w:jc w:val="both"/>
            </w:pPr>
          </w:p>
          <w:p w:rsidR="0091033E" w:rsidRPr="00C04776" w:rsidRDefault="0091033E" w:rsidP="0067305D">
            <w:pPr>
              <w:tabs>
                <w:tab w:val="left" w:pos="-1440"/>
                <w:tab w:val="left" w:pos="-720"/>
              </w:tabs>
              <w:jc w:val="both"/>
            </w:pPr>
          </w:p>
        </w:tc>
        <w:tc>
          <w:tcPr>
            <w:tcW w:w="4219" w:type="dxa"/>
          </w:tcPr>
          <w:p w:rsidR="0091033E" w:rsidRPr="00C04776" w:rsidRDefault="008D30E3" w:rsidP="008D30E3">
            <w:pPr>
              <w:jc w:val="both"/>
              <w:rPr>
                <w:b/>
                <w:bCs/>
                <w:lang w:val="fr-CA"/>
              </w:rPr>
            </w:pPr>
            <w:r w:rsidRPr="00C04776">
              <w:rPr>
                <w:b/>
                <w:bCs/>
                <w:lang w:val="fr-CA"/>
              </w:rPr>
              <w:t>Requête en prorogation du délai pour la signification et le dépôt d’une requête en autorisation d’intervenir et r</w:t>
            </w:r>
            <w:r w:rsidR="0091033E" w:rsidRPr="00C04776">
              <w:rPr>
                <w:b/>
                <w:bCs/>
                <w:lang w:val="fr-CA"/>
              </w:rPr>
              <w:t>equêtes en autorisation d’intervenir</w:t>
            </w:r>
          </w:p>
        </w:tc>
      </w:tr>
      <w:tr w:rsidR="0091033E" w:rsidRPr="00C04776" w:rsidTr="0067305D">
        <w:trPr>
          <w:trHeight w:val="567"/>
        </w:trPr>
        <w:tc>
          <w:tcPr>
            <w:tcW w:w="1170" w:type="dxa"/>
          </w:tcPr>
          <w:p w:rsidR="0091033E" w:rsidRPr="00C04776" w:rsidRDefault="0091033E" w:rsidP="0067305D">
            <w:pPr>
              <w:tabs>
                <w:tab w:val="left" w:pos="-1440"/>
                <w:tab w:val="left" w:pos="-720"/>
              </w:tabs>
              <w:jc w:val="both"/>
              <w:rPr>
                <w:bCs/>
                <w:lang w:val="en-GB"/>
              </w:rPr>
            </w:pPr>
            <w:r w:rsidRPr="00C04776">
              <w:rPr>
                <w:bCs/>
                <w:lang w:val="en-GB"/>
              </w:rPr>
              <w:t>BY / PAR</w:t>
            </w:r>
          </w:p>
        </w:tc>
        <w:tc>
          <w:tcPr>
            <w:tcW w:w="3060" w:type="dxa"/>
          </w:tcPr>
          <w:p w:rsidR="0091033E" w:rsidRPr="00C04776" w:rsidRDefault="0091033E" w:rsidP="0067305D">
            <w:pPr>
              <w:tabs>
                <w:tab w:val="left" w:pos="-1440"/>
                <w:tab w:val="left" w:pos="-720"/>
              </w:tabs>
              <w:spacing w:after="120"/>
              <w:rPr>
                <w:bCs/>
                <w:lang w:val="en-US"/>
              </w:rPr>
            </w:pPr>
            <w:r w:rsidRPr="00C04776">
              <w:rPr>
                <w:bCs/>
                <w:lang w:val="en-US"/>
              </w:rPr>
              <w:t>Attorney General of Canada</w:t>
            </w:r>
          </w:p>
          <w:p w:rsidR="0091033E" w:rsidRPr="00C04776" w:rsidRDefault="0091033E" w:rsidP="0067305D">
            <w:pPr>
              <w:tabs>
                <w:tab w:val="left" w:pos="-1440"/>
                <w:tab w:val="left" w:pos="-720"/>
              </w:tabs>
              <w:spacing w:after="120"/>
              <w:rPr>
                <w:bCs/>
              </w:rPr>
            </w:pPr>
            <w:r w:rsidRPr="00C04776">
              <w:rPr>
                <w:bCs/>
              </w:rPr>
              <w:t>DHL Express (Canada), Ltd.</w:t>
            </w:r>
          </w:p>
          <w:p w:rsidR="0091033E" w:rsidRPr="00C04776" w:rsidRDefault="0091033E" w:rsidP="0067305D">
            <w:pPr>
              <w:tabs>
                <w:tab w:val="left" w:pos="-1440"/>
                <w:tab w:val="left" w:pos="-720"/>
              </w:tabs>
              <w:spacing w:after="120"/>
              <w:rPr>
                <w:bCs/>
              </w:rPr>
            </w:pPr>
            <w:r w:rsidRPr="00C04776">
              <w:rPr>
                <w:bCs/>
              </w:rPr>
              <w:t>Federal Express Canada Corporation</w:t>
            </w:r>
          </w:p>
          <w:p w:rsidR="0091033E" w:rsidRPr="00C04776" w:rsidRDefault="0091033E" w:rsidP="0067305D">
            <w:pPr>
              <w:tabs>
                <w:tab w:val="left" w:pos="-1440"/>
                <w:tab w:val="left" w:pos="-720"/>
              </w:tabs>
              <w:spacing w:after="120"/>
              <w:rPr>
                <w:bCs/>
              </w:rPr>
            </w:pPr>
            <w:r w:rsidRPr="00C04776">
              <w:rPr>
                <w:bCs/>
              </w:rPr>
              <w:t>Purolator Inc.</w:t>
            </w:r>
          </w:p>
          <w:p w:rsidR="0091033E" w:rsidRPr="00C04776" w:rsidRDefault="0091033E" w:rsidP="0067305D">
            <w:pPr>
              <w:tabs>
                <w:tab w:val="left" w:pos="-1440"/>
                <w:tab w:val="left" w:pos="-720"/>
              </w:tabs>
              <w:spacing w:after="120"/>
              <w:rPr>
                <w:bCs/>
              </w:rPr>
            </w:pPr>
            <w:r w:rsidRPr="00C04776">
              <w:rPr>
                <w:bCs/>
              </w:rPr>
              <w:t xml:space="preserve">TFI International Inc. and United Parcel Service Canada Ltd. (jointly); </w:t>
            </w:r>
          </w:p>
          <w:p w:rsidR="0091033E" w:rsidRPr="00C04776" w:rsidRDefault="0091033E" w:rsidP="0067305D">
            <w:pPr>
              <w:tabs>
                <w:tab w:val="left" w:pos="-1440"/>
                <w:tab w:val="left" w:pos="-720"/>
              </w:tabs>
              <w:spacing w:after="120"/>
              <w:rPr>
                <w:bCs/>
              </w:rPr>
            </w:pPr>
            <w:r w:rsidRPr="00C04776">
              <w:rPr>
                <w:bCs/>
              </w:rPr>
              <w:t>FETCO Inc. (Federally Regulated Employers — Transportation and Communications)</w:t>
            </w:r>
          </w:p>
          <w:p w:rsidR="0091033E" w:rsidRPr="00C04776" w:rsidRDefault="0091033E" w:rsidP="0091033E">
            <w:pPr>
              <w:tabs>
                <w:tab w:val="left" w:pos="-1440"/>
                <w:tab w:val="left" w:pos="-720"/>
              </w:tabs>
              <w:spacing w:after="120"/>
              <w:rPr>
                <w:bCs/>
              </w:rPr>
            </w:pPr>
            <w:r w:rsidRPr="00C04776">
              <w:rPr>
                <w:bCs/>
              </w:rPr>
              <w:t>Canadian Union of Public Employees and the Professional Institute of the Public Service of Canada (jointly)</w:t>
            </w:r>
          </w:p>
          <w:p w:rsidR="0091033E" w:rsidRPr="00C04776" w:rsidRDefault="0091033E" w:rsidP="0091033E">
            <w:pPr>
              <w:tabs>
                <w:tab w:val="left" w:pos="-1440"/>
                <w:tab w:val="left" w:pos="-720"/>
              </w:tabs>
              <w:spacing w:after="120"/>
              <w:rPr>
                <w:bCs/>
              </w:rPr>
            </w:pPr>
            <w:r w:rsidRPr="00C04776">
              <w:rPr>
                <w:bCs/>
              </w:rPr>
              <w:t>Workers’ Health and Safety Legal Clinic</w:t>
            </w:r>
          </w:p>
          <w:p w:rsidR="0091033E" w:rsidRPr="00C04776" w:rsidRDefault="0091033E" w:rsidP="0091033E">
            <w:pPr>
              <w:tabs>
                <w:tab w:val="left" w:pos="-1440"/>
                <w:tab w:val="left" w:pos="-720"/>
              </w:tabs>
              <w:spacing w:after="120"/>
              <w:rPr>
                <w:bCs/>
              </w:rPr>
            </w:pPr>
            <w:r w:rsidRPr="00C04776">
              <w:rPr>
                <w:bCs/>
              </w:rPr>
              <w:t>Rogers Communications Inc.</w:t>
            </w:r>
          </w:p>
          <w:p w:rsidR="0091033E" w:rsidRPr="00C04776" w:rsidRDefault="0091033E" w:rsidP="0091033E">
            <w:pPr>
              <w:tabs>
                <w:tab w:val="left" w:pos="-1440"/>
                <w:tab w:val="left" w:pos="-720"/>
              </w:tabs>
              <w:spacing w:after="120"/>
              <w:rPr>
                <w:bCs/>
              </w:rPr>
            </w:pPr>
            <w:r w:rsidRPr="00C04776">
              <w:rPr>
                <w:bCs/>
              </w:rPr>
              <w:t>Canadian Broadcasting Corporation, Bell Canada, Bell Technical Solutions Inc. and Bell Media Inc. (jointly)</w:t>
            </w:r>
          </w:p>
          <w:p w:rsidR="0091033E" w:rsidRPr="00C04776" w:rsidRDefault="0091033E" w:rsidP="0091033E">
            <w:pPr>
              <w:tabs>
                <w:tab w:val="left" w:pos="-1440"/>
                <w:tab w:val="left" w:pos="-720"/>
              </w:tabs>
              <w:spacing w:after="120"/>
              <w:rPr>
                <w:bCs/>
              </w:rPr>
            </w:pPr>
            <w:r w:rsidRPr="00C04776">
              <w:rPr>
                <w:bCs/>
              </w:rPr>
              <w:t>Maritime Employers Association, the Halifax Employers Association and the British Columbia Maritime Employers Association (jointly)</w:t>
            </w:r>
          </w:p>
          <w:p w:rsidR="0091033E" w:rsidRPr="00C04776" w:rsidRDefault="0091033E" w:rsidP="0091033E">
            <w:pPr>
              <w:tabs>
                <w:tab w:val="left" w:pos="-1440"/>
                <w:tab w:val="left" w:pos="-720"/>
              </w:tabs>
              <w:spacing w:after="120"/>
              <w:rPr>
                <w:bCs/>
              </w:rPr>
            </w:pPr>
            <w:r w:rsidRPr="00C04776">
              <w:rPr>
                <w:bCs/>
              </w:rPr>
              <w:t xml:space="preserve">International Longshore and Warehouse Union Canada, the International Longshoremen’s Association, Local 269, Local 1341, Local 1657, Local 1825 and the Canadian Union of Public Employees, Local 375 (jointly) </w:t>
            </w:r>
          </w:p>
        </w:tc>
        <w:tc>
          <w:tcPr>
            <w:tcW w:w="1170" w:type="dxa"/>
          </w:tcPr>
          <w:p w:rsidR="0091033E" w:rsidRPr="00C04776" w:rsidRDefault="0091033E" w:rsidP="0067305D">
            <w:pPr>
              <w:tabs>
                <w:tab w:val="left" w:pos="-1440"/>
                <w:tab w:val="left" w:pos="-720"/>
              </w:tabs>
              <w:jc w:val="both"/>
              <w:rPr>
                <w:lang w:val="en-US"/>
              </w:rPr>
            </w:pPr>
          </w:p>
        </w:tc>
        <w:tc>
          <w:tcPr>
            <w:tcW w:w="4219" w:type="dxa"/>
          </w:tcPr>
          <w:p w:rsidR="0091033E" w:rsidRPr="00C04776" w:rsidRDefault="0091033E" w:rsidP="0067305D">
            <w:pPr>
              <w:jc w:val="both"/>
              <w:rPr>
                <w:b/>
                <w:bCs/>
                <w:lang w:val="en-US"/>
              </w:rPr>
            </w:pPr>
          </w:p>
        </w:tc>
      </w:tr>
      <w:tr w:rsidR="0091033E" w:rsidRPr="00C04776" w:rsidTr="0067305D">
        <w:tc>
          <w:tcPr>
            <w:tcW w:w="1170" w:type="dxa"/>
          </w:tcPr>
          <w:p w:rsidR="0091033E" w:rsidRPr="00C04776" w:rsidRDefault="0091033E" w:rsidP="0067305D">
            <w:pPr>
              <w:tabs>
                <w:tab w:val="left" w:pos="-1440"/>
                <w:tab w:val="left" w:pos="-720"/>
              </w:tabs>
              <w:jc w:val="both"/>
              <w:rPr>
                <w:lang w:val="en-US"/>
              </w:rPr>
            </w:pPr>
            <w:r w:rsidRPr="00C04776">
              <w:rPr>
                <w:lang w:val="en-US"/>
              </w:rPr>
              <w:t>IN / DANS</w:t>
            </w:r>
          </w:p>
        </w:tc>
        <w:tc>
          <w:tcPr>
            <w:tcW w:w="3060" w:type="dxa"/>
          </w:tcPr>
          <w:p w:rsidR="0091033E" w:rsidRPr="00C04776" w:rsidRDefault="005E5506" w:rsidP="0067305D">
            <w:pPr>
              <w:tabs>
                <w:tab w:val="left" w:pos="-1440"/>
                <w:tab w:val="left" w:pos="-720"/>
              </w:tabs>
              <w:jc w:val="both"/>
              <w:rPr>
                <w:lang w:val="en-US"/>
              </w:rPr>
            </w:pPr>
            <w:r w:rsidRPr="00C04776">
              <w:rPr>
                <w:lang w:val="en-US"/>
              </w:rPr>
              <w:t>Canada Post Corporation</w:t>
            </w:r>
          </w:p>
          <w:p w:rsidR="0091033E" w:rsidRPr="00C04776" w:rsidRDefault="0091033E" w:rsidP="0067305D">
            <w:pPr>
              <w:tabs>
                <w:tab w:val="left" w:pos="-1440"/>
                <w:tab w:val="left" w:pos="-720"/>
              </w:tabs>
              <w:jc w:val="both"/>
              <w:rPr>
                <w:lang w:val="en-US"/>
              </w:rPr>
            </w:pPr>
          </w:p>
          <w:p w:rsidR="0091033E" w:rsidRPr="00C04776" w:rsidRDefault="005E5506" w:rsidP="0067305D">
            <w:pPr>
              <w:tabs>
                <w:tab w:val="left" w:pos="-1440"/>
                <w:tab w:val="left" w:pos="-720"/>
              </w:tabs>
              <w:jc w:val="both"/>
              <w:rPr>
                <w:lang w:val="en-US"/>
              </w:rPr>
            </w:pPr>
            <w:r w:rsidRPr="00C04776">
              <w:rPr>
                <w:lang w:val="en-US"/>
              </w:rPr>
              <w:tab/>
              <w:t>v. (37787</w:t>
            </w:r>
            <w:r w:rsidR="0091033E" w:rsidRPr="00C04776">
              <w:rPr>
                <w:lang w:val="en-US"/>
              </w:rPr>
              <w:t>)</w:t>
            </w:r>
          </w:p>
          <w:p w:rsidR="0091033E" w:rsidRPr="00C04776" w:rsidRDefault="0091033E" w:rsidP="0067305D">
            <w:pPr>
              <w:tabs>
                <w:tab w:val="left" w:pos="-1440"/>
                <w:tab w:val="left" w:pos="-720"/>
              </w:tabs>
              <w:jc w:val="both"/>
              <w:rPr>
                <w:lang w:val="en-US"/>
              </w:rPr>
            </w:pPr>
          </w:p>
          <w:p w:rsidR="0091033E" w:rsidRPr="00C04776" w:rsidRDefault="005E5506" w:rsidP="005E5506">
            <w:pPr>
              <w:tabs>
                <w:tab w:val="left" w:pos="-1440"/>
                <w:tab w:val="left" w:pos="-720"/>
              </w:tabs>
              <w:jc w:val="both"/>
              <w:rPr>
                <w:lang w:val="en-US"/>
              </w:rPr>
            </w:pPr>
            <w:r w:rsidRPr="00C04776">
              <w:rPr>
                <w:lang w:val="en-US"/>
              </w:rPr>
              <w:t>Canada Union of Postal Workers</w:t>
            </w:r>
            <w:r w:rsidR="0091033E" w:rsidRPr="00C04776">
              <w:rPr>
                <w:lang w:val="en-US"/>
              </w:rPr>
              <w:t xml:space="preserve"> (</w:t>
            </w:r>
            <w:r w:rsidRPr="00C04776">
              <w:rPr>
                <w:lang w:val="en-US"/>
              </w:rPr>
              <w:t>F.C</w:t>
            </w:r>
            <w:r w:rsidR="0091033E" w:rsidRPr="00C04776">
              <w:rPr>
                <w:lang w:val="en-US"/>
              </w:rPr>
              <w:t>.)</w:t>
            </w:r>
          </w:p>
        </w:tc>
        <w:tc>
          <w:tcPr>
            <w:tcW w:w="1170" w:type="dxa"/>
          </w:tcPr>
          <w:p w:rsidR="0091033E" w:rsidRPr="00C04776" w:rsidRDefault="0091033E" w:rsidP="0067305D">
            <w:pPr>
              <w:tabs>
                <w:tab w:val="left" w:pos="-1440"/>
                <w:tab w:val="left" w:pos="-720"/>
              </w:tabs>
              <w:jc w:val="both"/>
              <w:rPr>
                <w:lang w:val="en-US"/>
              </w:rPr>
            </w:pPr>
          </w:p>
        </w:tc>
        <w:tc>
          <w:tcPr>
            <w:tcW w:w="4219" w:type="dxa"/>
          </w:tcPr>
          <w:p w:rsidR="0091033E" w:rsidRPr="00C04776" w:rsidRDefault="0091033E" w:rsidP="0067305D">
            <w:pPr>
              <w:tabs>
                <w:tab w:val="left" w:pos="-1440"/>
                <w:tab w:val="left" w:pos="-720"/>
              </w:tabs>
              <w:jc w:val="both"/>
              <w:rPr>
                <w:lang w:val="en-US"/>
              </w:rPr>
            </w:pPr>
          </w:p>
        </w:tc>
      </w:tr>
    </w:tbl>
    <w:p w:rsidR="0091033E" w:rsidRPr="00C04776" w:rsidRDefault="0091033E" w:rsidP="0091033E">
      <w:pPr>
        <w:tabs>
          <w:tab w:val="left" w:pos="-1440"/>
          <w:tab w:val="left" w:pos="-720"/>
        </w:tabs>
        <w:jc w:val="both"/>
        <w:rPr>
          <w:rFonts w:eastAsia="Times New Roman" w:cs="Times New Roman"/>
          <w:sz w:val="20"/>
          <w:szCs w:val="20"/>
          <w:lang w:eastAsia="en-CA"/>
        </w:rPr>
      </w:pPr>
    </w:p>
    <w:p w:rsidR="0091033E" w:rsidRPr="00C04776" w:rsidRDefault="0091033E" w:rsidP="0091033E">
      <w:pPr>
        <w:tabs>
          <w:tab w:val="left" w:pos="-1440"/>
          <w:tab w:val="left" w:pos="-720"/>
        </w:tabs>
        <w:jc w:val="both"/>
        <w:rPr>
          <w:b/>
          <w:sz w:val="20"/>
          <w:szCs w:val="20"/>
          <w:lang w:val="en-US"/>
        </w:rPr>
      </w:pPr>
      <w:r w:rsidRPr="00C04776">
        <w:rPr>
          <w:b/>
          <w:sz w:val="20"/>
          <w:szCs w:val="20"/>
          <w:lang w:val="en-US"/>
        </w:rPr>
        <w:t>GRANTED / ACCUEILLIE</w:t>
      </w:r>
    </w:p>
    <w:p w:rsidR="003D3C6B" w:rsidRPr="00C04776" w:rsidRDefault="003D3C6B">
      <w:pPr>
        <w:rPr>
          <w:rFonts w:cs="Times New Roman"/>
          <w:bCs/>
          <w:sz w:val="20"/>
        </w:rPr>
      </w:pPr>
    </w:p>
    <w:p w:rsidR="0091033E" w:rsidRPr="00C04776" w:rsidRDefault="0091033E" w:rsidP="0091033E">
      <w:pPr>
        <w:rPr>
          <w:rFonts w:cs="Times New Roman"/>
          <w:sz w:val="20"/>
          <w:lang w:val="en-US"/>
        </w:rPr>
      </w:pPr>
      <w:r w:rsidRPr="00C04776">
        <w:rPr>
          <w:rFonts w:cs="Times New Roman"/>
          <w:b/>
          <w:bCs/>
          <w:sz w:val="20"/>
        </w:rPr>
        <w:t>UPON APPLICATIONS</w:t>
      </w:r>
      <w:r w:rsidRPr="00C04776">
        <w:rPr>
          <w:rFonts w:cs="Times New Roman"/>
          <w:bCs/>
          <w:sz w:val="20"/>
        </w:rPr>
        <w:t xml:space="preserve"> </w:t>
      </w:r>
      <w:r w:rsidRPr="00C04776">
        <w:rPr>
          <w:rFonts w:cs="Times New Roman"/>
          <w:sz w:val="20"/>
        </w:rPr>
        <w:t>by the Attorney General of Canada; DHL Express (Canada), Ltd., Federal Express Canada Corporation, Purolator Inc., TFI International Inc. and United Parcel Service Canada Ltd. (jointly); FETCO Inc. (Federally Regulated Employers — Transportation and Communications); the Canadian Union of Public Employees and the Professional Institute of the Public Service of Canada (jointly); the Workers’ Health and Safety Legal Clinic; Rogers Communications Inc.; the Canadian Broadcasting Corporation, Bell Canada, Bell Technical Solutions Inc. and Bell Media Inc. (jointly); the Maritime Employers Association, the Halifax Employers Association and the British Columbia Maritime Employers Association (jointly); the International Longshore and Warehouse Union Canada, the International Longshoremen’s Association, Local 269, Local 1341, Local 1657, Local 1825 and the Canadian Union of Public Employees, Local 375 (jointly)</w:t>
      </w:r>
      <w:r w:rsidRPr="00C04776">
        <w:rPr>
          <w:rFonts w:cs="Times New Roman"/>
          <w:bCs/>
          <w:sz w:val="20"/>
        </w:rPr>
        <w:t xml:space="preserve"> </w:t>
      </w:r>
      <w:r w:rsidRPr="00C04776">
        <w:rPr>
          <w:rFonts w:cs="Times New Roman"/>
          <w:sz w:val="20"/>
        </w:rPr>
        <w:t>for leave to intervene in the above appeal;</w:t>
      </w:r>
    </w:p>
    <w:p w:rsidR="0091033E" w:rsidRPr="00C04776" w:rsidRDefault="0091033E" w:rsidP="0091033E">
      <w:pPr>
        <w:spacing w:line="232" w:lineRule="auto"/>
        <w:rPr>
          <w:rFonts w:cs="Times New Roman"/>
          <w:bCs/>
          <w:sz w:val="20"/>
        </w:rPr>
      </w:pPr>
    </w:p>
    <w:p w:rsidR="0091033E" w:rsidRPr="00C04776" w:rsidRDefault="0091033E" w:rsidP="0091033E">
      <w:pPr>
        <w:spacing w:line="232" w:lineRule="auto"/>
        <w:rPr>
          <w:rFonts w:cs="Times New Roman"/>
          <w:sz w:val="20"/>
        </w:rPr>
      </w:pPr>
      <w:r w:rsidRPr="00C04776">
        <w:rPr>
          <w:rFonts w:cs="Times New Roman"/>
          <w:b/>
          <w:sz w:val="20"/>
        </w:rPr>
        <w:t>AND UPON APPLICATION</w:t>
      </w:r>
      <w:r w:rsidRPr="00C04776">
        <w:rPr>
          <w:rFonts w:cs="Times New Roman"/>
          <w:sz w:val="20"/>
        </w:rPr>
        <w:t xml:space="preserve"> by the International Longshore and Warehouse Union Canada, the International Longshoremen’s Association, Local 269, Local 1341, Local 1657, Local 1825 and the Canadian Union of Public Employees, Local 375 (jointly)</w:t>
      </w:r>
      <w:r w:rsidRPr="00C04776">
        <w:rPr>
          <w:rFonts w:cs="Times New Roman"/>
          <w:bCs/>
          <w:sz w:val="20"/>
        </w:rPr>
        <w:t xml:space="preserve"> </w:t>
      </w:r>
      <w:r w:rsidRPr="00C04776">
        <w:rPr>
          <w:rFonts w:cs="Times New Roman"/>
          <w:sz w:val="20"/>
        </w:rPr>
        <w:t>for an extension of time to serve and file a motion for leave to intervene;</w:t>
      </w:r>
    </w:p>
    <w:p w:rsidR="0091033E" w:rsidRPr="00C04776" w:rsidRDefault="0091033E" w:rsidP="0091033E">
      <w:pPr>
        <w:spacing w:line="232" w:lineRule="auto"/>
        <w:rPr>
          <w:rFonts w:cs="Times New Roman"/>
          <w:sz w:val="20"/>
        </w:rPr>
      </w:pPr>
    </w:p>
    <w:p w:rsidR="0091033E" w:rsidRPr="00C04776" w:rsidRDefault="0091033E" w:rsidP="0091033E">
      <w:pPr>
        <w:spacing w:line="232" w:lineRule="auto"/>
        <w:rPr>
          <w:rFonts w:cs="Times New Roman"/>
          <w:sz w:val="20"/>
        </w:rPr>
      </w:pPr>
      <w:r w:rsidRPr="00C04776">
        <w:rPr>
          <w:rFonts w:cs="Times New Roman"/>
          <w:b/>
          <w:bCs/>
          <w:sz w:val="20"/>
        </w:rPr>
        <w:t>AND THE MATERIAL FILED</w:t>
      </w:r>
      <w:r w:rsidRPr="00C04776">
        <w:rPr>
          <w:rFonts w:cs="Times New Roman"/>
          <w:sz w:val="20"/>
        </w:rPr>
        <w:t xml:space="preserve"> having been read;</w:t>
      </w:r>
    </w:p>
    <w:p w:rsidR="0091033E" w:rsidRPr="00C04776" w:rsidRDefault="0091033E" w:rsidP="0091033E">
      <w:pPr>
        <w:spacing w:line="232" w:lineRule="auto"/>
        <w:rPr>
          <w:rFonts w:cs="Times New Roman"/>
          <w:sz w:val="20"/>
        </w:rPr>
      </w:pPr>
    </w:p>
    <w:p w:rsidR="0091033E" w:rsidRPr="00C04776" w:rsidRDefault="0091033E" w:rsidP="0091033E">
      <w:pPr>
        <w:spacing w:line="232" w:lineRule="auto"/>
        <w:rPr>
          <w:rFonts w:cs="Times New Roman"/>
          <w:sz w:val="20"/>
        </w:rPr>
      </w:pPr>
      <w:r w:rsidRPr="00C04776">
        <w:rPr>
          <w:rFonts w:cs="Times New Roman"/>
          <w:b/>
          <w:bCs/>
          <w:sz w:val="20"/>
        </w:rPr>
        <w:t>IT IS HEREBY ORDERED THAT</w:t>
      </w:r>
      <w:r w:rsidRPr="00C04776">
        <w:rPr>
          <w:rFonts w:cs="Times New Roman"/>
          <w:bCs/>
          <w:sz w:val="20"/>
        </w:rPr>
        <w:t>:</w:t>
      </w:r>
    </w:p>
    <w:p w:rsidR="0091033E" w:rsidRPr="00C04776" w:rsidRDefault="0091033E" w:rsidP="0091033E">
      <w:pPr>
        <w:spacing w:line="232" w:lineRule="auto"/>
        <w:rPr>
          <w:rFonts w:cs="Times New Roman"/>
          <w:sz w:val="20"/>
        </w:rPr>
      </w:pPr>
    </w:p>
    <w:p w:rsidR="0091033E" w:rsidRPr="00C04776" w:rsidRDefault="0091033E" w:rsidP="0091033E">
      <w:pPr>
        <w:spacing w:line="228" w:lineRule="auto"/>
        <w:rPr>
          <w:rFonts w:cs="Times New Roman"/>
          <w:sz w:val="20"/>
        </w:rPr>
      </w:pPr>
      <w:r w:rsidRPr="00C04776">
        <w:rPr>
          <w:rFonts w:cs="Times New Roman"/>
          <w:sz w:val="20"/>
        </w:rPr>
        <w:t>The motion for an extension of time to serve and file a motion for leave to intervene is granted.</w:t>
      </w:r>
    </w:p>
    <w:p w:rsidR="0091033E" w:rsidRPr="00C04776" w:rsidRDefault="0091033E" w:rsidP="0091033E">
      <w:pPr>
        <w:spacing w:line="230" w:lineRule="auto"/>
        <w:rPr>
          <w:rFonts w:cs="Times New Roman"/>
          <w:sz w:val="20"/>
        </w:rPr>
      </w:pPr>
    </w:p>
    <w:p w:rsidR="0091033E" w:rsidRPr="00C04776" w:rsidRDefault="0091033E" w:rsidP="0091033E">
      <w:pPr>
        <w:spacing w:line="230" w:lineRule="auto"/>
        <w:rPr>
          <w:rFonts w:cs="Times New Roman"/>
          <w:sz w:val="20"/>
        </w:rPr>
      </w:pPr>
      <w:r w:rsidRPr="00C04776">
        <w:rPr>
          <w:rFonts w:cs="Times New Roman"/>
          <w:sz w:val="20"/>
        </w:rPr>
        <w:t>The motions for leave to intervene are granted and the said nine (9) interveners or groups of interveners shall be entitled to each serve and file a factum not to exceed ten (10) pages in length on or before October 12, 2018.</w:t>
      </w:r>
    </w:p>
    <w:p w:rsidR="0091033E" w:rsidRPr="00C04776" w:rsidRDefault="0091033E" w:rsidP="0091033E">
      <w:pPr>
        <w:spacing w:line="230" w:lineRule="auto"/>
        <w:rPr>
          <w:rFonts w:cs="Times New Roman"/>
          <w:sz w:val="20"/>
        </w:rPr>
      </w:pPr>
    </w:p>
    <w:p w:rsidR="0091033E" w:rsidRPr="00C04776" w:rsidRDefault="0091033E" w:rsidP="0091033E">
      <w:pPr>
        <w:spacing w:line="228" w:lineRule="auto"/>
        <w:rPr>
          <w:rFonts w:cs="Times New Roman"/>
          <w:sz w:val="20"/>
        </w:rPr>
      </w:pPr>
      <w:r w:rsidRPr="00C04776">
        <w:rPr>
          <w:rFonts w:cs="Times New Roman"/>
          <w:sz w:val="20"/>
        </w:rPr>
        <w:t>DHL Express (Canada), Ltd., Federal Express Canada Corporation, Purolator Inc., TFI International Inc. and United Parcel Service Canada Ltd. (jointly); FETCO Inc. (Federally Regulated Employers — Transportation and Communications); the Canadian Union of Public Employees and the Professional Institute of the Public Service of Canada (jointly); the Workers’ Health and Safety Legal Clinic; Rogers Communications Inc.; the Canadian Broadcasting Corporation, Bell Canada, Bell Technical Solutions Inc. and Bell Media Inc. (jointly); the Maritime Employers Association, the Halifax Employers Association and the British Columbia Maritime Employers Association (jointly); the International Longshore and Warehouse Union Canada, the International Longshoremen’s Association, Local 269, Local 1341, Local 1657, Local 1825 and the Canadian Union of Public Employees, Local 375 (jointly) are each granted permission to present oral argument not exceeding five (5) minutes at the hearing of the appeal.</w:t>
      </w:r>
    </w:p>
    <w:p w:rsidR="0091033E" w:rsidRPr="00C04776" w:rsidRDefault="0091033E" w:rsidP="0091033E">
      <w:pPr>
        <w:spacing w:line="230" w:lineRule="auto"/>
        <w:rPr>
          <w:rFonts w:cs="Times New Roman"/>
          <w:sz w:val="20"/>
        </w:rPr>
      </w:pPr>
    </w:p>
    <w:p w:rsidR="0091033E" w:rsidRPr="00C04776" w:rsidRDefault="0091033E" w:rsidP="0091033E">
      <w:pPr>
        <w:spacing w:line="230" w:lineRule="auto"/>
        <w:rPr>
          <w:rFonts w:cs="Times New Roman"/>
          <w:sz w:val="20"/>
        </w:rPr>
      </w:pPr>
      <w:r w:rsidRPr="00C04776">
        <w:rPr>
          <w:rFonts w:cs="Times New Roman"/>
          <w:sz w:val="20"/>
        </w:rPr>
        <w:t>The Attorney General of Canada is granted permission to present oral argument not exceeding ten (10) minutes at the hearing of the appeal.</w:t>
      </w:r>
    </w:p>
    <w:p w:rsidR="0091033E" w:rsidRPr="00C04776" w:rsidRDefault="0091033E" w:rsidP="0091033E">
      <w:pPr>
        <w:spacing w:line="230" w:lineRule="auto"/>
        <w:rPr>
          <w:rFonts w:cs="Times New Roman"/>
          <w:sz w:val="20"/>
          <w:lang w:val="en-US"/>
        </w:rPr>
      </w:pPr>
    </w:p>
    <w:p w:rsidR="0091033E" w:rsidRPr="00C04776" w:rsidRDefault="0091033E" w:rsidP="0091033E">
      <w:pPr>
        <w:spacing w:line="228" w:lineRule="auto"/>
        <w:rPr>
          <w:rFonts w:cs="Times New Roman"/>
          <w:sz w:val="20"/>
        </w:rPr>
      </w:pPr>
      <w:r w:rsidRPr="00C04776">
        <w:rPr>
          <w:rFonts w:cs="Times New Roman"/>
          <w:sz w:val="20"/>
          <w:lang w:eastAsia="fr-FR"/>
        </w:rPr>
        <w:t>The appellant’s request to serve and file a factum in reply to the interveners’ factum is denied.</w:t>
      </w:r>
    </w:p>
    <w:p w:rsidR="0091033E" w:rsidRPr="00C04776" w:rsidRDefault="0091033E" w:rsidP="0091033E">
      <w:pPr>
        <w:spacing w:line="230" w:lineRule="auto"/>
        <w:rPr>
          <w:rFonts w:cs="Times New Roman"/>
          <w:sz w:val="20"/>
        </w:rPr>
      </w:pPr>
    </w:p>
    <w:p w:rsidR="0091033E" w:rsidRPr="00C04776" w:rsidRDefault="0091033E" w:rsidP="0091033E">
      <w:pPr>
        <w:spacing w:line="230" w:lineRule="auto"/>
        <w:rPr>
          <w:rFonts w:cs="Times New Roman"/>
          <w:bCs/>
          <w:sz w:val="20"/>
        </w:rPr>
      </w:pPr>
      <w:r w:rsidRPr="00C04776">
        <w:rPr>
          <w:rFonts w:cs="Times New Roman"/>
          <w:sz w:val="20"/>
        </w:rPr>
        <w:fldChar w:fldCharType="begin"/>
      </w:r>
      <w:r w:rsidRPr="00C04776">
        <w:rPr>
          <w:rFonts w:cs="Times New Roman"/>
          <w:sz w:val="20"/>
        </w:rPr>
        <w:instrText xml:space="preserve"> SEQ CHAPTER \h \r 1</w:instrText>
      </w:r>
      <w:r w:rsidRPr="00C04776">
        <w:rPr>
          <w:rFonts w:cs="Times New Roman"/>
          <w:sz w:val="20"/>
        </w:rPr>
        <w:fldChar w:fldCharType="end"/>
      </w:r>
      <w:r w:rsidRPr="00C04776">
        <w:rPr>
          <w:rFonts w:cs="Times New Roman"/>
          <w:bCs/>
          <w:sz w:val="20"/>
        </w:rPr>
        <w:t>The interveners or groups of interveners are not entitled to raise new issues or to adduce further evidence or otherwise to supplement the record of the parties.</w:t>
      </w:r>
    </w:p>
    <w:p w:rsidR="0091033E" w:rsidRPr="00C04776" w:rsidRDefault="0091033E" w:rsidP="0091033E">
      <w:pPr>
        <w:spacing w:line="230" w:lineRule="auto"/>
        <w:rPr>
          <w:rFonts w:cs="Times New Roman"/>
          <w:bCs/>
          <w:sz w:val="20"/>
        </w:rPr>
      </w:pPr>
    </w:p>
    <w:p w:rsidR="0091033E" w:rsidRPr="00C04776" w:rsidRDefault="0091033E" w:rsidP="0091033E">
      <w:pPr>
        <w:spacing w:line="230" w:lineRule="auto"/>
        <w:rPr>
          <w:rFonts w:cs="Times New Roman"/>
          <w:bCs/>
          <w:sz w:val="20"/>
        </w:rPr>
      </w:pPr>
      <w:r w:rsidRPr="00C04776">
        <w:rPr>
          <w:rFonts w:cs="Times New Roman"/>
          <w:sz w:val="20"/>
        </w:rPr>
        <w:t>Pursuant to Rule 59(1</w:t>
      </w:r>
      <w:proofErr w:type="gramStart"/>
      <w:r w:rsidRPr="00C04776">
        <w:rPr>
          <w:rFonts w:cs="Times New Roman"/>
          <w:sz w:val="20"/>
        </w:rPr>
        <w:t>)(</w:t>
      </w:r>
      <w:proofErr w:type="gramEnd"/>
      <w:r w:rsidRPr="00C04776">
        <w:rPr>
          <w:rFonts w:cs="Times New Roman"/>
          <w:i/>
          <w:iCs/>
          <w:sz w:val="20"/>
        </w:rPr>
        <w:t>a</w:t>
      </w:r>
      <w:r w:rsidRPr="00C04776">
        <w:rPr>
          <w:rFonts w:cs="Times New Roman"/>
          <w:sz w:val="20"/>
        </w:rPr>
        <w:t xml:space="preserve">) of the </w:t>
      </w:r>
      <w:r w:rsidRPr="00C04776">
        <w:rPr>
          <w:rFonts w:cs="Times New Roman"/>
          <w:i/>
          <w:iCs/>
          <w:sz w:val="20"/>
        </w:rPr>
        <w:t>Rules of the Supreme Court of Canada</w:t>
      </w:r>
      <w:r w:rsidRPr="00C04776">
        <w:rPr>
          <w:rFonts w:cs="Times New Roman"/>
          <w:sz w:val="20"/>
        </w:rPr>
        <w:t>, the interveners or groups of interveners shall pay to the appellant and respondent any additional disbursements resulting from their interventions.</w:t>
      </w:r>
    </w:p>
    <w:p w:rsidR="00CA2DEA" w:rsidRPr="00C04776" w:rsidRDefault="00CA2DEA" w:rsidP="00CA2DEA">
      <w:pPr>
        <w:widowControl w:val="0"/>
        <w:rPr>
          <w:rFonts w:eastAsia="Times New Roman" w:cs="Times New Roman"/>
          <w:sz w:val="20"/>
          <w:szCs w:val="20"/>
          <w:lang w:eastAsia="en-CA"/>
        </w:rPr>
      </w:pPr>
    </w:p>
    <w:p w:rsidR="005E5506" w:rsidRPr="00C04776" w:rsidRDefault="005E5506" w:rsidP="005E5506">
      <w:pPr>
        <w:rPr>
          <w:rFonts w:cs="Times New Roman"/>
          <w:bCs/>
          <w:sz w:val="20"/>
          <w:szCs w:val="20"/>
          <w:lang w:val="en-US"/>
        </w:rPr>
      </w:pPr>
    </w:p>
    <w:p w:rsidR="005E5506" w:rsidRPr="00C04776" w:rsidRDefault="005E5506" w:rsidP="005E5506">
      <w:pPr>
        <w:rPr>
          <w:rFonts w:cs="Times New Roman"/>
          <w:sz w:val="20"/>
          <w:lang w:val="fr-CA"/>
        </w:rPr>
      </w:pPr>
      <w:r w:rsidRPr="00C04776">
        <w:rPr>
          <w:rFonts w:cs="Times New Roman"/>
          <w:b/>
          <w:bCs/>
          <w:sz w:val="20"/>
          <w:lang w:val="fr-CA"/>
        </w:rPr>
        <w:t xml:space="preserve">À LA SUITE DES REQUÊTES </w:t>
      </w:r>
      <w:r w:rsidRPr="00C04776">
        <w:rPr>
          <w:rFonts w:cs="Times New Roman"/>
          <w:bCs/>
          <w:sz w:val="20"/>
          <w:lang w:val="fr-CA"/>
        </w:rPr>
        <w:t xml:space="preserve">présentées par la procureure générale du Canada; </w:t>
      </w:r>
      <w:r w:rsidRPr="00C04776">
        <w:rPr>
          <w:rFonts w:cs="Times New Roman"/>
          <w:sz w:val="20"/>
          <w:lang w:val="fr-CA"/>
        </w:rPr>
        <w:t xml:space="preserve">DHL Express (Canada) ltée, Federal Express Canada Corporation, </w:t>
      </w:r>
      <w:proofErr w:type="spellStart"/>
      <w:r w:rsidRPr="00C04776">
        <w:rPr>
          <w:rFonts w:cs="Times New Roman"/>
          <w:sz w:val="20"/>
          <w:lang w:val="fr-CA"/>
        </w:rPr>
        <w:t>Purolator</w:t>
      </w:r>
      <w:proofErr w:type="spellEnd"/>
      <w:r w:rsidRPr="00C04776">
        <w:rPr>
          <w:rFonts w:cs="Times New Roman"/>
          <w:sz w:val="20"/>
          <w:lang w:val="fr-CA"/>
        </w:rPr>
        <w:t xml:space="preserve"> Inc., TFI International Inc. et United </w:t>
      </w:r>
      <w:proofErr w:type="spellStart"/>
      <w:r w:rsidRPr="00C04776">
        <w:rPr>
          <w:rFonts w:cs="Times New Roman"/>
          <w:sz w:val="20"/>
          <w:lang w:val="fr-CA"/>
        </w:rPr>
        <w:t>Parcel</w:t>
      </w:r>
      <w:proofErr w:type="spellEnd"/>
      <w:r w:rsidRPr="00C04776">
        <w:rPr>
          <w:rFonts w:cs="Times New Roman"/>
          <w:sz w:val="20"/>
          <w:lang w:val="fr-CA"/>
        </w:rPr>
        <w:t xml:space="preserve"> Service Canada ltée (conjointement)</w:t>
      </w:r>
      <w:r w:rsidRPr="00C04776">
        <w:rPr>
          <w:rFonts w:cs="Times New Roman"/>
          <w:bCs/>
          <w:sz w:val="20"/>
          <w:lang w:val="fr-CA"/>
        </w:rPr>
        <w:t>;</w:t>
      </w:r>
      <w:r w:rsidRPr="00C04776">
        <w:rPr>
          <w:rFonts w:cs="Times New Roman"/>
          <w:sz w:val="20"/>
          <w:lang w:val="fr-CA"/>
        </w:rPr>
        <w:t xml:space="preserve"> ETCOF inc. (l’Association des employeurs des transports et communications de régie fédérale); le Syndicat canadien de la fonction publique et l’Institut professionnel de la fonction publique du Canada (conjointement); la Workers’ </w:t>
      </w:r>
      <w:proofErr w:type="spellStart"/>
      <w:r w:rsidRPr="00C04776">
        <w:rPr>
          <w:rFonts w:cs="Times New Roman"/>
          <w:sz w:val="20"/>
          <w:lang w:val="fr-CA"/>
        </w:rPr>
        <w:t>Health</w:t>
      </w:r>
      <w:proofErr w:type="spellEnd"/>
      <w:r w:rsidRPr="00C04776">
        <w:rPr>
          <w:rFonts w:cs="Times New Roman"/>
          <w:sz w:val="20"/>
          <w:lang w:val="fr-CA"/>
        </w:rPr>
        <w:t xml:space="preserve"> and </w:t>
      </w:r>
      <w:proofErr w:type="spellStart"/>
      <w:r w:rsidRPr="00C04776">
        <w:rPr>
          <w:rFonts w:cs="Times New Roman"/>
          <w:sz w:val="20"/>
          <w:lang w:val="fr-CA"/>
        </w:rPr>
        <w:t>Safety</w:t>
      </w:r>
      <w:proofErr w:type="spellEnd"/>
      <w:r w:rsidRPr="00C04776">
        <w:rPr>
          <w:rFonts w:cs="Times New Roman"/>
          <w:sz w:val="20"/>
          <w:lang w:val="fr-CA"/>
        </w:rPr>
        <w:t xml:space="preserve"> Legal </w:t>
      </w:r>
      <w:proofErr w:type="spellStart"/>
      <w:r w:rsidRPr="00C04776">
        <w:rPr>
          <w:rFonts w:cs="Times New Roman"/>
          <w:sz w:val="20"/>
          <w:lang w:val="fr-CA"/>
        </w:rPr>
        <w:t>Clinic</w:t>
      </w:r>
      <w:proofErr w:type="spellEnd"/>
      <w:r w:rsidRPr="00C04776">
        <w:rPr>
          <w:rFonts w:cs="Times New Roman"/>
          <w:sz w:val="20"/>
          <w:lang w:val="fr-CA"/>
        </w:rPr>
        <w:t xml:space="preserve">; Rogers Communications Inc.; la Société Radio-Canada, Bell Canada, Bell Solutions techniques inc. et Bell Média inc. (conjointement); l’Association des employeurs maritimes, la Halifax </w:t>
      </w:r>
      <w:proofErr w:type="spellStart"/>
      <w:r w:rsidRPr="00C04776">
        <w:rPr>
          <w:rFonts w:cs="Times New Roman"/>
          <w:sz w:val="20"/>
          <w:lang w:val="fr-CA"/>
        </w:rPr>
        <w:t>Employers</w:t>
      </w:r>
      <w:proofErr w:type="spellEnd"/>
      <w:r w:rsidRPr="00C04776">
        <w:rPr>
          <w:rFonts w:cs="Times New Roman"/>
          <w:sz w:val="20"/>
          <w:lang w:val="fr-CA"/>
        </w:rPr>
        <w:t xml:space="preserve"> Association et la British Columbia Maritime </w:t>
      </w:r>
      <w:proofErr w:type="spellStart"/>
      <w:r w:rsidRPr="00C04776">
        <w:rPr>
          <w:rFonts w:cs="Times New Roman"/>
          <w:sz w:val="20"/>
          <w:lang w:val="fr-CA"/>
        </w:rPr>
        <w:t>Employers</w:t>
      </w:r>
      <w:proofErr w:type="spellEnd"/>
      <w:r w:rsidRPr="00C04776">
        <w:rPr>
          <w:rFonts w:cs="Times New Roman"/>
          <w:sz w:val="20"/>
          <w:lang w:val="fr-CA"/>
        </w:rPr>
        <w:t xml:space="preserve"> Association (conjointement); le Syndicat international des débardeurs et magasiniers du Canada, l’Association internationale des débardeurs, sections locales 269, 1341, 1657 et 1825 et le Syndicat canadien de la fonction publique, section locale 375 (conjointement)</w:t>
      </w:r>
      <w:r w:rsidRPr="00C04776">
        <w:rPr>
          <w:rFonts w:cs="Times New Roman"/>
          <w:bCs/>
          <w:sz w:val="20"/>
          <w:lang w:val="fr-CA"/>
        </w:rPr>
        <w:t xml:space="preserve"> </w:t>
      </w:r>
      <w:r w:rsidRPr="00C04776">
        <w:rPr>
          <w:rFonts w:cs="Times New Roman"/>
          <w:sz w:val="20"/>
          <w:lang w:val="fr-CA"/>
        </w:rPr>
        <w:t>en vue d’intervenir dans l’appel;</w:t>
      </w:r>
    </w:p>
    <w:p w:rsidR="005E5506" w:rsidRPr="00C04776" w:rsidRDefault="005E5506" w:rsidP="005E5506">
      <w:pPr>
        <w:spacing w:line="233" w:lineRule="auto"/>
        <w:rPr>
          <w:rFonts w:cs="Times New Roman"/>
          <w:bCs/>
          <w:sz w:val="20"/>
          <w:lang w:val="fr-CA"/>
        </w:rPr>
      </w:pPr>
    </w:p>
    <w:p w:rsidR="005E5506" w:rsidRPr="00C04776" w:rsidRDefault="005E5506" w:rsidP="005E5506">
      <w:pPr>
        <w:spacing w:line="233" w:lineRule="auto"/>
        <w:rPr>
          <w:rFonts w:cs="Times New Roman"/>
          <w:sz w:val="20"/>
          <w:lang w:val="fr-CA"/>
        </w:rPr>
      </w:pPr>
      <w:r w:rsidRPr="00C04776">
        <w:rPr>
          <w:rFonts w:cs="Times New Roman"/>
          <w:b/>
          <w:sz w:val="20"/>
          <w:lang w:val="fr-CA"/>
        </w:rPr>
        <w:t xml:space="preserve">ET À LA SUITE DE LA REQUÊTE </w:t>
      </w:r>
      <w:r w:rsidRPr="00C04776">
        <w:rPr>
          <w:rFonts w:cs="Times New Roman"/>
          <w:sz w:val="20"/>
          <w:lang w:val="fr-CA"/>
        </w:rPr>
        <w:t>présentée par le Syndicat international des débardeurs et magasiniers du Canada, l’Association internationale des débardeurs, sections locales 269, 1341, 1657 et 1825 et le Syndicat canadien de la fonction publique, section locale 375 (conjointement)</w:t>
      </w:r>
      <w:r w:rsidRPr="00C04776">
        <w:rPr>
          <w:rFonts w:cs="Times New Roman"/>
          <w:bCs/>
          <w:sz w:val="20"/>
          <w:lang w:val="fr-CA"/>
        </w:rPr>
        <w:t xml:space="preserve"> en prorogation du délai pour la signification et le dépôt d’une requête en autorisation d’intervenir</w:t>
      </w:r>
      <w:r w:rsidRPr="00C04776">
        <w:rPr>
          <w:rFonts w:cs="Times New Roman"/>
          <w:sz w:val="20"/>
          <w:lang w:val="fr-CA"/>
        </w:rPr>
        <w:t>;</w:t>
      </w:r>
    </w:p>
    <w:p w:rsidR="005E5506" w:rsidRPr="00C04776" w:rsidRDefault="005E5506" w:rsidP="005E5506">
      <w:pPr>
        <w:spacing w:line="233" w:lineRule="auto"/>
        <w:rPr>
          <w:rFonts w:cs="Times New Roman"/>
          <w:sz w:val="20"/>
          <w:lang w:val="fr-CA"/>
        </w:rPr>
      </w:pPr>
    </w:p>
    <w:p w:rsidR="005E5506" w:rsidRPr="00C04776" w:rsidRDefault="005E5506" w:rsidP="005E5506">
      <w:pPr>
        <w:spacing w:line="233" w:lineRule="auto"/>
        <w:rPr>
          <w:rFonts w:cs="Times New Roman"/>
          <w:bCs/>
          <w:sz w:val="20"/>
          <w:lang w:val="fr-CA"/>
        </w:rPr>
      </w:pPr>
      <w:r w:rsidRPr="00C04776">
        <w:rPr>
          <w:rFonts w:cs="Times New Roman"/>
          <w:b/>
          <w:bCs/>
          <w:sz w:val="20"/>
          <w:lang w:val="fr-CA"/>
        </w:rPr>
        <w:t>ET APRÈS EXAMEN</w:t>
      </w:r>
      <w:r w:rsidRPr="00C04776">
        <w:rPr>
          <w:rFonts w:cs="Times New Roman"/>
          <w:bCs/>
          <w:sz w:val="20"/>
          <w:lang w:val="fr-CA"/>
        </w:rPr>
        <w:t xml:space="preserve"> des documents déposés;</w:t>
      </w:r>
    </w:p>
    <w:p w:rsidR="005E5506" w:rsidRPr="00C04776" w:rsidRDefault="005E5506" w:rsidP="005E5506">
      <w:pPr>
        <w:spacing w:line="233" w:lineRule="auto"/>
        <w:rPr>
          <w:rFonts w:cs="Times New Roman"/>
          <w:sz w:val="20"/>
          <w:lang w:val="fr-CA"/>
        </w:rPr>
      </w:pPr>
    </w:p>
    <w:p w:rsidR="005E5506" w:rsidRPr="00C04776" w:rsidRDefault="005E5506" w:rsidP="005E5506">
      <w:pPr>
        <w:spacing w:line="233" w:lineRule="auto"/>
        <w:rPr>
          <w:rFonts w:cs="Times New Roman"/>
          <w:sz w:val="20"/>
          <w:lang w:val="fr-CA"/>
        </w:rPr>
      </w:pPr>
      <w:r w:rsidRPr="00C04776">
        <w:rPr>
          <w:rFonts w:cs="Times New Roman"/>
          <w:b/>
          <w:bCs/>
          <w:sz w:val="20"/>
          <w:lang w:val="fr-CA"/>
        </w:rPr>
        <w:t>IL EST ORDONNÉ CE QUI SUIT :</w:t>
      </w:r>
    </w:p>
    <w:p w:rsidR="005E5506" w:rsidRPr="00C04776" w:rsidRDefault="005E5506" w:rsidP="005E5506">
      <w:pPr>
        <w:spacing w:line="233" w:lineRule="auto"/>
        <w:rPr>
          <w:rFonts w:cs="Times New Roman"/>
          <w:sz w:val="20"/>
          <w:lang w:val="fr-CA"/>
        </w:rPr>
      </w:pPr>
    </w:p>
    <w:p w:rsidR="005E5506" w:rsidRPr="00C04776" w:rsidRDefault="005E5506" w:rsidP="005E5506">
      <w:pPr>
        <w:spacing w:line="230" w:lineRule="auto"/>
        <w:rPr>
          <w:rFonts w:cs="Times New Roman"/>
          <w:sz w:val="20"/>
          <w:lang w:val="fr-CA"/>
        </w:rPr>
      </w:pPr>
      <w:r w:rsidRPr="00C04776">
        <w:rPr>
          <w:rFonts w:cs="Times New Roman"/>
          <w:sz w:val="20"/>
          <w:lang w:val="fr-CA"/>
        </w:rPr>
        <w:t>La requête en prorogation du délai pour la signification et le dépôt d’une requête en autorisation d’intervenir est accueillie.</w:t>
      </w:r>
    </w:p>
    <w:p w:rsidR="005E5506" w:rsidRPr="00C04776" w:rsidRDefault="005E5506" w:rsidP="005E5506">
      <w:pPr>
        <w:spacing w:line="232" w:lineRule="auto"/>
        <w:rPr>
          <w:rFonts w:cs="Times New Roman"/>
          <w:sz w:val="20"/>
          <w:lang w:val="fr-CA"/>
        </w:rPr>
      </w:pPr>
    </w:p>
    <w:p w:rsidR="005E5506" w:rsidRPr="00C04776" w:rsidRDefault="005E5506" w:rsidP="005E5506">
      <w:pPr>
        <w:spacing w:line="232" w:lineRule="auto"/>
        <w:rPr>
          <w:rFonts w:cs="Times New Roman"/>
          <w:sz w:val="20"/>
          <w:lang w:val="fr-CA"/>
        </w:rPr>
      </w:pPr>
      <w:r w:rsidRPr="00C04776">
        <w:rPr>
          <w:rFonts w:cs="Times New Roman"/>
          <w:sz w:val="20"/>
          <w:lang w:val="fr-CA"/>
        </w:rPr>
        <w:t>Les requêtes en autorisation d’intervenir sont accueillies et ces neuf (9) intervenants ou groupes d’intervenants pourront chacun signifier et déposer un mémoire d’au plus dix (10) pages au plus tard le 12 octobre 2018.</w:t>
      </w:r>
    </w:p>
    <w:p w:rsidR="005E5506" w:rsidRPr="00C04776" w:rsidRDefault="005E5506" w:rsidP="005E5506">
      <w:pPr>
        <w:spacing w:line="232" w:lineRule="auto"/>
        <w:rPr>
          <w:rFonts w:cs="Times New Roman"/>
          <w:sz w:val="20"/>
          <w:lang w:val="fr-CA"/>
        </w:rPr>
      </w:pPr>
    </w:p>
    <w:p w:rsidR="005E5506" w:rsidRPr="00C04776" w:rsidRDefault="005E5506" w:rsidP="005E5506">
      <w:pPr>
        <w:spacing w:line="228" w:lineRule="auto"/>
        <w:rPr>
          <w:rFonts w:cs="Times New Roman"/>
          <w:sz w:val="20"/>
          <w:lang w:val="fr-CA"/>
        </w:rPr>
      </w:pPr>
      <w:r w:rsidRPr="00C04776">
        <w:rPr>
          <w:rFonts w:cs="Times New Roman"/>
          <w:sz w:val="20"/>
          <w:lang w:val="fr-CA"/>
        </w:rPr>
        <w:t xml:space="preserve">DHL Express (Canada) ltée, Federal Express Canada Corporation, </w:t>
      </w:r>
      <w:proofErr w:type="spellStart"/>
      <w:r w:rsidRPr="00C04776">
        <w:rPr>
          <w:rFonts w:cs="Times New Roman"/>
          <w:sz w:val="20"/>
          <w:lang w:val="fr-CA"/>
        </w:rPr>
        <w:t>Purolator</w:t>
      </w:r>
      <w:proofErr w:type="spellEnd"/>
      <w:r w:rsidRPr="00C04776">
        <w:rPr>
          <w:rFonts w:cs="Times New Roman"/>
          <w:sz w:val="20"/>
          <w:lang w:val="fr-CA"/>
        </w:rPr>
        <w:t xml:space="preserve"> Inc., TFI International Inc. et United </w:t>
      </w:r>
      <w:proofErr w:type="spellStart"/>
      <w:r w:rsidRPr="00C04776">
        <w:rPr>
          <w:rFonts w:cs="Times New Roman"/>
          <w:sz w:val="20"/>
          <w:lang w:val="fr-CA"/>
        </w:rPr>
        <w:t>Parcel</w:t>
      </w:r>
      <w:proofErr w:type="spellEnd"/>
      <w:r w:rsidRPr="00C04776">
        <w:rPr>
          <w:rFonts w:cs="Times New Roman"/>
          <w:sz w:val="20"/>
          <w:lang w:val="fr-CA"/>
        </w:rPr>
        <w:t xml:space="preserve"> Service Canada ltée (conjointement); ETCOF inc. (l’Association des employeurs des transports et communications de régie fédérale); le Syndicat canadien de la fonction publique et l’Institut professionnel de la fonction publique du Canada (conjointement); la Workers’ </w:t>
      </w:r>
      <w:proofErr w:type="spellStart"/>
      <w:r w:rsidRPr="00C04776">
        <w:rPr>
          <w:rFonts w:cs="Times New Roman"/>
          <w:sz w:val="20"/>
          <w:lang w:val="fr-CA"/>
        </w:rPr>
        <w:t>Health</w:t>
      </w:r>
      <w:proofErr w:type="spellEnd"/>
      <w:r w:rsidRPr="00C04776">
        <w:rPr>
          <w:rFonts w:cs="Times New Roman"/>
          <w:sz w:val="20"/>
          <w:lang w:val="fr-CA"/>
        </w:rPr>
        <w:t xml:space="preserve"> and </w:t>
      </w:r>
      <w:proofErr w:type="spellStart"/>
      <w:r w:rsidRPr="00C04776">
        <w:rPr>
          <w:rFonts w:cs="Times New Roman"/>
          <w:sz w:val="20"/>
          <w:lang w:val="fr-CA"/>
        </w:rPr>
        <w:t>Safety</w:t>
      </w:r>
      <w:proofErr w:type="spellEnd"/>
      <w:r w:rsidRPr="00C04776">
        <w:rPr>
          <w:rFonts w:cs="Times New Roman"/>
          <w:sz w:val="20"/>
          <w:lang w:val="fr-CA"/>
        </w:rPr>
        <w:t xml:space="preserve"> Legal </w:t>
      </w:r>
      <w:proofErr w:type="spellStart"/>
      <w:r w:rsidRPr="00C04776">
        <w:rPr>
          <w:rFonts w:cs="Times New Roman"/>
          <w:sz w:val="20"/>
          <w:lang w:val="fr-CA"/>
        </w:rPr>
        <w:t>Clinic</w:t>
      </w:r>
      <w:proofErr w:type="spellEnd"/>
      <w:r w:rsidRPr="00C04776">
        <w:rPr>
          <w:rFonts w:cs="Times New Roman"/>
          <w:sz w:val="20"/>
          <w:lang w:val="fr-CA"/>
        </w:rPr>
        <w:t xml:space="preserve">; Rogers Communications Inc.; la Société Radio-Canada, Bell Canada, Bell Solutions techniques inc. et Bell Média inc. (conjointement); l’Association des employeurs maritimes, la Halifax </w:t>
      </w:r>
      <w:proofErr w:type="spellStart"/>
      <w:r w:rsidRPr="00C04776">
        <w:rPr>
          <w:rFonts w:cs="Times New Roman"/>
          <w:sz w:val="20"/>
          <w:lang w:val="fr-CA"/>
        </w:rPr>
        <w:t>Employers</w:t>
      </w:r>
      <w:proofErr w:type="spellEnd"/>
      <w:r w:rsidRPr="00C04776">
        <w:rPr>
          <w:rFonts w:cs="Times New Roman"/>
          <w:sz w:val="20"/>
          <w:lang w:val="fr-CA"/>
        </w:rPr>
        <w:t xml:space="preserve"> Association et la British Columbia Maritime </w:t>
      </w:r>
      <w:proofErr w:type="spellStart"/>
      <w:r w:rsidRPr="00C04776">
        <w:rPr>
          <w:rFonts w:cs="Times New Roman"/>
          <w:sz w:val="20"/>
          <w:lang w:val="fr-CA"/>
        </w:rPr>
        <w:t>Employers</w:t>
      </w:r>
      <w:proofErr w:type="spellEnd"/>
      <w:r w:rsidRPr="00C04776">
        <w:rPr>
          <w:rFonts w:cs="Times New Roman"/>
          <w:sz w:val="20"/>
          <w:lang w:val="fr-CA"/>
        </w:rPr>
        <w:t xml:space="preserve"> Association (conjointement); le Syndicat international des débardeurs et magasiniers du Canada, l’Association internationale des débardeurs, sections locales 269, 1341, 1657 et 1825 et le Syndicat canadien de la fonction publique, section locale 375 (conjointement) sont autorisés à présenter chacun une plaidoirie orale d’au plus cinq (5) minutes lors de l’audition de l’appel.</w:t>
      </w:r>
    </w:p>
    <w:p w:rsidR="005E5506" w:rsidRPr="00C04776" w:rsidRDefault="005E5506" w:rsidP="005E5506">
      <w:pPr>
        <w:spacing w:line="232" w:lineRule="auto"/>
        <w:rPr>
          <w:rFonts w:cs="Times New Roman"/>
          <w:sz w:val="20"/>
          <w:lang w:val="fr-CA"/>
        </w:rPr>
      </w:pPr>
    </w:p>
    <w:p w:rsidR="005E5506" w:rsidRPr="00C04776" w:rsidRDefault="005E5506" w:rsidP="005E5506">
      <w:pPr>
        <w:spacing w:line="232" w:lineRule="auto"/>
        <w:rPr>
          <w:rFonts w:cs="Times New Roman"/>
          <w:sz w:val="20"/>
          <w:lang w:val="fr-CA"/>
        </w:rPr>
      </w:pPr>
      <w:r w:rsidRPr="00C04776">
        <w:rPr>
          <w:rFonts w:cs="Times New Roman"/>
          <w:sz w:val="20"/>
          <w:lang w:val="fr-CA"/>
        </w:rPr>
        <w:t>La procureure générale du Canada est autorisée à présenter une plaidoirie orale d’au plus dix (10) minutes lors de l’audition de l’appel.</w:t>
      </w:r>
    </w:p>
    <w:p w:rsidR="005E5506" w:rsidRPr="00C04776" w:rsidRDefault="005E5506" w:rsidP="005E5506">
      <w:pPr>
        <w:spacing w:line="232" w:lineRule="auto"/>
        <w:rPr>
          <w:rFonts w:cs="Times New Roman"/>
          <w:sz w:val="20"/>
          <w:lang w:val="fr-CA"/>
        </w:rPr>
      </w:pPr>
    </w:p>
    <w:p w:rsidR="005E5506" w:rsidRPr="00C04776" w:rsidRDefault="005E5506" w:rsidP="005E5506">
      <w:pPr>
        <w:spacing w:line="232" w:lineRule="auto"/>
        <w:rPr>
          <w:rFonts w:cs="Times New Roman"/>
          <w:sz w:val="20"/>
          <w:lang w:val="fr-CA"/>
        </w:rPr>
      </w:pPr>
      <w:r w:rsidRPr="00C04776">
        <w:rPr>
          <w:rFonts w:cs="Times New Roman"/>
          <w:sz w:val="20"/>
          <w:lang w:val="fr-CA"/>
        </w:rPr>
        <w:t>La demande de l’appelante de signifier et de déposer un mémoire en réplique aux mémoires des intervenants est rejetée.</w:t>
      </w:r>
    </w:p>
    <w:p w:rsidR="005E5506" w:rsidRPr="00C04776" w:rsidRDefault="005E5506" w:rsidP="005E5506">
      <w:pPr>
        <w:spacing w:line="232" w:lineRule="auto"/>
        <w:rPr>
          <w:rFonts w:cs="Times New Roman"/>
          <w:sz w:val="20"/>
          <w:lang w:val="fr-CA"/>
        </w:rPr>
      </w:pPr>
    </w:p>
    <w:p w:rsidR="005E5506" w:rsidRPr="00C04776" w:rsidRDefault="005E5506" w:rsidP="005E5506">
      <w:pPr>
        <w:spacing w:line="232" w:lineRule="auto"/>
        <w:rPr>
          <w:rFonts w:cs="Times New Roman"/>
          <w:sz w:val="20"/>
          <w:lang w:val="fr-CA"/>
        </w:rPr>
      </w:pPr>
      <w:r w:rsidRPr="00C04776">
        <w:rPr>
          <w:rFonts w:cs="Times New Roman"/>
          <w:sz w:val="20"/>
          <w:lang w:val="fr-CA"/>
        </w:rPr>
        <w:t xml:space="preserve">Les intervenants et groupes d’intervenants n’ont pas le droit de soulever de nouvelles questions, de produire d’autres éléments de preuve ou de compléter de quelque autre façon le dossier des parties. </w:t>
      </w:r>
    </w:p>
    <w:p w:rsidR="005E5506" w:rsidRPr="00C04776" w:rsidRDefault="005E5506" w:rsidP="005E5506">
      <w:pPr>
        <w:spacing w:line="232" w:lineRule="auto"/>
        <w:rPr>
          <w:rFonts w:cs="Times New Roman"/>
          <w:bCs/>
          <w:sz w:val="20"/>
          <w:lang w:val="fr-CA"/>
        </w:rPr>
      </w:pPr>
    </w:p>
    <w:p w:rsidR="005E5506" w:rsidRPr="00C04776" w:rsidRDefault="005E5506" w:rsidP="005E5506">
      <w:pPr>
        <w:spacing w:line="232" w:lineRule="auto"/>
        <w:rPr>
          <w:rFonts w:cs="Times New Roman"/>
          <w:bCs/>
          <w:sz w:val="20"/>
          <w:lang w:val="fr-CA"/>
        </w:rPr>
      </w:pPr>
      <w:r w:rsidRPr="00C04776">
        <w:rPr>
          <w:rFonts w:cs="Times New Roman"/>
          <w:bCs/>
          <w:sz w:val="20"/>
          <w:lang w:val="fr-CA"/>
        </w:rPr>
        <w:t xml:space="preserve">Conformément à l’al. 59(1)a) des </w:t>
      </w:r>
      <w:r w:rsidRPr="00C04776">
        <w:rPr>
          <w:rFonts w:cs="Times New Roman"/>
          <w:bCs/>
          <w:i/>
          <w:sz w:val="20"/>
          <w:lang w:val="fr-CA"/>
        </w:rPr>
        <w:t>Règles de la Cour suprême du Canada</w:t>
      </w:r>
      <w:r w:rsidRPr="00C04776">
        <w:rPr>
          <w:rFonts w:cs="Times New Roman"/>
          <w:bCs/>
          <w:sz w:val="20"/>
          <w:lang w:val="fr-CA"/>
        </w:rPr>
        <w:t>, les intervenants et groupes d’intervenants paieront à l’appelante et à l’intimé tous les débours supplémentaires résultant de leur intervention.</w:t>
      </w:r>
    </w:p>
    <w:p w:rsidR="00CA2DEA" w:rsidRPr="00C04776" w:rsidRDefault="00CA2DEA" w:rsidP="0010587F">
      <w:pPr>
        <w:tabs>
          <w:tab w:val="left" w:pos="-1440"/>
          <w:tab w:val="left" w:pos="-720"/>
        </w:tabs>
        <w:jc w:val="both"/>
        <w:rPr>
          <w:sz w:val="20"/>
          <w:szCs w:val="20"/>
          <w:lang w:val="fr-CA"/>
        </w:rPr>
      </w:pPr>
    </w:p>
    <w:p w:rsidR="00BE296C" w:rsidRPr="00C04776" w:rsidRDefault="003D7763" w:rsidP="0010587F">
      <w:pPr>
        <w:tabs>
          <w:tab w:val="left" w:pos="-1440"/>
          <w:tab w:val="left" w:pos="-720"/>
        </w:tabs>
        <w:jc w:val="both"/>
        <w:rPr>
          <w:sz w:val="20"/>
          <w:szCs w:val="20"/>
          <w:lang w:val="fr-CA"/>
        </w:rPr>
      </w:pPr>
      <w:r>
        <w:rPr>
          <w:b/>
          <w:sz w:val="20"/>
          <w:szCs w:val="20"/>
        </w:rPr>
        <w:pict>
          <v:rect id="_x0000_i1045" style="width:144.3pt;height:1pt" o:hrpct="300" o:hralign="center" o:hrstd="t" o:hrnoshade="t" o:hr="t" fillcolor="black [3213]" stroked="f"/>
        </w:pict>
      </w:r>
    </w:p>
    <w:p w:rsidR="005C3297" w:rsidRPr="00C04776" w:rsidRDefault="005C3297" w:rsidP="0010587F">
      <w:pPr>
        <w:tabs>
          <w:tab w:val="left" w:pos="-1440"/>
          <w:tab w:val="left" w:pos="-720"/>
        </w:tabs>
        <w:jc w:val="both"/>
        <w:rPr>
          <w:sz w:val="20"/>
          <w:szCs w:val="20"/>
          <w:lang w:val="fr-CA"/>
        </w:rPr>
      </w:pPr>
    </w:p>
    <w:p w:rsidR="005C3297" w:rsidRPr="00C04776" w:rsidRDefault="005C3297" w:rsidP="0010587F">
      <w:pPr>
        <w:tabs>
          <w:tab w:val="left" w:pos="-1440"/>
          <w:tab w:val="left" w:pos="-720"/>
        </w:tabs>
        <w:jc w:val="both"/>
        <w:rPr>
          <w:sz w:val="20"/>
          <w:szCs w:val="20"/>
          <w:lang w:val="fr-CA"/>
        </w:rPr>
      </w:pPr>
    </w:p>
    <w:p w:rsidR="00890FEB" w:rsidRPr="00C04776" w:rsidRDefault="00890FEB" w:rsidP="00831CA9">
      <w:pPr>
        <w:jc w:val="both"/>
        <w:rPr>
          <w:sz w:val="20"/>
          <w:szCs w:val="20"/>
          <w:lang w:val="fr-CA"/>
        </w:rPr>
      </w:pPr>
    </w:p>
    <w:p w:rsidR="00831CA9" w:rsidRPr="00C04776" w:rsidRDefault="00831CA9" w:rsidP="00831CA9">
      <w:pPr>
        <w:jc w:val="both"/>
        <w:rPr>
          <w:sz w:val="20"/>
          <w:szCs w:val="20"/>
          <w:lang w:val="fr-CA"/>
        </w:rPr>
        <w:sectPr w:rsidR="00831CA9" w:rsidRPr="00C04776" w:rsidSect="00831CA9">
          <w:headerReference w:type="even" r:id="rId18"/>
          <w:headerReference w:type="default" r:id="rId19"/>
          <w:footerReference w:type="even" r:id="rId20"/>
          <w:footerReference w:type="default" r:id="rId21"/>
          <w:headerReference w:type="first" r:id="rId22"/>
          <w:footerReference w:type="first" r:id="rId23"/>
          <w:pgSz w:w="12240" w:h="15840"/>
          <w:pgMar w:top="720" w:right="965" w:bottom="1080" w:left="1656" w:header="720" w:footer="965" w:gutter="0"/>
          <w:cols w:space="720"/>
          <w:titlePg/>
          <w:docGrid w:linePitch="326"/>
        </w:sectPr>
      </w:pPr>
    </w:p>
    <w:tbl>
      <w:tblPr>
        <w:tblW w:w="9630" w:type="dxa"/>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F40249" w:rsidRPr="003D7763" w:rsidTr="00EB2B90">
        <w:tc>
          <w:tcPr>
            <w:tcW w:w="4200" w:type="dxa"/>
            <w:shd w:val="clear" w:color="auto" w:fill="auto"/>
            <w:tcMar>
              <w:left w:w="0" w:type="dxa"/>
              <w:right w:w="0" w:type="dxa"/>
            </w:tcMar>
          </w:tcPr>
          <w:p w:rsidR="00F40249" w:rsidRPr="00C04776" w:rsidRDefault="00F40249" w:rsidP="00EB2B90">
            <w:pPr>
              <w:rPr>
                <w:b/>
                <w:szCs w:val="24"/>
              </w:rPr>
            </w:pPr>
            <w:r w:rsidRPr="00C04776">
              <w:rPr>
                <w:b/>
                <w:szCs w:val="24"/>
              </w:rPr>
              <w:t xml:space="preserve">NOTICES OF APPEAL FILED SINCE </w:t>
            </w:r>
            <w:r w:rsidR="003E5F3E" w:rsidRPr="00C04776">
              <w:rPr>
                <w:b/>
                <w:szCs w:val="24"/>
              </w:rPr>
              <w:t xml:space="preserve">THE </w:t>
            </w:r>
            <w:r w:rsidRPr="00C04776">
              <w:rPr>
                <w:b/>
                <w:szCs w:val="24"/>
              </w:rPr>
              <w:t>LAST ISSUE</w:t>
            </w:r>
          </w:p>
        </w:tc>
        <w:tc>
          <w:tcPr>
            <w:tcW w:w="1200" w:type="dxa"/>
            <w:shd w:val="clear" w:color="auto" w:fill="auto"/>
            <w:tcMar>
              <w:left w:w="0" w:type="dxa"/>
              <w:right w:w="0" w:type="dxa"/>
            </w:tcMar>
          </w:tcPr>
          <w:p w:rsidR="00F40249" w:rsidRPr="00C04776" w:rsidRDefault="00F40249" w:rsidP="00F40249">
            <w:pPr>
              <w:jc w:val="center"/>
              <w:rPr>
                <w:szCs w:val="24"/>
              </w:rPr>
            </w:pPr>
          </w:p>
          <w:p w:rsidR="00F33CCE" w:rsidRPr="00C04776" w:rsidRDefault="00F33CCE" w:rsidP="00F40249">
            <w:pPr>
              <w:jc w:val="center"/>
              <w:rPr>
                <w:szCs w:val="24"/>
              </w:rPr>
            </w:pPr>
          </w:p>
          <w:p w:rsidR="00F33CCE" w:rsidRPr="00C04776" w:rsidRDefault="00F33CCE" w:rsidP="00F40249">
            <w:pPr>
              <w:jc w:val="center"/>
              <w:rPr>
                <w:szCs w:val="24"/>
              </w:rPr>
            </w:pPr>
          </w:p>
        </w:tc>
        <w:tc>
          <w:tcPr>
            <w:tcW w:w="4230" w:type="dxa"/>
            <w:shd w:val="clear" w:color="auto" w:fill="auto"/>
            <w:tcMar>
              <w:left w:w="0" w:type="dxa"/>
              <w:right w:w="0" w:type="dxa"/>
            </w:tcMar>
          </w:tcPr>
          <w:p w:rsidR="00F40249" w:rsidRPr="00C04776" w:rsidRDefault="00F40249" w:rsidP="00EB2B90">
            <w:pPr>
              <w:rPr>
                <w:b/>
                <w:szCs w:val="24"/>
                <w:lang w:val="fr-CA"/>
              </w:rPr>
            </w:pPr>
            <w:r w:rsidRPr="00C04776">
              <w:rPr>
                <w:b/>
                <w:szCs w:val="24"/>
                <w:lang w:val="fr-CA"/>
              </w:rPr>
              <w:t>AVIS D’APPEL DÉPOSÉS DEPUIS LA DERNIÈRE PARUTION</w:t>
            </w:r>
          </w:p>
        </w:tc>
      </w:tr>
    </w:tbl>
    <w:p w:rsidR="00F40249" w:rsidRPr="00C04776" w:rsidRDefault="00F40249" w:rsidP="00F40249">
      <w:pPr>
        <w:rPr>
          <w:sz w:val="20"/>
          <w:szCs w:val="20"/>
          <w:lang w:val="fr-CA"/>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C04776" w:rsidTr="005F1ED8">
        <w:trPr>
          <w:cantSplit/>
        </w:trPr>
        <w:tc>
          <w:tcPr>
            <w:tcW w:w="2206" w:type="pct"/>
            <w:tcMar>
              <w:left w:w="0" w:type="dxa"/>
              <w:right w:w="0" w:type="dxa"/>
            </w:tcMar>
          </w:tcPr>
          <w:p w:rsidR="008375DB" w:rsidRPr="00C04776" w:rsidRDefault="008375DB" w:rsidP="008375DB">
            <w:pPr>
              <w:rPr>
                <w:sz w:val="20"/>
                <w:szCs w:val="20"/>
              </w:rPr>
            </w:pPr>
            <w:r w:rsidRPr="00C04776">
              <w:rPr>
                <w:sz w:val="20"/>
                <w:szCs w:val="20"/>
              </w:rPr>
              <w:t>14.08.2018</w:t>
            </w:r>
          </w:p>
          <w:p w:rsidR="008375DB" w:rsidRPr="00C04776" w:rsidRDefault="008375DB" w:rsidP="008375DB">
            <w:pPr>
              <w:rPr>
                <w:sz w:val="20"/>
                <w:szCs w:val="20"/>
              </w:rPr>
            </w:pPr>
          </w:p>
          <w:p w:rsidR="008375DB" w:rsidRPr="00C04776" w:rsidRDefault="008375DB" w:rsidP="008375DB">
            <w:pPr>
              <w:rPr>
                <w:b/>
                <w:sz w:val="20"/>
                <w:szCs w:val="20"/>
              </w:rPr>
            </w:pPr>
            <w:r w:rsidRPr="00C04776">
              <w:rPr>
                <w:b/>
                <w:sz w:val="20"/>
                <w:szCs w:val="20"/>
              </w:rPr>
              <w:t>Nevsun Resources Ltd.</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ab/>
              <w:t>v. (37919)</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Gize Yebeyo Araya et al. (B.C.)</w:t>
            </w:r>
          </w:p>
          <w:p w:rsidR="008375DB" w:rsidRPr="00C04776" w:rsidRDefault="008375DB" w:rsidP="008375DB">
            <w:pPr>
              <w:rPr>
                <w:sz w:val="20"/>
                <w:szCs w:val="20"/>
              </w:rPr>
            </w:pPr>
          </w:p>
          <w:p w:rsidR="008375DB" w:rsidRPr="00C04776" w:rsidRDefault="008375DB" w:rsidP="008375DB">
            <w:pPr>
              <w:rPr>
                <w:sz w:val="20"/>
                <w:szCs w:val="20"/>
              </w:rPr>
            </w:pPr>
            <w:r w:rsidRPr="00C04776">
              <w:rPr>
                <w:sz w:val="20"/>
                <w:szCs w:val="20"/>
              </w:rPr>
              <w:t>(By Leave)</w:t>
            </w:r>
          </w:p>
          <w:p w:rsidR="0086340B" w:rsidRPr="00C04776" w:rsidRDefault="003D7763" w:rsidP="008375DB">
            <w:pPr>
              <w:rPr>
                <w:sz w:val="20"/>
                <w:szCs w:val="20"/>
                <w:lang w:val="fr-CA"/>
              </w:rPr>
            </w:pPr>
            <w:r>
              <w:rPr>
                <w:sz w:val="20"/>
                <w:szCs w:val="20"/>
                <w:lang w:val="fr-CA"/>
              </w:rPr>
              <w:pict>
                <v:rect id="_x0000_i1048" style="width:106.1pt;height:1pt" o:hrpct="500" o:hralign="center" o:hrstd="t" o:hrnoshade="t" o:hr="t" fillcolor="black [3213]" stroked="f"/>
              </w:pict>
            </w:r>
          </w:p>
        </w:tc>
        <w:tc>
          <w:tcPr>
            <w:tcW w:w="588" w:type="pct"/>
          </w:tcPr>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5F1ED8">
            <w:pPr>
              <w:jc w:val="center"/>
              <w:rPr>
                <w:sz w:val="20"/>
                <w:szCs w:val="20"/>
              </w:rPr>
            </w:pPr>
          </w:p>
          <w:p w:rsidR="0086340B" w:rsidRPr="00C04776" w:rsidRDefault="0086340B" w:rsidP="002F595C">
            <w:pPr>
              <w:rPr>
                <w:sz w:val="20"/>
                <w:szCs w:val="20"/>
              </w:rPr>
            </w:pPr>
          </w:p>
        </w:tc>
        <w:tc>
          <w:tcPr>
            <w:tcW w:w="2206" w:type="pct"/>
          </w:tcPr>
          <w:p w:rsidR="008375DB" w:rsidRPr="00C04776" w:rsidRDefault="008375DB" w:rsidP="008375DB">
            <w:pPr>
              <w:rPr>
                <w:sz w:val="20"/>
                <w:szCs w:val="20"/>
              </w:rPr>
            </w:pPr>
            <w:r w:rsidRPr="00C04776">
              <w:rPr>
                <w:sz w:val="20"/>
                <w:szCs w:val="20"/>
              </w:rPr>
              <w:t>20.08.2018</w:t>
            </w:r>
          </w:p>
          <w:p w:rsidR="008375DB" w:rsidRPr="00C04776" w:rsidRDefault="008375DB" w:rsidP="008375DB">
            <w:pPr>
              <w:rPr>
                <w:sz w:val="20"/>
                <w:szCs w:val="20"/>
              </w:rPr>
            </w:pPr>
          </w:p>
          <w:p w:rsidR="008375DB" w:rsidRPr="00C04776" w:rsidRDefault="008375DB" w:rsidP="008375DB">
            <w:pPr>
              <w:rPr>
                <w:b/>
                <w:sz w:val="20"/>
                <w:szCs w:val="20"/>
              </w:rPr>
            </w:pPr>
            <w:r w:rsidRPr="00C04776">
              <w:rPr>
                <w:b/>
                <w:sz w:val="20"/>
                <w:szCs w:val="20"/>
              </w:rPr>
              <w:t>Keatley Surveying Ltd.</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ab/>
              <w:t>v. (37863)</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Teranet Inc. (Ont.)</w:t>
            </w:r>
          </w:p>
          <w:p w:rsidR="008375DB" w:rsidRPr="00C04776" w:rsidRDefault="008375DB" w:rsidP="008375DB">
            <w:pPr>
              <w:rPr>
                <w:sz w:val="20"/>
                <w:szCs w:val="20"/>
              </w:rPr>
            </w:pPr>
          </w:p>
          <w:p w:rsidR="008375DB" w:rsidRPr="00C04776" w:rsidRDefault="008375DB" w:rsidP="008375DB">
            <w:pPr>
              <w:rPr>
                <w:sz w:val="20"/>
                <w:szCs w:val="20"/>
              </w:rPr>
            </w:pPr>
            <w:r w:rsidRPr="00C04776">
              <w:rPr>
                <w:sz w:val="20"/>
                <w:szCs w:val="20"/>
              </w:rPr>
              <w:t>(By Leave)</w:t>
            </w:r>
          </w:p>
          <w:p w:rsidR="0086340B" w:rsidRPr="00C04776" w:rsidRDefault="003D7763" w:rsidP="008375DB">
            <w:pPr>
              <w:rPr>
                <w:sz w:val="20"/>
                <w:szCs w:val="20"/>
              </w:rPr>
            </w:pPr>
            <w:r>
              <w:rPr>
                <w:sz w:val="20"/>
                <w:szCs w:val="20"/>
                <w:lang w:val="fr-CA"/>
              </w:rPr>
              <w:pict>
                <v:rect id="_x0000_i1049" style="width:106.1pt;height:1pt" o:hrpct="500" o:hralign="center" o:hrstd="t" o:hrnoshade="t" o:hr="t" fillcolor="black [3213]" stroked="f"/>
              </w:pict>
            </w:r>
          </w:p>
        </w:tc>
      </w:tr>
      <w:tr w:rsidR="0086340B" w:rsidRPr="00C04776" w:rsidTr="005F1ED8">
        <w:trPr>
          <w:cantSplit/>
        </w:trPr>
        <w:tc>
          <w:tcPr>
            <w:tcW w:w="2206" w:type="pct"/>
            <w:tcMar>
              <w:left w:w="0" w:type="dxa"/>
              <w:right w:w="0" w:type="dxa"/>
            </w:tcMar>
          </w:tcPr>
          <w:p w:rsidR="008375DB" w:rsidRPr="00C04776" w:rsidRDefault="008375DB" w:rsidP="008375DB">
            <w:pPr>
              <w:rPr>
                <w:sz w:val="20"/>
                <w:szCs w:val="20"/>
                <w:lang w:val="fr-CA"/>
              </w:rPr>
            </w:pPr>
            <w:r w:rsidRPr="00C04776">
              <w:rPr>
                <w:sz w:val="20"/>
                <w:szCs w:val="20"/>
                <w:lang w:val="fr-CA"/>
              </w:rPr>
              <w:t>30.08.2018</w:t>
            </w:r>
          </w:p>
          <w:p w:rsidR="008375DB" w:rsidRPr="00C04776" w:rsidRDefault="008375DB" w:rsidP="008375DB">
            <w:pPr>
              <w:rPr>
                <w:sz w:val="20"/>
                <w:szCs w:val="20"/>
                <w:lang w:val="fr-CA"/>
              </w:rPr>
            </w:pPr>
          </w:p>
          <w:p w:rsidR="008375DB" w:rsidRPr="00C04776" w:rsidRDefault="008375DB" w:rsidP="008375DB">
            <w:pPr>
              <w:rPr>
                <w:b/>
                <w:sz w:val="20"/>
                <w:szCs w:val="20"/>
                <w:lang w:val="fr-CA"/>
              </w:rPr>
            </w:pPr>
            <w:r w:rsidRPr="00C04776">
              <w:rPr>
                <w:b/>
                <w:sz w:val="20"/>
                <w:szCs w:val="20"/>
                <w:lang w:val="fr-CA"/>
              </w:rPr>
              <w:t>R.S.</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ab/>
              <w:t>c. (37861)</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P.R. (Qc)</w:t>
            </w:r>
          </w:p>
          <w:p w:rsidR="008375DB" w:rsidRPr="00C04776" w:rsidRDefault="008375DB" w:rsidP="008375DB">
            <w:pPr>
              <w:rPr>
                <w:sz w:val="20"/>
                <w:szCs w:val="20"/>
                <w:lang w:val="fr-CA"/>
              </w:rPr>
            </w:pPr>
          </w:p>
          <w:p w:rsidR="008375DB" w:rsidRPr="00C04776" w:rsidRDefault="008375DB" w:rsidP="008375DB">
            <w:pPr>
              <w:rPr>
                <w:sz w:val="20"/>
                <w:szCs w:val="20"/>
                <w:lang w:val="fr-CA"/>
              </w:rPr>
            </w:pPr>
            <w:r w:rsidRPr="00C04776">
              <w:rPr>
                <w:sz w:val="20"/>
                <w:szCs w:val="20"/>
                <w:lang w:val="fr-CA"/>
              </w:rPr>
              <w:t>(Autorisation)</w:t>
            </w:r>
          </w:p>
          <w:p w:rsidR="0086340B" w:rsidRPr="00C04776" w:rsidRDefault="003D7763" w:rsidP="008375DB">
            <w:pPr>
              <w:rPr>
                <w:sz w:val="20"/>
                <w:szCs w:val="20"/>
              </w:rPr>
            </w:pPr>
            <w:r>
              <w:rPr>
                <w:sz w:val="20"/>
                <w:szCs w:val="20"/>
                <w:lang w:val="fr-CA"/>
              </w:rPr>
              <w:pict>
                <v:rect id="_x0000_i1050" style="width:106.1pt;height:1pt" o:hrpct="500" o:hralign="center" o:hrstd="t" o:hrnoshade="t" o:hr="t" fillcolor="black [3213]" stroked="f"/>
              </w:pict>
            </w:r>
          </w:p>
        </w:tc>
        <w:tc>
          <w:tcPr>
            <w:tcW w:w="588" w:type="pct"/>
          </w:tcPr>
          <w:p w:rsidR="0086340B" w:rsidRPr="00C04776" w:rsidRDefault="0086340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tc>
        <w:tc>
          <w:tcPr>
            <w:tcW w:w="2206" w:type="pct"/>
          </w:tcPr>
          <w:p w:rsidR="0086340B" w:rsidRPr="00C04776" w:rsidRDefault="0086340B" w:rsidP="00DB7AEC">
            <w:pPr>
              <w:rPr>
                <w:sz w:val="20"/>
                <w:szCs w:val="20"/>
                <w:lang w:val="fr-CA"/>
              </w:rPr>
            </w:pPr>
          </w:p>
          <w:p w:rsidR="008375DB" w:rsidRPr="00C04776" w:rsidRDefault="008375DB" w:rsidP="008375DB">
            <w:pPr>
              <w:rPr>
                <w:sz w:val="20"/>
                <w:szCs w:val="20"/>
                <w:lang w:val="fr-CA"/>
              </w:rPr>
            </w:pPr>
            <w:r w:rsidRPr="00C04776">
              <w:rPr>
                <w:sz w:val="20"/>
                <w:szCs w:val="20"/>
                <w:lang w:val="fr-CA"/>
              </w:rPr>
              <w:t>23.08.2018</w:t>
            </w:r>
          </w:p>
          <w:p w:rsidR="008375DB" w:rsidRPr="00C04776" w:rsidRDefault="008375DB" w:rsidP="008375DB">
            <w:pPr>
              <w:rPr>
                <w:sz w:val="20"/>
                <w:szCs w:val="20"/>
                <w:lang w:val="fr-CA"/>
              </w:rPr>
            </w:pPr>
          </w:p>
          <w:p w:rsidR="008375DB" w:rsidRPr="00C04776" w:rsidRDefault="008375DB" w:rsidP="008375DB">
            <w:pPr>
              <w:rPr>
                <w:b/>
                <w:sz w:val="20"/>
                <w:szCs w:val="20"/>
                <w:lang w:val="fr-CA"/>
              </w:rPr>
            </w:pPr>
            <w:r w:rsidRPr="00C04776">
              <w:rPr>
                <w:b/>
                <w:sz w:val="20"/>
                <w:szCs w:val="20"/>
                <w:lang w:val="fr-CA"/>
              </w:rPr>
              <w:t>Kathleen Blanchard</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ab/>
              <w:t>c. (38258)</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Sa Majesté la Reine (Qc)</w:t>
            </w:r>
          </w:p>
          <w:p w:rsidR="008375DB" w:rsidRPr="00C04776" w:rsidRDefault="008375DB" w:rsidP="008375DB">
            <w:pPr>
              <w:rPr>
                <w:sz w:val="20"/>
                <w:szCs w:val="20"/>
                <w:lang w:val="fr-CA"/>
              </w:rPr>
            </w:pPr>
          </w:p>
          <w:p w:rsidR="008375DB" w:rsidRPr="00C04776" w:rsidRDefault="008375DB" w:rsidP="008375DB">
            <w:pPr>
              <w:rPr>
                <w:sz w:val="20"/>
                <w:szCs w:val="20"/>
              </w:rPr>
            </w:pPr>
            <w:r w:rsidRPr="00C04776">
              <w:rPr>
                <w:sz w:val="20"/>
                <w:szCs w:val="20"/>
              </w:rPr>
              <w:t>(De plein droit)</w:t>
            </w:r>
          </w:p>
          <w:p w:rsidR="00DB7AEC" w:rsidRPr="00C04776" w:rsidRDefault="003D7763" w:rsidP="008375DB">
            <w:pPr>
              <w:rPr>
                <w:sz w:val="20"/>
                <w:szCs w:val="20"/>
                <w:lang w:val="en-US"/>
              </w:rPr>
            </w:pPr>
            <w:r>
              <w:rPr>
                <w:sz w:val="20"/>
                <w:szCs w:val="20"/>
                <w:lang w:val="fr-CA"/>
              </w:rPr>
              <w:pict>
                <v:rect id="_x0000_i1051" style="width:106.1pt;height:1pt" o:hrpct="500" o:hralign="center" o:hrstd="t" o:hrnoshade="t" o:hr="t" fillcolor="black [3213]" stroked="f"/>
              </w:pict>
            </w:r>
          </w:p>
        </w:tc>
      </w:tr>
      <w:tr w:rsidR="00DB7AEC" w:rsidRPr="00C04776" w:rsidTr="005F1ED8">
        <w:trPr>
          <w:cantSplit/>
        </w:trPr>
        <w:tc>
          <w:tcPr>
            <w:tcW w:w="2206" w:type="pct"/>
            <w:tcMar>
              <w:left w:w="0" w:type="dxa"/>
              <w:right w:w="0" w:type="dxa"/>
            </w:tcMar>
          </w:tcPr>
          <w:p w:rsidR="00DB7AEC" w:rsidRPr="00C04776" w:rsidRDefault="00DB7AEC" w:rsidP="00DB7AEC">
            <w:pPr>
              <w:rPr>
                <w:sz w:val="20"/>
                <w:szCs w:val="20"/>
                <w:lang w:val="fr-CA"/>
              </w:rPr>
            </w:pPr>
          </w:p>
          <w:p w:rsidR="008375DB" w:rsidRPr="00C04776" w:rsidRDefault="008375DB" w:rsidP="008375DB">
            <w:pPr>
              <w:rPr>
                <w:sz w:val="20"/>
                <w:szCs w:val="20"/>
              </w:rPr>
            </w:pPr>
            <w:r w:rsidRPr="00C04776">
              <w:rPr>
                <w:sz w:val="20"/>
                <w:szCs w:val="20"/>
              </w:rPr>
              <w:t>28.08.2018</w:t>
            </w:r>
          </w:p>
          <w:p w:rsidR="008375DB" w:rsidRPr="00C04776" w:rsidRDefault="008375DB" w:rsidP="008375DB">
            <w:pPr>
              <w:rPr>
                <w:sz w:val="20"/>
                <w:szCs w:val="20"/>
              </w:rPr>
            </w:pPr>
          </w:p>
          <w:p w:rsidR="008375DB" w:rsidRPr="00C04776" w:rsidRDefault="008375DB" w:rsidP="008375DB">
            <w:pPr>
              <w:rPr>
                <w:b/>
                <w:sz w:val="20"/>
                <w:szCs w:val="20"/>
              </w:rPr>
            </w:pPr>
            <w:r w:rsidRPr="00C04776">
              <w:rPr>
                <w:b/>
                <w:sz w:val="20"/>
                <w:szCs w:val="20"/>
              </w:rPr>
              <w:t>Patrick John Goldfinch</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ab/>
              <w:t>v. (38270)</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Her Majesty the Queen (Alta.)</w:t>
            </w:r>
          </w:p>
          <w:p w:rsidR="008375DB" w:rsidRPr="00C04776" w:rsidRDefault="008375DB" w:rsidP="008375DB">
            <w:pPr>
              <w:rPr>
                <w:sz w:val="20"/>
                <w:szCs w:val="20"/>
              </w:rPr>
            </w:pPr>
          </w:p>
          <w:p w:rsidR="008375DB" w:rsidRPr="00C04776" w:rsidRDefault="008375DB" w:rsidP="008375DB">
            <w:pPr>
              <w:rPr>
                <w:sz w:val="20"/>
                <w:szCs w:val="20"/>
              </w:rPr>
            </w:pPr>
            <w:r w:rsidRPr="00C04776">
              <w:rPr>
                <w:sz w:val="20"/>
                <w:szCs w:val="20"/>
              </w:rPr>
              <w:t>(As of Right)</w:t>
            </w:r>
          </w:p>
          <w:p w:rsidR="00DB7AEC" w:rsidRPr="00C04776" w:rsidRDefault="003D7763" w:rsidP="008375DB">
            <w:pPr>
              <w:rPr>
                <w:sz w:val="20"/>
                <w:szCs w:val="20"/>
              </w:rPr>
            </w:pPr>
            <w:r>
              <w:rPr>
                <w:sz w:val="20"/>
                <w:szCs w:val="20"/>
                <w:lang w:val="fr-CA"/>
              </w:rPr>
              <w:pict>
                <v:rect id="_x0000_i1052" style="width:106.1pt;height:1pt" o:hrpct="500" o:hralign="center" o:hrstd="t" o:hrnoshade="t" o:hr="t" fillcolor="black [3213]" stroked="f"/>
              </w:pict>
            </w:r>
          </w:p>
        </w:tc>
        <w:tc>
          <w:tcPr>
            <w:tcW w:w="588" w:type="pct"/>
          </w:tcPr>
          <w:p w:rsidR="00DB7AEC" w:rsidRPr="00C04776" w:rsidRDefault="00DB7AEC"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tc>
        <w:tc>
          <w:tcPr>
            <w:tcW w:w="2206" w:type="pct"/>
          </w:tcPr>
          <w:p w:rsidR="008375DB" w:rsidRPr="00C04776" w:rsidRDefault="008375DB" w:rsidP="008375DB">
            <w:pPr>
              <w:rPr>
                <w:sz w:val="20"/>
                <w:szCs w:val="20"/>
              </w:rPr>
            </w:pPr>
            <w:r w:rsidRPr="00C04776">
              <w:rPr>
                <w:sz w:val="20"/>
                <w:szCs w:val="20"/>
              </w:rPr>
              <w:t>30.08.2018</w:t>
            </w:r>
          </w:p>
          <w:p w:rsidR="008375DB" w:rsidRPr="00C04776" w:rsidRDefault="008375DB" w:rsidP="008375DB">
            <w:pPr>
              <w:rPr>
                <w:sz w:val="20"/>
                <w:szCs w:val="20"/>
              </w:rPr>
            </w:pPr>
          </w:p>
          <w:p w:rsidR="008375DB" w:rsidRPr="00C04776" w:rsidRDefault="008375DB" w:rsidP="008375DB">
            <w:pPr>
              <w:rPr>
                <w:b/>
                <w:sz w:val="20"/>
                <w:szCs w:val="20"/>
              </w:rPr>
            </w:pPr>
            <w:r w:rsidRPr="00C04776">
              <w:rPr>
                <w:b/>
                <w:sz w:val="20"/>
                <w:szCs w:val="20"/>
              </w:rPr>
              <w:t xml:space="preserve">Nelson Silva </w:t>
            </w:r>
            <w:proofErr w:type="spellStart"/>
            <w:r w:rsidRPr="00C04776">
              <w:rPr>
                <w:b/>
                <w:sz w:val="20"/>
                <w:szCs w:val="20"/>
              </w:rPr>
              <w:t>Demedeiros</w:t>
            </w:r>
            <w:proofErr w:type="spellEnd"/>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ab/>
              <w:t>v. (38269)</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Her Majesty the Queen (Alta.)</w:t>
            </w:r>
          </w:p>
          <w:p w:rsidR="008375DB" w:rsidRPr="00C04776" w:rsidRDefault="008375DB" w:rsidP="008375DB">
            <w:pPr>
              <w:rPr>
                <w:sz w:val="20"/>
                <w:szCs w:val="20"/>
              </w:rPr>
            </w:pPr>
          </w:p>
          <w:p w:rsidR="008375DB" w:rsidRPr="00C04776" w:rsidRDefault="008375DB" w:rsidP="008375DB">
            <w:pPr>
              <w:rPr>
                <w:sz w:val="20"/>
                <w:szCs w:val="20"/>
              </w:rPr>
            </w:pPr>
            <w:r w:rsidRPr="00C04776">
              <w:rPr>
                <w:sz w:val="20"/>
                <w:szCs w:val="20"/>
              </w:rPr>
              <w:t>(As of Right)</w:t>
            </w:r>
          </w:p>
          <w:p w:rsidR="00DB7AEC" w:rsidRPr="00C04776" w:rsidRDefault="003D7763" w:rsidP="008375DB">
            <w:pPr>
              <w:rPr>
                <w:sz w:val="20"/>
                <w:szCs w:val="20"/>
              </w:rPr>
            </w:pPr>
            <w:r>
              <w:rPr>
                <w:sz w:val="20"/>
                <w:szCs w:val="20"/>
                <w:lang w:val="fr-CA"/>
              </w:rPr>
              <w:pict>
                <v:rect id="_x0000_i1053" style="width:106.1pt;height:1pt" o:hrpct="500" o:hralign="center" o:hrstd="t" o:hrnoshade="t" o:hr="t" fillcolor="black [3213]" stroked="f"/>
              </w:pict>
            </w:r>
          </w:p>
        </w:tc>
      </w:tr>
      <w:tr w:rsidR="00DB7AEC" w:rsidRPr="00C04776" w:rsidTr="005F1ED8">
        <w:trPr>
          <w:cantSplit/>
        </w:trPr>
        <w:tc>
          <w:tcPr>
            <w:tcW w:w="2206" w:type="pct"/>
            <w:tcMar>
              <w:left w:w="0" w:type="dxa"/>
              <w:right w:w="0" w:type="dxa"/>
            </w:tcMar>
          </w:tcPr>
          <w:p w:rsidR="008375DB" w:rsidRPr="00C04776" w:rsidRDefault="008375DB" w:rsidP="008375DB">
            <w:pPr>
              <w:rPr>
                <w:sz w:val="20"/>
                <w:szCs w:val="20"/>
                <w:lang w:val="fr-CA"/>
              </w:rPr>
            </w:pPr>
            <w:r w:rsidRPr="00C04776">
              <w:rPr>
                <w:sz w:val="20"/>
                <w:szCs w:val="20"/>
                <w:lang w:val="fr-CA"/>
              </w:rPr>
              <w:t>31.08.2018</w:t>
            </w:r>
          </w:p>
          <w:p w:rsidR="008375DB" w:rsidRPr="00C04776" w:rsidRDefault="008375DB" w:rsidP="008375DB">
            <w:pPr>
              <w:rPr>
                <w:sz w:val="20"/>
                <w:szCs w:val="20"/>
                <w:lang w:val="fr-CA"/>
              </w:rPr>
            </w:pPr>
          </w:p>
          <w:p w:rsidR="008375DB" w:rsidRPr="00C04776" w:rsidRDefault="008375DB" w:rsidP="008375DB">
            <w:pPr>
              <w:rPr>
                <w:b/>
                <w:sz w:val="20"/>
                <w:szCs w:val="20"/>
                <w:lang w:val="fr-CA"/>
              </w:rPr>
            </w:pPr>
            <w:r w:rsidRPr="00C04776">
              <w:rPr>
                <w:b/>
                <w:sz w:val="20"/>
                <w:szCs w:val="20"/>
                <w:lang w:val="fr-CA"/>
              </w:rPr>
              <w:t>Marie-Maude Denis</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ab/>
              <w:t>c. (38114)</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Sa Majesté la Reine (Qc)</w:t>
            </w:r>
          </w:p>
          <w:p w:rsidR="008375DB" w:rsidRPr="00C04776" w:rsidRDefault="008375DB" w:rsidP="008375DB">
            <w:pPr>
              <w:rPr>
                <w:sz w:val="20"/>
                <w:szCs w:val="20"/>
                <w:lang w:val="fr-CA"/>
              </w:rPr>
            </w:pPr>
          </w:p>
          <w:p w:rsidR="008375DB" w:rsidRPr="00C04776" w:rsidRDefault="008375DB" w:rsidP="008375DB">
            <w:pPr>
              <w:rPr>
                <w:sz w:val="20"/>
                <w:szCs w:val="20"/>
              </w:rPr>
            </w:pPr>
            <w:r w:rsidRPr="00C04776">
              <w:rPr>
                <w:sz w:val="20"/>
                <w:szCs w:val="20"/>
              </w:rPr>
              <w:t>(Autorisation)</w:t>
            </w:r>
          </w:p>
          <w:p w:rsidR="00DB7AEC" w:rsidRPr="00C04776" w:rsidRDefault="003D7763" w:rsidP="008375DB">
            <w:pPr>
              <w:rPr>
                <w:sz w:val="20"/>
                <w:szCs w:val="20"/>
              </w:rPr>
            </w:pPr>
            <w:r>
              <w:rPr>
                <w:sz w:val="20"/>
                <w:szCs w:val="20"/>
                <w:lang w:val="fr-CA"/>
              </w:rPr>
              <w:pict>
                <v:rect id="_x0000_i1054" style="width:106.1pt;height:1pt" o:hrpct="500" o:hralign="center" o:hrstd="t" o:hrnoshade="t" o:hr="t" fillcolor="black [3213]" stroked="f"/>
              </w:pict>
            </w:r>
          </w:p>
        </w:tc>
        <w:tc>
          <w:tcPr>
            <w:tcW w:w="588" w:type="pct"/>
          </w:tcPr>
          <w:p w:rsidR="00DB7AEC" w:rsidRPr="00C04776" w:rsidRDefault="00DB7AEC"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tc>
        <w:tc>
          <w:tcPr>
            <w:tcW w:w="2206" w:type="pct"/>
          </w:tcPr>
          <w:p w:rsidR="00335137" w:rsidRPr="00C04776" w:rsidRDefault="00335137" w:rsidP="00335137">
            <w:pPr>
              <w:rPr>
                <w:sz w:val="20"/>
                <w:szCs w:val="20"/>
                <w:lang w:val="fr-CA"/>
              </w:rPr>
            </w:pPr>
          </w:p>
          <w:p w:rsidR="008375DB" w:rsidRPr="00C04776" w:rsidRDefault="008375DB" w:rsidP="008375DB">
            <w:pPr>
              <w:rPr>
                <w:sz w:val="20"/>
                <w:szCs w:val="20"/>
              </w:rPr>
            </w:pPr>
            <w:r w:rsidRPr="00C04776">
              <w:rPr>
                <w:sz w:val="20"/>
                <w:szCs w:val="20"/>
              </w:rPr>
              <w:t>30.08.2018</w:t>
            </w:r>
          </w:p>
          <w:p w:rsidR="008375DB" w:rsidRPr="00C04776" w:rsidRDefault="008375DB" w:rsidP="008375DB">
            <w:pPr>
              <w:rPr>
                <w:sz w:val="20"/>
                <w:szCs w:val="20"/>
              </w:rPr>
            </w:pPr>
          </w:p>
          <w:p w:rsidR="008375DB" w:rsidRPr="00C04776" w:rsidRDefault="008375DB" w:rsidP="008375DB">
            <w:pPr>
              <w:rPr>
                <w:b/>
                <w:sz w:val="20"/>
                <w:szCs w:val="20"/>
              </w:rPr>
            </w:pPr>
            <w:r w:rsidRPr="00C04776">
              <w:rPr>
                <w:b/>
                <w:sz w:val="20"/>
                <w:szCs w:val="20"/>
              </w:rPr>
              <w:t>Yulik Rafilovich</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ab/>
              <w:t>v. (37791)</w:t>
            </w:r>
          </w:p>
          <w:p w:rsidR="008375DB" w:rsidRPr="00C04776" w:rsidRDefault="008375DB" w:rsidP="008375DB">
            <w:pPr>
              <w:rPr>
                <w:b/>
                <w:sz w:val="20"/>
                <w:szCs w:val="20"/>
              </w:rPr>
            </w:pPr>
          </w:p>
          <w:p w:rsidR="008375DB" w:rsidRPr="00C04776" w:rsidRDefault="008375DB" w:rsidP="008375DB">
            <w:pPr>
              <w:rPr>
                <w:b/>
                <w:sz w:val="20"/>
                <w:szCs w:val="20"/>
              </w:rPr>
            </w:pPr>
            <w:r w:rsidRPr="00C04776">
              <w:rPr>
                <w:b/>
                <w:sz w:val="20"/>
                <w:szCs w:val="20"/>
              </w:rPr>
              <w:t>Her Majesty the Queen (Ont.)</w:t>
            </w:r>
          </w:p>
          <w:p w:rsidR="008375DB" w:rsidRPr="00C04776" w:rsidRDefault="008375DB" w:rsidP="008375DB">
            <w:pPr>
              <w:rPr>
                <w:sz w:val="20"/>
                <w:szCs w:val="20"/>
              </w:rPr>
            </w:pPr>
          </w:p>
          <w:p w:rsidR="008375DB" w:rsidRPr="00C04776" w:rsidRDefault="008375DB" w:rsidP="008375DB">
            <w:pPr>
              <w:rPr>
                <w:sz w:val="20"/>
                <w:szCs w:val="20"/>
              </w:rPr>
            </w:pPr>
            <w:r w:rsidRPr="00C04776">
              <w:rPr>
                <w:sz w:val="20"/>
                <w:szCs w:val="20"/>
              </w:rPr>
              <w:t>(By Leave)</w:t>
            </w:r>
          </w:p>
          <w:p w:rsidR="00DB7AEC" w:rsidRPr="00C04776" w:rsidRDefault="003D7763" w:rsidP="008375DB">
            <w:pPr>
              <w:rPr>
                <w:sz w:val="20"/>
                <w:szCs w:val="20"/>
              </w:rPr>
            </w:pPr>
            <w:r>
              <w:rPr>
                <w:sz w:val="20"/>
                <w:szCs w:val="20"/>
                <w:lang w:val="fr-CA"/>
              </w:rPr>
              <w:pict>
                <v:rect id="_x0000_i1055" style="width:106.1pt;height:1pt" o:hrpct="500" o:hralign="center" o:hrstd="t" o:hrnoshade="t" o:hr="t" fillcolor="black [3213]" stroked="f"/>
              </w:pict>
            </w:r>
          </w:p>
        </w:tc>
      </w:tr>
      <w:tr w:rsidR="00335137" w:rsidRPr="00C04776" w:rsidTr="005F1ED8">
        <w:trPr>
          <w:cantSplit/>
        </w:trPr>
        <w:tc>
          <w:tcPr>
            <w:tcW w:w="2206" w:type="pct"/>
            <w:tcMar>
              <w:left w:w="0" w:type="dxa"/>
              <w:right w:w="0" w:type="dxa"/>
            </w:tcMar>
          </w:tcPr>
          <w:p w:rsidR="008375DB" w:rsidRPr="00C04776" w:rsidRDefault="008375DB" w:rsidP="008375DB">
            <w:pPr>
              <w:rPr>
                <w:sz w:val="20"/>
                <w:szCs w:val="20"/>
              </w:rPr>
            </w:pPr>
            <w:r w:rsidRPr="00C04776">
              <w:rPr>
                <w:sz w:val="20"/>
                <w:szCs w:val="20"/>
              </w:rPr>
              <w:t>30.08.2018</w:t>
            </w:r>
          </w:p>
          <w:p w:rsidR="008375DB" w:rsidRPr="00C04776" w:rsidRDefault="008375DB" w:rsidP="008375DB">
            <w:pPr>
              <w:rPr>
                <w:sz w:val="20"/>
                <w:szCs w:val="20"/>
              </w:rPr>
            </w:pPr>
          </w:p>
          <w:p w:rsidR="008375DB" w:rsidRPr="00C04776" w:rsidRDefault="008375DB" w:rsidP="008375DB">
            <w:pPr>
              <w:rPr>
                <w:b/>
                <w:sz w:val="20"/>
                <w:szCs w:val="20"/>
              </w:rPr>
            </w:pPr>
            <w:r w:rsidRPr="00C04776">
              <w:rPr>
                <w:b/>
                <w:sz w:val="20"/>
                <w:szCs w:val="20"/>
              </w:rPr>
              <w:t>1068754 Alberta Ltd. as the sole trustee of the DGGMC Bitton Trust</w:t>
            </w:r>
          </w:p>
          <w:p w:rsidR="008375DB" w:rsidRPr="00C04776" w:rsidRDefault="008375DB" w:rsidP="008375DB">
            <w:pPr>
              <w:rPr>
                <w:b/>
                <w:sz w:val="20"/>
                <w:szCs w:val="20"/>
              </w:rPr>
            </w:pPr>
          </w:p>
          <w:p w:rsidR="008375DB" w:rsidRPr="00C04776" w:rsidRDefault="008375DB" w:rsidP="008375DB">
            <w:pPr>
              <w:rPr>
                <w:b/>
                <w:sz w:val="20"/>
                <w:szCs w:val="20"/>
                <w:lang w:val="fr-CA"/>
              </w:rPr>
            </w:pPr>
            <w:r w:rsidRPr="00C04776">
              <w:rPr>
                <w:b/>
                <w:sz w:val="20"/>
                <w:szCs w:val="20"/>
              </w:rPr>
              <w:tab/>
            </w:r>
            <w:r w:rsidRPr="00C04776">
              <w:rPr>
                <w:b/>
                <w:sz w:val="20"/>
                <w:szCs w:val="20"/>
                <w:lang w:val="fr-CA"/>
              </w:rPr>
              <w:t>v. (37999)</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 xml:space="preserve">Agence </w:t>
            </w:r>
            <w:proofErr w:type="gramStart"/>
            <w:r w:rsidRPr="00C04776">
              <w:rPr>
                <w:b/>
                <w:sz w:val="20"/>
                <w:szCs w:val="20"/>
                <w:lang w:val="fr-CA"/>
              </w:rPr>
              <w:t>du</w:t>
            </w:r>
            <w:proofErr w:type="gramEnd"/>
            <w:r w:rsidRPr="00C04776">
              <w:rPr>
                <w:b/>
                <w:sz w:val="20"/>
                <w:szCs w:val="20"/>
                <w:lang w:val="fr-CA"/>
              </w:rPr>
              <w:t xml:space="preserve"> </w:t>
            </w:r>
            <w:proofErr w:type="spellStart"/>
            <w:r w:rsidRPr="00C04776">
              <w:rPr>
                <w:b/>
                <w:sz w:val="20"/>
                <w:szCs w:val="20"/>
                <w:lang w:val="fr-CA"/>
              </w:rPr>
              <w:t>revenue</w:t>
            </w:r>
            <w:proofErr w:type="spellEnd"/>
            <w:r w:rsidRPr="00C04776">
              <w:rPr>
                <w:b/>
                <w:sz w:val="20"/>
                <w:szCs w:val="20"/>
                <w:lang w:val="fr-CA"/>
              </w:rPr>
              <w:t xml:space="preserve"> du Québec (Que.)</w:t>
            </w:r>
          </w:p>
          <w:p w:rsidR="008375DB" w:rsidRPr="00C04776" w:rsidRDefault="008375DB" w:rsidP="008375DB">
            <w:pPr>
              <w:rPr>
                <w:sz w:val="20"/>
                <w:szCs w:val="20"/>
                <w:lang w:val="fr-CA"/>
              </w:rPr>
            </w:pPr>
          </w:p>
          <w:p w:rsidR="008375DB" w:rsidRPr="00C04776" w:rsidRDefault="008375DB" w:rsidP="008375DB">
            <w:pPr>
              <w:rPr>
                <w:sz w:val="20"/>
                <w:szCs w:val="20"/>
              </w:rPr>
            </w:pPr>
            <w:r w:rsidRPr="00C04776">
              <w:rPr>
                <w:sz w:val="20"/>
                <w:szCs w:val="20"/>
              </w:rPr>
              <w:t>(By Leave)</w:t>
            </w:r>
          </w:p>
          <w:p w:rsidR="00335137" w:rsidRPr="00C04776" w:rsidRDefault="003D7763" w:rsidP="008375DB">
            <w:pPr>
              <w:rPr>
                <w:sz w:val="20"/>
                <w:szCs w:val="20"/>
              </w:rPr>
            </w:pPr>
            <w:r>
              <w:rPr>
                <w:sz w:val="20"/>
                <w:szCs w:val="20"/>
                <w:lang w:val="fr-CA"/>
              </w:rPr>
              <w:pict>
                <v:rect id="_x0000_i1056" style="width:106.1pt;height:1pt" o:hrpct="500" o:hralign="center" o:hrstd="t" o:hrnoshade="t" o:hr="t" fillcolor="black [3213]" stroked="f"/>
              </w:pict>
            </w:r>
          </w:p>
        </w:tc>
        <w:tc>
          <w:tcPr>
            <w:tcW w:w="588" w:type="pct"/>
          </w:tcPr>
          <w:p w:rsidR="00335137" w:rsidRPr="00C04776" w:rsidRDefault="00335137"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p w:rsidR="008375DB" w:rsidRPr="00C04776" w:rsidRDefault="008375DB" w:rsidP="005F1ED8">
            <w:pPr>
              <w:jc w:val="center"/>
              <w:rPr>
                <w:sz w:val="20"/>
                <w:szCs w:val="20"/>
              </w:rPr>
            </w:pPr>
          </w:p>
        </w:tc>
        <w:tc>
          <w:tcPr>
            <w:tcW w:w="2206" w:type="pct"/>
          </w:tcPr>
          <w:p w:rsidR="008375DB" w:rsidRPr="00C04776" w:rsidRDefault="008375DB" w:rsidP="008375DB">
            <w:pPr>
              <w:rPr>
                <w:sz w:val="20"/>
                <w:szCs w:val="20"/>
                <w:lang w:val="fr-CA"/>
              </w:rPr>
            </w:pPr>
            <w:r w:rsidRPr="00C04776">
              <w:rPr>
                <w:sz w:val="20"/>
                <w:szCs w:val="20"/>
                <w:lang w:val="fr-CA"/>
              </w:rPr>
              <w:t>24.08.2018</w:t>
            </w:r>
          </w:p>
          <w:p w:rsidR="008375DB" w:rsidRPr="00C04776" w:rsidRDefault="008375DB" w:rsidP="008375DB">
            <w:pPr>
              <w:rPr>
                <w:sz w:val="20"/>
                <w:szCs w:val="20"/>
                <w:lang w:val="fr-CA"/>
              </w:rPr>
            </w:pPr>
          </w:p>
          <w:p w:rsidR="008375DB" w:rsidRPr="00C04776" w:rsidRDefault="008375DB" w:rsidP="008375DB">
            <w:pPr>
              <w:rPr>
                <w:b/>
                <w:sz w:val="20"/>
                <w:szCs w:val="20"/>
                <w:lang w:val="fr-CA"/>
              </w:rPr>
            </w:pPr>
            <w:r w:rsidRPr="00C04776">
              <w:rPr>
                <w:b/>
                <w:sz w:val="20"/>
                <w:szCs w:val="20"/>
                <w:lang w:val="fr-CA"/>
              </w:rPr>
              <w:t>Transports Desgagnés inc. et al.</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ab/>
              <w:t>v. (37873)</w:t>
            </w:r>
          </w:p>
          <w:p w:rsidR="008375DB" w:rsidRPr="00C04776" w:rsidRDefault="008375DB" w:rsidP="008375DB">
            <w:pPr>
              <w:rPr>
                <w:b/>
                <w:sz w:val="20"/>
                <w:szCs w:val="20"/>
                <w:lang w:val="fr-CA"/>
              </w:rPr>
            </w:pPr>
          </w:p>
          <w:p w:rsidR="008375DB" w:rsidRPr="00C04776" w:rsidRDefault="008375DB" w:rsidP="008375DB">
            <w:pPr>
              <w:rPr>
                <w:b/>
                <w:sz w:val="20"/>
                <w:szCs w:val="20"/>
                <w:lang w:val="fr-CA"/>
              </w:rPr>
            </w:pPr>
            <w:r w:rsidRPr="00C04776">
              <w:rPr>
                <w:b/>
                <w:sz w:val="20"/>
                <w:szCs w:val="20"/>
                <w:lang w:val="fr-CA"/>
              </w:rPr>
              <w:t>Wärtsilä Canada Inc. et al. (Que.)</w:t>
            </w:r>
          </w:p>
          <w:p w:rsidR="008375DB" w:rsidRPr="00C04776" w:rsidRDefault="008375DB" w:rsidP="008375DB">
            <w:pPr>
              <w:rPr>
                <w:sz w:val="20"/>
                <w:szCs w:val="20"/>
                <w:lang w:val="fr-CA"/>
              </w:rPr>
            </w:pPr>
          </w:p>
          <w:p w:rsidR="008375DB" w:rsidRPr="00C04776" w:rsidRDefault="008375DB" w:rsidP="008375DB">
            <w:pPr>
              <w:rPr>
                <w:sz w:val="20"/>
                <w:szCs w:val="20"/>
                <w:lang w:val="fr-CA"/>
              </w:rPr>
            </w:pPr>
            <w:r w:rsidRPr="00C04776">
              <w:rPr>
                <w:sz w:val="20"/>
                <w:szCs w:val="20"/>
                <w:lang w:val="fr-CA"/>
              </w:rPr>
              <w:t>(By Leave)</w:t>
            </w:r>
          </w:p>
          <w:p w:rsidR="00335137" w:rsidRPr="00C04776" w:rsidRDefault="003D7763" w:rsidP="008375DB">
            <w:pPr>
              <w:rPr>
                <w:sz w:val="20"/>
                <w:szCs w:val="20"/>
                <w:lang w:val="fr-CA"/>
              </w:rPr>
            </w:pPr>
            <w:r>
              <w:rPr>
                <w:sz w:val="20"/>
                <w:szCs w:val="20"/>
                <w:lang w:val="fr-CA"/>
              </w:rPr>
              <w:pict>
                <v:rect id="_x0000_i1057" style="width:106.1pt;height:1pt" o:hrpct="500" o:hralign="center" o:hrstd="t" o:hrnoshade="t" o:hr="t" fillcolor="black [3213]" stroked="f"/>
              </w:pict>
            </w:r>
          </w:p>
          <w:p w:rsidR="009F7CC2" w:rsidRPr="00C04776" w:rsidRDefault="009F7CC2" w:rsidP="009F7CC2">
            <w:pPr>
              <w:rPr>
                <w:sz w:val="20"/>
                <w:szCs w:val="20"/>
                <w:lang w:val="en-US"/>
              </w:rPr>
            </w:pPr>
          </w:p>
        </w:tc>
      </w:tr>
    </w:tbl>
    <w:p w:rsidR="00F40249" w:rsidRPr="00C04776" w:rsidRDefault="00F40249" w:rsidP="00F40249">
      <w:pPr>
        <w:rPr>
          <w:sz w:val="20"/>
          <w:szCs w:val="20"/>
          <w:lang w:val="fr-CA"/>
        </w:rPr>
      </w:pPr>
    </w:p>
    <w:p w:rsidR="008375DB" w:rsidRPr="00C04776" w:rsidRDefault="008375DB" w:rsidP="00F40249">
      <w:pPr>
        <w:rPr>
          <w:sz w:val="20"/>
          <w:szCs w:val="20"/>
          <w:lang w:val="fr-CA"/>
        </w:rPr>
      </w:pPr>
    </w:p>
    <w:p w:rsidR="0010587F" w:rsidRPr="00C04776" w:rsidRDefault="0010587F" w:rsidP="00F40249">
      <w:pPr>
        <w:rPr>
          <w:sz w:val="20"/>
          <w:szCs w:val="20"/>
          <w:lang w:val="fr-CA"/>
        </w:rPr>
      </w:pPr>
    </w:p>
    <w:p w:rsidR="00EB2B90" w:rsidRPr="00C04776" w:rsidRDefault="00EB2B90" w:rsidP="00F40249">
      <w:pPr>
        <w:rPr>
          <w:sz w:val="20"/>
          <w:szCs w:val="20"/>
          <w:lang w:val="fr-CA"/>
        </w:rPr>
        <w:sectPr w:rsidR="00EB2B90" w:rsidRPr="00C04776" w:rsidSect="00F40249">
          <w:headerReference w:type="even" r:id="rId24"/>
          <w:headerReference w:type="default" r:id="rId25"/>
          <w:footerReference w:type="even" r:id="rId26"/>
          <w:footerReference w:type="default" r:id="rId27"/>
          <w:headerReference w:type="first" r:id="rId28"/>
          <w:footerReference w:type="first" r:id="rId29"/>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F6EEC" w:rsidRPr="003D7763" w:rsidTr="0085476B">
        <w:tc>
          <w:tcPr>
            <w:tcW w:w="4200" w:type="dxa"/>
            <w:tcMar>
              <w:left w:w="0" w:type="dxa"/>
              <w:right w:w="0" w:type="dxa"/>
            </w:tcMar>
          </w:tcPr>
          <w:p w:rsidR="00FF6EEC" w:rsidRPr="00C04776" w:rsidRDefault="00FF6EEC" w:rsidP="0085476B">
            <w:pPr>
              <w:keepNext/>
              <w:keepLines/>
              <w:tabs>
                <w:tab w:val="left" w:pos="-1440"/>
                <w:tab w:val="left" w:pos="-720"/>
              </w:tabs>
              <w:rPr>
                <w:b/>
                <w:szCs w:val="24"/>
                <w:lang w:val="en-US"/>
              </w:rPr>
            </w:pPr>
            <w:r w:rsidRPr="00C04776">
              <w:rPr>
                <w:b/>
                <w:szCs w:val="24"/>
                <w:lang w:val="en-US"/>
              </w:rPr>
              <w:t>PRONOUNCEMENTS OF APPEALS</w:t>
            </w:r>
            <w:r w:rsidR="0085476B" w:rsidRPr="00C04776">
              <w:rPr>
                <w:b/>
                <w:szCs w:val="24"/>
                <w:lang w:val="en-US"/>
              </w:rPr>
              <w:t xml:space="preserve"> </w:t>
            </w:r>
            <w:r w:rsidRPr="00C04776">
              <w:rPr>
                <w:b/>
                <w:szCs w:val="24"/>
                <w:lang w:val="en-US"/>
              </w:rPr>
              <w:t>RESERVED</w:t>
            </w:r>
          </w:p>
          <w:p w:rsidR="00FF6EEC" w:rsidRPr="00C04776"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lang w:val="en-US"/>
              </w:rPr>
            </w:pPr>
          </w:p>
          <w:p w:rsidR="00FF6EEC" w:rsidRPr="00C04776"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lang w:val="en-US"/>
              </w:rPr>
            </w:pPr>
            <w:r w:rsidRPr="00C04776">
              <w:rPr>
                <w:b/>
                <w:szCs w:val="24"/>
                <w:lang w:val="en-US"/>
              </w:rPr>
              <w:t>Reasons for judgment are available</w:t>
            </w:r>
          </w:p>
        </w:tc>
        <w:tc>
          <w:tcPr>
            <w:tcW w:w="1200" w:type="dxa"/>
            <w:tcMar>
              <w:left w:w="0" w:type="dxa"/>
              <w:right w:w="0" w:type="dxa"/>
            </w:tcMar>
          </w:tcPr>
          <w:p w:rsidR="00FF6EEC" w:rsidRPr="00C04776" w:rsidRDefault="00FF6EEC" w:rsidP="00FF6EEC">
            <w:pPr>
              <w:keepNext/>
              <w:keepLines/>
              <w:tabs>
                <w:tab w:val="left" w:pos="-1440"/>
                <w:tab w:val="left" w:pos="-720"/>
              </w:tabs>
              <w:jc w:val="center"/>
              <w:rPr>
                <w:b/>
                <w:szCs w:val="24"/>
                <w:lang w:val="en-US"/>
              </w:rPr>
            </w:pPr>
          </w:p>
          <w:p w:rsidR="00FF6EEC" w:rsidRPr="00C04776" w:rsidRDefault="00FF6EEC" w:rsidP="00FF6EEC">
            <w:pPr>
              <w:keepNext/>
              <w:keepLines/>
              <w:tabs>
                <w:tab w:val="left" w:pos="-1440"/>
                <w:tab w:val="left" w:pos="-720"/>
              </w:tabs>
              <w:jc w:val="center"/>
              <w:rPr>
                <w:b/>
                <w:szCs w:val="24"/>
                <w:lang w:val="en-US"/>
              </w:rPr>
            </w:pPr>
          </w:p>
          <w:p w:rsidR="00FF6EEC" w:rsidRPr="00C04776" w:rsidRDefault="00FF6EEC" w:rsidP="00FF6EEC">
            <w:pPr>
              <w:keepNext/>
              <w:keepLines/>
              <w:tabs>
                <w:tab w:val="left" w:pos="-1440"/>
                <w:tab w:val="left" w:pos="-720"/>
              </w:tabs>
              <w:jc w:val="center"/>
              <w:rPr>
                <w:b/>
                <w:szCs w:val="24"/>
                <w:lang w:val="en-US"/>
              </w:rPr>
            </w:pPr>
          </w:p>
          <w:p w:rsidR="00FF6EEC" w:rsidRPr="00C04776" w:rsidRDefault="00FF6EEC" w:rsidP="00FF6EEC">
            <w:pPr>
              <w:keepNext/>
              <w:keepLines/>
              <w:tabs>
                <w:tab w:val="left" w:pos="-1440"/>
                <w:tab w:val="left" w:pos="-720"/>
              </w:tabs>
              <w:jc w:val="center"/>
              <w:rPr>
                <w:b/>
                <w:szCs w:val="24"/>
                <w:lang w:val="en-US"/>
              </w:rPr>
            </w:pPr>
          </w:p>
          <w:p w:rsidR="00FF6EEC" w:rsidRPr="00C04776" w:rsidRDefault="00FF6EEC" w:rsidP="00FF6EEC">
            <w:pPr>
              <w:keepNext/>
              <w:keepLines/>
              <w:tabs>
                <w:tab w:val="left" w:pos="-1440"/>
                <w:tab w:val="left" w:pos="-720"/>
              </w:tabs>
              <w:jc w:val="center"/>
              <w:rPr>
                <w:b/>
                <w:szCs w:val="24"/>
                <w:lang w:val="en-US"/>
              </w:rPr>
            </w:pPr>
          </w:p>
        </w:tc>
        <w:tc>
          <w:tcPr>
            <w:tcW w:w="4080" w:type="dxa"/>
            <w:tcMar>
              <w:left w:w="0" w:type="dxa"/>
              <w:right w:w="0" w:type="dxa"/>
            </w:tcMar>
          </w:tcPr>
          <w:p w:rsidR="00FF6EEC" w:rsidRPr="00C04776" w:rsidRDefault="00FF6EEC" w:rsidP="00FF6EEC">
            <w:pPr>
              <w:keepNext/>
              <w:keepLines/>
              <w:tabs>
                <w:tab w:val="left" w:pos="-1440"/>
                <w:tab w:val="left" w:pos="-720"/>
              </w:tabs>
              <w:rPr>
                <w:b/>
                <w:szCs w:val="24"/>
                <w:lang w:val="fr-CA"/>
              </w:rPr>
            </w:pPr>
            <w:r w:rsidRPr="00C04776">
              <w:rPr>
                <w:b/>
                <w:szCs w:val="24"/>
                <w:lang w:val="fr-CA"/>
              </w:rPr>
              <w:t>JUGEMENTS RENDUS SUR LES APPELS EN DÉLIBÉRÉ</w:t>
            </w:r>
          </w:p>
          <w:p w:rsidR="00FF6EEC" w:rsidRPr="00C04776"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04776"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04776">
              <w:rPr>
                <w:b/>
                <w:szCs w:val="24"/>
                <w:lang w:val="fr-CA"/>
              </w:rPr>
              <w:t>Les motifs de jugement sont disponibles</w:t>
            </w:r>
          </w:p>
        </w:tc>
      </w:tr>
    </w:tbl>
    <w:p w:rsidR="00FF6EEC" w:rsidRPr="00C04776" w:rsidRDefault="00FF6EEC" w:rsidP="00FF6EEC">
      <w:pPr>
        <w:rPr>
          <w:b/>
          <w:sz w:val="20"/>
          <w:szCs w:val="20"/>
          <w:lang w:val="fr-CA"/>
        </w:rPr>
      </w:pPr>
    </w:p>
    <w:p w:rsidR="0052229C" w:rsidRPr="00C04776" w:rsidRDefault="000D65D2" w:rsidP="0052229C">
      <w:pPr>
        <w:rPr>
          <w:b/>
          <w:sz w:val="20"/>
          <w:szCs w:val="20"/>
          <w:lang w:val="fr-CA"/>
        </w:rPr>
      </w:pPr>
      <w:r w:rsidRPr="00C04776">
        <w:rPr>
          <w:b/>
          <w:sz w:val="20"/>
          <w:szCs w:val="20"/>
          <w:lang w:val="fr-CA"/>
        </w:rPr>
        <w:t>SEPTEMBER 14, 2018 / LE 14 SEPTEMBRE 2018</w:t>
      </w:r>
    </w:p>
    <w:p w:rsidR="0052229C" w:rsidRPr="00C04776" w:rsidRDefault="0052229C" w:rsidP="0052229C">
      <w:pPr>
        <w:rPr>
          <w:sz w:val="20"/>
          <w:szCs w:val="20"/>
          <w:lang w:val="fr-CA"/>
        </w:rPr>
      </w:pPr>
    </w:p>
    <w:p w:rsidR="0052229C" w:rsidRPr="00C04776" w:rsidRDefault="000E27A5" w:rsidP="0052229C">
      <w:pPr>
        <w:ind w:left="1440" w:hanging="1440"/>
        <w:jc w:val="both"/>
        <w:rPr>
          <w:sz w:val="20"/>
          <w:lang w:val="en-US"/>
        </w:rPr>
      </w:pPr>
      <w:r w:rsidRPr="00C04776">
        <w:rPr>
          <w:b/>
          <w:sz w:val="20"/>
        </w:rPr>
        <w:fldChar w:fldCharType="begin"/>
      </w:r>
      <w:r w:rsidR="0052229C" w:rsidRPr="00C04776">
        <w:rPr>
          <w:b/>
          <w:sz w:val="20"/>
          <w:lang w:val="fr-CA"/>
        </w:rPr>
        <w:instrText xml:space="preserve"> SEQ CHAPTER \h \r 1</w:instrText>
      </w:r>
      <w:r w:rsidRPr="00C04776">
        <w:rPr>
          <w:b/>
          <w:sz w:val="20"/>
        </w:rPr>
        <w:fldChar w:fldCharType="end"/>
      </w:r>
      <w:r w:rsidR="000D65D2" w:rsidRPr="00C04776">
        <w:rPr>
          <w:b/>
          <w:sz w:val="20"/>
          <w:lang w:val="fr-CA"/>
        </w:rPr>
        <w:t>37679</w:t>
      </w:r>
      <w:r w:rsidR="0052229C" w:rsidRPr="00C04776">
        <w:rPr>
          <w:sz w:val="20"/>
          <w:lang w:val="fr-CA"/>
        </w:rPr>
        <w:tab/>
      </w:r>
      <w:r w:rsidR="000D65D2" w:rsidRPr="00C04776">
        <w:rPr>
          <w:b/>
          <w:sz w:val="20"/>
          <w:u w:val="single"/>
          <w:lang w:val="fr-CA"/>
        </w:rPr>
        <w:t>Rogers Communications Inc. v. Voltage Pictures, LLC et al.</w:t>
      </w:r>
      <w:r w:rsidR="0052229C" w:rsidRPr="00C04776">
        <w:rPr>
          <w:b/>
          <w:sz w:val="20"/>
          <w:lang w:val="fr-CA"/>
        </w:rPr>
        <w:t xml:space="preserve"> </w:t>
      </w:r>
      <w:r w:rsidR="0052229C" w:rsidRPr="00C04776">
        <w:rPr>
          <w:iCs/>
          <w:sz w:val="20"/>
          <w:lang w:val="en-US"/>
        </w:rPr>
        <w:t>(</w:t>
      </w:r>
      <w:r w:rsidR="000D65D2" w:rsidRPr="00C04776">
        <w:rPr>
          <w:iCs/>
          <w:sz w:val="20"/>
          <w:lang w:val="en-US"/>
        </w:rPr>
        <w:t>F.C.</w:t>
      </w:r>
      <w:r w:rsidR="0052229C" w:rsidRPr="00C04776">
        <w:rPr>
          <w:iCs/>
          <w:sz w:val="20"/>
          <w:lang w:val="en-US"/>
        </w:rPr>
        <w:t>)</w:t>
      </w:r>
    </w:p>
    <w:p w:rsidR="0052229C" w:rsidRPr="00C04776" w:rsidRDefault="0052229C" w:rsidP="0052229C">
      <w:pPr>
        <w:tabs>
          <w:tab w:val="left" w:pos="1440"/>
          <w:tab w:val="left" w:pos="2160"/>
          <w:tab w:val="left" w:pos="2880"/>
          <w:tab w:val="left" w:pos="3600"/>
          <w:tab w:val="left" w:pos="4320"/>
          <w:tab w:val="left" w:pos="5040"/>
          <w:tab w:val="left" w:pos="5760"/>
          <w:tab w:val="left" w:pos="6480"/>
          <w:tab w:val="left" w:pos="7200"/>
        </w:tabs>
        <w:ind w:left="1440"/>
        <w:jc w:val="both"/>
        <w:rPr>
          <w:sz w:val="20"/>
          <w:lang w:val="en-US"/>
        </w:rPr>
      </w:pPr>
      <w:r w:rsidRPr="00C04776">
        <w:rPr>
          <w:b/>
          <w:sz w:val="20"/>
          <w:lang w:val="en-US"/>
        </w:rPr>
        <w:t>201</w:t>
      </w:r>
      <w:r w:rsidR="000D65D2" w:rsidRPr="00C04776">
        <w:rPr>
          <w:b/>
          <w:sz w:val="20"/>
          <w:lang w:val="en-US"/>
        </w:rPr>
        <w:t>8</w:t>
      </w:r>
      <w:r w:rsidRPr="00C04776">
        <w:rPr>
          <w:b/>
          <w:sz w:val="20"/>
          <w:lang w:val="en-US"/>
        </w:rPr>
        <w:t xml:space="preserve"> SCC </w:t>
      </w:r>
      <w:r w:rsidR="000D65D2" w:rsidRPr="00C04776">
        <w:rPr>
          <w:b/>
          <w:sz w:val="20"/>
          <w:lang w:val="en-US"/>
        </w:rPr>
        <w:t>38</w:t>
      </w:r>
      <w:r w:rsidRPr="00C04776">
        <w:rPr>
          <w:b/>
          <w:sz w:val="20"/>
          <w:lang w:val="en-US"/>
        </w:rPr>
        <w:t xml:space="preserve"> / 201</w:t>
      </w:r>
      <w:r w:rsidR="000D65D2" w:rsidRPr="00C04776">
        <w:rPr>
          <w:b/>
          <w:sz w:val="20"/>
          <w:lang w:val="en-US"/>
        </w:rPr>
        <w:t>8</w:t>
      </w:r>
      <w:r w:rsidRPr="00C04776">
        <w:rPr>
          <w:b/>
          <w:sz w:val="20"/>
          <w:lang w:val="en-US"/>
        </w:rPr>
        <w:t xml:space="preserve"> CSC </w:t>
      </w:r>
      <w:r w:rsidR="000D65D2" w:rsidRPr="00C04776">
        <w:rPr>
          <w:b/>
          <w:sz w:val="20"/>
          <w:lang w:val="en-US"/>
        </w:rPr>
        <w:t>38</w:t>
      </w:r>
    </w:p>
    <w:p w:rsidR="0052229C" w:rsidRPr="00C04776" w:rsidRDefault="0052229C" w:rsidP="0052229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lang w:val="en-US"/>
        </w:rPr>
      </w:pPr>
    </w:p>
    <w:p w:rsidR="000D65D2" w:rsidRPr="00C04776" w:rsidRDefault="0052229C" w:rsidP="000D65D2">
      <w:pPr>
        <w:widowControl w:val="0"/>
        <w:ind w:left="720" w:hanging="720"/>
        <w:rPr>
          <w:sz w:val="20"/>
          <w:szCs w:val="20"/>
          <w:u w:val="single"/>
          <w:lang w:val="en-US"/>
        </w:rPr>
      </w:pPr>
      <w:r w:rsidRPr="00C04776">
        <w:rPr>
          <w:sz w:val="20"/>
          <w:lang w:val="en-US"/>
        </w:rPr>
        <w:t>Coram:</w:t>
      </w:r>
      <w:r w:rsidRPr="00C04776">
        <w:rPr>
          <w:sz w:val="20"/>
          <w:lang w:val="en-US"/>
        </w:rPr>
        <w:tab/>
      </w:r>
      <w:r w:rsidR="000D65D2" w:rsidRPr="00C04776">
        <w:rPr>
          <w:sz w:val="20"/>
          <w:szCs w:val="20"/>
          <w:u w:val="single"/>
          <w:lang w:val="en-US"/>
        </w:rPr>
        <w:t>Wagner C.J. and Abella, Moldaver, Karakatsanis, Gascon, Côté, Brown, Rowe and Martin JJ.</w:t>
      </w:r>
    </w:p>
    <w:p w:rsidR="0056248C" w:rsidRPr="00D17782" w:rsidRDefault="0056248C" w:rsidP="0056248C">
      <w:pPr>
        <w:widowControl w:val="0"/>
        <w:ind w:left="720" w:hanging="720"/>
        <w:rPr>
          <w:sz w:val="20"/>
          <w:szCs w:val="20"/>
          <w:lang w:val="en-US"/>
        </w:rPr>
      </w:pPr>
    </w:p>
    <w:p w:rsidR="0052229C" w:rsidRPr="00C04776" w:rsidRDefault="00D771DE" w:rsidP="00D771DE">
      <w:pPr>
        <w:rPr>
          <w:sz w:val="20"/>
          <w:szCs w:val="20"/>
          <w:u w:val="single"/>
          <w:lang w:val="en-US"/>
        </w:rPr>
      </w:pPr>
      <w:r w:rsidRPr="00C04776">
        <w:rPr>
          <w:sz w:val="20"/>
          <w:szCs w:val="20"/>
        </w:rPr>
        <w:t xml:space="preserve">The appeal from the judgment </w:t>
      </w:r>
      <w:bookmarkStart w:id="1" w:name="BM_1_"/>
      <w:bookmarkEnd w:id="1"/>
      <w:r w:rsidRPr="00C04776">
        <w:rPr>
          <w:sz w:val="20"/>
          <w:szCs w:val="20"/>
        </w:rPr>
        <w:t xml:space="preserve">of the Federal Court of Appeal, Number A-278-16, 2017 FCA 97, dated May 9, 2017, heard on April 26, 2018, is allowed. The matter is remitted to the motion judge to determine the quantum of the appellant’s entitlement to its reasonable costs of compliance with the </w:t>
      </w:r>
      <w:r w:rsidRPr="00C04776">
        <w:rPr>
          <w:i/>
          <w:sz w:val="20"/>
          <w:szCs w:val="20"/>
        </w:rPr>
        <w:t>Norwich</w:t>
      </w:r>
      <w:r w:rsidRPr="00C04776">
        <w:rPr>
          <w:sz w:val="20"/>
          <w:szCs w:val="20"/>
        </w:rPr>
        <w:t xml:space="preserve"> order.  The appellant is entitled to adduce new evidence to prove those reasonable costs.  The motion judge’s order awarding the appellant its legal costs of $500 is restored. The parties shall bear their own costs in this Court and in the Federal Court of Appeal.</w:t>
      </w:r>
    </w:p>
    <w:p w:rsidR="0052229C" w:rsidRPr="00C04776" w:rsidRDefault="0052229C" w:rsidP="0052229C">
      <w:pPr>
        <w:rPr>
          <w:sz w:val="20"/>
          <w:szCs w:val="20"/>
        </w:rPr>
      </w:pPr>
    </w:p>
    <w:p w:rsidR="000D65D2" w:rsidRPr="00C04776" w:rsidRDefault="00D771DE" w:rsidP="0052229C">
      <w:pPr>
        <w:rPr>
          <w:sz w:val="20"/>
          <w:szCs w:val="20"/>
          <w:lang w:val="fr-CA"/>
        </w:rPr>
      </w:pPr>
      <w:r w:rsidRPr="00C04776">
        <w:rPr>
          <w:sz w:val="20"/>
          <w:szCs w:val="20"/>
          <w:lang w:val="fr-CA"/>
        </w:rPr>
        <w:t xml:space="preserve">L’appel interjeté contre l’arrêt de la Cour d’appel fédérale, numéro A-278-16, 2017 CAF 97, daté du 9 mai 2017, entendu le 26 avril 2018, est accueilli. L’affaire est renvoyée au juge des requêtes afin qu’il établisse le montant auquel a droit l’appelante quant aux coûts raisonnables qu’elle a occasionnés pour se conformer à l’ordonnance de type </w:t>
      </w:r>
      <w:r w:rsidRPr="00C04776">
        <w:rPr>
          <w:i/>
          <w:sz w:val="20"/>
          <w:szCs w:val="20"/>
          <w:lang w:val="fr-CA"/>
        </w:rPr>
        <w:t>Norwich</w:t>
      </w:r>
      <w:r w:rsidRPr="00C04776">
        <w:rPr>
          <w:sz w:val="20"/>
          <w:szCs w:val="20"/>
          <w:lang w:val="fr-CA"/>
        </w:rPr>
        <w:t>. L’appelante est autorisée à présenter de nouveaux éléments de preuve pour démontrer ces coûts raisonnables. L’ordonnance du juge des requêtes accordant à l’appelante des dépens de 500 $ est rétablie. Les parties supporteront leurs propres frais devant la Cour et devant la Cour d’appel fédérale.</w:t>
      </w:r>
    </w:p>
    <w:p w:rsidR="000D65D2" w:rsidRPr="00C04776" w:rsidRDefault="000D65D2" w:rsidP="0052229C">
      <w:pPr>
        <w:rPr>
          <w:sz w:val="20"/>
          <w:szCs w:val="20"/>
          <w:lang w:val="fr-CA"/>
        </w:rPr>
      </w:pPr>
    </w:p>
    <w:p w:rsidR="0052229C" w:rsidRPr="00C04776" w:rsidRDefault="003D7763" w:rsidP="0052229C">
      <w:pPr>
        <w:spacing w:line="0" w:lineRule="atLeast"/>
        <w:rPr>
          <w:sz w:val="20"/>
          <w:szCs w:val="20"/>
        </w:rPr>
      </w:pPr>
      <w:r>
        <w:rPr>
          <w:b/>
          <w:sz w:val="20"/>
          <w:szCs w:val="20"/>
        </w:rPr>
        <w:pict>
          <v:rect id="_x0000_i1060" style="width:144.3pt;height:1pt" o:hrpct="300" o:hralign="center" o:hrstd="t" o:hrnoshade="t" o:hr="t" fillcolor="black [3213]" stroked="f"/>
        </w:pict>
      </w:r>
    </w:p>
    <w:p w:rsidR="00D004FC" w:rsidRPr="00C04776" w:rsidRDefault="00D004FC" w:rsidP="00D004FC">
      <w:pPr>
        <w:spacing w:line="0" w:lineRule="atLeast"/>
        <w:rPr>
          <w:rFonts w:cs="Times New Roman"/>
          <w:sz w:val="20"/>
          <w:szCs w:val="20"/>
          <w:lang w:val="fr-CA"/>
        </w:rPr>
      </w:pPr>
    </w:p>
    <w:p w:rsidR="00D004FC" w:rsidRPr="00C04776" w:rsidRDefault="00D004FC" w:rsidP="00D004FC">
      <w:pPr>
        <w:jc w:val="both"/>
        <w:rPr>
          <w:rFonts w:cs="Times New Roman"/>
          <w:sz w:val="20"/>
          <w:szCs w:val="20"/>
          <w:lang w:val="fr-CA"/>
        </w:rPr>
      </w:pPr>
    </w:p>
    <w:p w:rsidR="00D004FC" w:rsidRPr="00C04776" w:rsidRDefault="00D004FC"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04776" w:rsidRDefault="00732DB7" w:rsidP="00732DB7">
      <w:pPr>
        <w:widowControl w:val="0"/>
        <w:rPr>
          <w:sz w:val="20"/>
          <w:szCs w:val="20"/>
          <w:lang w:val="fr-CA"/>
        </w:rPr>
      </w:pPr>
    </w:p>
    <w:p w:rsidR="00697C62" w:rsidRPr="00C04776" w:rsidRDefault="00697C62" w:rsidP="00732DB7">
      <w:pPr>
        <w:widowControl w:val="0"/>
        <w:rPr>
          <w:sz w:val="20"/>
          <w:szCs w:val="20"/>
          <w:lang w:val="fr-CA"/>
        </w:rPr>
        <w:sectPr w:rsidR="00697C62" w:rsidRPr="00C04776" w:rsidSect="00782AE4">
          <w:headerReference w:type="even" r:id="rId30"/>
          <w:headerReference w:type="default" r:id="rId31"/>
          <w:footerReference w:type="even" r:id="rId32"/>
          <w:footerReference w:type="default" r:id="rId33"/>
          <w:headerReference w:type="first" r:id="rId34"/>
          <w:footerReference w:type="first" r:id="rId35"/>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82AE4" w:rsidRPr="00C04776" w:rsidTr="0085476B">
        <w:tc>
          <w:tcPr>
            <w:tcW w:w="4200" w:type="dxa"/>
            <w:tcMar>
              <w:left w:w="0" w:type="dxa"/>
              <w:right w:w="0" w:type="dxa"/>
            </w:tcMar>
          </w:tcPr>
          <w:p w:rsidR="00782AE4" w:rsidRPr="00C04776" w:rsidRDefault="00782AE4" w:rsidP="00782AE4">
            <w:pPr>
              <w:keepNext/>
              <w:keepLines/>
              <w:jc w:val="both"/>
              <w:rPr>
                <w:b/>
                <w:szCs w:val="24"/>
              </w:rPr>
            </w:pPr>
            <w:r w:rsidRPr="00C04776">
              <w:rPr>
                <w:b/>
                <w:szCs w:val="24"/>
              </w:rPr>
              <w:t>HEADNOTES OF RECENT</w:t>
            </w:r>
          </w:p>
          <w:p w:rsidR="00782AE4" w:rsidRPr="00C04776" w:rsidRDefault="00782AE4" w:rsidP="00782AE4">
            <w:pPr>
              <w:keepNext/>
              <w:keepLines/>
              <w:jc w:val="both"/>
              <w:rPr>
                <w:b/>
                <w:szCs w:val="24"/>
              </w:rPr>
            </w:pPr>
            <w:r w:rsidRPr="00C04776">
              <w:rPr>
                <w:b/>
                <w:szCs w:val="24"/>
              </w:rPr>
              <w:t>JUDGMENTS</w:t>
            </w:r>
          </w:p>
        </w:tc>
        <w:tc>
          <w:tcPr>
            <w:tcW w:w="1200" w:type="dxa"/>
            <w:tcMar>
              <w:left w:w="0" w:type="dxa"/>
              <w:right w:w="0" w:type="dxa"/>
            </w:tcMar>
          </w:tcPr>
          <w:p w:rsidR="00782AE4" w:rsidRPr="00C04776" w:rsidRDefault="00782AE4" w:rsidP="00102926">
            <w:pPr>
              <w:keepNext/>
              <w:keepLines/>
              <w:jc w:val="center"/>
              <w:rPr>
                <w:b/>
                <w:szCs w:val="24"/>
              </w:rPr>
            </w:pPr>
          </w:p>
          <w:p w:rsidR="00782AE4" w:rsidRPr="00C04776" w:rsidRDefault="00782AE4" w:rsidP="00102926">
            <w:pPr>
              <w:keepNext/>
              <w:keepLines/>
              <w:jc w:val="center"/>
              <w:rPr>
                <w:b/>
                <w:szCs w:val="24"/>
              </w:rPr>
            </w:pPr>
          </w:p>
          <w:p w:rsidR="00782AE4" w:rsidRPr="00C04776" w:rsidRDefault="00782AE4" w:rsidP="00102926">
            <w:pPr>
              <w:keepNext/>
              <w:keepLines/>
              <w:jc w:val="center"/>
              <w:rPr>
                <w:b/>
                <w:szCs w:val="24"/>
              </w:rPr>
            </w:pPr>
          </w:p>
        </w:tc>
        <w:tc>
          <w:tcPr>
            <w:tcW w:w="4080" w:type="dxa"/>
            <w:tcMar>
              <w:left w:w="0" w:type="dxa"/>
              <w:right w:w="0" w:type="dxa"/>
            </w:tcMar>
          </w:tcPr>
          <w:p w:rsidR="00782AE4" w:rsidRPr="00C04776" w:rsidRDefault="00782AE4" w:rsidP="00782AE4">
            <w:pPr>
              <w:keepNext/>
              <w:keepLines/>
              <w:rPr>
                <w:b/>
                <w:szCs w:val="24"/>
              </w:rPr>
            </w:pPr>
            <w:r w:rsidRPr="00C04776">
              <w:rPr>
                <w:b/>
                <w:szCs w:val="24"/>
              </w:rPr>
              <w:t>SOMMAIRES DE JUGEMENTS RÉCENTS</w:t>
            </w:r>
          </w:p>
        </w:tc>
      </w:tr>
    </w:tbl>
    <w:p w:rsidR="003B3977" w:rsidRPr="00C04776" w:rsidRDefault="003B3977" w:rsidP="005C6840">
      <w:pPr>
        <w:rPr>
          <w:rFonts w:cs="Times New Roman"/>
          <w:i/>
          <w:sz w:val="20"/>
          <w:szCs w:val="20"/>
        </w:rPr>
      </w:pPr>
    </w:p>
    <w:p w:rsidR="0052229C" w:rsidRPr="00C04776" w:rsidRDefault="0095240F" w:rsidP="0052229C">
      <w:pPr>
        <w:ind w:left="1440" w:hanging="1440"/>
        <w:jc w:val="both"/>
        <w:rPr>
          <w:sz w:val="20"/>
          <w:szCs w:val="20"/>
          <w:lang w:val="fr-CA"/>
        </w:rPr>
      </w:pPr>
      <w:r w:rsidRPr="00C04776">
        <w:rPr>
          <w:rFonts w:eastAsia="Calibri"/>
          <w:i/>
          <w:sz w:val="20"/>
          <w:szCs w:val="20"/>
          <w:lang w:val="fr-CA"/>
        </w:rPr>
        <w:t xml:space="preserve">Rogers Communications Inc. </w:t>
      </w:r>
      <w:r w:rsidR="00F71277" w:rsidRPr="00C04776">
        <w:rPr>
          <w:rFonts w:eastAsia="Calibri"/>
          <w:i/>
          <w:sz w:val="20"/>
          <w:szCs w:val="20"/>
          <w:lang w:val="fr-CA"/>
        </w:rPr>
        <w:t>v</w:t>
      </w:r>
      <w:r w:rsidRPr="00C04776">
        <w:rPr>
          <w:rFonts w:eastAsia="Calibri"/>
          <w:i/>
          <w:sz w:val="20"/>
          <w:szCs w:val="20"/>
          <w:lang w:val="fr-CA"/>
        </w:rPr>
        <w:t>. Voltage Pictures, LLC et al.</w:t>
      </w:r>
      <w:r w:rsidR="0052229C" w:rsidRPr="00C04776">
        <w:rPr>
          <w:sz w:val="20"/>
          <w:szCs w:val="20"/>
          <w:lang w:val="fr-CA"/>
        </w:rPr>
        <w:t xml:space="preserve"> (</w:t>
      </w:r>
      <w:r w:rsidRPr="00C04776">
        <w:rPr>
          <w:sz w:val="20"/>
          <w:szCs w:val="20"/>
          <w:lang w:val="fr-CA"/>
        </w:rPr>
        <w:t>F.C.</w:t>
      </w:r>
      <w:r w:rsidR="0052229C" w:rsidRPr="00C04776">
        <w:rPr>
          <w:sz w:val="20"/>
          <w:szCs w:val="20"/>
          <w:lang w:val="fr-CA"/>
        </w:rPr>
        <w:t>) (</w:t>
      </w:r>
      <w:hyperlink r:id="rId36" w:history="1">
        <w:r w:rsidRPr="00C04776">
          <w:rPr>
            <w:rStyle w:val="Hyperlink"/>
            <w:sz w:val="20"/>
            <w:szCs w:val="20"/>
            <w:lang w:val="fr-CA"/>
          </w:rPr>
          <w:t>37679</w:t>
        </w:r>
      </w:hyperlink>
      <w:r w:rsidR="0052229C" w:rsidRPr="00C04776">
        <w:rPr>
          <w:sz w:val="20"/>
          <w:szCs w:val="20"/>
          <w:lang w:val="fr-CA"/>
        </w:rPr>
        <w:t>)</w:t>
      </w:r>
    </w:p>
    <w:p w:rsidR="0052229C" w:rsidRPr="00C04776" w:rsidRDefault="0052229C" w:rsidP="0052229C">
      <w:pPr>
        <w:jc w:val="both"/>
        <w:rPr>
          <w:b/>
          <w:sz w:val="20"/>
          <w:szCs w:val="20"/>
          <w:lang w:val="fr-CA"/>
        </w:rPr>
      </w:pPr>
      <w:r w:rsidRPr="00C04776">
        <w:rPr>
          <w:b/>
          <w:sz w:val="20"/>
          <w:szCs w:val="20"/>
          <w:lang w:val="fr-CA"/>
        </w:rPr>
        <w:t>Indexed as</w:t>
      </w:r>
      <w:r w:rsidR="0095240F" w:rsidRPr="00C04776">
        <w:rPr>
          <w:rFonts w:eastAsia="Times New Roman" w:cs="Times New Roman"/>
          <w:b/>
          <w:szCs w:val="20"/>
          <w:lang w:val="fr-CA" w:eastAsia="en-CA"/>
        </w:rPr>
        <w:t xml:space="preserve"> </w:t>
      </w:r>
      <w:r w:rsidR="0095240F" w:rsidRPr="00C04776">
        <w:rPr>
          <w:b/>
          <w:sz w:val="20"/>
          <w:szCs w:val="20"/>
          <w:lang w:val="fr-CA"/>
        </w:rPr>
        <w:t xml:space="preserve">Rogers Communications Inc. </w:t>
      </w:r>
      <w:r w:rsidR="0095240F" w:rsidRPr="00C04776">
        <w:rPr>
          <w:b/>
          <w:i/>
          <w:sz w:val="20"/>
          <w:szCs w:val="20"/>
          <w:lang w:val="fr-CA"/>
        </w:rPr>
        <w:t>v.</w:t>
      </w:r>
      <w:r w:rsidR="0095240F" w:rsidRPr="00C04776">
        <w:rPr>
          <w:b/>
          <w:sz w:val="20"/>
          <w:szCs w:val="20"/>
          <w:lang w:val="fr-CA"/>
        </w:rPr>
        <w:t xml:space="preserve"> Voltage Pictures, LLC</w:t>
      </w:r>
      <w:r w:rsidRPr="00C04776">
        <w:rPr>
          <w:rStyle w:val="SCCRespondentForIndexChar"/>
          <w:rFonts w:eastAsiaTheme="minorHAnsi"/>
          <w:sz w:val="20"/>
          <w:lang w:val="fr-CA"/>
        </w:rPr>
        <w:t xml:space="preserve"> / </w:t>
      </w:r>
      <w:r w:rsidR="0095240F" w:rsidRPr="00C04776">
        <w:rPr>
          <w:b/>
          <w:sz w:val="20"/>
          <w:szCs w:val="20"/>
          <w:lang w:val="fr-CA"/>
        </w:rPr>
        <w:t>Répertorié</w:t>
      </w:r>
      <w:r w:rsidRPr="00C04776">
        <w:rPr>
          <w:b/>
          <w:sz w:val="20"/>
          <w:szCs w:val="20"/>
          <w:lang w:val="fr-CA"/>
        </w:rPr>
        <w:t>: </w:t>
      </w:r>
      <w:r w:rsidR="0095240F" w:rsidRPr="00C04776">
        <w:rPr>
          <w:rFonts w:cs="Times New Roman"/>
          <w:b/>
          <w:sz w:val="20"/>
          <w:szCs w:val="20"/>
          <w:lang w:val="fr-CA" w:eastAsia="en-CA"/>
        </w:rPr>
        <w:t xml:space="preserve">Rogers Communications Inc. </w:t>
      </w:r>
      <w:r w:rsidR="0095240F" w:rsidRPr="00C04776">
        <w:rPr>
          <w:rFonts w:cs="Times New Roman"/>
          <w:b/>
          <w:i/>
          <w:sz w:val="20"/>
          <w:szCs w:val="20"/>
          <w:lang w:val="fr-CA" w:eastAsia="en-CA"/>
        </w:rPr>
        <w:t>c.</w:t>
      </w:r>
      <w:r w:rsidR="0095240F" w:rsidRPr="00C04776">
        <w:rPr>
          <w:rFonts w:cs="Times New Roman"/>
          <w:b/>
          <w:sz w:val="20"/>
          <w:szCs w:val="20"/>
          <w:lang w:val="fr-CA" w:eastAsia="en-CA"/>
        </w:rPr>
        <w:t xml:space="preserve"> Voltage Pictures, LLC</w:t>
      </w:r>
    </w:p>
    <w:p w:rsidR="0052229C" w:rsidRPr="00C04776" w:rsidRDefault="0052229C" w:rsidP="0052229C">
      <w:pPr>
        <w:pStyle w:val="SCCSystemYear"/>
        <w:jc w:val="both"/>
        <w:rPr>
          <w:sz w:val="20"/>
        </w:rPr>
      </w:pPr>
      <w:r w:rsidRPr="00C04776">
        <w:rPr>
          <w:sz w:val="20"/>
        </w:rPr>
        <w:t>Neutral citation</w:t>
      </w:r>
      <w:r w:rsidR="0095240F" w:rsidRPr="00C04776">
        <w:rPr>
          <w:sz w:val="20"/>
        </w:rPr>
        <w:t>: 2018 SCC 38</w:t>
      </w:r>
      <w:r w:rsidRPr="00C04776">
        <w:rPr>
          <w:sz w:val="20"/>
        </w:rPr>
        <w:t xml:space="preserve"> / Référence neutre : </w:t>
      </w:r>
      <w:r w:rsidR="0030050B" w:rsidRPr="00C04776">
        <w:rPr>
          <w:sz w:val="20"/>
        </w:rPr>
        <w:t>201</w:t>
      </w:r>
      <w:r w:rsidR="0095240F" w:rsidRPr="00C04776">
        <w:rPr>
          <w:sz w:val="20"/>
        </w:rPr>
        <w:t>8</w:t>
      </w:r>
      <w:r w:rsidRPr="00C04776">
        <w:rPr>
          <w:sz w:val="20"/>
        </w:rPr>
        <w:t xml:space="preserve"> CSC </w:t>
      </w:r>
      <w:r w:rsidR="0095240F" w:rsidRPr="00C04776">
        <w:rPr>
          <w:sz w:val="20"/>
        </w:rPr>
        <w:t>38</w:t>
      </w:r>
    </w:p>
    <w:p w:rsidR="0052229C" w:rsidRPr="00C04776" w:rsidRDefault="0095240F" w:rsidP="0052229C">
      <w:pPr>
        <w:rPr>
          <w:rFonts w:cs="Times New Roman"/>
          <w:sz w:val="20"/>
          <w:szCs w:val="20"/>
          <w:lang w:val="fr-CA"/>
        </w:rPr>
      </w:pPr>
      <w:r w:rsidRPr="00C04776">
        <w:rPr>
          <w:rFonts w:cs="Times New Roman"/>
          <w:sz w:val="20"/>
          <w:szCs w:val="20"/>
          <w:lang w:val="fr-CA"/>
        </w:rPr>
        <w:t>Hearing: April 26,</w:t>
      </w:r>
      <w:r w:rsidR="0052229C" w:rsidRPr="00C04776">
        <w:rPr>
          <w:rFonts w:cs="Times New Roman"/>
          <w:sz w:val="20"/>
          <w:szCs w:val="20"/>
          <w:lang w:val="fr-CA"/>
        </w:rPr>
        <w:t xml:space="preserve"> 201</w:t>
      </w:r>
      <w:r w:rsidRPr="00C04776">
        <w:rPr>
          <w:rFonts w:cs="Times New Roman"/>
          <w:sz w:val="20"/>
          <w:szCs w:val="20"/>
          <w:lang w:val="fr-CA"/>
        </w:rPr>
        <w:t>8 / Judgment: September 14</w:t>
      </w:r>
      <w:r w:rsidR="0052229C" w:rsidRPr="00C04776">
        <w:rPr>
          <w:rFonts w:cs="Times New Roman"/>
          <w:sz w:val="20"/>
          <w:szCs w:val="20"/>
          <w:lang w:val="fr-CA"/>
        </w:rPr>
        <w:t xml:space="preserve">, </w:t>
      </w:r>
      <w:r w:rsidR="00351475" w:rsidRPr="00C04776">
        <w:rPr>
          <w:rFonts w:cs="Times New Roman"/>
          <w:sz w:val="20"/>
          <w:szCs w:val="20"/>
          <w:lang w:val="fr-CA"/>
        </w:rPr>
        <w:t>2018</w:t>
      </w:r>
    </w:p>
    <w:p w:rsidR="0052229C" w:rsidRPr="00C04776" w:rsidRDefault="0052229C" w:rsidP="0052229C">
      <w:pPr>
        <w:rPr>
          <w:rFonts w:cs="Times New Roman"/>
          <w:sz w:val="20"/>
          <w:szCs w:val="20"/>
          <w:lang w:val="fr-CA"/>
        </w:rPr>
      </w:pPr>
      <w:r w:rsidRPr="00C04776">
        <w:rPr>
          <w:rFonts w:cs="Times New Roman"/>
          <w:sz w:val="20"/>
          <w:szCs w:val="20"/>
          <w:lang w:val="fr-CA"/>
        </w:rPr>
        <w:t xml:space="preserve">Audition : Le </w:t>
      </w:r>
      <w:r w:rsidR="0095240F" w:rsidRPr="00C04776">
        <w:rPr>
          <w:rFonts w:cs="Times New Roman"/>
          <w:sz w:val="20"/>
          <w:szCs w:val="20"/>
          <w:lang w:val="fr-CA"/>
        </w:rPr>
        <w:t>26 avril</w:t>
      </w:r>
      <w:r w:rsidRPr="00C04776">
        <w:rPr>
          <w:rFonts w:cs="Times New Roman"/>
          <w:sz w:val="20"/>
          <w:szCs w:val="20"/>
          <w:lang w:val="fr-CA"/>
        </w:rPr>
        <w:t xml:space="preserve"> 201</w:t>
      </w:r>
      <w:r w:rsidR="0095240F" w:rsidRPr="00C04776">
        <w:rPr>
          <w:rFonts w:cs="Times New Roman"/>
          <w:sz w:val="20"/>
          <w:szCs w:val="20"/>
          <w:lang w:val="fr-CA"/>
        </w:rPr>
        <w:t>8</w:t>
      </w:r>
      <w:r w:rsidRPr="00C04776">
        <w:rPr>
          <w:rFonts w:cs="Times New Roman"/>
          <w:sz w:val="20"/>
          <w:szCs w:val="20"/>
          <w:lang w:val="fr-CA"/>
        </w:rPr>
        <w:t xml:space="preserve"> / Jugement : Le </w:t>
      </w:r>
      <w:r w:rsidR="0095240F" w:rsidRPr="00C04776">
        <w:rPr>
          <w:rFonts w:cs="Times New Roman"/>
          <w:sz w:val="20"/>
          <w:szCs w:val="20"/>
          <w:lang w:val="fr-CA"/>
        </w:rPr>
        <w:t>14 septembre</w:t>
      </w:r>
      <w:r w:rsidRPr="00C04776">
        <w:rPr>
          <w:rFonts w:cs="Times New Roman"/>
          <w:sz w:val="20"/>
          <w:szCs w:val="20"/>
          <w:lang w:val="fr-CA"/>
        </w:rPr>
        <w:t xml:space="preserve"> </w:t>
      </w:r>
      <w:r w:rsidR="0030050B" w:rsidRPr="00C04776">
        <w:rPr>
          <w:rFonts w:cs="Times New Roman"/>
          <w:sz w:val="20"/>
          <w:szCs w:val="20"/>
          <w:lang w:val="fr-CA"/>
        </w:rPr>
        <w:t>201</w:t>
      </w:r>
      <w:r w:rsidR="00351475" w:rsidRPr="00C04776">
        <w:rPr>
          <w:rFonts w:cs="Times New Roman"/>
          <w:sz w:val="20"/>
          <w:szCs w:val="20"/>
          <w:lang w:val="fr-CA"/>
        </w:rPr>
        <w:t>8</w:t>
      </w:r>
    </w:p>
    <w:p w:rsidR="005C6840" w:rsidRPr="00C04776" w:rsidRDefault="003D7763" w:rsidP="005C6840">
      <w:pPr>
        <w:rPr>
          <w:rFonts w:cs="Times New Roman"/>
          <w:sz w:val="20"/>
          <w:szCs w:val="20"/>
          <w:lang w:val="fr-CA"/>
        </w:rPr>
      </w:pPr>
      <w:r>
        <w:rPr>
          <w:rFonts w:cs="Times New Roman"/>
          <w:i/>
          <w:sz w:val="20"/>
          <w:szCs w:val="20"/>
        </w:rPr>
        <w:pict>
          <v:rect id="_x0000_i1063" style="width:480.95pt;height:1pt" o:hralign="center" o:hrstd="t" o:hrnoshade="t" o:hr="t" fillcolor="black [3213]" stroked="f"/>
        </w:pict>
      </w:r>
    </w:p>
    <w:p w:rsidR="008D705B" w:rsidRPr="00C04776" w:rsidRDefault="008D705B" w:rsidP="008D705B">
      <w:pPr>
        <w:spacing w:before="240" w:after="240"/>
        <w:jc w:val="both"/>
        <w:rPr>
          <w:sz w:val="20"/>
          <w:szCs w:val="20"/>
        </w:rPr>
      </w:pPr>
      <w:r w:rsidRPr="00C04776">
        <w:rPr>
          <w:sz w:val="20"/>
          <w:szCs w:val="20"/>
        </w:rPr>
        <w:t xml:space="preserve">Present: </w:t>
      </w:r>
      <w:r w:rsidR="0068544F" w:rsidRPr="00C04776">
        <w:rPr>
          <w:sz w:val="20"/>
          <w:szCs w:val="20"/>
        </w:rPr>
        <w:t>Wagner C.J. and Abella, Moldaver, Karakatsanis, Gascon, Côté, Brown, Rowe and Martin JJ.</w:t>
      </w:r>
    </w:p>
    <w:p w:rsidR="0068544F" w:rsidRPr="00C04776" w:rsidRDefault="0068544F" w:rsidP="0068544F">
      <w:pPr>
        <w:pStyle w:val="SCCNormalDoubleSpacing"/>
        <w:spacing w:line="240" w:lineRule="auto"/>
        <w:rPr>
          <w:i/>
          <w:sz w:val="20"/>
        </w:rPr>
      </w:pPr>
      <w:r w:rsidRPr="00C04776">
        <w:rPr>
          <w:i/>
          <w:sz w:val="20"/>
        </w:rPr>
        <w:tab/>
        <w:t xml:space="preserve">Intellectual property — Copyright — Infringement — Norwich order — Costs of compliance — Copyright owners obtaining Norwich order compelling Internet service provider to disclose identity of person suspected of infringing owners’ copyright — Owners seeking not to pay costs of disclosure based on provision in statutory notice and notice copyright regime prohibiting Internet service provider from seeking costs for complying with obligations under regime — Whether steps taken by Internet service provider to comply with Norwich </w:t>
      </w:r>
      <w:r w:rsidRPr="00C04776">
        <w:rPr>
          <w:i/>
          <w:sz w:val="20"/>
          <w:lang w:val="en-US"/>
        </w:rPr>
        <w:t xml:space="preserve">order overlap with its statutory obligations — Whether overlap, if any, impacts </w:t>
      </w:r>
      <w:r w:rsidRPr="00C04776">
        <w:rPr>
          <w:i/>
          <w:sz w:val="20"/>
        </w:rPr>
        <w:t>Internet service provider’s ability to recover reasonable costs of compliance with Norwich order — Copyright Act, R.S.C. 1985, c. C</w:t>
      </w:r>
      <w:r w:rsidRPr="00C04776">
        <w:rPr>
          <w:i/>
          <w:sz w:val="20"/>
        </w:rPr>
        <w:noBreakHyphen/>
        <w:t>42, ss. 41.25, 41.26.</w:t>
      </w:r>
    </w:p>
    <w:p w:rsidR="0068544F" w:rsidRPr="00C04776" w:rsidRDefault="0068544F" w:rsidP="0068544F">
      <w:pPr>
        <w:pStyle w:val="SCCNormalDoubleSpacing"/>
        <w:spacing w:line="240" w:lineRule="auto"/>
        <w:rPr>
          <w:i/>
          <w:sz w:val="20"/>
        </w:rPr>
      </w:pPr>
    </w:p>
    <w:p w:rsidR="0068544F" w:rsidRPr="00C04776" w:rsidRDefault="0068544F" w:rsidP="0068544F">
      <w:pPr>
        <w:pStyle w:val="SCCNormalDoubleSpacing"/>
        <w:spacing w:line="240" w:lineRule="auto"/>
        <w:rPr>
          <w:sz w:val="20"/>
        </w:rPr>
      </w:pPr>
      <w:r w:rsidRPr="00C04776">
        <w:rPr>
          <w:sz w:val="20"/>
        </w:rPr>
        <w:tab/>
        <w:t xml:space="preserve">The respondents are film production companies that allege that their copyrights have been infringed online by unidentified Internet subscribers who have shared their films using peer to peer file sharing networks. They sued one such unknown person and brought a motion for a </w:t>
      </w:r>
      <w:r w:rsidRPr="00C04776">
        <w:rPr>
          <w:i/>
          <w:sz w:val="20"/>
        </w:rPr>
        <w:t xml:space="preserve">Norwich </w:t>
      </w:r>
      <w:r w:rsidRPr="00C04776">
        <w:rPr>
          <w:sz w:val="20"/>
        </w:rPr>
        <w:t xml:space="preserve">order to compel his Internet service provider (“ISP”), Rogers, to disclose his contact and personal information. The respondents sought that the disclosure order be made without fees or disbursements payable to Rogers, relying on ss. 41.25 and 41.26 of the </w:t>
      </w:r>
      <w:r w:rsidRPr="00C04776">
        <w:rPr>
          <w:i/>
          <w:sz w:val="20"/>
        </w:rPr>
        <w:t>Copyright Act</w:t>
      </w:r>
      <w:r w:rsidRPr="00C04776">
        <w:rPr>
          <w:sz w:val="20"/>
        </w:rPr>
        <w:t>. These provisions, referred to as the “notice and notice” regime, require that an ISP, upon receiving notice from a copyright owner that a person at a certain IP address has infringed the owner’s copyright, forward that notice of claimed infringement to the person to whom the IP address was assigned. They also prohibit ISPs from charging a fee for complying with their obligations under the regime.</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The motion judge granted the </w:t>
      </w:r>
      <w:r w:rsidRPr="00C04776">
        <w:rPr>
          <w:i/>
          <w:sz w:val="20"/>
        </w:rPr>
        <w:t xml:space="preserve">Norwich </w:t>
      </w:r>
      <w:r w:rsidRPr="00C04776">
        <w:rPr>
          <w:sz w:val="20"/>
        </w:rPr>
        <w:t xml:space="preserve">order and allowed Rogers to recover the costs of all steps that were necessary to comply with it. He found that while the statutory notice and notice regime regulates the process by which notice of claimed copyright infringement is provided to an ISP and an Internet subscriber, as well as the retention of records relating to that notice, it does not regulate an ISP’s disclosure of a subscriber’s identity to a copyright owner. The Federal Court of Appeal agreed with the motion judge that the statutory notice and notice regime does not regulate the disclosure of a person’s identity from an ISP’s records, but it confined Rogers’ recovery to the costs of complying with the </w:t>
      </w:r>
      <w:r w:rsidRPr="00C04776">
        <w:rPr>
          <w:i/>
          <w:sz w:val="20"/>
        </w:rPr>
        <w:t xml:space="preserve">Norwich </w:t>
      </w:r>
      <w:r w:rsidRPr="00C04776">
        <w:rPr>
          <w:sz w:val="20"/>
        </w:rPr>
        <w:t>order that did not overlap with the steps that formed part of Rogers’ implicit obligations under the statutory regime. Rogers appealed.</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rStyle w:val="QuoteChar"/>
          <w:sz w:val="20"/>
        </w:rPr>
        <w:tab/>
        <w:t>Held:</w:t>
      </w:r>
      <w:r w:rsidRPr="00C04776">
        <w:rPr>
          <w:sz w:val="20"/>
        </w:rPr>
        <w:t xml:space="preserve"> The appeal should be allowed and the matter remitted to the motion judge to determine the quantum of Rogers’ entitlement to its reasonable costs of compliance with the </w:t>
      </w:r>
      <w:r w:rsidRPr="00C04776">
        <w:rPr>
          <w:i/>
          <w:sz w:val="20"/>
        </w:rPr>
        <w:t xml:space="preserve">Norwich </w:t>
      </w:r>
      <w:r w:rsidRPr="00C04776">
        <w:rPr>
          <w:sz w:val="20"/>
        </w:rPr>
        <w:t>order.</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i/>
          <w:sz w:val="20"/>
        </w:rPr>
        <w:tab/>
        <w:t>Per</w:t>
      </w:r>
      <w:r w:rsidRPr="00C04776">
        <w:rPr>
          <w:sz w:val="20"/>
        </w:rPr>
        <w:t xml:space="preserve"> Wagner C.J. and Abella, Moldaver, Karakatsanis, Gascon, </w:t>
      </w:r>
      <w:r w:rsidRPr="00C04776">
        <w:rPr>
          <w:b/>
          <w:sz w:val="20"/>
        </w:rPr>
        <w:t>Brown</w:t>
      </w:r>
      <w:r w:rsidRPr="00C04776">
        <w:rPr>
          <w:sz w:val="20"/>
        </w:rPr>
        <w:t xml:space="preserve">, Rowe and Martin JJ.: An ISP can recover its costs of compliance with a </w:t>
      </w:r>
      <w:r w:rsidRPr="00C04776">
        <w:rPr>
          <w:i/>
          <w:sz w:val="20"/>
        </w:rPr>
        <w:t>Norwich</w:t>
      </w:r>
      <w:r w:rsidRPr="00C04776">
        <w:rPr>
          <w:sz w:val="20"/>
        </w:rPr>
        <w:t xml:space="preserve"> order, but it is not entitled to be compensated for every cost that it incurs in complying with such an</w:t>
      </w:r>
      <w:r w:rsidRPr="00C04776">
        <w:rPr>
          <w:i/>
          <w:sz w:val="20"/>
        </w:rPr>
        <w:t xml:space="preserve"> </w:t>
      </w:r>
      <w:r w:rsidRPr="00C04776">
        <w:rPr>
          <w:sz w:val="20"/>
        </w:rPr>
        <w:t xml:space="preserve">order. Recoverable costs must be reasonable and must arise from compliance with the </w:t>
      </w:r>
      <w:r w:rsidRPr="00C04776">
        <w:rPr>
          <w:i/>
          <w:sz w:val="20"/>
        </w:rPr>
        <w:t xml:space="preserve">Norwich </w:t>
      </w:r>
      <w:r w:rsidRPr="00C04776">
        <w:rPr>
          <w:sz w:val="20"/>
        </w:rPr>
        <w:t xml:space="preserve">order. Where costs should have been borne by an ISP in performing its statutory obligations under the notice and notice regime, these costs cannot be characterized as either reasonable or as arising from compliance with a </w:t>
      </w:r>
      <w:r w:rsidRPr="00C04776">
        <w:rPr>
          <w:i/>
          <w:sz w:val="20"/>
        </w:rPr>
        <w:t>Norwich</w:t>
      </w:r>
      <w:r w:rsidRPr="00C04776">
        <w:rPr>
          <w:sz w:val="20"/>
        </w:rPr>
        <w:t xml:space="preserve"> order, and cannot be recovered.</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The notice and notice regime was enacted to serve two complementary purposes: to deter online copyright infringement and to balance the rights of interested parties including copyright owners, Internet users and Internet intermediaries such as ISPs. It was not intended to embody a comprehensive framework by which instances of online infringement could be eliminated altogether, and it does not go so far as requiring an ISP to disclose the identity of a person who has received notice to a copyright owner. Therefore, an owner who wishes to sue a person alleged to have infringed copyright online must proceed outside the notice and notice regime and obtain a </w:t>
      </w:r>
      <w:r w:rsidRPr="00C04776">
        <w:rPr>
          <w:i/>
          <w:sz w:val="20"/>
        </w:rPr>
        <w:t>Norwich</w:t>
      </w:r>
      <w:r w:rsidRPr="00C04776">
        <w:rPr>
          <w:sz w:val="20"/>
        </w:rPr>
        <w:t xml:space="preserve"> order to compel the ISP to disclose that person’s identity. The statutory notice and notice regime has not displaced this requirement, but operates in tandem with it.</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Similarly, the notice and notice regime has not displaced the copyright owner’s burden, at common law, of bearing the ISP’s reasonable costs of compliance with the </w:t>
      </w:r>
      <w:r w:rsidRPr="00C04776">
        <w:rPr>
          <w:i/>
          <w:sz w:val="20"/>
        </w:rPr>
        <w:t>Norwich</w:t>
      </w:r>
      <w:r w:rsidRPr="00C04776">
        <w:rPr>
          <w:sz w:val="20"/>
        </w:rPr>
        <w:t xml:space="preserve"> order. However, the statutory regime prohibits an ISP from charging a fee for performing any of its obligations arising under the regime. Accordingly, an ISP should not be permitted to recover the cost of carrying out any of the obligations, express or implicit, that will have arisen under the regime, even if it carries out the obligations only after having been served with a </w:t>
      </w:r>
      <w:r w:rsidRPr="00C04776">
        <w:rPr>
          <w:i/>
          <w:sz w:val="20"/>
        </w:rPr>
        <w:t>Norwich</w:t>
      </w:r>
      <w:r w:rsidRPr="00C04776">
        <w:rPr>
          <w:sz w:val="20"/>
        </w:rPr>
        <w:t xml:space="preserve"> order. Otherwise, the distribution of financial burden which Parliament decided upon would be undermined by imposing upon copyright owners an obligation which was specifically allocated to ISPs in the notice and notice regime.</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The three express obligations contained in ss. 41.26(1)(a) and 41.26(1)(b) of the </w:t>
      </w:r>
      <w:r w:rsidRPr="00C04776">
        <w:rPr>
          <w:i/>
          <w:sz w:val="20"/>
        </w:rPr>
        <w:t>Copyright Act</w:t>
      </w:r>
      <w:r w:rsidRPr="00C04776">
        <w:rPr>
          <w:sz w:val="20"/>
        </w:rPr>
        <w:t xml:space="preserve"> carry with them several implicit obligations that an ISP must satisfy under the notice and notice regime. Since these implicit obligations are steps which are necessary to see that those express statutory obligations are discharged, an ISP will not be permitted to recover costs at the stage of complying with a </w:t>
      </w:r>
      <w:r w:rsidRPr="00C04776">
        <w:rPr>
          <w:i/>
          <w:sz w:val="20"/>
        </w:rPr>
        <w:t>Norwich</w:t>
      </w:r>
      <w:r w:rsidRPr="00C04776">
        <w:rPr>
          <w:sz w:val="20"/>
        </w:rPr>
        <w:t xml:space="preserve"> order. Specifically, s. 41.26(1</w:t>
      </w:r>
      <w:proofErr w:type="gramStart"/>
      <w:r w:rsidRPr="00C04776">
        <w:rPr>
          <w:sz w:val="20"/>
        </w:rPr>
        <w:t>)(</w:t>
      </w:r>
      <w:proofErr w:type="gramEnd"/>
      <w:r w:rsidRPr="00C04776">
        <w:rPr>
          <w:sz w:val="20"/>
        </w:rPr>
        <w:t>a) requires an ISP to determine, for the purpose of forwarding notice electronically, the person to whom the IP address belonged. It also requires an ISP to take whatever steps that are necessary to verify that it has done so accurately. Similarly, the records that an ISP must retain under s. 41.26(1</w:t>
      </w:r>
      <w:proofErr w:type="gramStart"/>
      <w:r w:rsidRPr="00C04776">
        <w:rPr>
          <w:sz w:val="20"/>
        </w:rPr>
        <w:t>)(</w:t>
      </w:r>
      <w:proofErr w:type="gramEnd"/>
      <w:r w:rsidRPr="00C04776">
        <w:rPr>
          <w:sz w:val="20"/>
        </w:rPr>
        <w:t>b) must be accurate. Any steps which are necessary to verify the accuracy of those records therefore form part of an ISP’s obligations.</w:t>
      </w:r>
    </w:p>
    <w:p w:rsidR="0068544F" w:rsidRPr="00C04776" w:rsidRDefault="0068544F"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However, there is a distinction between an ISP’s obligation under the notice and notice regime to ensure the accuracy of its records that allow the identity of the person to whom an IP address belonged to be determined, and an ISP’s obligation under a </w:t>
      </w:r>
      <w:r w:rsidRPr="00C04776">
        <w:rPr>
          <w:i/>
          <w:sz w:val="20"/>
        </w:rPr>
        <w:t xml:space="preserve">Norwich </w:t>
      </w:r>
      <w:r w:rsidRPr="00C04776">
        <w:rPr>
          <w:sz w:val="20"/>
        </w:rPr>
        <w:t>order to actually identify a person from its records. While the records an ISP must retain under s. 41.26(1</w:t>
      </w:r>
      <w:proofErr w:type="gramStart"/>
      <w:r w:rsidRPr="00C04776">
        <w:rPr>
          <w:sz w:val="20"/>
        </w:rPr>
        <w:t>)(</w:t>
      </w:r>
      <w:proofErr w:type="gramEnd"/>
      <w:r w:rsidRPr="00C04776">
        <w:rPr>
          <w:sz w:val="20"/>
        </w:rPr>
        <w:t>b) must be kept in a form and manner that allows an ISP</w:t>
      </w:r>
      <w:r w:rsidRPr="00C04776">
        <w:rPr>
          <w:i/>
          <w:sz w:val="20"/>
        </w:rPr>
        <w:t xml:space="preserve"> </w:t>
      </w:r>
      <w:r w:rsidRPr="00C04776">
        <w:rPr>
          <w:sz w:val="20"/>
        </w:rPr>
        <w:t xml:space="preserve">to identify the name and address of the person to whom notice is forwarded under s. 41.26(1)(a), s. 41.26(1)(b) does not require that they be kept in a form and manner which would permit a copyright owner or a court to do so. The copyright owner would, however, be entitled to receive that information from an ISP under the terms of a </w:t>
      </w:r>
      <w:r w:rsidRPr="00C04776">
        <w:rPr>
          <w:i/>
          <w:sz w:val="20"/>
        </w:rPr>
        <w:t xml:space="preserve">Norwich </w:t>
      </w:r>
      <w:r w:rsidRPr="00C04776">
        <w:rPr>
          <w:sz w:val="20"/>
        </w:rPr>
        <w:t>order — which process falls outside the ISP’s obligations under the notice and notice regime. As such, an ISP is entitled to the reasonable costs of steps that are necessary to discern a person’s identity from the accurate records retained under s. 41.26(1</w:t>
      </w:r>
      <w:proofErr w:type="gramStart"/>
      <w:r w:rsidRPr="00C04776">
        <w:rPr>
          <w:sz w:val="20"/>
        </w:rPr>
        <w:t>)(</w:t>
      </w:r>
      <w:proofErr w:type="gramEnd"/>
      <w:r w:rsidRPr="00C04776">
        <w:rPr>
          <w:sz w:val="20"/>
        </w:rPr>
        <w:t xml:space="preserve">b). </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Given the statutory prohibition on the recovery of costs arising from the notice and notice regime, motion judges should carefully review an ISP’s evidence when assessing costs of compliance with a </w:t>
      </w:r>
      <w:r w:rsidRPr="00C04776">
        <w:rPr>
          <w:i/>
          <w:sz w:val="20"/>
        </w:rPr>
        <w:t>Norwich</w:t>
      </w:r>
      <w:r w:rsidRPr="00C04776">
        <w:rPr>
          <w:sz w:val="20"/>
        </w:rPr>
        <w:t xml:space="preserve"> order, to determine whether an ISP’s proposed fee is reasonable, in light of its obligations under the notice and notice regime. In the instant case, Rogers is entitled to its reasonable costs of compliance with the </w:t>
      </w:r>
      <w:r w:rsidRPr="00C04776">
        <w:rPr>
          <w:i/>
          <w:sz w:val="20"/>
        </w:rPr>
        <w:t xml:space="preserve">Norwich </w:t>
      </w:r>
      <w:r w:rsidRPr="00C04776">
        <w:rPr>
          <w:sz w:val="20"/>
        </w:rPr>
        <w:t>order. However, the motion judge failed to interpret the full scope of an ISP’s obligations under s. 41.26(1) and failed to consider whether any of the eight steps in Rogers’ manual process to disclose the identity of one of its subscribers overlap with Rogers’ statutory obligations for which it was not entitled to reimbursement. Since it is impossible on the record to determine Rogers’ reasonable costs of compliance, the matter should be returned to the motion judge.</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r>
      <w:r w:rsidRPr="00C04776">
        <w:rPr>
          <w:i/>
          <w:sz w:val="20"/>
        </w:rPr>
        <w:t>Per</w:t>
      </w:r>
      <w:r w:rsidRPr="00C04776">
        <w:rPr>
          <w:sz w:val="20"/>
        </w:rPr>
        <w:t xml:space="preserve"> </w:t>
      </w:r>
      <w:r w:rsidRPr="00C04776">
        <w:rPr>
          <w:b/>
          <w:sz w:val="20"/>
        </w:rPr>
        <w:t>Côté </w:t>
      </w:r>
      <w:r w:rsidRPr="00C04776">
        <w:rPr>
          <w:sz w:val="20"/>
        </w:rPr>
        <w:t xml:space="preserve">J.: There is agreement with the majority that the appeal should be allowed. However, there is disagreement with the proposition that any implied obligations in s. 41.26(1) of the </w:t>
      </w:r>
      <w:r w:rsidRPr="00C04776">
        <w:rPr>
          <w:i/>
          <w:sz w:val="20"/>
        </w:rPr>
        <w:t xml:space="preserve">Copyright Act </w:t>
      </w:r>
      <w:r w:rsidRPr="00C04776">
        <w:rPr>
          <w:sz w:val="20"/>
        </w:rPr>
        <w:t xml:space="preserve">categorically preclude an ISP from verifying aspects of its records at the time that a </w:t>
      </w:r>
      <w:r w:rsidRPr="00C04776">
        <w:rPr>
          <w:i/>
          <w:sz w:val="20"/>
        </w:rPr>
        <w:t>Norwich</w:t>
      </w:r>
      <w:r w:rsidRPr="00C04776">
        <w:rPr>
          <w:sz w:val="20"/>
        </w:rPr>
        <w:t xml:space="preserve"> order is received and then seeking compensation for that work.</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Taken together, ss. 41.26(1</w:t>
      </w:r>
      <w:proofErr w:type="gramStart"/>
      <w:r w:rsidRPr="00C04776">
        <w:rPr>
          <w:sz w:val="20"/>
        </w:rPr>
        <w:t>)(</w:t>
      </w:r>
      <w:proofErr w:type="gramEnd"/>
      <w:r w:rsidRPr="00C04776">
        <w:rPr>
          <w:sz w:val="20"/>
        </w:rPr>
        <w:t>a) and (b) make clear that an ISP need not actually</w:t>
      </w:r>
      <w:r w:rsidRPr="00C04776">
        <w:rPr>
          <w:i/>
          <w:sz w:val="20"/>
        </w:rPr>
        <w:t xml:space="preserve"> </w:t>
      </w:r>
      <w:r w:rsidRPr="00C04776">
        <w:rPr>
          <w:sz w:val="20"/>
        </w:rPr>
        <w:t xml:space="preserve">determine the identity of an alleged infringer. Thus, any work required to determine an alleged infringer’s identity and to disclose that identity pursuant to a </w:t>
      </w:r>
      <w:r w:rsidRPr="00C04776">
        <w:rPr>
          <w:i/>
          <w:sz w:val="20"/>
        </w:rPr>
        <w:t xml:space="preserve">Norwich </w:t>
      </w:r>
      <w:r w:rsidRPr="00C04776">
        <w:rPr>
          <w:sz w:val="20"/>
        </w:rPr>
        <w:t xml:space="preserve">order is not subsumed within the notice and notice regime and can therefore be subject to compensation in accordance with the common law. The common law </w:t>
      </w:r>
      <w:r w:rsidRPr="00C04776">
        <w:rPr>
          <w:i/>
          <w:sz w:val="20"/>
        </w:rPr>
        <w:t>Norwich</w:t>
      </w:r>
      <w:r w:rsidRPr="00C04776">
        <w:rPr>
          <w:sz w:val="20"/>
        </w:rPr>
        <w:t xml:space="preserve"> regime permits an ISP to be compensated for reasonable costs of compliance.</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None of the eight steps that Rogers undertakes in response to a </w:t>
      </w:r>
      <w:r w:rsidRPr="00C04776">
        <w:rPr>
          <w:i/>
          <w:sz w:val="20"/>
        </w:rPr>
        <w:t xml:space="preserve">Norwich </w:t>
      </w:r>
      <w:r w:rsidRPr="00C04776">
        <w:rPr>
          <w:sz w:val="20"/>
        </w:rPr>
        <w:t>order is supplanted by the notice and notice regime, since they do not involve verifying the accuracy of records which it was required by s. 41.26(1) to retain. Rather, Rogers follows this process in order to determine and verify the identity</w:t>
      </w:r>
      <w:r w:rsidRPr="00C04776">
        <w:rPr>
          <w:i/>
          <w:sz w:val="20"/>
        </w:rPr>
        <w:t xml:space="preserve"> </w:t>
      </w:r>
      <w:r w:rsidRPr="00C04776">
        <w:rPr>
          <w:sz w:val="20"/>
        </w:rPr>
        <w:t>of an alleged copyright infringer (which it does not already know) based on those records. Assuming that this eight</w:t>
      </w:r>
      <w:r w:rsidRPr="00C04776">
        <w:rPr>
          <w:sz w:val="20"/>
        </w:rPr>
        <w:noBreakHyphen/>
        <w:t>step process is otherwise reasonable, Rogers is thus entitled to full compensation for the steps it takes to identify an account holder and to disclose that information to a copyright claimant.</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 xml:space="preserve">There is also disagreement with the proposition that any implied obligations in s. 41.26(1) of the </w:t>
      </w:r>
      <w:r w:rsidRPr="00C04776">
        <w:rPr>
          <w:i/>
          <w:sz w:val="20"/>
        </w:rPr>
        <w:t xml:space="preserve">Copyright Act </w:t>
      </w:r>
      <w:r w:rsidRPr="00C04776">
        <w:rPr>
          <w:sz w:val="20"/>
        </w:rPr>
        <w:t xml:space="preserve">categorically preclude an ISP from verifying aspects of its records at the time that a </w:t>
      </w:r>
      <w:r w:rsidRPr="00C04776">
        <w:rPr>
          <w:i/>
          <w:sz w:val="20"/>
        </w:rPr>
        <w:t>Norwich</w:t>
      </w:r>
      <w:r w:rsidRPr="00C04776">
        <w:rPr>
          <w:sz w:val="20"/>
        </w:rPr>
        <w:t xml:space="preserve"> order is received and then seeking compensation for that work, for two reasons. First, customer information can change over time, and a </w:t>
      </w:r>
      <w:r w:rsidRPr="00C04776">
        <w:rPr>
          <w:i/>
          <w:sz w:val="20"/>
        </w:rPr>
        <w:t>Norwich</w:t>
      </w:r>
      <w:r w:rsidRPr="00C04776">
        <w:rPr>
          <w:sz w:val="20"/>
        </w:rPr>
        <w:t xml:space="preserve"> order may be received well after the notice of infringement is first sent to the account holder. The accuracy of that information must still be verified at the time the account holder’s identity is requested by the copyright holder, since it is the account holder’s current identifying information that a claimant must obtain in order to initiate a legal proceeding for copyright infringement, not the identifying information as it may have existed when the notice was first sent. Second, it is possible that not all infringement notices are sent to the correct account holder in accordance with s. 41.26(1</w:t>
      </w:r>
      <w:proofErr w:type="gramStart"/>
      <w:r w:rsidRPr="00C04776">
        <w:rPr>
          <w:sz w:val="20"/>
        </w:rPr>
        <w:t>)(</w:t>
      </w:r>
      <w:proofErr w:type="gramEnd"/>
      <w:r w:rsidRPr="00C04776">
        <w:rPr>
          <w:sz w:val="20"/>
        </w:rPr>
        <w:t xml:space="preserve">a). Therefore, and even if some steps in Rogers’ </w:t>
      </w:r>
      <w:r w:rsidRPr="00C04776">
        <w:rPr>
          <w:i/>
          <w:sz w:val="20"/>
        </w:rPr>
        <w:t>Norwich</w:t>
      </w:r>
      <w:r w:rsidRPr="00C04776">
        <w:rPr>
          <w:sz w:val="20"/>
        </w:rPr>
        <w:t xml:space="preserve"> process could be characterized as verifying pre</w:t>
      </w:r>
      <w:r w:rsidRPr="00C04776">
        <w:rPr>
          <w:sz w:val="20"/>
        </w:rPr>
        <w:noBreakHyphen/>
        <w:t xml:space="preserve">existing information or records, there is no irresistible clearness in the </w:t>
      </w:r>
      <w:r w:rsidRPr="00C04776">
        <w:rPr>
          <w:i/>
          <w:sz w:val="20"/>
        </w:rPr>
        <w:t>Copyright Act</w:t>
      </w:r>
      <w:r w:rsidRPr="00C04776">
        <w:rPr>
          <w:sz w:val="20"/>
        </w:rPr>
        <w:t xml:space="preserve"> to justify displacing a sensible approach as to what is reasonable on the basis of a purported implied obligation in s. 41.26(1). In these circumstances, there may be good justifications for Rogers to conduct more vigorous verifications. That said, judges are empowered to deny the costs of verifications by an ISP that are unnecessar</w:t>
      </w:r>
      <w:r w:rsidR="00265655" w:rsidRPr="00C04776">
        <w:rPr>
          <w:sz w:val="20"/>
        </w:rPr>
        <w:t>ily extensive or duplicative.</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In the case at bar, the motion judge did not make an independent finding as to the reasonableness of Rogers’ eight</w:t>
      </w:r>
      <w:r w:rsidRPr="00C04776">
        <w:rPr>
          <w:sz w:val="20"/>
        </w:rPr>
        <w:noBreakHyphen/>
        <w:t xml:space="preserve">step process. Accordingly, this matter should be remitted for such a determination. </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sz w:val="20"/>
        </w:rPr>
        <w:tab/>
        <w:t>APPEAL from a judgment of the Federal Court of Appeal (</w:t>
      </w:r>
      <w:proofErr w:type="spellStart"/>
      <w:r w:rsidRPr="00C04776">
        <w:rPr>
          <w:sz w:val="20"/>
        </w:rPr>
        <w:t>Stratas</w:t>
      </w:r>
      <w:proofErr w:type="spellEnd"/>
      <w:r w:rsidRPr="00C04776">
        <w:rPr>
          <w:sz w:val="20"/>
        </w:rPr>
        <w:t xml:space="preserve">, Gleason and Woods JJ.A.), 2017 FCA 97, 146 C.P.R. (4th) 339, 410 D.L.R. (4th) 602, [2017] F.C.J. No. 477 (QL), 2017 </w:t>
      </w:r>
      <w:proofErr w:type="spellStart"/>
      <w:r w:rsidRPr="00C04776">
        <w:rPr>
          <w:sz w:val="20"/>
        </w:rPr>
        <w:t>CarswellNat</w:t>
      </w:r>
      <w:proofErr w:type="spellEnd"/>
      <w:r w:rsidRPr="00C04776">
        <w:rPr>
          <w:sz w:val="20"/>
        </w:rPr>
        <w:t xml:space="preserve"> 2130 (WL Can.), setting aside the order of Boswell J., 2016 FC 881, 141 C.P.R. (4th) 136, [2016] F.C.J. No. 901 (QL), 2016 </w:t>
      </w:r>
      <w:proofErr w:type="spellStart"/>
      <w:r w:rsidRPr="00C04776">
        <w:rPr>
          <w:sz w:val="20"/>
        </w:rPr>
        <w:t>CarswellNat</w:t>
      </w:r>
      <w:proofErr w:type="spellEnd"/>
      <w:r w:rsidRPr="00C04776">
        <w:rPr>
          <w:sz w:val="20"/>
        </w:rPr>
        <w:t xml:space="preserve"> 3745 (WL Can.). Appeal allowed. </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rStyle w:val="SCCCounselPartyRoleChar"/>
          <w:sz w:val="20"/>
        </w:rPr>
      </w:pPr>
      <w:r w:rsidRPr="00C04776">
        <w:rPr>
          <w:rStyle w:val="SCCCounselNameChar"/>
          <w:sz w:val="20"/>
        </w:rPr>
        <w:tab/>
        <w:t>Andrew Bernstein</w:t>
      </w:r>
      <w:r w:rsidRPr="00C04776">
        <w:rPr>
          <w:rStyle w:val="SCCCounselSeparatorChar"/>
          <w:rFonts w:eastAsia="Calibri"/>
          <w:sz w:val="20"/>
          <w:lang w:val="en-US"/>
        </w:rPr>
        <w:t xml:space="preserve">, </w:t>
      </w:r>
      <w:r w:rsidRPr="00C04776">
        <w:rPr>
          <w:rStyle w:val="SCCCounselNameChar"/>
          <w:sz w:val="20"/>
        </w:rPr>
        <w:t xml:space="preserve">James </w:t>
      </w:r>
      <w:proofErr w:type="spellStart"/>
      <w:r w:rsidRPr="00C04776">
        <w:rPr>
          <w:rStyle w:val="SCCCounselNameChar"/>
          <w:sz w:val="20"/>
        </w:rPr>
        <w:t>Gotowiec</w:t>
      </w:r>
      <w:proofErr w:type="spellEnd"/>
      <w:r w:rsidRPr="00C04776">
        <w:rPr>
          <w:rStyle w:val="SCCCounselSeparatorChar"/>
          <w:rFonts w:eastAsia="Calibri"/>
          <w:sz w:val="20"/>
          <w:lang w:val="en-US"/>
        </w:rPr>
        <w:t xml:space="preserve"> and </w:t>
      </w:r>
      <w:proofErr w:type="spellStart"/>
      <w:r w:rsidRPr="00C04776">
        <w:rPr>
          <w:rStyle w:val="SCCCounselNameChar"/>
          <w:sz w:val="20"/>
        </w:rPr>
        <w:t>Nic</w:t>
      </w:r>
      <w:proofErr w:type="spellEnd"/>
      <w:r w:rsidRPr="00C04776">
        <w:rPr>
          <w:rStyle w:val="SCCCounselNameChar"/>
          <w:sz w:val="20"/>
        </w:rPr>
        <w:t xml:space="preserve"> Wall</w:t>
      </w:r>
      <w:r w:rsidRPr="00C04776">
        <w:rPr>
          <w:rStyle w:val="SCCCounselPartyRoleChar"/>
          <w:sz w:val="20"/>
        </w:rPr>
        <w:t>, for the appellant.</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rStyle w:val="SCCCounselPartyRoleChar"/>
          <w:sz w:val="20"/>
        </w:rPr>
      </w:pPr>
      <w:r w:rsidRPr="00C04776">
        <w:rPr>
          <w:rStyle w:val="SCCCounselNameChar"/>
          <w:sz w:val="20"/>
        </w:rPr>
        <w:tab/>
        <w:t>Kenneth Clark</w:t>
      </w:r>
      <w:r w:rsidRPr="00C04776">
        <w:rPr>
          <w:rStyle w:val="SCCCounselSeparatorChar"/>
          <w:rFonts w:eastAsia="Calibri"/>
          <w:sz w:val="20"/>
          <w:lang w:val="en-US"/>
        </w:rPr>
        <w:t xml:space="preserve">, </w:t>
      </w:r>
      <w:r w:rsidRPr="00C04776">
        <w:rPr>
          <w:rStyle w:val="SCCCounselNameChar"/>
          <w:sz w:val="20"/>
        </w:rPr>
        <w:t xml:space="preserve">Patrick Copeland and Paul </w:t>
      </w:r>
      <w:proofErr w:type="spellStart"/>
      <w:r w:rsidRPr="00C04776">
        <w:rPr>
          <w:rStyle w:val="SCCCounselNameChar"/>
          <w:sz w:val="20"/>
        </w:rPr>
        <w:t>McCallen</w:t>
      </w:r>
      <w:proofErr w:type="spellEnd"/>
      <w:r w:rsidRPr="00C04776">
        <w:rPr>
          <w:rStyle w:val="SCCCounselPartyRoleChar"/>
          <w:sz w:val="20"/>
        </w:rPr>
        <w:t>, for the respondents.</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rStyle w:val="SCCCounselPartyRoleChar"/>
          <w:sz w:val="20"/>
        </w:rPr>
      </w:pPr>
      <w:r w:rsidRPr="00C04776">
        <w:rPr>
          <w:rStyle w:val="SCCCounselNameChar"/>
          <w:sz w:val="20"/>
        </w:rPr>
        <w:tab/>
        <w:t>Jeremy de Beer</w:t>
      </w:r>
      <w:r w:rsidRPr="00C04776">
        <w:rPr>
          <w:rStyle w:val="SCCCounselSeparatorChar"/>
          <w:rFonts w:eastAsia="Calibri"/>
          <w:sz w:val="20"/>
          <w:lang w:val="en-US"/>
        </w:rPr>
        <w:t xml:space="preserve"> and </w:t>
      </w:r>
      <w:r w:rsidRPr="00C04776">
        <w:rPr>
          <w:rStyle w:val="SCCCounselNameChar"/>
          <w:sz w:val="20"/>
        </w:rPr>
        <w:t>Bram Abramson</w:t>
      </w:r>
      <w:r w:rsidRPr="00C04776">
        <w:rPr>
          <w:rStyle w:val="SCCCounselPartyRoleChar"/>
          <w:sz w:val="20"/>
        </w:rPr>
        <w:t>, for the intervener the Samuelson</w:t>
      </w:r>
      <w:r w:rsidRPr="00C04776">
        <w:rPr>
          <w:rStyle w:val="SCCCounselPartyRoleChar"/>
          <w:sz w:val="20"/>
        </w:rPr>
        <w:noBreakHyphen/>
        <w:t>Glushko Canadian Internet Policy and Public Interest Clinic.</w:t>
      </w:r>
    </w:p>
    <w:p w:rsidR="00265655" w:rsidRPr="00C04776" w:rsidRDefault="00265655" w:rsidP="0068544F">
      <w:pPr>
        <w:pStyle w:val="SCCNormalDoubleSpacing"/>
        <w:spacing w:line="240" w:lineRule="auto"/>
        <w:rPr>
          <w:sz w:val="20"/>
        </w:rPr>
      </w:pPr>
    </w:p>
    <w:p w:rsidR="0068544F" w:rsidRPr="00C04776" w:rsidRDefault="0068544F" w:rsidP="0068544F">
      <w:pPr>
        <w:pStyle w:val="SCCNormalDoubleSpacing"/>
        <w:spacing w:line="240" w:lineRule="auto"/>
        <w:rPr>
          <w:sz w:val="20"/>
        </w:rPr>
      </w:pPr>
      <w:r w:rsidRPr="00C04776">
        <w:rPr>
          <w:rStyle w:val="SCCCounselNameChar"/>
          <w:sz w:val="20"/>
        </w:rPr>
        <w:tab/>
        <w:t>Gerald Kerr</w:t>
      </w:r>
      <w:r w:rsidRPr="00C04776">
        <w:rPr>
          <w:rStyle w:val="SCCCounselNameChar"/>
          <w:sz w:val="20"/>
        </w:rPr>
        <w:noBreakHyphen/>
        <w:t>Wilson</w:t>
      </w:r>
      <w:r w:rsidRPr="00C04776">
        <w:rPr>
          <w:rStyle w:val="SCCCounselSeparatorChar"/>
          <w:rFonts w:eastAsia="Calibri"/>
          <w:sz w:val="20"/>
          <w:lang w:val="en-US"/>
        </w:rPr>
        <w:t xml:space="preserve">, </w:t>
      </w:r>
      <w:r w:rsidRPr="00C04776">
        <w:rPr>
          <w:rStyle w:val="SCCCounselNameChar"/>
          <w:sz w:val="20"/>
        </w:rPr>
        <w:t>Ariel Thomas</w:t>
      </w:r>
      <w:r w:rsidRPr="00C04776">
        <w:rPr>
          <w:rStyle w:val="SCCCounselSeparatorChar"/>
          <w:rFonts w:eastAsia="Calibri"/>
          <w:sz w:val="20"/>
          <w:lang w:val="en-US"/>
        </w:rPr>
        <w:t xml:space="preserve"> and </w:t>
      </w:r>
      <w:r w:rsidRPr="00C04776">
        <w:rPr>
          <w:rStyle w:val="SCCCounselNameChar"/>
          <w:sz w:val="20"/>
        </w:rPr>
        <w:t>Christopher Ferguson</w:t>
      </w:r>
      <w:r w:rsidRPr="00C04776">
        <w:rPr>
          <w:rStyle w:val="SCCCounselPartyRoleChar"/>
          <w:sz w:val="20"/>
        </w:rPr>
        <w:t>, for the interveners Bell Canada Inc., Canadian Network Operators Consortium Inc., Cogeco Inc., Quebecor Media Inc., Saskatchewan Telecommunications Holding Corporation, Shaw Communications Inc., TekSavvy Solutions Inc., TELUS Communications Inc. and Xplornet Communications Inc.</w:t>
      </w:r>
    </w:p>
    <w:p w:rsidR="008D705B" w:rsidRPr="00C04776" w:rsidRDefault="008D705B" w:rsidP="008D705B">
      <w:pPr>
        <w:spacing w:before="240" w:after="240"/>
        <w:jc w:val="both"/>
        <w:rPr>
          <w:smallCaps/>
          <w:sz w:val="20"/>
          <w:szCs w:val="20"/>
          <w:lang w:val="fr-CA"/>
        </w:rPr>
      </w:pPr>
      <w:r w:rsidRPr="00C04776">
        <w:rPr>
          <w:smallCaps/>
          <w:sz w:val="20"/>
          <w:szCs w:val="20"/>
          <w:lang w:val="fr-CA"/>
        </w:rPr>
        <w:t>________________________</w:t>
      </w:r>
    </w:p>
    <w:p w:rsidR="008D705B" w:rsidRPr="00C04776" w:rsidRDefault="008D705B" w:rsidP="008D705B">
      <w:pPr>
        <w:spacing w:before="240" w:after="240"/>
        <w:jc w:val="both"/>
        <w:rPr>
          <w:smallCaps/>
          <w:sz w:val="20"/>
          <w:szCs w:val="20"/>
          <w:lang w:val="fr-CA"/>
        </w:rPr>
      </w:pPr>
    </w:p>
    <w:p w:rsidR="008D705B" w:rsidRPr="00C04776" w:rsidRDefault="008D705B" w:rsidP="008D705B">
      <w:pPr>
        <w:spacing w:before="240" w:after="240"/>
        <w:jc w:val="both"/>
        <w:rPr>
          <w:sz w:val="20"/>
          <w:szCs w:val="20"/>
          <w:lang w:val="fr-CA"/>
        </w:rPr>
      </w:pPr>
      <w:r w:rsidRPr="00C04776">
        <w:rPr>
          <w:sz w:val="20"/>
          <w:szCs w:val="20"/>
          <w:lang w:val="fr-CA"/>
        </w:rPr>
        <w:t xml:space="preserve">Présents : </w:t>
      </w:r>
      <w:r w:rsidR="006C2B78" w:rsidRPr="00C04776">
        <w:rPr>
          <w:sz w:val="20"/>
          <w:szCs w:val="20"/>
          <w:lang w:val="fr-CA"/>
        </w:rPr>
        <w:t>Le juge en chef Wagner et les juges Abella, Moldaver, Karakatsanis, Gascon, Côté, Brown, Rowe et Martin</w:t>
      </w:r>
      <w:r w:rsidRPr="00C04776">
        <w:rPr>
          <w:sz w:val="20"/>
          <w:szCs w:val="20"/>
          <w:lang w:val="fr-CA"/>
        </w:rPr>
        <w:t>.</w:t>
      </w:r>
    </w:p>
    <w:p w:rsidR="008B6155" w:rsidRPr="00C04776" w:rsidRDefault="008B6155" w:rsidP="008B6155">
      <w:pPr>
        <w:pStyle w:val="SCCNormalDoubleSpacing"/>
        <w:spacing w:line="240" w:lineRule="auto"/>
        <w:rPr>
          <w:i/>
          <w:sz w:val="20"/>
          <w:lang w:val="fr-CA"/>
        </w:rPr>
      </w:pPr>
      <w:r w:rsidRPr="00C04776">
        <w:rPr>
          <w:sz w:val="20"/>
          <w:lang w:val="fr-CA"/>
        </w:rPr>
        <w:tab/>
      </w:r>
      <w:r w:rsidRPr="00C04776">
        <w:rPr>
          <w:i/>
          <w:sz w:val="20"/>
          <w:lang w:val="fr-CA"/>
        </w:rPr>
        <w:t>Propriété intellectuelle — Droit d’auteur — Violation — Ordonnance de type Norwich — Coûts occasionnés en vue de la conformité — Obtention par des titulaires de droits d’auteur d’une ordonnance de type Norwich obligeant un fournisseur de services Internet à communiquer l’identité d’une personne qui aurait violé leur droit — Titulaires de droits d’auteur demandant de ne pas payer les coûts relatifs à la communication sur le fondement d’une disposition du régime législatif d’avis et avis interdisant aux fournisseurs de services Internet de demander des droits pour les coûts occasionnés par la conformité aux obligations dans le cadre de ce régime — Les mesures prises par le fournisseur de services Internet pour se conformer à l’ordonnance de type Norwich chevauchent</w:t>
      </w:r>
      <w:r w:rsidRPr="00C04776">
        <w:rPr>
          <w:i/>
          <w:sz w:val="20"/>
          <w:lang w:val="fr-CA"/>
        </w:rPr>
        <w:noBreakHyphen/>
        <w:t>elles ses obligations légales? — Un tel chevauchement, s’il en est, a</w:t>
      </w:r>
      <w:r w:rsidRPr="00C04776">
        <w:rPr>
          <w:i/>
          <w:sz w:val="20"/>
          <w:lang w:val="fr-CA"/>
        </w:rPr>
        <w:noBreakHyphen/>
        <w:t>t</w:t>
      </w:r>
      <w:r w:rsidRPr="00C04776">
        <w:rPr>
          <w:i/>
          <w:sz w:val="20"/>
          <w:lang w:val="fr-CA"/>
        </w:rPr>
        <w:noBreakHyphen/>
        <w:t>il une incidence sur la capacité du fournisseur de services Internet de recouvrer les coûts raisonnables occasionnés pour se conformer à l’ordonnance de type Norwich? — Loi sur le droit d’auteur, L.R.C. 1985, c. C</w:t>
      </w:r>
      <w:r w:rsidRPr="00C04776">
        <w:rPr>
          <w:i/>
          <w:sz w:val="20"/>
          <w:lang w:val="fr-CA"/>
        </w:rPr>
        <w:noBreakHyphen/>
        <w:t>42, art. 41.25, 41.26.</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Les intimées sont des sociétés de production cinématographique qui allèguent que leurs droits d’auteur ont été violés en ligne par des abonnés à Internet non identifiés qui ont partagé leurs films à l’aide de réseaux de partage de fichiers poste à poste. Elles ont poursuivi l’un de ces inconnus et ont présenté une requête en vue d’obtenir une ordonnance de type </w:t>
      </w:r>
      <w:r w:rsidRPr="00C04776">
        <w:rPr>
          <w:i/>
          <w:sz w:val="20"/>
          <w:lang w:val="fr-CA"/>
        </w:rPr>
        <w:t>Norwich</w:t>
      </w:r>
      <w:r w:rsidRPr="00C04776">
        <w:rPr>
          <w:sz w:val="20"/>
          <w:lang w:val="fr-CA"/>
        </w:rPr>
        <w:t xml:space="preserve"> pour obliger son fournisseur de services Internet (« FSI »), Rogers, à leur communiquer les coordonnées et les renseignements personnels de cet inconnu. Les intimées ont demandé que l’ordonnance de communication soit rendue sans aucun droit à payer à Rogers sur le fondement </w:t>
      </w:r>
      <w:proofErr w:type="gramStart"/>
      <w:r w:rsidRPr="00C04776">
        <w:rPr>
          <w:sz w:val="20"/>
          <w:lang w:val="fr-CA"/>
        </w:rPr>
        <w:t>des art</w:t>
      </w:r>
      <w:proofErr w:type="gramEnd"/>
      <w:r w:rsidRPr="00C04776">
        <w:rPr>
          <w:sz w:val="20"/>
          <w:lang w:val="fr-CA"/>
        </w:rPr>
        <w:t xml:space="preserve">. 41.25 </w:t>
      </w:r>
      <w:proofErr w:type="gramStart"/>
      <w:r w:rsidRPr="00C04776">
        <w:rPr>
          <w:sz w:val="20"/>
          <w:lang w:val="fr-CA"/>
        </w:rPr>
        <w:t>et</w:t>
      </w:r>
      <w:proofErr w:type="gramEnd"/>
      <w:r w:rsidRPr="00C04776">
        <w:rPr>
          <w:sz w:val="20"/>
          <w:lang w:val="fr-CA"/>
        </w:rPr>
        <w:t xml:space="preserve"> 41.26 de la </w:t>
      </w:r>
      <w:r w:rsidRPr="00C04776">
        <w:rPr>
          <w:i/>
          <w:sz w:val="20"/>
          <w:lang w:val="fr-CA"/>
        </w:rPr>
        <w:t>Loi sur le droit d’auteur</w:t>
      </w:r>
      <w:r w:rsidRPr="00C04776">
        <w:rPr>
          <w:sz w:val="20"/>
          <w:lang w:val="fr-CA"/>
        </w:rPr>
        <w:t>. Ces dispositions, appelées régime d’« avis et avis », prévoient que le FSI doit, à la réception d’un avis envoyé par le titulaire du droit d’auteur dans lequel il affirme qu’une personne à une certaine adresse IP a violé son droit d’auteur, transmettre cet avis de prétendue violation à la personne à qui appartient l’adresse IP. Elles interdisent également aux FSI d’exiger des droits pour se conformer aux obligations que leur impose le régime.</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Le juge des requêtes a accordé l’ordonnance de type </w:t>
      </w:r>
      <w:r w:rsidRPr="00C04776">
        <w:rPr>
          <w:i/>
          <w:sz w:val="20"/>
          <w:lang w:val="fr-CA"/>
        </w:rPr>
        <w:t xml:space="preserve">Norwich </w:t>
      </w:r>
      <w:r w:rsidRPr="00C04776">
        <w:rPr>
          <w:sz w:val="20"/>
          <w:lang w:val="fr-CA"/>
        </w:rPr>
        <w:t>et a autorisé Rogers à recouvrer les coûts de toutes les mesures qui étaient nécessaires pour se conformer à celle</w:t>
      </w:r>
      <w:r w:rsidRPr="00C04776">
        <w:rPr>
          <w:sz w:val="20"/>
          <w:lang w:val="fr-CA"/>
        </w:rPr>
        <w:noBreakHyphen/>
        <w:t xml:space="preserve">ci. Il a conclu que bien que le régime législatif d’avis et avis réglemente le processus par lequel un avis de prétendue violation du droit d’auteur est donné tant à un FSI qu’à un abonné à Internet, ainsi que la conservation d’un registre concernant cet avis, il ne réglemente pas la communication par le FSI de l’identité d’un abonné au titulaire du droit d’auteur. La Cour d’appel fédérale a convenu avec le juge des requêtes que le régime législatif d’avis et avis ne régit pas la communication de l’identité d’une personne à partir du registre d’un FSI, mais elle a limité le recouvrement de Rogers aux coûts occasionnés pour se conformer à l’ordonnance de type </w:t>
      </w:r>
      <w:r w:rsidRPr="00C04776">
        <w:rPr>
          <w:i/>
          <w:sz w:val="20"/>
          <w:lang w:val="fr-CA"/>
        </w:rPr>
        <w:t xml:space="preserve">Norwich </w:t>
      </w:r>
      <w:r w:rsidRPr="00C04776">
        <w:rPr>
          <w:sz w:val="20"/>
          <w:lang w:val="fr-CA"/>
        </w:rPr>
        <w:t>qui ne chevauchaient pas les mesures faisant partie des obligations implicites de Rogers dans le cadre du régime législatif. Rogers a porté cette décision en appel.</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rStyle w:val="QuoteChar"/>
          <w:sz w:val="20"/>
          <w:lang w:val="fr-CA"/>
        </w:rPr>
        <w:tab/>
        <w:t>Arrêt :</w:t>
      </w:r>
      <w:r w:rsidRPr="00C04776">
        <w:rPr>
          <w:sz w:val="20"/>
          <w:lang w:val="fr-CA"/>
        </w:rPr>
        <w:t xml:space="preserve"> Le pourvoi est accueilli et l’affaire est renvoyée au juge des requêtes afin qu’il établisse le montant auquel a droit Rogers quant aux coûts raisonnables qu’elle a occasionnés pour se conformer à l’ordonnance de type </w:t>
      </w:r>
      <w:r w:rsidRPr="00C04776">
        <w:rPr>
          <w:i/>
          <w:sz w:val="20"/>
          <w:lang w:val="fr-CA"/>
        </w:rPr>
        <w:t>Norwich</w:t>
      </w:r>
      <w:r w:rsidRPr="00C04776">
        <w:rPr>
          <w:sz w:val="20"/>
          <w:lang w:val="fr-CA"/>
        </w:rPr>
        <w:t>.</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i/>
          <w:sz w:val="20"/>
          <w:lang w:val="fr-CA"/>
        </w:rPr>
      </w:pPr>
      <w:r w:rsidRPr="00C04776">
        <w:rPr>
          <w:i/>
          <w:sz w:val="20"/>
          <w:lang w:val="fr-CA"/>
        </w:rPr>
        <w:tab/>
        <w:t>Le</w:t>
      </w:r>
      <w:r w:rsidRPr="00C04776">
        <w:rPr>
          <w:sz w:val="20"/>
          <w:lang w:val="fr-CA"/>
        </w:rPr>
        <w:t xml:space="preserve"> juge en chef Wagner et les juges Abella, Moldaver, Karakatsanis, Gascon, </w:t>
      </w:r>
      <w:r w:rsidRPr="00C04776">
        <w:rPr>
          <w:b/>
          <w:sz w:val="20"/>
          <w:lang w:val="fr-CA"/>
        </w:rPr>
        <w:t>Brown</w:t>
      </w:r>
      <w:r w:rsidRPr="00C04776">
        <w:rPr>
          <w:sz w:val="20"/>
          <w:lang w:val="fr-CA"/>
        </w:rPr>
        <w:t>,</w:t>
      </w:r>
      <w:r w:rsidRPr="00C04776">
        <w:rPr>
          <w:b/>
          <w:sz w:val="20"/>
          <w:lang w:val="fr-CA"/>
        </w:rPr>
        <w:t xml:space="preserve"> </w:t>
      </w:r>
      <w:r w:rsidRPr="00C04776">
        <w:rPr>
          <w:sz w:val="20"/>
          <w:lang w:val="fr-CA"/>
        </w:rPr>
        <w:t xml:space="preserve">Rowe et Martin : Un FSI peut recouvrer les coûts occasionnés pour se conformer à une ordonnance de type </w:t>
      </w:r>
      <w:r w:rsidRPr="00C04776">
        <w:rPr>
          <w:i/>
          <w:sz w:val="20"/>
          <w:lang w:val="fr-CA"/>
        </w:rPr>
        <w:t>Norwich</w:t>
      </w:r>
      <w:r w:rsidRPr="00C04776">
        <w:rPr>
          <w:sz w:val="20"/>
          <w:lang w:val="fr-CA"/>
        </w:rPr>
        <w:t xml:space="preserve">, mais il ne peut être indemnisé pour chacun des coûts qu’il supporte en vue de se conformer à une telle ordonnance. Les coûts recouvrables doivent être raisonnables et découler de la conformité à l’ordonnance de type </w:t>
      </w:r>
      <w:r w:rsidRPr="00C04776">
        <w:rPr>
          <w:i/>
          <w:sz w:val="20"/>
          <w:lang w:val="fr-CA"/>
        </w:rPr>
        <w:t>Norwich</w:t>
      </w:r>
      <w:r w:rsidRPr="00C04776">
        <w:rPr>
          <w:sz w:val="20"/>
          <w:lang w:val="fr-CA"/>
        </w:rPr>
        <w:t xml:space="preserve">. Lorsque les coûts auraient dû être supportés par le FSI dans l’exécution de ses obligations légales dans le cadre du régime d’avis et avis, ces coûts ne peuvent être considérés comme raisonnables ou comme découlant de la conformité à une ordonnance de type </w:t>
      </w:r>
      <w:r w:rsidRPr="00C04776">
        <w:rPr>
          <w:i/>
          <w:sz w:val="20"/>
          <w:lang w:val="fr-CA"/>
        </w:rPr>
        <w:t>Norwich</w:t>
      </w:r>
      <w:r w:rsidRPr="00C04776">
        <w:rPr>
          <w:sz w:val="20"/>
          <w:lang w:val="fr-CA"/>
        </w:rPr>
        <w:t>, et ne peuvent être recouvrés.</w:t>
      </w:r>
      <w:r w:rsidRPr="00C04776">
        <w:rPr>
          <w:i/>
          <w:sz w:val="20"/>
          <w:lang w:val="fr-CA"/>
        </w:rPr>
        <w:t xml:space="preserve"> </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Le régime d’avis et avis a été adopté afin de réaliser deux objectifs complémentaires : dissuader la violation en ligne du droit d’auteur, et établir un équilibre entre les droits des parties intéressées, y compris les titulaires de droits d’auteur, les internautes et les intermédiaires de l’Internet comme les FSI. Il n’avait pas pour but d’établir un cadre exhaustif au moyen duquel les cas de violation en ligne du droit d’auteur pourraient être totalement éliminés, et il ne va pas jusqu’à exiger que le FSI révèle au titulaire du droit d’auteur l’identité d’une personne qui a reçu un avis. En conséquence, le titulaire qui souhaite poursuivre une personne qui aurait violé son droit d’auteur en ligne doit prendre des mesures à l’extérieur du régime d’avis et avis et obtenir une ordonnance de type </w:t>
      </w:r>
      <w:r w:rsidRPr="00C04776">
        <w:rPr>
          <w:i/>
          <w:sz w:val="20"/>
          <w:lang w:val="fr-CA"/>
        </w:rPr>
        <w:t>Norwich</w:t>
      </w:r>
      <w:r w:rsidRPr="00C04776">
        <w:rPr>
          <w:sz w:val="20"/>
          <w:lang w:val="fr-CA"/>
        </w:rPr>
        <w:t xml:space="preserve"> pour obliger le FSI à lui communiquer l’identité de cette personne. Le régime législatif d’avis et avis n’a pas écarté cette exigence; il fonctionne de concert avec elle.</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De même, le régime d’avis et avis n’a pas écarté le fardeau du titulaire du droit d’auteur, en common law, de supporter les coûts raisonnables occasionnés par le FSI pour se conformer à l’ordonnance de type </w:t>
      </w:r>
      <w:r w:rsidRPr="00C04776">
        <w:rPr>
          <w:i/>
          <w:sz w:val="20"/>
          <w:lang w:val="fr-CA"/>
        </w:rPr>
        <w:t>Norwich</w:t>
      </w:r>
      <w:r w:rsidRPr="00C04776">
        <w:rPr>
          <w:sz w:val="20"/>
          <w:lang w:val="fr-CA"/>
        </w:rPr>
        <w:t xml:space="preserve">. Cependant, le régime législatif interdit au FSI d’exiger des droits pour l’exécution de l’une ou l’autre de ses obligations découlant du régime. En conséquence, un FSI ne devrait pas être autorisé à recouvrer le coût des mesures prises pour l’exécution de l’une ou l’autre des obligations, expresses ou implicites, qui ont déjà pris naissance sous le régime, même lorsqu’il s’acquitte de ses obligations seulement après avoir reçu signification d’une ordonnance de type </w:t>
      </w:r>
      <w:r w:rsidRPr="00C04776">
        <w:rPr>
          <w:i/>
          <w:sz w:val="20"/>
          <w:lang w:val="fr-CA"/>
        </w:rPr>
        <w:t>Norwich</w:t>
      </w:r>
      <w:r w:rsidRPr="00C04776">
        <w:rPr>
          <w:sz w:val="20"/>
          <w:lang w:val="fr-CA"/>
        </w:rPr>
        <w:t>. Autrement, la répartition du fardeau financier qu’a établie le Parlement serait minée puisque cela aurait pour effet d’imposer aux titulaires de droits d’auteur une obligation qui a été spécifiquement attribuée aux FSI dans le cadre du régime d’avis et avis.</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Les trois obligations expresses énoncées aux al. 41.26(1)a) et b) de la </w:t>
      </w:r>
      <w:r w:rsidRPr="00C04776">
        <w:rPr>
          <w:i/>
          <w:sz w:val="20"/>
          <w:lang w:val="fr-CA"/>
        </w:rPr>
        <w:t>Loi sur le droit d’auteur</w:t>
      </w:r>
      <w:r w:rsidRPr="00C04776">
        <w:rPr>
          <w:sz w:val="20"/>
          <w:lang w:val="fr-CA"/>
        </w:rPr>
        <w:t xml:space="preserve"> comportent plusieurs obligations implicites dont le FSI doit s’acquitter dans le cadre du régime d’avis et avis. Puisque ces obligations implicites sont des mesures nécessaires pour que ces obligations légales expresses soient remplies, le FSI ne sera pas autorisé à recouvrer les coûts à l’étape de la conformité à l’ordonnance de type </w:t>
      </w:r>
      <w:r w:rsidRPr="00C04776">
        <w:rPr>
          <w:i/>
          <w:sz w:val="20"/>
          <w:lang w:val="fr-CA"/>
        </w:rPr>
        <w:t>Norwich</w:t>
      </w:r>
      <w:r w:rsidRPr="00C04776">
        <w:rPr>
          <w:sz w:val="20"/>
          <w:lang w:val="fr-CA"/>
        </w:rPr>
        <w:t>. Plus précisément, l’al. 41.26(1)a) exige que le FSI établisse, aux fins de la transmission d’un avis par voie électronique, l’identité de la personne à qui appartenait l’adresse IP. Il exige également que le FSI prenne toutes les mesures nécessaires pour vérifier qu’il l’a fait correctement. De même, le registre que le FSI doit conserver aux termes de l’al. 41.26(1)b) doit être exact. Toute mesure nécessaire pour la vérification de l’exactitude de ce registre fait donc partie des obligations du FSI.</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Toutefois, il existe une distinction entre l’obligation du FSI dans le cadre du régime d’avis et avis d’assurer l’exactitude de son registre permettant d’identifier le propriétaire d’une adresse IP, et son obligation, aux termes d’une ordonnance de type </w:t>
      </w:r>
      <w:r w:rsidRPr="00C04776">
        <w:rPr>
          <w:i/>
          <w:sz w:val="20"/>
          <w:lang w:val="fr-CA"/>
        </w:rPr>
        <w:t>Norwich</w:t>
      </w:r>
      <w:r w:rsidRPr="00C04776">
        <w:rPr>
          <w:sz w:val="20"/>
          <w:lang w:val="fr-CA"/>
        </w:rPr>
        <w:t xml:space="preserve">, d’identifier effectivement une personne à partir de son registre. Bien que le registre que le FSI doit conserver aux termes de l’al. 41.26(1)b) doive l’être sous une forme et d’une manière permettant à un FSI d’établir le nom et l’adresse de la personne à qui l’avis est transmis aux termes de l’al. 41.26(1)a), l’al. 41.26(1)b) n’exige pas qu’il soit conservé sous une forme et d’une manière qui permettrait à un titulaire de droit d’auteur ou à un tribunal de le faire. Le titulaire du droit d’auteur serait toutefois autorisé à recevoir ces renseignements du FSI aux termes d’une ordonnance de type </w:t>
      </w:r>
      <w:r w:rsidRPr="00C04776">
        <w:rPr>
          <w:i/>
          <w:sz w:val="20"/>
          <w:lang w:val="fr-CA"/>
        </w:rPr>
        <w:t>Norwich</w:t>
      </w:r>
      <w:r w:rsidRPr="00C04776">
        <w:rPr>
          <w:sz w:val="20"/>
          <w:lang w:val="fr-CA"/>
        </w:rPr>
        <w:t xml:space="preserve">, dont le processus ne relève pas des obligations du FSI dans le cadre du régime d’avis et avis. Un FSI a donc droit aux coûts raisonnables des mesures nécessaires pour discerner l’identité d’une personne à partir du registre exact conservé au titre de l’al. 41.26(1)b). </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Étant donné l’interdiction légale relative au recouvrement des coûts découlant du régime d’avis et avis, les juges des requêtes devraient examiner attentivement la preuve du FSI lorsqu’ils évaluent les coûts occasionnés par le FSI pour se conformer à l’ordonnance de type </w:t>
      </w:r>
      <w:r w:rsidRPr="00C04776">
        <w:rPr>
          <w:i/>
          <w:sz w:val="20"/>
          <w:lang w:val="fr-CA"/>
        </w:rPr>
        <w:t>Norwich</w:t>
      </w:r>
      <w:r w:rsidRPr="00C04776">
        <w:rPr>
          <w:sz w:val="20"/>
          <w:lang w:val="fr-CA"/>
        </w:rPr>
        <w:t xml:space="preserve">, afin de décider si les droits qu’il propose sont raisonnables, à la lumière des obligations qui lui incombent dans le cadre du régime d’avis et avis. Dans le cas présent, Rogers a droit aux coûts raisonnables occasionnés pour se conformer à l’ordonnance de type </w:t>
      </w:r>
      <w:r w:rsidRPr="00C04776">
        <w:rPr>
          <w:i/>
          <w:sz w:val="20"/>
          <w:lang w:val="fr-CA"/>
        </w:rPr>
        <w:t>Norwich</w:t>
      </w:r>
      <w:r w:rsidRPr="00C04776">
        <w:rPr>
          <w:sz w:val="20"/>
          <w:lang w:val="fr-CA"/>
        </w:rPr>
        <w:t>. Cependant, le juge des requêtes a omis de déterminer la pleine portée des obligations du FSI aux termes du par. 41.26(1), et a omis de se demander si l’une ou l’autre des huit étapes du processus manuel qu’entreprend Rogers lorsqu’elle doit communiquer l’identité de l’un de ses abonnés chevauche les obligations légales de Rogers pour lesquelles elle n’avait pas droit à un remboursement. Puisqu’il est impossible, au vu du présent dossier, de déterminer les coûts raisonnables occasionnés par Rogers pour se conformer à l’ordonnance, l’affaire devrait être renvoyée au juge des requêtes.</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i/>
          <w:sz w:val="20"/>
          <w:lang w:val="fr-CA"/>
        </w:rPr>
        <w:tab/>
        <w:t>La</w:t>
      </w:r>
      <w:r w:rsidRPr="00C04776">
        <w:rPr>
          <w:sz w:val="20"/>
          <w:lang w:val="fr-CA"/>
        </w:rPr>
        <w:t xml:space="preserve"> juge </w:t>
      </w:r>
      <w:r w:rsidRPr="00C04776">
        <w:rPr>
          <w:b/>
          <w:sz w:val="20"/>
          <w:lang w:val="fr-CA"/>
        </w:rPr>
        <w:t>Côté </w:t>
      </w:r>
      <w:r w:rsidRPr="00C04776">
        <w:rPr>
          <w:sz w:val="20"/>
          <w:lang w:val="fr-CA"/>
        </w:rPr>
        <w:t xml:space="preserve">: Il y a accord avec les juges majoritaires pour accueillir le pourvoi. Cependant, il y a désaccord avec la proposition voulant que toute obligation implicite découlant du par. 41.26(1) de la </w:t>
      </w:r>
      <w:r w:rsidRPr="00C04776">
        <w:rPr>
          <w:i/>
          <w:sz w:val="20"/>
          <w:lang w:val="fr-CA"/>
        </w:rPr>
        <w:t>Loi sur le droit d’auteur</w:t>
      </w:r>
      <w:r w:rsidRPr="00C04776">
        <w:rPr>
          <w:sz w:val="20"/>
          <w:lang w:val="fr-CA"/>
        </w:rPr>
        <w:t xml:space="preserve"> empêche catégoriquement un FSI de vérifier certains éléments de son registre au moment où il reçoit l’ordonnance de type</w:t>
      </w:r>
      <w:r w:rsidRPr="00C04776">
        <w:rPr>
          <w:i/>
          <w:sz w:val="20"/>
          <w:lang w:val="fr-CA"/>
        </w:rPr>
        <w:t xml:space="preserve"> Norwich </w:t>
      </w:r>
      <w:r w:rsidRPr="00C04776">
        <w:rPr>
          <w:sz w:val="20"/>
          <w:lang w:val="fr-CA"/>
        </w:rPr>
        <w:t xml:space="preserve">et de demander une indemnisation pour ces travaux. </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 xml:space="preserve"> </w:t>
      </w:r>
      <w:r w:rsidRPr="00C04776">
        <w:rPr>
          <w:sz w:val="20"/>
          <w:lang w:val="fr-CA"/>
        </w:rPr>
        <w:tab/>
        <w:t xml:space="preserve">Ensemble, les al. 41.26(1)a) et b) indiquent clairement que le FSI n’est pas tenu d’établir l’identité de la personne qui aurait violé le droit d’auteur. En conséquence, le travail nécessaire pour établir l’identité de la personne qui aurait violé le droit d’auteur et pour communiquer cette identité conformément à une ordonnance de type </w:t>
      </w:r>
      <w:r w:rsidRPr="00C04776">
        <w:rPr>
          <w:i/>
          <w:sz w:val="20"/>
          <w:lang w:val="fr-CA"/>
        </w:rPr>
        <w:t>Norwich</w:t>
      </w:r>
      <w:r w:rsidRPr="00C04776">
        <w:rPr>
          <w:sz w:val="20"/>
          <w:lang w:val="fr-CA"/>
        </w:rPr>
        <w:t xml:space="preserve"> n’est pas inclus dans le régime d’avis et avis, et peut donc faire l’objet d’une indemnisation en application de la common law. Le régime de common law établi dans </w:t>
      </w:r>
      <w:r w:rsidRPr="00C04776">
        <w:rPr>
          <w:i/>
          <w:sz w:val="20"/>
          <w:lang w:val="fr-CA"/>
        </w:rPr>
        <w:t>Norwich</w:t>
      </w:r>
      <w:r w:rsidRPr="00C04776">
        <w:rPr>
          <w:sz w:val="20"/>
          <w:lang w:val="fr-CA"/>
        </w:rPr>
        <w:t xml:space="preserve"> permet aux FSI d’être indemnisés pour les coûts raisonnables occasionnés pour se conformer à l’ordonnance.</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Aucune des huit étapes que suit Rogers en réponse à une ordonnance de type </w:t>
      </w:r>
      <w:r w:rsidRPr="00C04776">
        <w:rPr>
          <w:i/>
          <w:sz w:val="20"/>
          <w:lang w:val="fr-CA"/>
        </w:rPr>
        <w:t>Norwich</w:t>
      </w:r>
      <w:r w:rsidRPr="00C04776">
        <w:rPr>
          <w:sz w:val="20"/>
          <w:lang w:val="fr-CA"/>
        </w:rPr>
        <w:t xml:space="preserve"> n’est supplantée par le régime d’avis et avis, puisqu’elles ne comportent pas la vérification de l’exactitude du registre que Rogers est tenue de conserver aux termes du par. 41.26(1). Rogers suit plutôt ce processus afin d’établir et de vérifier l’identité de la personne qui aurait violé le droit d’auteur (qu’elle ne connaît pas déjà) en fonction de ce registre. Si l’on suppose que ce processus en huit étapes est par ailleurs raisonnable, Rogers a droit à la pleine indemnisation pour les étapes qu’elle suit afin d’identifier un titulaire de compte et de communiquer son identité au titulaire du droit d’auteur.</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Il y a aussi désaccord avec la proposition voulant que toute obligation implicite découlant du par. 41.26(1) de la </w:t>
      </w:r>
      <w:r w:rsidRPr="00C04776">
        <w:rPr>
          <w:i/>
          <w:sz w:val="20"/>
          <w:lang w:val="fr-CA"/>
        </w:rPr>
        <w:t>Loi sur le droit d’auteur</w:t>
      </w:r>
      <w:r w:rsidRPr="00C04776">
        <w:rPr>
          <w:sz w:val="20"/>
          <w:lang w:val="fr-CA"/>
        </w:rPr>
        <w:t xml:space="preserve"> empêche catégoriquement un FSI de vérifier certains éléments de son registre au moment où il reçoit l’ordonnance de type</w:t>
      </w:r>
      <w:r w:rsidRPr="00C04776">
        <w:rPr>
          <w:i/>
          <w:sz w:val="20"/>
          <w:lang w:val="fr-CA"/>
        </w:rPr>
        <w:t xml:space="preserve"> Norwich </w:t>
      </w:r>
      <w:r w:rsidRPr="00C04776">
        <w:rPr>
          <w:sz w:val="20"/>
          <w:lang w:val="fr-CA"/>
        </w:rPr>
        <w:t xml:space="preserve">et de demander une indemnisation pour ces travaux pour deux raisons. Tout d’abord, les renseignements relatifs aux clients peuvent changer au fil du temps, et une ordonnance de type </w:t>
      </w:r>
      <w:r w:rsidRPr="00C04776">
        <w:rPr>
          <w:i/>
          <w:sz w:val="20"/>
          <w:lang w:val="fr-CA"/>
        </w:rPr>
        <w:t>Norwich</w:t>
      </w:r>
      <w:r w:rsidRPr="00C04776">
        <w:rPr>
          <w:sz w:val="20"/>
          <w:lang w:val="fr-CA"/>
        </w:rPr>
        <w:t xml:space="preserve"> peut être reçue bien après l’envoi initial de l’avis de violation au titulaire de compte. Il demeure nécessaire de vérifier l’exactitude de ces renseignements au moment où le titulaire du droit d’auteur demande l’identité du titulaire de compte, puisque ce sont les renseignements actuels permettant l’identification du titulaire de compte dont le demandeur a besoin afin d’intenter une action pour violation du droit d’auteur, et non les renseignements d’identification qui existaient quand l’avis automatisé de violation a été envoyé. Ensuite, il est possible que les avis de violation ne soient pas tous envoyés au bon titulaire de compte conformément à l’al. 41.26(1)a). En conséquence, et même si certaines étapes du processus de Rogers relatif aux ordonnances de type </w:t>
      </w:r>
      <w:r w:rsidRPr="00C04776">
        <w:rPr>
          <w:i/>
          <w:sz w:val="20"/>
          <w:lang w:val="fr-CA"/>
        </w:rPr>
        <w:t>Norwich</w:t>
      </w:r>
      <w:r w:rsidRPr="00C04776">
        <w:rPr>
          <w:sz w:val="20"/>
          <w:lang w:val="fr-CA"/>
        </w:rPr>
        <w:t xml:space="preserve"> pouvaient être qualifiées de vérifications des renseignements ou registres préexistants, rien dans la </w:t>
      </w:r>
      <w:r w:rsidRPr="00C04776">
        <w:rPr>
          <w:i/>
          <w:sz w:val="20"/>
          <w:lang w:val="fr-CA"/>
        </w:rPr>
        <w:t>Loi sur le droit d’auteur</w:t>
      </w:r>
      <w:r w:rsidRPr="00C04776">
        <w:rPr>
          <w:sz w:val="20"/>
          <w:lang w:val="fr-CA"/>
        </w:rPr>
        <w:t xml:space="preserve"> ne justifie de façon incontestablement claire qu’une démarche sensée pour établir ce qui est raisonnable soit écartée sur le fondement d’une obligation implicite qui découlerait du par. 41.26(1). Dans ces circonstances, il pourrait être justifié que Rogers effectue des vérifications plus rigoureuses. Cela dit, les juges ont le pouvoir de refuser le remboursement des coûts de ces vérifications si le FSI procède inutilement à des vérifications approfondies ou redondantes.</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Dans la présente affaire, le juge des requêtes n’a pas tiré une conclusion indépendante quant au caractère raisonnable du processus en huit étapes de Rogers. En conséquence, la présente affaire devrait être renvoyée au juge des requêtes pour qu’il prenne une telle décision. </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sz w:val="20"/>
          <w:lang w:val="fr-CA"/>
        </w:rPr>
        <w:tab/>
        <w:t xml:space="preserve">POURVOI contre un arrêt de la Cour d’appel fédérale (les juges </w:t>
      </w:r>
      <w:proofErr w:type="spellStart"/>
      <w:r w:rsidRPr="00C04776">
        <w:rPr>
          <w:sz w:val="20"/>
          <w:lang w:val="fr-CA"/>
        </w:rPr>
        <w:t>Stratas</w:t>
      </w:r>
      <w:proofErr w:type="spellEnd"/>
      <w:r w:rsidRPr="00C04776">
        <w:rPr>
          <w:sz w:val="20"/>
          <w:lang w:val="fr-CA"/>
        </w:rPr>
        <w:t xml:space="preserve">, </w:t>
      </w:r>
      <w:proofErr w:type="spellStart"/>
      <w:r w:rsidRPr="00C04776">
        <w:rPr>
          <w:sz w:val="20"/>
          <w:lang w:val="fr-CA"/>
        </w:rPr>
        <w:t>Gleason</w:t>
      </w:r>
      <w:proofErr w:type="spellEnd"/>
      <w:r w:rsidRPr="00C04776">
        <w:rPr>
          <w:sz w:val="20"/>
          <w:lang w:val="fr-CA"/>
        </w:rPr>
        <w:t xml:space="preserve"> et Woods), 2017 CAF 97, 146 C.P.R. (4th) 339, 410 D.L.R. (4th) 602, [2017] A.C.F. n</w:t>
      </w:r>
      <w:r w:rsidRPr="00C04776">
        <w:rPr>
          <w:sz w:val="20"/>
          <w:vertAlign w:val="superscript"/>
          <w:lang w:val="fr-CA"/>
        </w:rPr>
        <w:t>o</w:t>
      </w:r>
      <w:r w:rsidRPr="00C04776">
        <w:rPr>
          <w:sz w:val="20"/>
          <w:lang w:val="fr-CA"/>
        </w:rPr>
        <w:t xml:space="preserve"> 477 (QL), 2017 </w:t>
      </w:r>
      <w:proofErr w:type="spellStart"/>
      <w:r w:rsidRPr="00C04776">
        <w:rPr>
          <w:sz w:val="20"/>
          <w:lang w:val="fr-CA"/>
        </w:rPr>
        <w:t>CarswellNat</w:t>
      </w:r>
      <w:proofErr w:type="spellEnd"/>
      <w:r w:rsidRPr="00C04776">
        <w:rPr>
          <w:sz w:val="20"/>
          <w:lang w:val="fr-CA"/>
        </w:rPr>
        <w:t xml:space="preserve"> 8731 (WL Can.), qui a annulé l’ordonnance du juge Boswell, 2016 CF 881, 141 C.P.R. (4th) 136, [2016] A.C.F. n</w:t>
      </w:r>
      <w:r w:rsidRPr="00C04776">
        <w:rPr>
          <w:sz w:val="20"/>
          <w:vertAlign w:val="superscript"/>
          <w:lang w:val="fr-CA"/>
        </w:rPr>
        <w:t>o</w:t>
      </w:r>
      <w:r w:rsidRPr="00C04776">
        <w:rPr>
          <w:sz w:val="20"/>
          <w:lang w:val="fr-CA"/>
        </w:rPr>
        <w:t xml:space="preserve"> 901 (QL), 2016 </w:t>
      </w:r>
      <w:proofErr w:type="spellStart"/>
      <w:r w:rsidRPr="00C04776">
        <w:rPr>
          <w:sz w:val="20"/>
          <w:lang w:val="fr-CA"/>
        </w:rPr>
        <w:t>CarswellNat</w:t>
      </w:r>
      <w:proofErr w:type="spellEnd"/>
      <w:r w:rsidRPr="00C04776">
        <w:rPr>
          <w:sz w:val="20"/>
          <w:lang w:val="fr-CA"/>
        </w:rPr>
        <w:t xml:space="preserve"> 8156 (WL Can.). Pourvoi accueilli.</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rStyle w:val="SCCCounselPartyRoleChar"/>
          <w:sz w:val="20"/>
          <w:lang w:val="fr-CA"/>
        </w:rPr>
      </w:pPr>
      <w:r w:rsidRPr="00C04776">
        <w:rPr>
          <w:rStyle w:val="SCCCounselNameChar"/>
          <w:sz w:val="20"/>
          <w:lang w:val="fr-CA"/>
        </w:rPr>
        <w:tab/>
        <w:t>Andrew Bernstein</w:t>
      </w:r>
      <w:r w:rsidRPr="00C04776">
        <w:rPr>
          <w:rStyle w:val="SCCCounselSeparatorChar"/>
          <w:rFonts w:eastAsia="Calibri"/>
          <w:sz w:val="20"/>
        </w:rPr>
        <w:t xml:space="preserve">, </w:t>
      </w:r>
      <w:r w:rsidRPr="00C04776">
        <w:rPr>
          <w:rStyle w:val="SCCCounselNameChar"/>
          <w:sz w:val="20"/>
          <w:lang w:val="fr-CA"/>
        </w:rPr>
        <w:t xml:space="preserve">James </w:t>
      </w:r>
      <w:proofErr w:type="spellStart"/>
      <w:r w:rsidRPr="00C04776">
        <w:rPr>
          <w:rStyle w:val="SCCCounselNameChar"/>
          <w:sz w:val="20"/>
          <w:lang w:val="fr-CA"/>
        </w:rPr>
        <w:t>Gotowiec</w:t>
      </w:r>
      <w:proofErr w:type="spellEnd"/>
      <w:r w:rsidRPr="00C04776">
        <w:rPr>
          <w:rStyle w:val="SCCCounselSeparatorChar"/>
          <w:rFonts w:eastAsia="Calibri"/>
          <w:sz w:val="20"/>
        </w:rPr>
        <w:t xml:space="preserve"> et </w:t>
      </w:r>
      <w:r w:rsidRPr="00C04776">
        <w:rPr>
          <w:rStyle w:val="SCCCounselNameChar"/>
          <w:sz w:val="20"/>
          <w:lang w:val="fr-CA"/>
        </w:rPr>
        <w:t>Nic Wall</w:t>
      </w:r>
      <w:r w:rsidRPr="00C04776">
        <w:rPr>
          <w:rStyle w:val="SCCCounselPartyRoleChar"/>
          <w:sz w:val="20"/>
          <w:lang w:val="fr-CA"/>
        </w:rPr>
        <w:t>, pour l’appelante.</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rStyle w:val="SCCCounselPartyRoleChar"/>
          <w:sz w:val="20"/>
          <w:lang w:val="fr-CA"/>
        </w:rPr>
      </w:pPr>
      <w:r w:rsidRPr="00C04776">
        <w:rPr>
          <w:rStyle w:val="SCCCounselNameChar"/>
          <w:sz w:val="20"/>
          <w:lang w:val="fr-CA"/>
        </w:rPr>
        <w:tab/>
        <w:t>Kenneth Clark</w:t>
      </w:r>
      <w:r w:rsidRPr="00C04776">
        <w:rPr>
          <w:rStyle w:val="SCCCounselSeparatorChar"/>
          <w:rFonts w:eastAsia="Calibri"/>
          <w:sz w:val="20"/>
        </w:rPr>
        <w:t xml:space="preserve">, </w:t>
      </w:r>
      <w:r w:rsidRPr="00C04776">
        <w:rPr>
          <w:rStyle w:val="SCCCounselNameChar"/>
          <w:sz w:val="20"/>
          <w:lang w:val="fr-CA"/>
        </w:rPr>
        <w:t xml:space="preserve">Patrick Copeland et Paul </w:t>
      </w:r>
      <w:proofErr w:type="spellStart"/>
      <w:r w:rsidRPr="00C04776">
        <w:rPr>
          <w:rStyle w:val="SCCCounselNameChar"/>
          <w:sz w:val="20"/>
          <w:lang w:val="fr-CA"/>
        </w:rPr>
        <w:t>McCallen</w:t>
      </w:r>
      <w:proofErr w:type="spellEnd"/>
      <w:r w:rsidRPr="00C04776">
        <w:rPr>
          <w:rStyle w:val="SCCCounselPartyRoleChar"/>
          <w:sz w:val="20"/>
          <w:lang w:val="fr-CA"/>
        </w:rPr>
        <w:t>, pour les intimées.</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rStyle w:val="SCCCounselPartyRoleChar"/>
          <w:sz w:val="20"/>
          <w:lang w:val="fr-CA"/>
        </w:rPr>
      </w:pPr>
      <w:r w:rsidRPr="00C04776">
        <w:rPr>
          <w:rStyle w:val="SCCCounselNameChar"/>
          <w:sz w:val="20"/>
          <w:lang w:val="fr-CA"/>
        </w:rPr>
        <w:tab/>
        <w:t xml:space="preserve">Jeremy de </w:t>
      </w:r>
      <w:proofErr w:type="spellStart"/>
      <w:r w:rsidRPr="00C04776">
        <w:rPr>
          <w:rStyle w:val="SCCCounselNameChar"/>
          <w:sz w:val="20"/>
          <w:lang w:val="fr-CA"/>
        </w:rPr>
        <w:t>Beer</w:t>
      </w:r>
      <w:proofErr w:type="spellEnd"/>
      <w:r w:rsidRPr="00C04776">
        <w:rPr>
          <w:rStyle w:val="SCCCounselSeparatorChar"/>
          <w:rFonts w:eastAsia="Calibri"/>
          <w:sz w:val="20"/>
        </w:rPr>
        <w:t xml:space="preserve"> et </w:t>
      </w:r>
      <w:r w:rsidRPr="00C04776">
        <w:rPr>
          <w:rStyle w:val="SCCCounselNameChar"/>
          <w:sz w:val="20"/>
          <w:lang w:val="fr-CA"/>
        </w:rPr>
        <w:t xml:space="preserve">Bram </w:t>
      </w:r>
      <w:proofErr w:type="spellStart"/>
      <w:r w:rsidRPr="00C04776">
        <w:rPr>
          <w:rStyle w:val="SCCCounselNameChar"/>
          <w:sz w:val="20"/>
          <w:lang w:val="fr-CA"/>
        </w:rPr>
        <w:t>Abramson</w:t>
      </w:r>
      <w:proofErr w:type="spellEnd"/>
      <w:r w:rsidRPr="00C04776">
        <w:rPr>
          <w:rStyle w:val="SCCCounselPartyRoleChar"/>
          <w:sz w:val="20"/>
          <w:lang w:val="fr-CA"/>
        </w:rPr>
        <w:t>, pour l’intervenante la Clinique d’intérêt public et de politique d’internet du Canada Samuelson</w:t>
      </w:r>
      <w:r w:rsidRPr="00C04776">
        <w:rPr>
          <w:rStyle w:val="SCCCounselPartyRoleChar"/>
          <w:sz w:val="20"/>
          <w:lang w:val="fr-CA"/>
        </w:rPr>
        <w:noBreakHyphen/>
        <w:t>Glushko.</w:t>
      </w:r>
    </w:p>
    <w:p w:rsidR="008B6155" w:rsidRPr="00C04776" w:rsidRDefault="008B6155" w:rsidP="008B6155">
      <w:pPr>
        <w:pStyle w:val="SCCNormalDoubleSpacing"/>
        <w:spacing w:line="240" w:lineRule="auto"/>
        <w:rPr>
          <w:sz w:val="20"/>
          <w:lang w:val="fr-CA"/>
        </w:rPr>
      </w:pPr>
    </w:p>
    <w:p w:rsidR="008B6155" w:rsidRPr="00C04776" w:rsidRDefault="008B6155" w:rsidP="008B6155">
      <w:pPr>
        <w:pStyle w:val="SCCNormalDoubleSpacing"/>
        <w:spacing w:line="240" w:lineRule="auto"/>
        <w:rPr>
          <w:sz w:val="20"/>
          <w:lang w:val="fr-CA"/>
        </w:rPr>
      </w:pPr>
      <w:r w:rsidRPr="00C04776">
        <w:rPr>
          <w:rStyle w:val="SCCCounselNameChar"/>
          <w:sz w:val="20"/>
          <w:lang w:val="fr-CA"/>
        </w:rPr>
        <w:tab/>
        <w:t>Gerald Kerr</w:t>
      </w:r>
      <w:r w:rsidRPr="00C04776">
        <w:rPr>
          <w:rStyle w:val="SCCCounselNameChar"/>
          <w:sz w:val="20"/>
          <w:lang w:val="fr-CA"/>
        </w:rPr>
        <w:noBreakHyphen/>
        <w:t>Wilson</w:t>
      </w:r>
      <w:r w:rsidRPr="00C04776">
        <w:rPr>
          <w:rStyle w:val="SCCCounselSeparatorChar"/>
          <w:rFonts w:eastAsia="Calibri"/>
          <w:sz w:val="20"/>
        </w:rPr>
        <w:t xml:space="preserve">, </w:t>
      </w:r>
      <w:r w:rsidRPr="00C04776">
        <w:rPr>
          <w:rStyle w:val="SCCCounselNameChar"/>
          <w:sz w:val="20"/>
          <w:lang w:val="fr-CA"/>
        </w:rPr>
        <w:t>Ariel Thomas</w:t>
      </w:r>
      <w:r w:rsidRPr="00C04776">
        <w:rPr>
          <w:rStyle w:val="SCCCounselSeparatorChar"/>
          <w:rFonts w:eastAsia="Calibri"/>
          <w:sz w:val="20"/>
        </w:rPr>
        <w:t xml:space="preserve"> et </w:t>
      </w:r>
      <w:r w:rsidRPr="00C04776">
        <w:rPr>
          <w:rStyle w:val="SCCCounselNameChar"/>
          <w:sz w:val="20"/>
          <w:lang w:val="fr-CA"/>
        </w:rPr>
        <w:t>Christopher Ferguson</w:t>
      </w:r>
      <w:r w:rsidRPr="00C04776">
        <w:rPr>
          <w:rStyle w:val="SCCCounselPartyRoleChar"/>
          <w:sz w:val="20"/>
          <w:lang w:val="fr-CA"/>
        </w:rPr>
        <w:t xml:space="preserve">, pour les intervenantes Bell Canada Inc., Consortium des Opérateurs de Réseaux Canadiens Inc., Cogeco Inc., </w:t>
      </w:r>
      <w:proofErr w:type="spellStart"/>
      <w:r w:rsidRPr="00C04776">
        <w:rPr>
          <w:rStyle w:val="SCCCounselPartyRoleChar"/>
          <w:sz w:val="20"/>
          <w:lang w:val="fr-CA"/>
        </w:rPr>
        <w:t>Québecor</w:t>
      </w:r>
      <w:proofErr w:type="spellEnd"/>
      <w:r w:rsidRPr="00C04776">
        <w:rPr>
          <w:rStyle w:val="SCCCounselPartyRoleChar"/>
          <w:sz w:val="20"/>
          <w:lang w:val="fr-CA"/>
        </w:rPr>
        <w:t xml:space="preserve"> Média Inc., Saskatchewan </w:t>
      </w:r>
      <w:proofErr w:type="spellStart"/>
      <w:r w:rsidRPr="00C04776">
        <w:rPr>
          <w:rStyle w:val="SCCCounselPartyRoleChar"/>
          <w:sz w:val="20"/>
          <w:lang w:val="fr-CA"/>
        </w:rPr>
        <w:t>Telecommunications</w:t>
      </w:r>
      <w:proofErr w:type="spellEnd"/>
      <w:r w:rsidRPr="00C04776">
        <w:rPr>
          <w:rStyle w:val="SCCCounselPartyRoleChar"/>
          <w:sz w:val="20"/>
          <w:lang w:val="fr-CA"/>
        </w:rPr>
        <w:t xml:space="preserve"> Holding Corporation, Shaw Communications Inc., TekSavvy Solutions Inc., TELUS Communications Inc. et Xplornet Communications Inc.</w:t>
      </w:r>
    </w:p>
    <w:p w:rsidR="002410B8" w:rsidRPr="00C04776" w:rsidRDefault="002410B8">
      <w:pPr>
        <w:rPr>
          <w:sz w:val="20"/>
          <w:szCs w:val="20"/>
          <w:lang w:val="fr-CA"/>
        </w:rPr>
      </w:pPr>
    </w:p>
    <w:p w:rsidR="00A52B93" w:rsidRPr="00C04776" w:rsidRDefault="003D7763">
      <w:pPr>
        <w:rPr>
          <w:sz w:val="20"/>
          <w:szCs w:val="20"/>
          <w:lang w:val="fr-CA"/>
        </w:rPr>
      </w:pPr>
      <w:r>
        <w:rPr>
          <w:b/>
          <w:sz w:val="20"/>
          <w:szCs w:val="20"/>
        </w:rPr>
        <w:pict>
          <v:rect id="_x0000_i1064" style="width:144.3pt;height:1pt" o:hrpct="300" o:hralign="center" o:hrstd="t" o:hrnoshade="t" o:hr="t" fillcolor="black [3213]" stroked="f"/>
        </w:pict>
      </w:r>
    </w:p>
    <w:p w:rsidR="00A52B93" w:rsidRPr="00C04776" w:rsidRDefault="00A52B93">
      <w:pPr>
        <w:rPr>
          <w:sz w:val="20"/>
          <w:szCs w:val="20"/>
          <w:lang w:val="fr-CA"/>
        </w:rPr>
      </w:pPr>
    </w:p>
    <w:p w:rsidR="00A52B93" w:rsidRPr="00C04776" w:rsidRDefault="00A52B93">
      <w:pPr>
        <w:rPr>
          <w:sz w:val="20"/>
          <w:szCs w:val="20"/>
          <w:lang w:val="fr-CA"/>
        </w:rPr>
      </w:pPr>
    </w:p>
    <w:p w:rsidR="006B6926" w:rsidRPr="00C04776" w:rsidRDefault="006B6926" w:rsidP="00782AE4">
      <w:pPr>
        <w:jc w:val="both"/>
        <w:rPr>
          <w:lang w:val="fr-CA"/>
        </w:rPr>
      </w:pPr>
    </w:p>
    <w:p w:rsidR="002410B8" w:rsidRPr="00C04776" w:rsidRDefault="002410B8" w:rsidP="00782AE4">
      <w:pPr>
        <w:jc w:val="both"/>
        <w:rPr>
          <w:lang w:val="fr-CA"/>
        </w:rPr>
        <w:sectPr w:rsidR="002410B8" w:rsidRPr="00C04776" w:rsidSect="002410B8">
          <w:headerReference w:type="default" r:id="rId37"/>
          <w:footerReference w:type="default" r:id="rId38"/>
          <w:headerReference w:type="first" r:id="rId39"/>
          <w:footerReference w:type="first" r:id="rId40"/>
          <w:pgSz w:w="12240" w:h="15840"/>
          <w:pgMar w:top="720" w:right="965" w:bottom="1080" w:left="1656" w:header="720" w:footer="965" w:gutter="0"/>
          <w:cols w:space="720"/>
          <w:titlePg/>
          <w:docGrid w:linePitch="326"/>
        </w:sectPr>
      </w:pPr>
    </w:p>
    <w:p w:rsidR="00520A2C" w:rsidRPr="00C04776" w:rsidRDefault="00520A2C" w:rsidP="003D7763">
      <w:pPr>
        <w:tabs>
          <w:tab w:val="center" w:pos="5220"/>
          <w:tab w:val="right" w:pos="10800"/>
        </w:tabs>
        <w:jc w:val="center"/>
        <w:rPr>
          <w:rFonts w:ascii="Arial" w:hAnsi="Arial" w:cs="Arial"/>
          <w:sz w:val="16"/>
          <w:szCs w:val="18"/>
          <w:lang w:val="fr-CA"/>
        </w:rPr>
      </w:pPr>
      <w:r w:rsidRPr="00C04776">
        <w:rPr>
          <w:rFonts w:ascii="Arial" w:hAnsi="Arial" w:cs="Arial"/>
          <w:b/>
          <w:i/>
          <w:szCs w:val="28"/>
          <w:lang w:val="fr-FR"/>
        </w:rPr>
        <w:t>- 2018 -</w:t>
      </w:r>
    </w:p>
    <w:tbl>
      <w:tblPr>
        <w:tblStyle w:val="TableGrid"/>
        <w:tblW w:w="5066" w:type="pct"/>
        <w:shd w:val="clear" w:color="auto" w:fill="FFFFFF" w:themeFill="background1"/>
        <w:tblLayout w:type="fixed"/>
        <w:tblCellMar>
          <w:top w:w="29" w:type="dxa"/>
          <w:left w:w="29" w:type="dxa"/>
          <w:bottom w:w="29" w:type="dxa"/>
          <w:right w:w="29" w:type="dxa"/>
        </w:tblCellMar>
        <w:tblLook w:val="04A0" w:firstRow="1" w:lastRow="0" w:firstColumn="1" w:lastColumn="0" w:noHBand="0" w:noVBand="1"/>
      </w:tblPr>
      <w:tblGrid>
        <w:gridCol w:w="471"/>
        <w:gridCol w:w="471"/>
        <w:gridCol w:w="471"/>
        <w:gridCol w:w="472"/>
        <w:gridCol w:w="474"/>
        <w:gridCol w:w="474"/>
        <w:gridCol w:w="474"/>
        <w:gridCol w:w="293"/>
        <w:gridCol w:w="474"/>
        <w:gridCol w:w="474"/>
        <w:gridCol w:w="474"/>
        <w:gridCol w:w="474"/>
        <w:gridCol w:w="474"/>
        <w:gridCol w:w="474"/>
        <w:gridCol w:w="474"/>
        <w:gridCol w:w="297"/>
        <w:gridCol w:w="474"/>
        <w:gridCol w:w="474"/>
        <w:gridCol w:w="474"/>
        <w:gridCol w:w="474"/>
        <w:gridCol w:w="474"/>
        <w:gridCol w:w="474"/>
        <w:gridCol w:w="472"/>
      </w:tblGrid>
      <w:tr w:rsidR="00520A2C" w:rsidRPr="00C04776" w:rsidTr="0067305D">
        <w:trPr>
          <w:trHeight w:val="176"/>
        </w:trPr>
        <w:tc>
          <w:tcPr>
            <w:tcW w:w="1571" w:type="pct"/>
            <w:gridSpan w:val="7"/>
            <w:tcBorders>
              <w:top w:val="double" w:sz="6" w:space="0" w:color="auto"/>
              <w:left w:val="double" w:sz="6" w:space="0" w:color="auto"/>
              <w:right w:val="double" w:sz="6" w:space="0" w:color="auto"/>
            </w:tcBorders>
            <w:shd w:val="clear" w:color="auto" w:fill="D9D9D9" w:themeFill="background1" w:themeFillShade="D9"/>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OCTOBER – OCTOBRE</w:t>
            </w: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p>
        </w:tc>
        <w:tc>
          <w:tcPr>
            <w:tcW w:w="1574" w:type="pct"/>
            <w:gridSpan w:val="7"/>
            <w:tcBorders>
              <w:top w:val="double" w:sz="6" w:space="0" w:color="auto"/>
              <w:left w:val="double" w:sz="6" w:space="0" w:color="auto"/>
              <w:right w:val="double" w:sz="6" w:space="0" w:color="auto"/>
            </w:tcBorders>
            <w:shd w:val="clear" w:color="auto" w:fill="D9D9D9" w:themeFill="background1" w:themeFillShade="D9"/>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NOVEMBER – NOVEMBRE</w:t>
            </w: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p>
        </w:tc>
        <w:tc>
          <w:tcPr>
            <w:tcW w:w="1574" w:type="pct"/>
            <w:gridSpan w:val="7"/>
            <w:tcBorders>
              <w:top w:val="double" w:sz="6" w:space="0" w:color="auto"/>
              <w:left w:val="double" w:sz="6" w:space="0" w:color="auto"/>
              <w:right w:val="double" w:sz="6" w:space="0" w:color="auto"/>
            </w:tcBorders>
            <w:shd w:val="clear" w:color="auto" w:fill="D9D9D9" w:themeFill="background1" w:themeFillShade="D9"/>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DECEMBER – DÉCEMBRE</w:t>
            </w:r>
          </w:p>
        </w:tc>
      </w:tr>
      <w:tr w:rsidR="00520A2C" w:rsidRPr="00C04776" w:rsidTr="0067305D">
        <w:trPr>
          <w:trHeight w:val="331"/>
        </w:trPr>
        <w:tc>
          <w:tcPr>
            <w:tcW w:w="224" w:type="pct"/>
            <w:tcBorders>
              <w:top w:val="double" w:sz="6" w:space="0" w:color="auto"/>
              <w:lef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4"/>
                <w:szCs w:val="14"/>
                <w:lang w:val="fr-FR"/>
              </w:rPr>
            </w:pPr>
            <w:r w:rsidRPr="00C04776">
              <w:rPr>
                <w:rFonts w:ascii="Arial" w:hAnsi="Arial" w:cs="Arial"/>
                <w:b/>
                <w:sz w:val="14"/>
                <w:szCs w:val="14"/>
                <w:lang w:val="fr-FR"/>
              </w:rPr>
              <w:t>S</w:t>
            </w:r>
          </w:p>
          <w:p w:rsidR="00520A2C" w:rsidRPr="00C04776" w:rsidRDefault="00520A2C" w:rsidP="0067305D">
            <w:pPr>
              <w:tabs>
                <w:tab w:val="center" w:pos="5220"/>
                <w:tab w:val="right" w:pos="10440"/>
              </w:tabs>
              <w:jc w:val="center"/>
              <w:rPr>
                <w:rFonts w:ascii="Arial" w:hAnsi="Arial" w:cs="Arial"/>
                <w:b/>
                <w:sz w:val="14"/>
                <w:szCs w:val="14"/>
                <w:lang w:val="fr-FR"/>
              </w:rPr>
            </w:pPr>
            <w:r w:rsidRPr="00C04776">
              <w:rPr>
                <w:rFonts w:ascii="Arial" w:hAnsi="Arial" w:cs="Arial"/>
                <w:b/>
                <w:sz w:val="14"/>
                <w:szCs w:val="14"/>
                <w:lang w:val="fr-FR"/>
              </w:rPr>
              <w:t>D</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L</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T</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W</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tc>
        <w:tc>
          <w:tcPr>
            <w:tcW w:w="225"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T</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J</w:t>
            </w:r>
          </w:p>
        </w:tc>
        <w:tc>
          <w:tcPr>
            <w:tcW w:w="225"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F</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V</w:t>
            </w:r>
          </w:p>
        </w:tc>
        <w:tc>
          <w:tcPr>
            <w:tcW w:w="225" w:type="pct"/>
            <w:tcBorders>
              <w:top w:val="double" w:sz="6" w:space="0" w:color="auto"/>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S</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S</w:t>
            </w: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sz w:val="13"/>
                <w:szCs w:val="13"/>
                <w:lang w:val="fr-FR"/>
              </w:rPr>
            </w:pPr>
          </w:p>
        </w:tc>
        <w:tc>
          <w:tcPr>
            <w:tcW w:w="225" w:type="pct"/>
            <w:tcBorders>
              <w:top w:val="double" w:sz="6" w:space="0" w:color="auto"/>
              <w:lef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S</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D</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L</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T</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W</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T</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J</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F</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V</w:t>
            </w:r>
          </w:p>
        </w:tc>
        <w:tc>
          <w:tcPr>
            <w:tcW w:w="225" w:type="pct"/>
            <w:tcBorders>
              <w:top w:val="double" w:sz="6" w:space="0" w:color="auto"/>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S</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S</w:t>
            </w: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p>
        </w:tc>
        <w:tc>
          <w:tcPr>
            <w:tcW w:w="225" w:type="pct"/>
            <w:tcBorders>
              <w:top w:val="double" w:sz="6" w:space="0" w:color="auto"/>
              <w:lef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S</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D</w:t>
            </w:r>
          </w:p>
        </w:tc>
        <w:tc>
          <w:tcPr>
            <w:tcW w:w="225" w:type="pct"/>
            <w:tcBorders>
              <w:top w:val="double" w:sz="6" w:space="0" w:color="auto"/>
              <w:bottom w:val="single" w:sz="4"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M</w:t>
            </w:r>
          </w:p>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L</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lang w:val="fr-FR"/>
              </w:rPr>
            </w:pPr>
            <w:r w:rsidRPr="00C04776">
              <w:rPr>
                <w:rFonts w:ascii="Arial" w:hAnsi="Arial" w:cs="Arial"/>
                <w:b/>
                <w:sz w:val="13"/>
                <w:szCs w:val="13"/>
                <w:lang w:val="fr-FR"/>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5" w:type="pct"/>
            <w:tcBorders>
              <w:top w:val="double" w:sz="6" w:space="0" w:color="auto"/>
              <w:bottom w:val="single" w:sz="4" w:space="0" w:color="000000" w:themeColor="text1"/>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5" w:type="pct"/>
            <w:tcBorders>
              <w:top w:val="double" w:sz="6" w:space="0" w:color="auto"/>
              <w:right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r>
      <w:tr w:rsidR="00520A2C" w:rsidRPr="00C04776" w:rsidTr="0067305D">
        <w:trPr>
          <w:trHeight w:val="331"/>
        </w:trPr>
        <w:tc>
          <w:tcPr>
            <w:tcW w:w="224"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4"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4"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5" w:type="pct"/>
            <w:tcBorders>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left w:val="single" w:sz="4" w:space="0" w:color="000000" w:themeColor="text1"/>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5" w:type="pct"/>
            <w:tcBorders>
              <w:bottom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5" w:type="pct"/>
            <w:tcBorders>
              <w:bottom w:val="single" w:sz="4"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left w:val="single" w:sz="4" w:space="0" w:color="000000" w:themeColor="text1"/>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r>
      <w:tr w:rsidR="00520A2C" w:rsidRPr="00C04776" w:rsidTr="0067305D">
        <w:trPr>
          <w:trHeight w:val="331"/>
        </w:trPr>
        <w:tc>
          <w:tcPr>
            <w:tcW w:w="224" w:type="pct"/>
            <w:tcBorders>
              <w:left w:val="double" w:sz="6"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4" w:type="pct"/>
            <w:tcBorders>
              <w:top w:val="double" w:sz="6" w:space="0" w:color="auto"/>
              <w:left w:val="double" w:sz="6" w:space="0" w:color="auto"/>
              <w:bottom w:val="double" w:sz="6"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4" w:type="pct"/>
            <w:tcBorders>
              <w:left w:val="double" w:sz="6" w:space="0" w:color="auto"/>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4"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5" w:type="pct"/>
            <w:tcBorders>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5" w:type="pct"/>
            <w:tcBorders>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5" w:type="pct"/>
            <w:tcBorders>
              <w:bottom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5" w:type="pct"/>
            <w:tcBorders>
              <w:bottom w:val="single" w:sz="4"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5" w:type="pct"/>
            <w:tcBorders>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5"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r>
      <w:tr w:rsidR="00520A2C" w:rsidRPr="00C04776" w:rsidTr="0067305D">
        <w:trPr>
          <w:trHeight w:val="331"/>
        </w:trPr>
        <w:tc>
          <w:tcPr>
            <w:tcW w:w="224"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4" w:type="pct"/>
            <w:tcBorders>
              <w:top w:val="double" w:sz="6" w:space="0" w:color="auto"/>
              <w:left w:val="single" w:sz="4" w:space="0" w:color="auto"/>
              <w:bottom w:val="single" w:sz="4" w:space="0" w:color="auto"/>
              <w:righ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4" w:type="pct"/>
            <w:tcBorders>
              <w:lef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4"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5"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5"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5" w:type="pct"/>
            <w:tcBorders>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5" w:type="pct"/>
            <w:tcBorders>
              <w:top w:val="double" w:sz="6" w:space="0" w:color="auto"/>
              <w:left w:val="double" w:sz="6" w:space="0" w:color="auto"/>
              <w:bottom w:val="double" w:sz="6"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5" w:type="pct"/>
            <w:tcBorders>
              <w:top w:val="single" w:sz="4" w:space="0" w:color="000000" w:themeColor="text1"/>
              <w:left w:val="double" w:sz="6" w:space="0" w:color="auto"/>
              <w:bottom w:val="single" w:sz="4" w:space="0" w:color="auto"/>
              <w:righ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5" w:type="pct"/>
            <w:tcBorders>
              <w:top w:val="single" w:sz="4" w:space="0" w:color="000000" w:themeColor="text1"/>
              <w:lef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5"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5" w:type="pct"/>
            <w:tcBorders>
              <w:top w:val="single" w:sz="4" w:space="0" w:color="auto"/>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5" w:type="pct"/>
            <w:tcBorders>
              <w:top w:val="single" w:sz="4"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5"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5"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5" w:type="pct"/>
            <w:tcBorders>
              <w:bottom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5"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5" w:type="pct"/>
            <w:tcBorders>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r>
      <w:tr w:rsidR="00520A2C" w:rsidRPr="00C04776" w:rsidTr="0067305D">
        <w:trPr>
          <w:trHeight w:val="331"/>
        </w:trPr>
        <w:tc>
          <w:tcPr>
            <w:tcW w:w="224"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4" w:type="pct"/>
            <w:tcBorders>
              <w:top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4" w:type="pct"/>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4" w:type="pct"/>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5" w:type="pct"/>
            <w:tcBorders>
              <w:bottom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5" w:type="pct"/>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5" w:type="pct"/>
            <w:tcBorders>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5" w:type="pct"/>
            <w:tcBorders>
              <w:top w:val="double" w:sz="6" w:space="0" w:color="auto"/>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5" w:type="pct"/>
            <w:tcBorders>
              <w:top w:val="single" w:sz="4" w:space="0" w:color="auto"/>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5"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5" w:type="pct"/>
            <w:tcBorders>
              <w:bottom w:val="single" w:sz="4" w:space="0" w:color="000000" w:themeColor="text1"/>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bottom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5" w:type="pct"/>
            <w:tcBorders>
              <w:bottom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5" w:type="pct"/>
            <w:tcBorders>
              <w:bottom w:val="double" w:sz="6" w:space="0" w:color="auto"/>
              <w:right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5" w:type="pct"/>
            <w:tcBorders>
              <w:top w:val="single" w:sz="4" w:space="0" w:color="000000" w:themeColor="text1"/>
              <w:left w:val="single" w:sz="4" w:space="0" w:color="000000" w:themeColor="text1"/>
              <w:bottom w:val="double" w:sz="6" w:space="0" w:color="auto"/>
              <w:right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5" w:type="pct"/>
            <w:tcBorders>
              <w:top w:val="single" w:sz="4" w:space="0" w:color="auto"/>
              <w:left w:val="single" w:sz="4" w:space="0" w:color="auto"/>
              <w:bottom w:val="single" w:sz="4" w:space="0" w:color="auto"/>
              <w:right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5" w:type="pct"/>
            <w:tcBorders>
              <w:left w:val="single" w:sz="4" w:space="0" w:color="000000" w:themeColor="text1"/>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r>
      <w:tr w:rsidR="00520A2C" w:rsidRPr="00C04776" w:rsidTr="0067305D">
        <w:trPr>
          <w:trHeight w:val="331"/>
        </w:trPr>
        <w:tc>
          <w:tcPr>
            <w:tcW w:w="224" w:type="pct"/>
            <w:tcBorders>
              <w:left w:val="double" w:sz="6" w:space="0" w:color="auto"/>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4"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4"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4" w:type="pct"/>
            <w:tcBorders>
              <w:bottom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31</w:t>
            </w:r>
          </w:p>
        </w:tc>
        <w:tc>
          <w:tcPr>
            <w:tcW w:w="225" w:type="pct"/>
            <w:tcBorders>
              <w:top w:val="single" w:sz="4" w:space="0" w:color="auto"/>
              <w:left w:val="single" w:sz="4" w:space="0" w:color="auto"/>
              <w:bottom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left w:val="single" w:sz="4" w:space="0" w:color="auto"/>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5" w:type="pct"/>
            <w:tcBorders>
              <w:bottom w:val="double" w:sz="6" w:space="0" w:color="auto"/>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p>
        </w:tc>
        <w:tc>
          <w:tcPr>
            <w:tcW w:w="139"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left w:val="double" w:sz="6" w:space="0" w:color="auto"/>
              <w:bottom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5" w:type="pct"/>
            <w:tcBorders>
              <w:top w:val="single" w:sz="4" w:space="0" w:color="000000" w:themeColor="text1"/>
              <w:left w:val="single" w:sz="4" w:space="0" w:color="000000" w:themeColor="text1"/>
              <w:bottom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5" w:type="pct"/>
            <w:tcBorders>
              <w:left w:val="single" w:sz="4" w:space="0" w:color="000000" w:themeColor="text1"/>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5"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5"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5"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5" w:type="pct"/>
            <w:tcBorders>
              <w:bottom w:val="double" w:sz="6"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141"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double" w:sz="6" w:space="0" w:color="auto"/>
              <w:right w:val="single" w:sz="4" w:space="0" w:color="auto"/>
            </w:tcBorders>
            <w:shd w:val="clear" w:color="auto" w:fill="FFFFFF" w:themeFill="background1"/>
            <w:tcMar>
              <w:bottom w:w="43" w:type="dxa"/>
            </w:tcMar>
            <w:vAlign w:val="bottom"/>
          </w:tcPr>
          <w:p w:rsidR="00520A2C" w:rsidRPr="00C04776" w:rsidRDefault="00520A2C" w:rsidP="0067305D">
            <w:pPr>
              <w:rPr>
                <w:rFonts w:ascii="Arial" w:hAnsi="Arial" w:cs="Arial"/>
                <w:sz w:val="13"/>
                <w:szCs w:val="13"/>
              </w:rPr>
            </w:pPr>
            <w:r w:rsidRPr="00C04776">
              <w:rPr>
                <w:rFonts w:ascii="Arial" w:hAnsi="Arial" w:cs="Arial"/>
                <w:sz w:val="13"/>
                <w:szCs w:val="13"/>
              </w:rPr>
              <w:t xml:space="preserve"> 23 /</w:t>
            </w:r>
          </w:p>
          <w:p w:rsidR="00520A2C" w:rsidRPr="00C04776" w:rsidRDefault="00520A2C" w:rsidP="0067305D">
            <w:pPr>
              <w:rPr>
                <w:rFonts w:ascii="Arial" w:hAnsi="Arial" w:cs="Arial"/>
                <w:sz w:val="13"/>
                <w:szCs w:val="13"/>
              </w:rPr>
            </w:pPr>
            <w:r w:rsidRPr="00C04776">
              <w:rPr>
                <w:rFonts w:ascii="Arial" w:hAnsi="Arial" w:cs="Arial"/>
                <w:sz w:val="13"/>
                <w:szCs w:val="13"/>
              </w:rPr>
              <w:t xml:space="preserve">       30</w:t>
            </w:r>
          </w:p>
        </w:tc>
        <w:tc>
          <w:tcPr>
            <w:tcW w:w="225" w:type="pct"/>
            <w:tcBorders>
              <w:top w:val="single" w:sz="4" w:space="0" w:color="auto"/>
              <w:left w:val="single" w:sz="4" w:space="0" w:color="auto"/>
              <w:bottom w:val="double" w:sz="6" w:space="0" w:color="auto"/>
              <w:right w:val="double" w:sz="6" w:space="0" w:color="auto"/>
            </w:tcBorders>
            <w:shd w:val="clear" w:color="auto" w:fill="FFFFFF" w:themeFill="background1"/>
            <w:tcMar>
              <w:bottom w:w="43" w:type="dxa"/>
            </w:tcMar>
            <w:vAlign w:val="bottom"/>
          </w:tcPr>
          <w:p w:rsidR="00520A2C" w:rsidRPr="00C04776" w:rsidRDefault="00520A2C" w:rsidP="0067305D">
            <w:pPr>
              <w:rPr>
                <w:rFonts w:ascii="Arial" w:hAnsi="Arial" w:cs="Arial"/>
                <w:sz w:val="13"/>
                <w:szCs w:val="13"/>
              </w:rPr>
            </w:pPr>
            <w:r w:rsidRPr="00C04776">
              <w:rPr>
                <w:rFonts w:ascii="Arial" w:hAnsi="Arial" w:cs="Arial"/>
                <w:sz w:val="13"/>
                <w:szCs w:val="13"/>
              </w:rPr>
              <w:t xml:space="preserve"> 24 /</w:t>
            </w:r>
          </w:p>
          <w:p w:rsidR="00520A2C" w:rsidRPr="00C04776" w:rsidRDefault="00520A2C" w:rsidP="0067305D">
            <w:pPr>
              <w:rPr>
                <w:rFonts w:ascii="Arial" w:hAnsi="Arial" w:cs="Arial"/>
                <w:sz w:val="13"/>
                <w:szCs w:val="13"/>
              </w:rPr>
            </w:pPr>
            <w:r w:rsidRPr="00C04776">
              <w:rPr>
                <w:rFonts w:ascii="Arial" w:hAnsi="Arial" w:cs="Arial"/>
                <w:sz w:val="13"/>
                <w:szCs w:val="13"/>
              </w:rPr>
              <w:t xml:space="preserve">       31</w:t>
            </w:r>
          </w:p>
        </w:tc>
        <w:tc>
          <w:tcPr>
            <w:tcW w:w="225"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5" w:type="pct"/>
            <w:tcBorders>
              <w:top w:val="double" w:sz="6" w:space="0" w:color="auto"/>
              <w:left w:val="double" w:sz="6" w:space="0" w:color="auto"/>
              <w:bottom w:val="double" w:sz="6" w:space="0" w:color="auto"/>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5" w:type="pct"/>
            <w:tcBorders>
              <w:top w:val="single" w:sz="4" w:space="0" w:color="auto"/>
              <w:left w:val="double" w:sz="6" w:space="0" w:color="auto"/>
              <w:bottom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5" w:type="pct"/>
            <w:tcBorders>
              <w:top w:val="single" w:sz="4" w:space="0" w:color="000000" w:themeColor="text1"/>
              <w:bottom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5" w:type="pct"/>
            <w:tcBorders>
              <w:bottom w:val="double" w:sz="6" w:space="0" w:color="auto"/>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r>
    </w:tbl>
    <w:p w:rsidR="00520A2C" w:rsidRPr="00C04776" w:rsidRDefault="00520A2C" w:rsidP="00520A2C">
      <w:pPr>
        <w:tabs>
          <w:tab w:val="center" w:pos="5220"/>
          <w:tab w:val="right" w:pos="10440"/>
        </w:tabs>
        <w:jc w:val="center"/>
        <w:rPr>
          <w:rFonts w:ascii="Arial" w:hAnsi="Arial" w:cs="Arial"/>
          <w:szCs w:val="28"/>
        </w:rPr>
      </w:pPr>
      <w:r w:rsidRPr="00C04776">
        <w:rPr>
          <w:rFonts w:ascii="Arial" w:hAnsi="Arial" w:cs="Arial"/>
          <w:b/>
          <w:i/>
          <w:szCs w:val="28"/>
        </w:rPr>
        <w:t>- 2019 -</w:t>
      </w:r>
      <w:bookmarkStart w:id="2" w:name="_GoBack"/>
      <w:bookmarkEnd w:id="2"/>
    </w:p>
    <w:tbl>
      <w:tblPr>
        <w:tblStyle w:val="TableGrid"/>
        <w:tblW w:w="5069" w:type="pct"/>
        <w:tblLayout w:type="fixed"/>
        <w:tblCellMar>
          <w:top w:w="29" w:type="dxa"/>
          <w:left w:w="29" w:type="dxa"/>
          <w:bottom w:w="29" w:type="dxa"/>
          <w:right w:w="29" w:type="dxa"/>
        </w:tblCellMar>
        <w:tblLook w:val="04A0" w:firstRow="1" w:lastRow="0" w:firstColumn="1" w:lastColumn="0" w:noHBand="0" w:noVBand="1"/>
      </w:tblPr>
      <w:tblGrid>
        <w:gridCol w:w="469"/>
        <w:gridCol w:w="469"/>
        <w:gridCol w:w="468"/>
        <w:gridCol w:w="468"/>
        <w:gridCol w:w="468"/>
        <w:gridCol w:w="468"/>
        <w:gridCol w:w="478"/>
        <w:gridCol w:w="287"/>
        <w:gridCol w:w="480"/>
        <w:gridCol w:w="480"/>
        <w:gridCol w:w="480"/>
        <w:gridCol w:w="480"/>
        <w:gridCol w:w="480"/>
        <w:gridCol w:w="480"/>
        <w:gridCol w:w="483"/>
        <w:gridCol w:w="297"/>
        <w:gridCol w:w="472"/>
        <w:gridCol w:w="472"/>
        <w:gridCol w:w="472"/>
        <w:gridCol w:w="472"/>
        <w:gridCol w:w="472"/>
        <w:gridCol w:w="472"/>
        <w:gridCol w:w="470"/>
      </w:tblGrid>
      <w:tr w:rsidR="00520A2C" w:rsidRPr="00C04776" w:rsidTr="0067305D">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JANUARY – JANVIER</w:t>
            </w:r>
          </w:p>
        </w:tc>
        <w:tc>
          <w:tcPr>
            <w:tcW w:w="136" w:type="pct"/>
            <w:tcBorders>
              <w:top w:val="nil"/>
              <w:left w:val="double" w:sz="6" w:space="0" w:color="auto"/>
              <w:bottom w:val="nil"/>
              <w:right w:val="double" w:sz="6" w:space="0" w:color="auto"/>
            </w:tcBorders>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1596"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FEBRUARY – FÉVRIER</w:t>
            </w:r>
          </w:p>
        </w:tc>
        <w:tc>
          <w:tcPr>
            <w:tcW w:w="141" w:type="pct"/>
            <w:tcBorders>
              <w:top w:val="nil"/>
              <w:left w:val="double" w:sz="6" w:space="0" w:color="auto"/>
              <w:bottom w:val="nil"/>
              <w:right w:val="double" w:sz="6" w:space="0" w:color="auto"/>
            </w:tcBorders>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1568"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MARCH – MARS</w:t>
            </w:r>
          </w:p>
        </w:tc>
      </w:tr>
      <w:tr w:rsidR="00520A2C" w:rsidRPr="00C04776" w:rsidTr="0067305D">
        <w:trPr>
          <w:trHeight w:val="319"/>
        </w:trPr>
        <w:tc>
          <w:tcPr>
            <w:tcW w:w="222" w:type="pct"/>
            <w:tcBorders>
              <w:top w:val="double" w:sz="6" w:space="0" w:color="auto"/>
              <w:left w:val="double" w:sz="6" w:space="0" w:color="auto"/>
              <w:bottom w:val="single" w:sz="4" w:space="0" w:color="000000" w:themeColor="text1"/>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2" w:type="pct"/>
            <w:tcBorders>
              <w:top w:val="double" w:sz="6" w:space="0" w:color="auto"/>
              <w:bottom w:val="sing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2" w:type="pct"/>
            <w:tcBorders>
              <w:top w:val="double" w:sz="6" w:space="0" w:color="auto"/>
              <w:bottom w:val="doub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2" w:type="pct"/>
            <w:tcBorders>
              <w:top w:val="double" w:sz="6" w:space="0" w:color="auto"/>
              <w:bottom w:val="single" w:sz="4" w:space="0" w:color="000000" w:themeColor="text1"/>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2" w:type="pct"/>
            <w:tcBorders>
              <w:top w:val="double" w:sz="6" w:space="0" w:color="auto"/>
              <w:bottom w:val="sing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2" w:type="pct"/>
            <w:tcBorders>
              <w:top w:val="double" w:sz="6" w:space="0" w:color="auto"/>
              <w:bottom w:val="single" w:sz="4" w:space="0" w:color="000000" w:themeColor="text1"/>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6"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c>
          <w:tcPr>
            <w:tcW w:w="136" w:type="pct"/>
            <w:tcBorders>
              <w:top w:val="nil"/>
              <w:left w:val="double" w:sz="6" w:space="0" w:color="auto"/>
              <w:bottom w:val="nil"/>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9"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c>
          <w:tcPr>
            <w:tcW w:w="141" w:type="pct"/>
            <w:tcBorders>
              <w:top w:val="nil"/>
              <w:left w:val="double" w:sz="6" w:space="0" w:color="auto"/>
              <w:bottom w:val="nil"/>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4"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r>
      <w:tr w:rsidR="00520A2C" w:rsidRPr="00C04776" w:rsidTr="0067305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2" w:type="pct"/>
            <w:tcBorders>
              <w:top w:val="double" w:sz="4" w:space="0" w:color="auto"/>
              <w:left w:val="double" w:sz="4" w:space="0" w:color="auto"/>
              <w:bottom w:val="double" w:sz="4" w:space="0" w:color="auto"/>
              <w:right w:val="double" w:sz="4" w:space="0" w:color="auto"/>
            </w:tcBorders>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2" w:type="pct"/>
            <w:tcBorders>
              <w:top w:val="single" w:sz="4" w:space="0" w:color="auto"/>
              <w:left w:val="single" w:sz="4" w:space="0" w:color="auto"/>
              <w:bottom w:val="single" w:sz="4" w:space="0" w:color="000000" w:themeColor="text1"/>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6" w:type="pct"/>
            <w:tcBorders>
              <w:left w:val="single" w:sz="4" w:space="0" w:color="000000" w:themeColor="text1"/>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9"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4" w:type="pct"/>
            <w:tcMar>
              <w:bottom w:w="43" w:type="dxa"/>
            </w:tcMar>
            <w:vAlign w:val="bottom"/>
          </w:tcPr>
          <w:p w:rsidR="00520A2C" w:rsidRPr="00C04776" w:rsidRDefault="00520A2C" w:rsidP="0067305D">
            <w:pPr>
              <w:jc w:val="center"/>
              <w:rPr>
                <w:rFonts w:ascii="Arial" w:hAnsi="Arial" w:cs="Arial"/>
                <w:sz w:val="13"/>
                <w:szCs w:val="13"/>
              </w:rPr>
            </w:pPr>
          </w:p>
        </w:tc>
        <w:tc>
          <w:tcPr>
            <w:tcW w:w="224" w:type="pct"/>
            <w:tcMar>
              <w:bottom w:w="43" w:type="dxa"/>
            </w:tcMar>
            <w:vAlign w:val="bottom"/>
          </w:tcPr>
          <w:p w:rsidR="00520A2C" w:rsidRPr="00C04776" w:rsidRDefault="00520A2C" w:rsidP="0067305D">
            <w:pPr>
              <w:jc w:val="center"/>
              <w:rPr>
                <w:rFonts w:ascii="Arial" w:hAnsi="Arial" w:cs="Arial"/>
                <w:sz w:val="13"/>
                <w:szCs w:val="13"/>
              </w:rPr>
            </w:pPr>
          </w:p>
        </w:tc>
        <w:tc>
          <w:tcPr>
            <w:tcW w:w="224" w:type="pct"/>
            <w:tcMar>
              <w:bottom w:w="43" w:type="dxa"/>
            </w:tcMar>
            <w:vAlign w:val="bottom"/>
          </w:tcPr>
          <w:p w:rsidR="00520A2C" w:rsidRPr="00C04776" w:rsidRDefault="00520A2C" w:rsidP="0067305D">
            <w:pPr>
              <w:jc w:val="center"/>
              <w:rPr>
                <w:rFonts w:ascii="Arial" w:hAnsi="Arial" w:cs="Arial"/>
                <w:sz w:val="13"/>
                <w:szCs w:val="13"/>
              </w:rPr>
            </w:pPr>
          </w:p>
        </w:tc>
        <w:tc>
          <w:tcPr>
            <w:tcW w:w="224" w:type="pct"/>
            <w:tcMar>
              <w:bottom w:w="43" w:type="dxa"/>
            </w:tcMar>
            <w:vAlign w:val="bottom"/>
          </w:tcPr>
          <w:p w:rsidR="00520A2C" w:rsidRPr="00C04776" w:rsidRDefault="00520A2C" w:rsidP="0067305D">
            <w:pPr>
              <w:jc w:val="center"/>
              <w:rPr>
                <w:rFonts w:ascii="Arial" w:hAnsi="Arial" w:cs="Arial"/>
                <w:sz w:val="13"/>
                <w:szCs w:val="13"/>
              </w:rPr>
            </w:pP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4"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r>
      <w:tr w:rsidR="00520A2C" w:rsidRPr="00C04776" w:rsidTr="0067305D">
        <w:trPr>
          <w:trHeight w:val="319"/>
        </w:trPr>
        <w:tc>
          <w:tcPr>
            <w:tcW w:w="222" w:type="pct"/>
            <w:tcBorders>
              <w:top w:val="single" w:sz="4" w:space="0" w:color="000000" w:themeColor="text1"/>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2" w:type="pct"/>
            <w:tcBorders>
              <w:top w:val="single" w:sz="4" w:space="0" w:color="auto"/>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2" w:type="pct"/>
            <w:tcBorders>
              <w:top w:val="double" w:sz="4" w:space="0" w:color="auto"/>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2" w:type="pct"/>
            <w:tcBorders>
              <w:top w:val="single" w:sz="4" w:space="0" w:color="000000" w:themeColor="text1"/>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2" w:type="pct"/>
            <w:tcBorders>
              <w:top w:val="single" w:sz="4" w:space="0" w:color="000000" w:themeColor="text1"/>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2" w:type="pct"/>
            <w:tcBorders>
              <w:top w:val="single" w:sz="4" w:space="0" w:color="000000" w:themeColor="text1"/>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6"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8" w:type="pct"/>
            <w:tcBorders>
              <w:left w:val="single" w:sz="4" w:space="0" w:color="auto"/>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9"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4" w:type="pct"/>
            <w:tcBorders>
              <w:bottom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4"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4"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4"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4"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4"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r>
      <w:tr w:rsidR="00520A2C" w:rsidRPr="00C04776" w:rsidTr="0067305D">
        <w:trPr>
          <w:trHeight w:val="319"/>
        </w:trPr>
        <w:tc>
          <w:tcPr>
            <w:tcW w:w="222"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2" w:type="pct"/>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6"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136"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8" w:type="pct"/>
            <w:tcBorders>
              <w:top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8" w:type="pct"/>
            <w:tcBorders>
              <w:top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8" w:type="pct"/>
            <w:tcBorders>
              <w:top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9"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4" w:type="pct"/>
            <w:tcBorders>
              <w:left w:val="single" w:sz="4" w:space="0" w:color="auto"/>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4"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r>
      <w:tr w:rsidR="00520A2C" w:rsidRPr="00C04776" w:rsidTr="0067305D">
        <w:trPr>
          <w:trHeight w:val="319"/>
        </w:trPr>
        <w:tc>
          <w:tcPr>
            <w:tcW w:w="222"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2"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2"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2"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2"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2"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6" w:type="pct"/>
            <w:tcBorders>
              <w:right w:val="double" w:sz="6"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136" w:type="pct"/>
            <w:tcBorders>
              <w:top w:val="nil"/>
              <w:left w:val="double" w:sz="6" w:space="0" w:color="auto"/>
              <w:bottom w:val="nil"/>
              <w:right w:val="double" w:sz="6" w:space="0" w:color="auto"/>
            </w:tcBorders>
            <w:shd w:val="clear" w:color="auto" w:fill="FFFFFF" w:themeFill="background1"/>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8"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9"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4" w:type="pct"/>
            <w:tcBorders>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4"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4" w:type="pct"/>
            <w:tcBorders>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4" w:type="pct"/>
            <w:tcBorders>
              <w:left w:val="single" w:sz="4" w:space="0" w:color="000000" w:themeColor="text1"/>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r>
      <w:tr w:rsidR="00520A2C" w:rsidRPr="00C04776" w:rsidTr="0067305D">
        <w:trPr>
          <w:trHeight w:val="319"/>
        </w:trPr>
        <w:tc>
          <w:tcPr>
            <w:tcW w:w="222" w:type="pct"/>
            <w:tcBorders>
              <w:left w:val="double" w:sz="6" w:space="0" w:color="auto"/>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31</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6" w:type="pct"/>
            <w:tcBorders>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9" w:type="pct"/>
            <w:tcBorders>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bottom w:val="double" w:sz="6" w:space="0" w:color="auto"/>
              <w:right w:val="single" w:sz="4" w:space="0" w:color="000000" w:themeColor="text1"/>
            </w:tcBorders>
            <w:tcMar>
              <w:bottom w:w="43" w:type="dxa"/>
            </w:tcMar>
            <w:vAlign w:val="bottom"/>
          </w:tcPr>
          <w:p w:rsidR="00520A2C" w:rsidRPr="00C04776" w:rsidRDefault="00520A2C" w:rsidP="0067305D">
            <w:pPr>
              <w:rPr>
                <w:rFonts w:ascii="Arial" w:hAnsi="Arial" w:cs="Arial"/>
                <w:sz w:val="13"/>
                <w:szCs w:val="13"/>
              </w:rPr>
            </w:pPr>
            <w:r w:rsidRPr="00C04776">
              <w:rPr>
                <w:rFonts w:ascii="Arial" w:hAnsi="Arial" w:cs="Arial"/>
                <w:sz w:val="13"/>
                <w:szCs w:val="13"/>
              </w:rPr>
              <w:t xml:space="preserve"> 24 /</w:t>
            </w:r>
          </w:p>
          <w:p w:rsidR="00520A2C" w:rsidRPr="00C04776" w:rsidRDefault="00520A2C" w:rsidP="0067305D">
            <w:pPr>
              <w:rPr>
                <w:rFonts w:ascii="Arial" w:hAnsi="Arial" w:cs="Arial"/>
                <w:sz w:val="13"/>
                <w:szCs w:val="13"/>
              </w:rPr>
            </w:pPr>
            <w:r w:rsidRPr="00C04776">
              <w:rPr>
                <w:rFonts w:ascii="Arial" w:hAnsi="Arial" w:cs="Arial"/>
                <w:sz w:val="13"/>
                <w:szCs w:val="13"/>
              </w:rPr>
              <w:t xml:space="preserve">       31</w:t>
            </w:r>
          </w:p>
        </w:tc>
        <w:tc>
          <w:tcPr>
            <w:tcW w:w="224" w:type="pct"/>
            <w:tcBorders>
              <w:top w:val="single" w:sz="4" w:space="0" w:color="000000" w:themeColor="text1"/>
              <w:left w:val="single" w:sz="4" w:space="0" w:color="000000" w:themeColor="text1"/>
              <w:bottom w:val="double" w:sz="6" w:space="0" w:color="auto"/>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4" w:type="pct"/>
            <w:tcBorders>
              <w:top w:val="single" w:sz="4" w:space="0" w:color="000000" w:themeColor="text1"/>
              <w:left w:val="single" w:sz="4" w:space="0" w:color="000000" w:themeColor="text1"/>
              <w:bottom w:val="double" w:sz="6"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4" w:type="pct"/>
            <w:tcBorders>
              <w:top w:val="single" w:sz="4" w:space="0" w:color="000000" w:themeColor="text1"/>
              <w:bottom w:val="double" w:sz="6"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4" w:type="pct"/>
            <w:tcBorders>
              <w:top w:val="single" w:sz="4" w:space="0" w:color="000000" w:themeColor="text1"/>
              <w:bottom w:val="double" w:sz="6" w:space="0" w:color="auto"/>
              <w:righ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4" w:type="pct"/>
            <w:tcBorders>
              <w:top w:val="single" w:sz="4" w:space="0" w:color="auto"/>
              <w:left w:val="single" w:sz="4" w:space="0" w:color="auto"/>
              <w:bottom w:val="nil"/>
              <w:righ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4" w:type="pct"/>
            <w:tcBorders>
              <w:left w:val="single" w:sz="4" w:space="0" w:color="auto"/>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r>
      <w:tr w:rsidR="00520A2C" w:rsidRPr="00C04776" w:rsidTr="0067305D">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APRIL – AVRIL</w:t>
            </w:r>
          </w:p>
        </w:tc>
        <w:tc>
          <w:tcPr>
            <w:tcW w:w="136" w:type="pct"/>
            <w:tcBorders>
              <w:top w:val="nil"/>
              <w:left w:val="double" w:sz="6" w:space="0" w:color="auto"/>
              <w:bottom w:val="nil"/>
              <w:right w:val="double" w:sz="6" w:space="0" w:color="auto"/>
            </w:tcBorders>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1596"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MAY – MAI</w:t>
            </w:r>
          </w:p>
        </w:tc>
        <w:tc>
          <w:tcPr>
            <w:tcW w:w="141" w:type="pct"/>
            <w:tcBorders>
              <w:top w:val="nil"/>
              <w:left w:val="double" w:sz="6" w:space="0" w:color="auto"/>
              <w:bottom w:val="nil"/>
              <w:right w:val="double" w:sz="6" w:space="0" w:color="auto"/>
            </w:tcBorders>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1568"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JUNE – JUIN</w:t>
            </w:r>
          </w:p>
        </w:tc>
      </w:tr>
      <w:tr w:rsidR="00520A2C" w:rsidRPr="00C04776" w:rsidTr="0067305D">
        <w:trPr>
          <w:trHeight w:val="319"/>
        </w:trPr>
        <w:tc>
          <w:tcPr>
            <w:tcW w:w="222"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2" w:type="pct"/>
            <w:tcBorders>
              <w:top w:val="double" w:sz="6" w:space="0" w:color="auto"/>
              <w:bottom w:val="sing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2"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2"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2"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2" w:type="pct"/>
            <w:tcBorders>
              <w:top w:val="double" w:sz="6" w:space="0" w:color="auto"/>
              <w:bottom w:val="sing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6"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c>
          <w:tcPr>
            <w:tcW w:w="136" w:type="pct"/>
            <w:tcBorders>
              <w:top w:val="nil"/>
              <w:left w:val="double" w:sz="6" w:space="0" w:color="auto"/>
              <w:bottom w:val="nil"/>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9"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c>
          <w:tcPr>
            <w:tcW w:w="141" w:type="pct"/>
            <w:tcBorders>
              <w:top w:val="nil"/>
              <w:left w:val="double" w:sz="6" w:space="0" w:color="auto"/>
              <w:bottom w:val="nil"/>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4" w:type="pct"/>
            <w:tcBorders>
              <w:top w:val="double" w:sz="6" w:space="0" w:color="auto"/>
            </w:tcBorders>
            <w:shd w:val="clear" w:color="auto" w:fill="FFFFFF" w:themeFill="background1"/>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4"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r>
      <w:tr w:rsidR="00520A2C" w:rsidRPr="00C04776" w:rsidTr="0067305D">
        <w:trPr>
          <w:trHeight w:val="319"/>
        </w:trPr>
        <w:tc>
          <w:tcPr>
            <w:tcW w:w="222"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2" w:type="pct"/>
            <w:tcBorders>
              <w:left w:val="single" w:sz="4" w:space="0" w:color="auto"/>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2"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2" w:type="pct"/>
            <w:tcBorders>
              <w:bottom w:val="single" w:sz="4" w:space="0" w:color="000000" w:themeColor="text1"/>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6" w:type="pct"/>
            <w:tcBorders>
              <w:left w:val="single" w:sz="4"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136"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8"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8" w:type="pct"/>
            <w:tcBorders>
              <w:bottom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9"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141"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r>
      <w:tr w:rsidR="00520A2C" w:rsidRPr="00C04776" w:rsidTr="0067305D">
        <w:trPr>
          <w:trHeight w:val="319"/>
        </w:trPr>
        <w:tc>
          <w:tcPr>
            <w:tcW w:w="222"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2" w:type="pct"/>
            <w:tcBorders>
              <w:left w:val="single" w:sz="4" w:space="0" w:color="auto"/>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2"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2"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2" w:type="pct"/>
            <w:tcBorders>
              <w:top w:val="single" w:sz="4" w:space="0" w:color="auto"/>
              <w:bottom w:val="doub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6"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136"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8"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9"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141"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4" w:type="pct"/>
            <w:tcBorders>
              <w:left w:val="single" w:sz="4" w:space="0" w:color="auto"/>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4" w:type="pct"/>
            <w:tcBorders>
              <w:bottom w:val="single" w:sz="4" w:space="0" w:color="000000" w:themeColor="text1"/>
            </w:tcBorders>
            <w:shd w:val="clear" w:color="auto" w:fill="FFFFFF" w:themeFill="background1"/>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4"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r>
      <w:tr w:rsidR="00520A2C" w:rsidRPr="00C04776" w:rsidTr="0067305D">
        <w:trPr>
          <w:trHeight w:val="319"/>
        </w:trPr>
        <w:tc>
          <w:tcPr>
            <w:tcW w:w="222" w:type="pct"/>
            <w:tcBorders>
              <w:left w:val="double" w:sz="6" w:space="0" w:color="auto"/>
              <w:bottom w:val="single" w:sz="4" w:space="0" w:color="000000" w:themeColor="text1"/>
              <w:right w:val="sing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2" w:type="pct"/>
            <w:tcBorders>
              <w:top w:val="single" w:sz="4" w:space="0" w:color="auto"/>
              <w:left w:val="single" w:sz="4" w:space="0" w:color="auto"/>
              <w:bottom w:val="double" w:sz="4" w:space="0" w:color="auto"/>
              <w:right w:val="sing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2" w:type="pct"/>
            <w:tcBorders>
              <w:top w:val="single" w:sz="4" w:space="0" w:color="000000" w:themeColor="text1"/>
              <w:left w:val="single" w:sz="4" w:space="0" w:color="auto"/>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2" w:type="pct"/>
            <w:tcBorders>
              <w:top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2" w:type="pct"/>
            <w:tcBorders>
              <w:top w:val="single" w:sz="4" w:space="0" w:color="000000" w:themeColor="text1"/>
              <w:bottom w:val="single" w:sz="4" w:space="0" w:color="000000" w:themeColor="text1"/>
              <w:right w:val="doub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2" w:type="pct"/>
            <w:tcBorders>
              <w:top w:val="double" w:sz="4" w:space="0" w:color="auto"/>
              <w:left w:val="double" w:sz="4" w:space="0" w:color="auto"/>
              <w:bottom w:val="double" w:sz="4" w:space="0" w:color="auto"/>
              <w:right w:val="double" w:sz="4" w:space="0" w:color="auto"/>
            </w:tcBorders>
            <w:shd w:val="clear" w:color="auto" w:fill="auto"/>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6" w:type="pct"/>
            <w:tcBorders>
              <w:left w:val="double" w:sz="4"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136"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8"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8" w:type="pct"/>
            <w:tcBorders>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8"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8"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8"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9"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141"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right w:val="single" w:sz="4" w:space="0" w:color="000000" w:themeColor="text1"/>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CC</w:t>
            </w:r>
          </w:p>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4" w:type="pct"/>
            <w:tcBorders>
              <w:left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4"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4"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4" w:type="pct"/>
            <w:tcBorders>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4"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r>
      <w:tr w:rsidR="00520A2C" w:rsidRPr="00C04776" w:rsidTr="0067305D">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2" w:type="pct"/>
            <w:tcBorders>
              <w:top w:val="double" w:sz="4" w:space="0" w:color="auto"/>
              <w:left w:val="double" w:sz="4" w:space="0" w:color="auto"/>
              <w:bottom w:val="double" w:sz="4" w:space="0" w:color="auto"/>
              <w:right w:val="double" w:sz="4" w:space="0" w:color="auto"/>
            </w:tcBorders>
            <w:shd w:val="clear" w:color="auto" w:fill="auto"/>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2" w:type="pct"/>
            <w:tcBorders>
              <w:top w:val="single" w:sz="4" w:space="0" w:color="000000" w:themeColor="text1"/>
              <w:left w:val="double" w:sz="4" w:space="0" w:color="auto"/>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2" w:type="pct"/>
            <w:tcBorders>
              <w:top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2" w:type="pct"/>
            <w:tcBorders>
              <w:top w:val="single" w:sz="4" w:space="0" w:color="000000" w:themeColor="text1"/>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2" w:type="pct"/>
            <w:tcBorders>
              <w:top w:val="double" w:sz="4" w:space="0" w:color="auto"/>
              <w:bottom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6"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136"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right w:val="double" w:sz="4"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8" w:type="pct"/>
            <w:tcBorders>
              <w:top w:val="double" w:sz="4" w:space="0" w:color="auto"/>
              <w:left w:val="double" w:sz="4" w:space="0" w:color="auto"/>
              <w:bottom w:val="double" w:sz="4" w:space="0" w:color="auto"/>
              <w:right w:val="double" w:sz="4" w:space="0" w:color="auto"/>
            </w:tcBorders>
            <w:shd w:val="clear" w:color="auto" w:fill="auto"/>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8" w:type="pct"/>
            <w:tcBorders>
              <w:left w:val="double" w:sz="4" w:space="0" w:color="auto"/>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8"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9"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141" w:type="pct"/>
            <w:tcBorders>
              <w:top w:val="nil"/>
              <w:left w:val="double" w:sz="6" w:space="0" w:color="auto"/>
              <w:bottom w:val="nil"/>
              <w:right w:val="double" w:sz="6" w:space="0" w:color="auto"/>
            </w:tcBorders>
            <w:shd w:val="clear" w:color="auto" w:fill="auto"/>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4" w:type="pct"/>
            <w:tcBorders>
              <w:top w:val="single" w:sz="4" w:space="0" w:color="000000" w:themeColor="text1"/>
            </w:tcBorders>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4"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4"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4"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4" w:type="pct"/>
            <w:shd w:val="clear" w:color="auto" w:fill="BFBFBF" w:themeFill="background1" w:themeFillShade="BF"/>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4" w:type="pct"/>
            <w:tcBorders>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r>
      <w:tr w:rsidR="00520A2C" w:rsidRPr="00C04776" w:rsidTr="0067305D">
        <w:trPr>
          <w:trHeight w:val="319"/>
        </w:trPr>
        <w:tc>
          <w:tcPr>
            <w:tcW w:w="222" w:type="pct"/>
            <w:tcBorders>
              <w:top w:val="single" w:sz="4" w:space="0" w:color="000000" w:themeColor="text1"/>
              <w:left w:val="double" w:sz="6" w:space="0" w:color="auto"/>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2" w:type="pct"/>
            <w:tcBorders>
              <w:top w:val="double" w:sz="4" w:space="0" w:color="auto"/>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2" w:type="pct"/>
            <w:tcBorders>
              <w:top w:val="single" w:sz="4" w:space="0" w:color="000000" w:themeColor="text1"/>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2" w:type="pct"/>
            <w:tcBorders>
              <w:top w:val="single" w:sz="4" w:space="0" w:color="000000" w:themeColor="text1"/>
              <w:bottom w:val="double" w:sz="6" w:space="0" w:color="auto"/>
            </w:tcBorders>
            <w:shd w:val="clear" w:color="auto" w:fill="auto"/>
            <w:tcMar>
              <w:bottom w:w="43" w:type="dxa"/>
            </w:tcMar>
            <w:vAlign w:val="bottom"/>
          </w:tcPr>
          <w:p w:rsidR="00520A2C" w:rsidRPr="00C04776" w:rsidRDefault="00520A2C" w:rsidP="0067305D">
            <w:pPr>
              <w:rPr>
                <w:rFonts w:ascii="Arial" w:hAnsi="Arial" w:cs="Arial"/>
                <w:sz w:val="13"/>
                <w:szCs w:val="13"/>
              </w:rPr>
            </w:pPr>
          </w:p>
        </w:tc>
        <w:tc>
          <w:tcPr>
            <w:tcW w:w="222" w:type="pct"/>
            <w:tcBorders>
              <w:top w:val="single" w:sz="4" w:space="0" w:color="000000" w:themeColor="text1"/>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2" w:type="pct"/>
            <w:tcBorders>
              <w:top w:val="single" w:sz="4" w:space="0" w:color="000000" w:themeColor="text1"/>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226" w:type="pct"/>
            <w:tcBorders>
              <w:bottom w:val="double" w:sz="6"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8" w:type="pct"/>
            <w:tcBorders>
              <w:top w:val="double" w:sz="4" w:space="0" w:color="auto"/>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8"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8"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8"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8" w:type="pct"/>
            <w:tcBorders>
              <w:bottom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31</w:t>
            </w:r>
          </w:p>
        </w:tc>
        <w:tc>
          <w:tcPr>
            <w:tcW w:w="229" w:type="pct"/>
            <w:tcBorders>
              <w:bottom w:val="double" w:sz="6" w:space="0" w:color="auto"/>
              <w:right w:val="double" w:sz="6" w:space="0" w:color="auto"/>
            </w:tcBorders>
            <w:shd w:val="clear" w:color="auto" w:fill="auto"/>
            <w:tcMar>
              <w:bottom w:w="43" w:type="dxa"/>
            </w:tcMar>
            <w:vAlign w:val="bottom"/>
          </w:tcPr>
          <w:p w:rsidR="00520A2C" w:rsidRPr="00C04776" w:rsidRDefault="00520A2C" w:rsidP="0067305D">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bottom w:val="double" w:sz="6" w:space="0" w:color="auto"/>
            </w:tcBorders>
            <w:tcMar>
              <w:bottom w:w="43" w:type="dxa"/>
            </w:tcMar>
            <w:vAlign w:val="bottom"/>
          </w:tcPr>
          <w:p w:rsidR="00520A2C" w:rsidRPr="00C04776" w:rsidRDefault="00520A2C" w:rsidP="0067305D">
            <w:pPr>
              <w:jc w:val="both"/>
              <w:rPr>
                <w:rFonts w:ascii="Arial" w:hAnsi="Arial" w:cs="Arial"/>
                <w:sz w:val="13"/>
                <w:szCs w:val="13"/>
              </w:rPr>
            </w:pPr>
            <w:r w:rsidRPr="00C04776">
              <w:rPr>
                <w:rFonts w:ascii="Arial" w:hAnsi="Arial" w:cs="Arial"/>
                <w:sz w:val="13"/>
                <w:szCs w:val="13"/>
              </w:rPr>
              <w:t xml:space="preserve"> 23 /</w:t>
            </w:r>
          </w:p>
          <w:p w:rsidR="00520A2C" w:rsidRPr="00C04776" w:rsidRDefault="00520A2C" w:rsidP="0067305D">
            <w:pPr>
              <w:jc w:val="both"/>
              <w:rPr>
                <w:rFonts w:ascii="Arial" w:hAnsi="Arial" w:cs="Arial"/>
                <w:sz w:val="13"/>
                <w:szCs w:val="13"/>
              </w:rPr>
            </w:pPr>
            <w:r w:rsidRPr="00C04776">
              <w:rPr>
                <w:rFonts w:ascii="Arial" w:hAnsi="Arial" w:cs="Arial"/>
                <w:sz w:val="13"/>
                <w:szCs w:val="13"/>
              </w:rPr>
              <w:t xml:space="preserve">       30</w:t>
            </w: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4" w:type="pct"/>
            <w:tcBorders>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r>
      <w:tr w:rsidR="00520A2C" w:rsidRPr="00C04776" w:rsidTr="0067305D">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JULY – JUILLET</w:t>
            </w:r>
          </w:p>
        </w:tc>
        <w:tc>
          <w:tcPr>
            <w:tcW w:w="136" w:type="pct"/>
            <w:tcBorders>
              <w:top w:val="nil"/>
              <w:left w:val="double" w:sz="6" w:space="0" w:color="auto"/>
              <w:bottom w:val="nil"/>
              <w:right w:val="double" w:sz="6" w:space="0" w:color="auto"/>
            </w:tcBorders>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1596"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AUGUST – AOÛT</w:t>
            </w:r>
          </w:p>
        </w:tc>
        <w:tc>
          <w:tcPr>
            <w:tcW w:w="141" w:type="pct"/>
            <w:tcBorders>
              <w:top w:val="nil"/>
              <w:left w:val="double" w:sz="6" w:space="0" w:color="auto"/>
              <w:bottom w:val="nil"/>
              <w:right w:val="double" w:sz="6" w:space="0" w:color="auto"/>
            </w:tcBorders>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1568"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SEPTEMBER – SEPTEMBRE</w:t>
            </w:r>
          </w:p>
        </w:tc>
      </w:tr>
      <w:tr w:rsidR="00520A2C" w:rsidRPr="00C04776" w:rsidTr="0067305D">
        <w:trPr>
          <w:trHeight w:val="319"/>
        </w:trPr>
        <w:tc>
          <w:tcPr>
            <w:tcW w:w="222"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6"/>
                <w:szCs w:val="16"/>
              </w:rPr>
            </w:pPr>
            <w:r w:rsidRPr="00C04776">
              <w:rPr>
                <w:rFonts w:ascii="Arial" w:hAnsi="Arial" w:cs="Arial"/>
                <w:b/>
                <w:sz w:val="13"/>
                <w:szCs w:val="13"/>
              </w:rPr>
              <w:t>D</w:t>
            </w:r>
          </w:p>
        </w:tc>
        <w:tc>
          <w:tcPr>
            <w:tcW w:w="222" w:type="pct"/>
            <w:tcBorders>
              <w:top w:val="double" w:sz="6" w:space="0" w:color="auto"/>
              <w:bottom w:val="doub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2" w:type="pct"/>
            <w:tcBorders>
              <w:top w:val="double" w:sz="6" w:space="0" w:color="auto"/>
              <w:bottom w:val="single" w:sz="4" w:space="0" w:color="000000" w:themeColor="text1"/>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2" w:type="pct"/>
            <w:tcBorders>
              <w:top w:val="double" w:sz="6" w:space="0" w:color="auto"/>
              <w:bottom w:val="sing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2"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2" w:type="pct"/>
            <w:tcBorders>
              <w:top w:val="double" w:sz="6" w:space="0" w:color="auto"/>
              <w:bottom w:val="single" w:sz="4" w:space="0" w:color="000000" w:themeColor="text1"/>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6" w:type="pct"/>
            <w:tcBorders>
              <w:top w:val="double" w:sz="6" w:space="0" w:color="auto"/>
              <w:bottom w:val="single" w:sz="4"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c>
          <w:tcPr>
            <w:tcW w:w="136" w:type="pct"/>
            <w:tcBorders>
              <w:top w:val="nil"/>
              <w:left w:val="double" w:sz="6" w:space="0" w:color="auto"/>
              <w:bottom w:val="nil"/>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8" w:type="pct"/>
            <w:tcBorders>
              <w:top w:val="double" w:sz="6" w:space="0" w:color="auto"/>
              <w:bottom w:val="single" w:sz="4" w:space="0" w:color="000000" w:themeColor="text1"/>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8"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9"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c>
          <w:tcPr>
            <w:tcW w:w="141" w:type="pct"/>
            <w:tcBorders>
              <w:top w:val="nil"/>
              <w:left w:val="double" w:sz="6" w:space="0" w:color="auto"/>
              <w:bottom w:val="nil"/>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D</w:t>
            </w:r>
          </w:p>
        </w:tc>
        <w:tc>
          <w:tcPr>
            <w:tcW w:w="224" w:type="pct"/>
            <w:tcBorders>
              <w:top w:val="double" w:sz="6" w:space="0" w:color="auto"/>
              <w:bottom w:val="double" w:sz="4"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L</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W</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M</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T</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J</w:t>
            </w:r>
          </w:p>
        </w:tc>
        <w:tc>
          <w:tcPr>
            <w:tcW w:w="224" w:type="pct"/>
            <w:tcBorders>
              <w:top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F</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V</w:t>
            </w:r>
          </w:p>
        </w:tc>
        <w:tc>
          <w:tcPr>
            <w:tcW w:w="224" w:type="pct"/>
            <w:tcBorders>
              <w:top w:val="double" w:sz="6" w:space="0" w:color="auto"/>
              <w:right w:val="double" w:sz="6" w:space="0" w:color="auto"/>
            </w:tcBorders>
            <w:tcMar>
              <w:bottom w:w="43" w:type="dxa"/>
            </w:tcMar>
            <w:vAlign w:val="center"/>
          </w:tcPr>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p w:rsidR="00520A2C" w:rsidRPr="00C04776" w:rsidRDefault="00520A2C" w:rsidP="0067305D">
            <w:pPr>
              <w:tabs>
                <w:tab w:val="center" w:pos="5220"/>
                <w:tab w:val="right" w:pos="10440"/>
              </w:tabs>
              <w:jc w:val="center"/>
              <w:rPr>
                <w:rFonts w:ascii="Arial" w:hAnsi="Arial" w:cs="Arial"/>
                <w:b/>
                <w:sz w:val="13"/>
                <w:szCs w:val="13"/>
              </w:rPr>
            </w:pPr>
            <w:r w:rsidRPr="00C04776">
              <w:rPr>
                <w:rFonts w:ascii="Arial" w:hAnsi="Arial" w:cs="Arial"/>
                <w:b/>
                <w:sz w:val="13"/>
                <w:szCs w:val="13"/>
              </w:rPr>
              <w:t>S</w:t>
            </w:r>
          </w:p>
        </w:tc>
      </w:tr>
      <w:tr w:rsidR="00520A2C" w:rsidRPr="00C04776" w:rsidTr="0067305D">
        <w:trPr>
          <w:trHeight w:val="319"/>
        </w:trPr>
        <w:tc>
          <w:tcPr>
            <w:tcW w:w="222" w:type="pct"/>
            <w:tcBorders>
              <w:left w:val="double" w:sz="6" w:space="0" w:color="auto"/>
              <w:right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2" w:type="pct"/>
            <w:tcBorders>
              <w:top w:val="double" w:sz="4" w:space="0" w:color="auto"/>
              <w:left w:val="double" w:sz="4" w:space="0" w:color="auto"/>
              <w:bottom w:val="double" w:sz="4" w:space="0" w:color="auto"/>
              <w:right w:val="double" w:sz="4" w:space="0" w:color="auto"/>
            </w:tcBorders>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2" w:type="pct"/>
            <w:tcBorders>
              <w:top w:val="single" w:sz="4" w:space="0" w:color="auto"/>
              <w:left w:val="single" w:sz="4" w:space="0" w:color="auto"/>
              <w:bottom w:val="single" w:sz="4" w:space="0" w:color="auto"/>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2" w:type="pct"/>
            <w:tcBorders>
              <w:left w:val="single" w:sz="4" w:space="0" w:color="auto"/>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6" w:type="pct"/>
            <w:tcBorders>
              <w:top w:val="single" w:sz="4" w:space="0" w:color="auto"/>
              <w:left w:val="single" w:sz="4" w:space="0" w:color="auto"/>
              <w:bottom w:val="single" w:sz="4"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4" w:space="0" w:color="auto"/>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Borders>
              <w:lef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p>
        </w:tc>
        <w:tc>
          <w:tcPr>
            <w:tcW w:w="228" w:type="pct"/>
            <w:tcMar>
              <w:bottom w:w="43" w:type="dxa"/>
            </w:tcMar>
            <w:vAlign w:val="bottom"/>
          </w:tcPr>
          <w:p w:rsidR="00520A2C" w:rsidRPr="00C04776" w:rsidRDefault="00520A2C" w:rsidP="0067305D">
            <w:pPr>
              <w:jc w:val="center"/>
              <w:rPr>
                <w:rFonts w:ascii="Arial" w:hAnsi="Arial" w:cs="Arial"/>
                <w:sz w:val="13"/>
                <w:szCs w:val="13"/>
              </w:rPr>
            </w:pP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w:t>
            </w:r>
          </w:p>
        </w:tc>
        <w:tc>
          <w:tcPr>
            <w:tcW w:w="229"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right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w:t>
            </w:r>
          </w:p>
        </w:tc>
        <w:tc>
          <w:tcPr>
            <w:tcW w:w="224" w:type="pct"/>
            <w:tcBorders>
              <w:top w:val="double" w:sz="4" w:space="0" w:color="auto"/>
              <w:left w:val="double" w:sz="4" w:space="0" w:color="auto"/>
              <w:bottom w:val="double" w:sz="4" w:space="0" w:color="auto"/>
              <w:right w:val="double" w:sz="4" w:space="0" w:color="auto"/>
            </w:tcBorders>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b/>
                <w:sz w:val="13"/>
                <w:szCs w:val="13"/>
              </w:rPr>
            </w:pPr>
            <w:r w:rsidRPr="00C04776">
              <w:rPr>
                <w:rFonts w:ascii="Arial" w:hAnsi="Arial" w:cs="Arial"/>
                <w:sz w:val="13"/>
                <w:szCs w:val="13"/>
              </w:rPr>
              <w:t>2</w:t>
            </w:r>
          </w:p>
        </w:tc>
        <w:tc>
          <w:tcPr>
            <w:tcW w:w="224" w:type="pct"/>
            <w:tcBorders>
              <w:left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4"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r>
      <w:tr w:rsidR="00520A2C" w:rsidRPr="00C04776" w:rsidTr="0067305D">
        <w:trPr>
          <w:trHeight w:val="319"/>
        </w:trPr>
        <w:tc>
          <w:tcPr>
            <w:tcW w:w="222" w:type="pct"/>
            <w:tcBorders>
              <w:left w:val="double" w:sz="6" w:space="0" w:color="auto"/>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2" w:type="pct"/>
            <w:tcBorders>
              <w:top w:val="double" w:sz="4" w:space="0" w:color="auto"/>
              <w:left w:val="single" w:sz="4" w:space="0" w:color="auto"/>
              <w:bottom w:val="single" w:sz="4" w:space="0" w:color="auto"/>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2" w:type="pct"/>
            <w:tcBorders>
              <w:top w:val="single" w:sz="4" w:space="0" w:color="000000" w:themeColor="text1"/>
              <w:lef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2" w:type="pct"/>
            <w:tcBorders>
              <w:top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2" w:type="pct"/>
            <w:tcBorders>
              <w:top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6" w:type="pct"/>
            <w:tcBorders>
              <w:top w:val="single" w:sz="4"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right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4</w:t>
            </w:r>
          </w:p>
        </w:tc>
        <w:tc>
          <w:tcPr>
            <w:tcW w:w="228" w:type="pct"/>
            <w:tcBorders>
              <w:top w:val="double" w:sz="4" w:space="0" w:color="auto"/>
              <w:left w:val="double" w:sz="4" w:space="0" w:color="auto"/>
              <w:bottom w:val="double" w:sz="4" w:space="0" w:color="auto"/>
              <w:right w:val="double" w:sz="4" w:space="0" w:color="auto"/>
            </w:tcBorders>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H</w:t>
            </w:r>
          </w:p>
          <w:p w:rsidR="00520A2C" w:rsidRPr="00C04776" w:rsidRDefault="00520A2C" w:rsidP="0067305D">
            <w:pPr>
              <w:jc w:val="center"/>
              <w:rPr>
                <w:rFonts w:ascii="Arial" w:hAnsi="Arial" w:cs="Arial"/>
                <w:sz w:val="13"/>
                <w:szCs w:val="13"/>
              </w:rPr>
            </w:pPr>
            <w:r w:rsidRPr="00C04776">
              <w:rPr>
                <w:rFonts w:ascii="Arial" w:hAnsi="Arial" w:cs="Arial"/>
                <w:sz w:val="13"/>
                <w:szCs w:val="13"/>
              </w:rPr>
              <w:t>5</w:t>
            </w:r>
          </w:p>
        </w:tc>
        <w:tc>
          <w:tcPr>
            <w:tcW w:w="228" w:type="pct"/>
            <w:tcBorders>
              <w:left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6</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7</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9"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8</w:t>
            </w:r>
          </w:p>
        </w:tc>
        <w:tc>
          <w:tcPr>
            <w:tcW w:w="224" w:type="pct"/>
            <w:tcBorders>
              <w:top w:val="double" w:sz="4" w:space="0" w:color="auto"/>
              <w:left w:val="single" w:sz="4" w:space="0" w:color="auto"/>
              <w:bottom w:val="single" w:sz="4" w:space="0" w:color="auto"/>
              <w:righ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9</w:t>
            </w:r>
          </w:p>
        </w:tc>
        <w:tc>
          <w:tcPr>
            <w:tcW w:w="224" w:type="pct"/>
            <w:tcBorders>
              <w:left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10</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4"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r>
      <w:tr w:rsidR="00520A2C" w:rsidRPr="00C04776" w:rsidTr="0067305D">
        <w:trPr>
          <w:trHeight w:val="319"/>
        </w:trPr>
        <w:tc>
          <w:tcPr>
            <w:tcW w:w="222"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2" w:type="pct"/>
            <w:tcBorders>
              <w:top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6"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11</w:t>
            </w:r>
          </w:p>
        </w:tc>
        <w:tc>
          <w:tcPr>
            <w:tcW w:w="228" w:type="pct"/>
            <w:tcBorders>
              <w:top w:val="doub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12</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13</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14</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9"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15</w:t>
            </w:r>
          </w:p>
        </w:tc>
        <w:tc>
          <w:tcPr>
            <w:tcW w:w="224" w:type="pct"/>
            <w:tcBorders>
              <w:top w:val="single" w:sz="4"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16</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17</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4"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4" w:type="pct"/>
            <w:tcBorders>
              <w:bottom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4"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r>
      <w:tr w:rsidR="00520A2C" w:rsidRPr="00C04776" w:rsidTr="0067305D">
        <w:trPr>
          <w:trHeight w:val="319"/>
        </w:trPr>
        <w:tc>
          <w:tcPr>
            <w:tcW w:w="222"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2"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6"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18</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19</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20</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21</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8"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9" w:type="pct"/>
            <w:tcBorders>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22</w:t>
            </w: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23</w:t>
            </w:r>
          </w:p>
        </w:tc>
        <w:tc>
          <w:tcPr>
            <w:tcW w:w="224" w:type="pct"/>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24</w:t>
            </w:r>
          </w:p>
        </w:tc>
        <w:tc>
          <w:tcPr>
            <w:tcW w:w="224" w:type="pct"/>
            <w:tcBorders>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4" w:type="pct"/>
            <w:tcBorders>
              <w:left w:val="single" w:sz="4" w:space="0" w:color="000000" w:themeColor="text1"/>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r>
      <w:tr w:rsidR="00520A2C" w:rsidRPr="00C04776" w:rsidTr="0067305D">
        <w:trPr>
          <w:trHeight w:val="375"/>
        </w:trPr>
        <w:tc>
          <w:tcPr>
            <w:tcW w:w="222" w:type="pct"/>
            <w:tcBorders>
              <w:left w:val="double" w:sz="6" w:space="0" w:color="auto"/>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31</w:t>
            </w: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2"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6" w:type="pct"/>
            <w:tcBorders>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8" w:type="pct"/>
            <w:tcBorders>
              <w:left w:val="double" w:sz="6" w:space="0" w:color="auto"/>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25</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26</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27</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28</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8"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9" w:type="pct"/>
            <w:tcBorders>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31</w:t>
            </w:r>
          </w:p>
        </w:tc>
        <w:tc>
          <w:tcPr>
            <w:tcW w:w="141" w:type="pct"/>
            <w:tcBorders>
              <w:top w:val="nil"/>
              <w:left w:val="double" w:sz="6" w:space="0" w:color="auto"/>
              <w:bottom w:val="nil"/>
              <w:right w:val="double" w:sz="6" w:space="0" w:color="auto"/>
            </w:tcBorders>
            <w:tcMar>
              <w:bottom w:w="43" w:type="dxa"/>
            </w:tcMar>
            <w:vAlign w:val="bottom"/>
          </w:tcPr>
          <w:p w:rsidR="00520A2C" w:rsidRPr="00C04776" w:rsidRDefault="00520A2C" w:rsidP="0067305D">
            <w:pPr>
              <w:tabs>
                <w:tab w:val="center" w:pos="5220"/>
                <w:tab w:val="right" w:pos="10440"/>
              </w:tabs>
              <w:jc w:val="center"/>
              <w:rPr>
                <w:rFonts w:ascii="Arial" w:hAnsi="Arial" w:cs="Arial"/>
                <w:sz w:val="13"/>
                <w:szCs w:val="13"/>
              </w:rPr>
            </w:pPr>
          </w:p>
        </w:tc>
        <w:tc>
          <w:tcPr>
            <w:tcW w:w="224" w:type="pct"/>
            <w:tcBorders>
              <w:left w:val="double" w:sz="6" w:space="0" w:color="auto"/>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r w:rsidRPr="00C04776">
              <w:rPr>
                <w:rFonts w:ascii="Arial" w:hAnsi="Arial" w:cs="Arial"/>
                <w:sz w:val="13"/>
                <w:szCs w:val="13"/>
              </w:rPr>
              <w:t>29</w:t>
            </w:r>
          </w:p>
        </w:tc>
        <w:tc>
          <w:tcPr>
            <w:tcW w:w="224" w:type="pct"/>
            <w:tcBorders>
              <w:top w:val="double" w:sz="6" w:space="0" w:color="auto"/>
              <w:left w:val="double" w:sz="6" w:space="0" w:color="auto"/>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b/>
                <w:sz w:val="13"/>
                <w:szCs w:val="13"/>
              </w:rPr>
            </w:pPr>
            <w:r w:rsidRPr="00C04776">
              <w:rPr>
                <w:rFonts w:ascii="Arial" w:hAnsi="Arial" w:cs="Arial"/>
                <w:b/>
                <w:sz w:val="13"/>
                <w:szCs w:val="13"/>
              </w:rPr>
              <w:t>RH</w:t>
            </w:r>
          </w:p>
          <w:p w:rsidR="00520A2C" w:rsidRPr="00C04776" w:rsidRDefault="00520A2C" w:rsidP="0067305D">
            <w:pPr>
              <w:jc w:val="center"/>
              <w:rPr>
                <w:rFonts w:ascii="Arial" w:hAnsi="Arial" w:cs="Arial"/>
                <w:sz w:val="13"/>
                <w:szCs w:val="13"/>
              </w:rPr>
            </w:pPr>
            <w:r w:rsidRPr="00C04776">
              <w:rPr>
                <w:rFonts w:ascii="Arial" w:hAnsi="Arial" w:cs="Arial"/>
                <w:sz w:val="13"/>
                <w:szCs w:val="13"/>
              </w:rPr>
              <w:t>30</w:t>
            </w:r>
          </w:p>
        </w:tc>
        <w:tc>
          <w:tcPr>
            <w:tcW w:w="224" w:type="pct"/>
            <w:tcBorders>
              <w:left w:val="double" w:sz="6" w:space="0" w:color="auto"/>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top w:val="single" w:sz="4" w:space="0" w:color="000000" w:themeColor="text1"/>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top w:val="single" w:sz="4" w:space="0" w:color="000000" w:themeColor="text1"/>
              <w:bottom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c>
          <w:tcPr>
            <w:tcW w:w="224" w:type="pct"/>
            <w:tcBorders>
              <w:bottom w:val="double" w:sz="6" w:space="0" w:color="auto"/>
              <w:right w:val="double" w:sz="6" w:space="0" w:color="auto"/>
            </w:tcBorders>
            <w:tcMar>
              <w:bottom w:w="43" w:type="dxa"/>
            </w:tcMar>
            <w:vAlign w:val="bottom"/>
          </w:tcPr>
          <w:p w:rsidR="00520A2C" w:rsidRPr="00C04776" w:rsidRDefault="00520A2C" w:rsidP="0067305D">
            <w:pPr>
              <w:jc w:val="center"/>
              <w:rPr>
                <w:rFonts w:ascii="Arial" w:hAnsi="Arial" w:cs="Arial"/>
                <w:sz w:val="13"/>
                <w:szCs w:val="13"/>
              </w:rPr>
            </w:pPr>
          </w:p>
        </w:tc>
      </w:tr>
    </w:tbl>
    <w:p w:rsidR="00520A2C" w:rsidRPr="00C04776" w:rsidRDefault="00520A2C" w:rsidP="00520A2C">
      <w:pPr>
        <w:tabs>
          <w:tab w:val="center" w:pos="5220"/>
          <w:tab w:val="right" w:pos="10440"/>
        </w:tabs>
        <w:rPr>
          <w:rFonts w:ascii="Arial" w:hAnsi="Arial" w:cs="Arial"/>
          <w:sz w:val="14"/>
          <w:szCs w:val="14"/>
          <w:lang w:val="fr-CA"/>
        </w:rPr>
      </w:pPr>
    </w:p>
    <w:tbl>
      <w:tblPr>
        <w:tblStyle w:val="TableGrid"/>
        <w:tblW w:w="106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2"/>
        <w:gridCol w:w="450"/>
        <w:gridCol w:w="3580"/>
        <w:gridCol w:w="4140"/>
        <w:gridCol w:w="720"/>
      </w:tblGrid>
      <w:tr w:rsidR="00520A2C" w:rsidRPr="00C04776" w:rsidTr="0067305D">
        <w:tc>
          <w:tcPr>
            <w:tcW w:w="1782" w:type="dxa"/>
            <w:tcBorders>
              <w:right w:val="single" w:sz="4" w:space="0" w:color="000000" w:themeColor="text1"/>
            </w:tcBorders>
            <w:vAlign w:val="center"/>
          </w:tcPr>
          <w:p w:rsidR="00520A2C" w:rsidRPr="00C04776" w:rsidRDefault="00520A2C" w:rsidP="0067305D">
            <w:pPr>
              <w:rPr>
                <w:rFonts w:ascii="Arial" w:hAnsi="Arial" w:cs="Arial"/>
                <w:b/>
                <w:sz w:val="14"/>
                <w:szCs w:val="14"/>
              </w:rPr>
            </w:pPr>
            <w:r w:rsidRPr="00C04776">
              <w:rPr>
                <w:rFonts w:ascii="Arial" w:hAnsi="Arial" w:cs="Arial"/>
                <w:b/>
                <w:sz w:val="14"/>
                <w:szCs w:val="14"/>
              </w:rPr>
              <w:t>Sitting of the Court /</w:t>
            </w:r>
          </w:p>
          <w:p w:rsidR="00520A2C" w:rsidRPr="00C04776" w:rsidRDefault="00520A2C" w:rsidP="0067305D">
            <w:pPr>
              <w:rPr>
                <w:rFonts w:ascii="Arial" w:hAnsi="Arial" w:cs="Arial"/>
                <w:b/>
                <w:sz w:val="14"/>
                <w:szCs w:val="14"/>
              </w:rPr>
            </w:pPr>
            <w:r w:rsidRPr="00C04776">
              <w:rPr>
                <w:rFonts w:ascii="Arial" w:hAnsi="Arial" w:cs="Arial"/>
                <w:b/>
                <w:sz w:val="14"/>
                <w:szCs w:val="14"/>
              </w:rPr>
              <w:t>Séance de la Cour</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20A2C" w:rsidRPr="00C04776" w:rsidRDefault="00520A2C" w:rsidP="0067305D">
            <w:pPr>
              <w:jc w:val="center"/>
              <w:rPr>
                <w:rFonts w:ascii="Arial" w:hAnsi="Arial" w:cs="Arial"/>
                <w:b/>
                <w:sz w:val="14"/>
                <w:szCs w:val="14"/>
              </w:rPr>
            </w:pPr>
          </w:p>
        </w:tc>
        <w:tc>
          <w:tcPr>
            <w:tcW w:w="3580" w:type="dxa"/>
            <w:tcBorders>
              <w:left w:val="single" w:sz="4" w:space="0" w:color="000000" w:themeColor="text1"/>
            </w:tcBorders>
          </w:tcPr>
          <w:p w:rsidR="00520A2C" w:rsidRPr="00C04776" w:rsidRDefault="00520A2C" w:rsidP="0067305D">
            <w:pPr>
              <w:tabs>
                <w:tab w:val="left" w:pos="203"/>
              </w:tabs>
              <w:spacing w:after="120"/>
              <w:rPr>
                <w:rFonts w:ascii="Arial" w:hAnsi="Arial" w:cs="Arial"/>
                <w:b/>
                <w:sz w:val="14"/>
                <w:szCs w:val="14"/>
                <w:lang w:val="fr-CA"/>
              </w:rPr>
            </w:pPr>
            <w:r w:rsidRPr="00C04776">
              <w:rPr>
                <w:rFonts w:ascii="Arial" w:hAnsi="Arial" w:cs="Arial"/>
                <w:b/>
                <w:sz w:val="14"/>
                <w:szCs w:val="14"/>
                <w:lang w:val="fr-CA"/>
              </w:rPr>
              <w:t>18</w:t>
            </w:r>
            <w:r w:rsidRPr="00C04776">
              <w:rPr>
                <w:rFonts w:ascii="Arial" w:hAnsi="Arial" w:cs="Arial"/>
                <w:b/>
                <w:sz w:val="14"/>
                <w:szCs w:val="14"/>
                <w:lang w:val="fr-CA"/>
              </w:rPr>
              <w:tab/>
              <w:t xml:space="preserve"> sitting weeks / semaines séances de la Cour</w:t>
            </w:r>
          </w:p>
          <w:p w:rsidR="00520A2C" w:rsidRPr="00C04776" w:rsidRDefault="00520A2C" w:rsidP="0067305D">
            <w:pPr>
              <w:tabs>
                <w:tab w:val="left" w:pos="203"/>
              </w:tabs>
              <w:rPr>
                <w:rFonts w:ascii="Arial" w:hAnsi="Arial" w:cs="Arial"/>
                <w:b/>
                <w:sz w:val="14"/>
                <w:szCs w:val="14"/>
                <w:lang w:val="fr-CA"/>
              </w:rPr>
            </w:pPr>
            <w:r w:rsidRPr="00C04776">
              <w:rPr>
                <w:rFonts w:ascii="Arial" w:hAnsi="Arial" w:cs="Arial"/>
                <w:b/>
                <w:sz w:val="14"/>
                <w:szCs w:val="14"/>
                <w:lang w:val="fr-CA"/>
              </w:rPr>
              <w:t>85  sitting days / journées séances de la Cour</w:t>
            </w:r>
          </w:p>
        </w:tc>
        <w:tc>
          <w:tcPr>
            <w:tcW w:w="4140" w:type="dxa"/>
            <w:tcMar>
              <w:left w:w="58" w:type="dxa"/>
              <w:right w:w="58" w:type="dxa"/>
            </w:tcMar>
          </w:tcPr>
          <w:p w:rsidR="00520A2C" w:rsidRPr="00C04776" w:rsidRDefault="00520A2C" w:rsidP="0067305D">
            <w:pPr>
              <w:spacing w:after="120"/>
              <w:rPr>
                <w:rFonts w:ascii="Arial" w:hAnsi="Arial" w:cs="Arial"/>
                <w:b/>
                <w:sz w:val="14"/>
                <w:szCs w:val="14"/>
              </w:rPr>
            </w:pPr>
            <w:r w:rsidRPr="00C04776">
              <w:rPr>
                <w:rFonts w:ascii="Arial" w:hAnsi="Arial" w:cs="Arial"/>
                <w:b/>
                <w:sz w:val="14"/>
                <w:szCs w:val="14"/>
              </w:rPr>
              <w:t>Rosh Hashanah / Nouvel An juif (2019-09-30 &amp; 2019-10-01)</w:t>
            </w:r>
          </w:p>
          <w:p w:rsidR="00520A2C" w:rsidRPr="00C04776" w:rsidRDefault="00520A2C" w:rsidP="0067305D">
            <w:pPr>
              <w:rPr>
                <w:rFonts w:ascii="Arial" w:hAnsi="Arial" w:cs="Arial"/>
                <w:b/>
                <w:sz w:val="14"/>
                <w:szCs w:val="14"/>
                <w:lang w:val="fr-CA"/>
              </w:rPr>
            </w:pPr>
            <w:r w:rsidRPr="00C04776">
              <w:rPr>
                <w:rFonts w:ascii="Arial" w:hAnsi="Arial" w:cs="Arial"/>
                <w:b/>
                <w:sz w:val="14"/>
                <w:szCs w:val="14"/>
              </w:rPr>
              <w:t>Yom Kippur / Yom Kippour (2019-10-09)</w:t>
            </w:r>
          </w:p>
        </w:tc>
        <w:tc>
          <w:tcPr>
            <w:tcW w:w="720" w:type="dxa"/>
          </w:tcPr>
          <w:p w:rsidR="00520A2C" w:rsidRPr="00C04776" w:rsidRDefault="00520A2C" w:rsidP="0067305D">
            <w:pPr>
              <w:spacing w:after="120"/>
              <w:jc w:val="center"/>
              <w:rPr>
                <w:rFonts w:ascii="Arial" w:hAnsi="Arial" w:cs="Arial"/>
                <w:b/>
                <w:sz w:val="14"/>
                <w:szCs w:val="14"/>
                <w:lang w:val="fr-CA"/>
              </w:rPr>
            </w:pPr>
            <w:r w:rsidRPr="00C04776">
              <w:rPr>
                <w:rFonts w:ascii="Arial" w:hAnsi="Arial" w:cs="Arial"/>
                <w:b/>
                <w:sz w:val="14"/>
                <w:szCs w:val="14"/>
                <w:lang w:val="fr-CA"/>
              </w:rPr>
              <w:t>RH</w:t>
            </w:r>
          </w:p>
          <w:p w:rsidR="00520A2C" w:rsidRPr="00C04776" w:rsidRDefault="00520A2C" w:rsidP="0067305D">
            <w:pPr>
              <w:jc w:val="center"/>
              <w:rPr>
                <w:rFonts w:ascii="Arial" w:hAnsi="Arial" w:cs="Arial"/>
                <w:b/>
                <w:sz w:val="14"/>
                <w:szCs w:val="14"/>
                <w:lang w:val="fr-CA"/>
              </w:rPr>
            </w:pPr>
            <w:r w:rsidRPr="00C04776">
              <w:rPr>
                <w:rFonts w:ascii="Arial" w:hAnsi="Arial" w:cs="Arial"/>
                <w:b/>
                <w:sz w:val="14"/>
                <w:szCs w:val="14"/>
                <w:lang w:val="fr-CA"/>
              </w:rPr>
              <w:t>YK</w:t>
            </w:r>
          </w:p>
        </w:tc>
      </w:tr>
      <w:tr w:rsidR="00520A2C" w:rsidRPr="003D7763" w:rsidTr="0067305D">
        <w:tc>
          <w:tcPr>
            <w:tcW w:w="1782" w:type="dxa"/>
            <w:tcBorders>
              <w:right w:val="double" w:sz="4" w:space="0" w:color="auto"/>
            </w:tcBorders>
            <w:vAlign w:val="center"/>
          </w:tcPr>
          <w:p w:rsidR="00520A2C" w:rsidRPr="00C04776" w:rsidRDefault="00520A2C" w:rsidP="0067305D">
            <w:pPr>
              <w:spacing w:before="60"/>
              <w:rPr>
                <w:rFonts w:ascii="Arial" w:hAnsi="Arial" w:cs="Arial"/>
                <w:b/>
                <w:sz w:val="14"/>
                <w:szCs w:val="14"/>
                <w:lang w:val="fr-CA"/>
              </w:rPr>
            </w:pPr>
            <w:r w:rsidRPr="00C04776">
              <w:rPr>
                <w:rFonts w:ascii="Arial" w:hAnsi="Arial" w:cs="Arial"/>
                <w:b/>
                <w:sz w:val="14"/>
                <w:szCs w:val="14"/>
                <w:lang w:val="fr-CA"/>
              </w:rPr>
              <w:t>Court conference /</w:t>
            </w:r>
          </w:p>
          <w:p w:rsidR="00520A2C" w:rsidRPr="00C04776" w:rsidRDefault="00520A2C" w:rsidP="0067305D">
            <w:pPr>
              <w:rPr>
                <w:rFonts w:ascii="Arial" w:hAnsi="Arial" w:cs="Arial"/>
                <w:b/>
                <w:sz w:val="14"/>
                <w:szCs w:val="14"/>
                <w:lang w:val="fr-CA"/>
              </w:rPr>
            </w:pPr>
            <w:r w:rsidRPr="00C04776">
              <w:rPr>
                <w:rFonts w:ascii="Arial" w:hAnsi="Arial" w:cs="Arial"/>
                <w:b/>
                <w:sz w:val="14"/>
                <w:szCs w:val="14"/>
                <w:lang w:val="fr-CA"/>
              </w:rPr>
              <w:t>Conférence de la Cour</w:t>
            </w:r>
          </w:p>
        </w:tc>
        <w:tc>
          <w:tcPr>
            <w:tcW w:w="45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520A2C" w:rsidRPr="00C04776" w:rsidRDefault="00520A2C" w:rsidP="0067305D">
            <w:pPr>
              <w:jc w:val="center"/>
              <w:rPr>
                <w:rFonts w:ascii="Arial" w:hAnsi="Arial" w:cs="Arial"/>
                <w:b/>
                <w:sz w:val="14"/>
                <w:szCs w:val="14"/>
              </w:rPr>
            </w:pPr>
            <w:r w:rsidRPr="00C04776">
              <w:rPr>
                <w:rFonts w:ascii="Arial" w:hAnsi="Arial" w:cs="Arial"/>
                <w:b/>
                <w:sz w:val="14"/>
                <w:szCs w:val="14"/>
              </w:rPr>
              <w:t>CC</w:t>
            </w:r>
          </w:p>
        </w:tc>
        <w:tc>
          <w:tcPr>
            <w:tcW w:w="3580" w:type="dxa"/>
            <w:tcBorders>
              <w:left w:val="double" w:sz="4" w:space="0" w:color="auto"/>
            </w:tcBorders>
          </w:tcPr>
          <w:p w:rsidR="00520A2C" w:rsidRPr="00C04776" w:rsidRDefault="00520A2C" w:rsidP="0067305D">
            <w:pPr>
              <w:tabs>
                <w:tab w:val="left" w:pos="203"/>
              </w:tabs>
              <w:spacing w:before="120"/>
              <w:rPr>
                <w:rFonts w:ascii="Arial" w:hAnsi="Arial" w:cs="Arial"/>
                <w:b/>
                <w:sz w:val="14"/>
                <w:szCs w:val="14"/>
                <w:lang w:val="fr-CA"/>
              </w:rPr>
            </w:pPr>
            <w:r w:rsidRPr="00C04776">
              <w:rPr>
                <w:rFonts w:ascii="Arial" w:hAnsi="Arial" w:cs="Arial"/>
                <w:b/>
                <w:sz w:val="14"/>
                <w:szCs w:val="14"/>
                <w:lang w:val="fr-CA"/>
              </w:rPr>
              <w:t>9</w:t>
            </w:r>
            <w:r w:rsidRPr="00C04776">
              <w:rPr>
                <w:rFonts w:ascii="Arial" w:hAnsi="Arial" w:cs="Arial"/>
                <w:b/>
                <w:sz w:val="14"/>
                <w:szCs w:val="14"/>
                <w:lang w:val="fr-CA"/>
              </w:rPr>
              <w:tab/>
              <w:t>Court conference days /</w:t>
            </w:r>
          </w:p>
          <w:p w:rsidR="00520A2C" w:rsidRPr="00C04776" w:rsidRDefault="00520A2C" w:rsidP="0067305D">
            <w:pPr>
              <w:tabs>
                <w:tab w:val="left" w:pos="203"/>
              </w:tabs>
              <w:rPr>
                <w:rFonts w:ascii="Arial" w:hAnsi="Arial" w:cs="Arial"/>
                <w:b/>
                <w:sz w:val="14"/>
                <w:szCs w:val="14"/>
                <w:lang w:val="fr-CA"/>
              </w:rPr>
            </w:pPr>
            <w:r w:rsidRPr="00C04776">
              <w:rPr>
                <w:rFonts w:ascii="Arial" w:hAnsi="Arial" w:cs="Arial"/>
                <w:b/>
                <w:sz w:val="14"/>
                <w:szCs w:val="14"/>
                <w:lang w:val="fr-CA"/>
              </w:rPr>
              <w:tab/>
              <w:t>jours de conférence de la Cour</w:t>
            </w:r>
          </w:p>
        </w:tc>
        <w:tc>
          <w:tcPr>
            <w:tcW w:w="4140" w:type="dxa"/>
            <w:tcMar>
              <w:left w:w="58" w:type="dxa"/>
              <w:right w:w="58" w:type="dxa"/>
            </w:tcMar>
          </w:tcPr>
          <w:p w:rsidR="00520A2C" w:rsidRPr="00C04776" w:rsidRDefault="00520A2C" w:rsidP="0067305D">
            <w:pPr>
              <w:rPr>
                <w:rFonts w:ascii="Arial" w:hAnsi="Arial" w:cs="Arial"/>
                <w:b/>
                <w:sz w:val="14"/>
                <w:szCs w:val="14"/>
                <w:lang w:val="fr-FR"/>
              </w:rPr>
            </w:pPr>
          </w:p>
        </w:tc>
        <w:tc>
          <w:tcPr>
            <w:tcW w:w="720" w:type="dxa"/>
          </w:tcPr>
          <w:p w:rsidR="00520A2C" w:rsidRPr="00C04776" w:rsidRDefault="00520A2C" w:rsidP="0067305D">
            <w:pPr>
              <w:jc w:val="center"/>
              <w:rPr>
                <w:rFonts w:ascii="Arial" w:hAnsi="Arial" w:cs="Arial"/>
                <w:b/>
                <w:sz w:val="14"/>
                <w:szCs w:val="14"/>
                <w:lang w:val="fr-FR"/>
              </w:rPr>
            </w:pPr>
          </w:p>
        </w:tc>
      </w:tr>
      <w:tr w:rsidR="00520A2C" w:rsidRPr="005F7AEC" w:rsidTr="0067305D">
        <w:trPr>
          <w:trHeight w:val="528"/>
        </w:trPr>
        <w:tc>
          <w:tcPr>
            <w:tcW w:w="1782" w:type="dxa"/>
            <w:tcBorders>
              <w:right w:val="double" w:sz="4" w:space="0" w:color="auto"/>
            </w:tcBorders>
            <w:vAlign w:val="center"/>
          </w:tcPr>
          <w:p w:rsidR="00520A2C" w:rsidRPr="00C04776" w:rsidRDefault="00520A2C" w:rsidP="0067305D">
            <w:pPr>
              <w:rPr>
                <w:rFonts w:ascii="Arial" w:hAnsi="Arial" w:cs="Arial"/>
                <w:b/>
                <w:sz w:val="14"/>
                <w:szCs w:val="14"/>
              </w:rPr>
            </w:pPr>
            <w:r w:rsidRPr="00C04776">
              <w:rPr>
                <w:rFonts w:ascii="Arial" w:hAnsi="Arial" w:cs="Arial"/>
                <w:b/>
                <w:sz w:val="14"/>
                <w:szCs w:val="14"/>
              </w:rPr>
              <w:t xml:space="preserve">Holiday / </w:t>
            </w:r>
            <w:r w:rsidRPr="00C04776">
              <w:rPr>
                <w:rFonts w:ascii="Arial" w:hAnsi="Arial" w:cs="Arial"/>
                <w:b/>
                <w:sz w:val="14"/>
                <w:szCs w:val="14"/>
                <w:lang w:val="fr-CA"/>
              </w:rPr>
              <w:t>Jour férié</w:t>
            </w:r>
          </w:p>
        </w:tc>
        <w:tc>
          <w:tcPr>
            <w:tcW w:w="450" w:type="dxa"/>
            <w:tcBorders>
              <w:top w:val="double" w:sz="4" w:space="0" w:color="auto"/>
              <w:left w:val="double" w:sz="4" w:space="0" w:color="auto"/>
              <w:bottom w:val="double" w:sz="4" w:space="0" w:color="auto"/>
              <w:right w:val="double" w:sz="4" w:space="0" w:color="auto"/>
            </w:tcBorders>
            <w:vAlign w:val="center"/>
          </w:tcPr>
          <w:p w:rsidR="00520A2C" w:rsidRPr="00C04776" w:rsidRDefault="00520A2C" w:rsidP="0067305D">
            <w:pPr>
              <w:jc w:val="center"/>
              <w:rPr>
                <w:rFonts w:ascii="Arial" w:hAnsi="Arial" w:cs="Arial"/>
                <w:b/>
                <w:sz w:val="14"/>
                <w:szCs w:val="14"/>
              </w:rPr>
            </w:pPr>
            <w:r w:rsidRPr="00C04776">
              <w:rPr>
                <w:rFonts w:ascii="Arial" w:hAnsi="Arial" w:cs="Arial"/>
                <w:b/>
                <w:sz w:val="14"/>
                <w:szCs w:val="14"/>
              </w:rPr>
              <w:t>H</w:t>
            </w:r>
          </w:p>
        </w:tc>
        <w:tc>
          <w:tcPr>
            <w:tcW w:w="3580" w:type="dxa"/>
            <w:tcBorders>
              <w:left w:val="double" w:sz="4" w:space="0" w:color="auto"/>
            </w:tcBorders>
          </w:tcPr>
          <w:p w:rsidR="00520A2C" w:rsidRPr="00C04776" w:rsidRDefault="00520A2C" w:rsidP="0067305D">
            <w:pPr>
              <w:tabs>
                <w:tab w:val="left" w:pos="203"/>
              </w:tabs>
              <w:spacing w:before="120"/>
              <w:rPr>
                <w:rFonts w:ascii="Arial" w:hAnsi="Arial" w:cs="Arial"/>
                <w:b/>
                <w:sz w:val="14"/>
                <w:szCs w:val="14"/>
                <w:lang w:val="fr-CA"/>
              </w:rPr>
            </w:pPr>
            <w:r w:rsidRPr="00C04776">
              <w:rPr>
                <w:rFonts w:ascii="Arial" w:hAnsi="Arial" w:cs="Arial"/>
                <w:b/>
                <w:sz w:val="14"/>
                <w:szCs w:val="14"/>
                <w:lang w:val="fr-FR"/>
              </w:rPr>
              <w:t>5</w:t>
            </w:r>
            <w:r w:rsidRPr="00C04776">
              <w:rPr>
                <w:rFonts w:ascii="Arial" w:hAnsi="Arial" w:cs="Arial"/>
                <w:b/>
                <w:sz w:val="14"/>
                <w:szCs w:val="14"/>
                <w:lang w:val="fr-FR"/>
              </w:rPr>
              <w:tab/>
              <w:t xml:space="preserve">holidays during sitting days / </w:t>
            </w:r>
          </w:p>
          <w:p w:rsidR="00520A2C" w:rsidRPr="0065734F" w:rsidRDefault="00520A2C" w:rsidP="0067305D">
            <w:pPr>
              <w:tabs>
                <w:tab w:val="left" w:pos="203"/>
              </w:tabs>
              <w:rPr>
                <w:rFonts w:ascii="Arial" w:hAnsi="Arial" w:cs="Arial"/>
                <w:b/>
                <w:sz w:val="14"/>
                <w:szCs w:val="14"/>
                <w:lang w:val="fr-CA"/>
              </w:rPr>
            </w:pPr>
            <w:r w:rsidRPr="00C04776">
              <w:rPr>
                <w:rFonts w:ascii="Arial" w:hAnsi="Arial" w:cs="Arial"/>
                <w:b/>
                <w:sz w:val="14"/>
                <w:szCs w:val="14"/>
                <w:lang w:val="fr-CA"/>
              </w:rPr>
              <w:tab/>
              <w:t>jours fériés durant les séances</w:t>
            </w:r>
          </w:p>
        </w:tc>
        <w:tc>
          <w:tcPr>
            <w:tcW w:w="4140" w:type="dxa"/>
            <w:tcMar>
              <w:left w:w="58" w:type="dxa"/>
              <w:right w:w="58" w:type="dxa"/>
            </w:tcMar>
          </w:tcPr>
          <w:p w:rsidR="00520A2C" w:rsidRPr="001E6032" w:rsidRDefault="00520A2C" w:rsidP="0067305D">
            <w:pPr>
              <w:rPr>
                <w:rFonts w:ascii="Arial" w:hAnsi="Arial" w:cs="Arial"/>
                <w:b/>
                <w:sz w:val="14"/>
                <w:szCs w:val="14"/>
                <w:lang w:val="fr-FR"/>
              </w:rPr>
            </w:pPr>
          </w:p>
        </w:tc>
        <w:tc>
          <w:tcPr>
            <w:tcW w:w="720" w:type="dxa"/>
          </w:tcPr>
          <w:p w:rsidR="00520A2C" w:rsidRPr="0065630E" w:rsidRDefault="00520A2C" w:rsidP="0067305D">
            <w:pPr>
              <w:jc w:val="center"/>
              <w:rPr>
                <w:rFonts w:ascii="Arial" w:hAnsi="Arial" w:cs="Arial"/>
                <w:b/>
                <w:sz w:val="14"/>
                <w:szCs w:val="14"/>
                <w:lang w:val="fr-FR"/>
              </w:rPr>
            </w:pPr>
          </w:p>
        </w:tc>
      </w:tr>
    </w:tbl>
    <w:p w:rsidR="002410B8" w:rsidRPr="0022323B" w:rsidRDefault="002410B8" w:rsidP="00520A2C">
      <w:pPr>
        <w:tabs>
          <w:tab w:val="center" w:pos="5489"/>
          <w:tab w:val="right" w:pos="10915"/>
        </w:tabs>
        <w:ind w:right="-91"/>
        <w:rPr>
          <w:lang w:val="fr-CA"/>
        </w:rPr>
      </w:pPr>
    </w:p>
    <w:sectPr w:rsidR="002410B8" w:rsidRPr="0022323B" w:rsidSect="00520A2C">
      <w:headerReference w:type="default" r:id="rId41"/>
      <w:footerReference w:type="default" r:id="rId42"/>
      <w:pgSz w:w="12240" w:h="15840" w:code="1"/>
      <w:pgMar w:top="720" w:right="720" w:bottom="99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5D" w:rsidRDefault="0067305D" w:rsidP="00A87207">
      <w:r>
        <w:separator/>
      </w:r>
    </w:p>
  </w:endnote>
  <w:endnote w:type="continuationSeparator" w:id="0">
    <w:p w:rsidR="0067305D" w:rsidRDefault="0067305D"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A87207">
    <w:pPr>
      <w:pStyle w:val="Footer"/>
    </w:pPr>
    <w:r>
      <w:pict>
        <v:rect id="_x0000_i1039" style="width:480.95pt;height:1pt" o:hralign="center" o:hrstd="t" o:hrnoshade="t" o:hr="t" fillcolor="black [3213]" stroked="f"/>
      </w:pict>
    </w:r>
  </w:p>
  <w:p w:rsidR="0067305D" w:rsidRPr="00B7374B" w:rsidRDefault="0067305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3D7763">
      <w:rPr>
        <w:noProof/>
        <w:szCs w:val="24"/>
      </w:rPr>
      <w:t>1148</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pPr>
      <w:pStyle w:val="Footer"/>
      <w:rPr>
        <w:lang w:val="fr-CA"/>
      </w:rPr>
    </w:pPr>
    <w:r>
      <w:rPr>
        <w:lang w:val="fr-CA"/>
      </w:rPr>
      <w:pict>
        <v:rect id="_x0000_i1059" style="width:480.95pt;height:1pt" o:hralign="center" o:hrstd="t" o:hrnoshade="t" o:hr="t" fillcolor="black [3213]" stroked="f"/>
      </w:pict>
    </w:r>
  </w:p>
  <w:p w:rsidR="0067305D" w:rsidRDefault="0067305D" w:rsidP="00EB2B90">
    <w:pPr>
      <w:tabs>
        <w:tab w:val="center" w:pos="4680"/>
      </w:tabs>
    </w:pPr>
    <w:r>
      <w:tab/>
      <w:t xml:space="preserve">- </w:t>
    </w:r>
    <w:r>
      <w:fldChar w:fldCharType="begin"/>
    </w:r>
    <w:r>
      <w:instrText xml:space="preserve"> PAGE   \* MERGEFORMAT </w:instrText>
    </w:r>
    <w:r>
      <w:fldChar w:fldCharType="separate"/>
    </w:r>
    <w:r w:rsidR="003D7763">
      <w:rPr>
        <w:noProof/>
      </w:rPr>
      <w:t>1154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7305D" w:rsidRDefault="0067305D">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732DB7">
    <w:r>
      <w:pict>
        <v:rect id="_x0000_i1061" style="width:480.95pt;height:1pt" o:hralign="center" o:hrstd="t" o:hrnoshade="t" o:hr="t" fillcolor="black" stroked="f"/>
      </w:pict>
    </w:r>
  </w:p>
  <w:p w:rsidR="0067305D" w:rsidRDefault="0067305D">
    <w:pPr>
      <w:tabs>
        <w:tab w:val="center" w:pos="4740"/>
      </w:tabs>
      <w:spacing w:line="0" w:lineRule="atLeast"/>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pPr>
      <w:pStyle w:val="Footer"/>
    </w:pPr>
    <w:r>
      <w:pict>
        <v:rect id="_x0000_i1062" style="width:480.95pt;height:1pt" o:hralign="center" o:hrstd="t" o:hrnoshade="t" o:hr="t" fillcolor="black [3213]" stroked="f"/>
      </w:pict>
    </w:r>
  </w:p>
  <w:p w:rsidR="0067305D" w:rsidRPr="003C2C0F" w:rsidRDefault="0067305D" w:rsidP="00697C62">
    <w:pPr>
      <w:tabs>
        <w:tab w:val="center" w:pos="4680"/>
      </w:tabs>
    </w:pPr>
    <w:r>
      <w:tab/>
      <w:t xml:space="preserve">- </w:t>
    </w:r>
    <w:r>
      <w:fldChar w:fldCharType="begin"/>
    </w:r>
    <w:r>
      <w:instrText xml:space="preserve"> PAGE   \* MERGEFORMAT </w:instrText>
    </w:r>
    <w:r>
      <w:fldChar w:fldCharType="separate"/>
    </w:r>
    <w:r w:rsidR="003D7763">
      <w:rPr>
        <w:noProof/>
      </w:rPr>
      <w:t>1156</w:t>
    </w:r>
    <w:r>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pPr>
      <w:rPr>
        <w:szCs w:val="20"/>
      </w:rPr>
    </w:pPr>
    <w:r>
      <w:pict>
        <v:rect id="_x0000_i1065" style="width:480.95pt;height:1pt" o:hralign="center" o:hrstd="t" o:hrnoshade="t" o:hr="t" fillcolor="black [3213]" stroked="f"/>
      </w:pict>
    </w:r>
  </w:p>
  <w:p w:rsidR="0067305D" w:rsidRDefault="0067305D">
    <w:pPr>
      <w:tabs>
        <w:tab w:val="center" w:pos="4740"/>
      </w:tabs>
      <w:rPr>
        <w:szCs w:val="20"/>
      </w:rPr>
    </w:pPr>
    <w:r>
      <w:rPr>
        <w:szCs w:val="20"/>
      </w:rPr>
      <w:tab/>
      <w:t xml:space="preserve">- </w:t>
    </w:r>
    <w:r>
      <w:rPr>
        <w:szCs w:val="20"/>
      </w:rPr>
      <w:fldChar w:fldCharType="begin"/>
    </w:r>
    <w:r>
      <w:rPr>
        <w:szCs w:val="20"/>
      </w:rPr>
      <w:instrText xml:space="preserve">PAGE </w:instrText>
    </w:r>
    <w:r>
      <w:rPr>
        <w:szCs w:val="20"/>
      </w:rPr>
      <w:fldChar w:fldCharType="separate"/>
    </w:r>
    <w:r w:rsidR="003D7763">
      <w:rPr>
        <w:noProof/>
        <w:szCs w:val="20"/>
      </w:rPr>
      <w:t>1162</w:t>
    </w:r>
    <w:r>
      <w:rPr>
        <w:szCs w:val="20"/>
      </w:rPr>
      <w:fldChar w:fldCharType="end"/>
    </w:r>
    <w:r>
      <w:rPr>
        <w:szCs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6B6926">
    <w:pPr>
      <w:tabs>
        <w:tab w:val="center" w:pos="4680"/>
      </w:tabs>
      <w:rPr>
        <w:lang w:val="fr-CA"/>
      </w:rPr>
    </w:pPr>
    <w:r>
      <w:rPr>
        <w:lang w:val="fr-CA"/>
      </w:rPr>
      <w:pict>
        <v:rect id="_x0000_i1066" style="width:480.95pt;height:1pt" o:hralign="center" o:hrstd="t" o:hrnoshade="t" o:hr="t" fillcolor="black [3213]" stroked="f"/>
      </w:pict>
    </w:r>
  </w:p>
  <w:p w:rsidR="0067305D" w:rsidRDefault="0067305D" w:rsidP="006B6926">
    <w:pPr>
      <w:tabs>
        <w:tab w:val="center" w:pos="4680"/>
      </w:tabs>
    </w:pPr>
    <w:r>
      <w:tab/>
      <w:t xml:space="preserve">- </w:t>
    </w:r>
    <w:r>
      <w:fldChar w:fldCharType="begin"/>
    </w:r>
    <w:r>
      <w:instrText xml:space="preserve">PAGE </w:instrText>
    </w:r>
    <w:r>
      <w:fldChar w:fldCharType="separate"/>
    </w:r>
    <w:r w:rsidR="003D7763">
      <w:rPr>
        <w:noProof/>
      </w:rPr>
      <w:t>1157</w:t>
    </w:r>
    <w:r>
      <w:rPr>
        <w:noProof/>
      </w:rP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Pr="00924065" w:rsidRDefault="0067305D"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755F22">
    <w:pPr>
      <w:tabs>
        <w:tab w:val="left" w:pos="-1440"/>
        <w:tab w:val="left" w:pos="-720"/>
      </w:tabs>
    </w:pPr>
    <w:r>
      <w:pict>
        <v:rect id="_x0000_i1040" style="width:480.95pt;height:1pt" o:hralign="center" o:hrstd="t" o:hrnoshade="t" o:hr="t" fillcolor="black [3213]" stroked="f"/>
      </w:pict>
    </w:r>
  </w:p>
  <w:p w:rsidR="0067305D" w:rsidRPr="00954D22" w:rsidRDefault="0067305D"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3D7763">
      <w:rPr>
        <w:noProof/>
        <w:szCs w:val="24"/>
      </w:rPr>
      <w:t>1147</w:t>
    </w:r>
    <w:r>
      <w:rPr>
        <w:szCs w:val="24"/>
      </w:rPr>
      <w:fldChar w:fldCharType="end"/>
    </w:r>
    <w:r w:rsidRPr="00954D22">
      <w:rPr>
        <w:szCs w:val="24"/>
      </w:rPr>
      <w:t xml:space="preserve"> -</w:t>
    </w:r>
  </w:p>
  <w:p w:rsidR="0067305D" w:rsidRDefault="00673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A87207">
    <w:pPr>
      <w:pStyle w:val="Footer"/>
    </w:pPr>
    <w:r>
      <w:pict>
        <v:rect id="_x0000_i1042" style="width:480.95pt;height:1pt" o:hralign="center" o:hrstd="t" o:hrnoshade="t" o:hr="t" fillcolor="black [3213]" stroked="f"/>
      </w:pict>
    </w:r>
  </w:p>
  <w:p w:rsidR="0067305D" w:rsidRPr="00B7374B" w:rsidRDefault="0067305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503</w:t>
    </w:r>
    <w:r w:rsidRPr="00954D22">
      <w:rPr>
        <w:szCs w:val="24"/>
      </w:rPr>
      <w:fldChar w:fldCharType="end"/>
    </w:r>
    <w:r>
      <w:rPr>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3" style="width:480.95pt;height:1pt" o:hralign="center" o:hrstd="t" o:hrnoshade="t" o:hr="t" fillcolor="black [3213]" stroked="f"/>
      </w:pict>
    </w:r>
  </w:p>
  <w:p w:rsidR="0067305D" w:rsidRPr="00954D22" w:rsidRDefault="0067305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3D7763">
      <w:rPr>
        <w:noProof/>
        <w:szCs w:val="24"/>
      </w:rPr>
      <w:t>1149</w:t>
    </w:r>
    <w:r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7305D" w:rsidRDefault="0067305D">
    <w:pPr>
      <w:tabs>
        <w:tab w:val="center" w:pos="4740"/>
      </w:tabs>
    </w:pPr>
    <w:r>
      <w:tab/>
      <w:t xml:space="preserve">- </w:t>
    </w:r>
    <w:r>
      <w:pgNum/>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755F22">
    <w:pPr>
      <w:tabs>
        <w:tab w:val="left" w:pos="-1440"/>
        <w:tab w:val="left" w:pos="-720"/>
      </w:tabs>
    </w:pPr>
    <w:r>
      <w:pict>
        <v:rect id="_x0000_i1046" style="width:480.95pt;height:1pt" o:hralign="center" o:hrstd="t" o:hrnoshade="t" o:hr="t" fillcolor="black [3213]" stroked="f"/>
      </w:pict>
    </w:r>
  </w:p>
  <w:p w:rsidR="0067305D" w:rsidRDefault="0067305D" w:rsidP="00EB2B90">
    <w:pPr>
      <w:tabs>
        <w:tab w:val="center" w:pos="4680"/>
      </w:tabs>
    </w:pPr>
    <w:r>
      <w:tab/>
      <w:t xml:space="preserve">- </w:t>
    </w:r>
    <w:r>
      <w:fldChar w:fldCharType="begin"/>
    </w:r>
    <w:r>
      <w:instrText xml:space="preserve"> PAGE   \* MERGEFORMAT </w:instrText>
    </w:r>
    <w:r>
      <w:fldChar w:fldCharType="separate"/>
    </w:r>
    <w:r w:rsidR="003D7763">
      <w:rPr>
        <w:noProof/>
      </w:rPr>
      <w:t>1153</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rsidP="00EB2B90">
    <w:pPr>
      <w:tabs>
        <w:tab w:val="center" w:pos="4680"/>
      </w:tabs>
    </w:pPr>
    <w:r>
      <w:pict>
        <v:rect id="_x0000_i1047" style="width:480.95pt;height:1pt" o:hralign="center" o:hrstd="t" o:hrnoshade="t" o:hr="t" fillcolor="black [3213]" stroked="f"/>
      </w:pict>
    </w:r>
  </w:p>
  <w:p w:rsidR="0067305D" w:rsidRPr="0031432F" w:rsidRDefault="0067305D" w:rsidP="00EB2B90">
    <w:pPr>
      <w:tabs>
        <w:tab w:val="center" w:pos="4680"/>
      </w:tabs>
    </w:pPr>
    <w:r>
      <w:tab/>
      <w:t xml:space="preserve">- </w:t>
    </w:r>
    <w:r>
      <w:fldChar w:fldCharType="begin"/>
    </w:r>
    <w:r>
      <w:instrText xml:space="preserve"> PAGE   \* MERGEFORMAT </w:instrText>
    </w:r>
    <w:r>
      <w:fldChar w:fldCharType="separate"/>
    </w:r>
    <w:r w:rsidR="003D7763">
      <w:rPr>
        <w:noProof/>
      </w:rPr>
      <w:t>1150</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7305D" w:rsidRDefault="0067305D">
    <w:pPr>
      <w:tabs>
        <w:tab w:val="center" w:pos="4740"/>
      </w:tabs>
    </w:pPr>
    <w:r>
      <w:tab/>
      <w:t xml:space="preserve">- </w:t>
    </w:r>
    <w:r>
      <w:pgNum/>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3D77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8" style="width:480.95pt;height:1pt" o:hralign="center" o:hrstd="t" o:hrnoshade="t" o:hr="t" fillcolor="black [3213]" stroked="f"/>
      </w:pict>
    </w:r>
  </w:p>
  <w:p w:rsidR="0067305D" w:rsidRDefault="0067305D" w:rsidP="00EB2B90">
    <w:pPr>
      <w:tabs>
        <w:tab w:val="center" w:pos="4680"/>
      </w:tabs>
    </w:pPr>
    <w:r>
      <w:tab/>
      <w:t xml:space="preserve">- </w:t>
    </w:r>
    <w:r>
      <w:fldChar w:fldCharType="begin"/>
    </w:r>
    <w:r>
      <w:instrText xml:space="preserve"> PAGE   \* MERGEFORMAT </w:instrText>
    </w:r>
    <w:r>
      <w:fldChar w:fldCharType="separate"/>
    </w:r>
    <w:r w:rsidR="003D7763">
      <w:rPr>
        <w:noProof/>
      </w:rPr>
      <w:t>1155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5D" w:rsidRDefault="0067305D" w:rsidP="00A87207">
      <w:r>
        <w:separator/>
      </w:r>
    </w:p>
  </w:footnote>
  <w:footnote w:type="continuationSeparator" w:id="0">
    <w:p w:rsidR="0067305D" w:rsidRDefault="0067305D"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67305D" w:rsidRPr="0044776A" w:rsidTr="00245129">
      <w:tc>
        <w:tcPr>
          <w:tcW w:w="4290" w:type="dxa"/>
          <w:tcMar>
            <w:left w:w="0" w:type="dxa"/>
            <w:right w:w="0" w:type="dxa"/>
          </w:tcMar>
        </w:tcPr>
        <w:p w:rsidR="0067305D" w:rsidRPr="0044776A" w:rsidRDefault="0067305D"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67305D" w:rsidRPr="0044776A" w:rsidRDefault="0067305D" w:rsidP="002E2327">
          <w:pPr>
            <w:keepNext/>
            <w:keepLines/>
            <w:tabs>
              <w:tab w:val="left" w:pos="-1440"/>
              <w:tab w:val="left" w:pos="-720"/>
            </w:tabs>
            <w:jc w:val="center"/>
            <w:rPr>
              <w:sz w:val="20"/>
              <w:szCs w:val="20"/>
            </w:rPr>
          </w:pPr>
        </w:p>
        <w:p w:rsidR="0067305D" w:rsidRPr="0044776A" w:rsidRDefault="0067305D" w:rsidP="002E2327">
          <w:pPr>
            <w:keepNext/>
            <w:keepLines/>
            <w:tabs>
              <w:tab w:val="left" w:pos="-1440"/>
              <w:tab w:val="left" w:pos="-720"/>
            </w:tabs>
            <w:jc w:val="center"/>
            <w:rPr>
              <w:sz w:val="20"/>
              <w:szCs w:val="20"/>
            </w:rPr>
          </w:pPr>
        </w:p>
        <w:p w:rsidR="0067305D" w:rsidRPr="0044776A" w:rsidRDefault="0067305D" w:rsidP="002E2327">
          <w:pPr>
            <w:keepNext/>
            <w:keepLines/>
            <w:tabs>
              <w:tab w:val="left" w:pos="-1440"/>
              <w:tab w:val="left" w:pos="-720"/>
            </w:tabs>
            <w:jc w:val="center"/>
            <w:rPr>
              <w:sz w:val="20"/>
              <w:szCs w:val="20"/>
            </w:rPr>
          </w:pPr>
        </w:p>
      </w:tc>
      <w:tc>
        <w:tcPr>
          <w:tcW w:w="4320" w:type="dxa"/>
          <w:tcMar>
            <w:left w:w="0" w:type="dxa"/>
            <w:right w:w="0" w:type="dxa"/>
          </w:tcMar>
        </w:tcPr>
        <w:p w:rsidR="0067305D" w:rsidRPr="0044776A" w:rsidRDefault="0067305D" w:rsidP="002E2327">
          <w:pPr>
            <w:keepLines/>
            <w:rPr>
              <w:sz w:val="20"/>
              <w:szCs w:val="20"/>
              <w:lang w:val="fr-CA"/>
            </w:rPr>
          </w:pPr>
          <w:r w:rsidRPr="0044776A">
            <w:rPr>
              <w:sz w:val="20"/>
              <w:szCs w:val="20"/>
              <w:lang w:val="fr-CA"/>
            </w:rPr>
            <w:t>DEMANDES D'AUTORISATION D'APPEL DÉPOSÉES</w:t>
          </w:r>
        </w:p>
      </w:tc>
    </w:tr>
  </w:tbl>
  <w:p w:rsidR="0067305D" w:rsidRDefault="0067305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7305D" w:rsidRPr="003D7763">
      <w:tc>
        <w:tcPr>
          <w:tcW w:w="4200" w:type="dxa"/>
          <w:tcMar>
            <w:left w:w="0" w:type="dxa"/>
            <w:right w:w="0" w:type="dxa"/>
          </w:tcMar>
        </w:tcPr>
        <w:p w:rsidR="0067305D" w:rsidRDefault="0067305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67305D" w:rsidRDefault="0067305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67305D" w:rsidRDefault="0067305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67305D" w:rsidRPr="003C2C0F" w:rsidRDefault="0067305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67305D" w:rsidRPr="003C2C0F"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67305D" w:rsidRPr="003C2C0F"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67305D" w:rsidRPr="003D7763" w:rsidTr="00245129">
      <w:tc>
        <w:tcPr>
          <w:tcW w:w="4200" w:type="dxa"/>
          <w:tcMar>
            <w:left w:w="0" w:type="dxa"/>
            <w:right w:w="0" w:type="dxa"/>
          </w:tcMar>
        </w:tcPr>
        <w:p w:rsidR="0067305D" w:rsidRPr="00FF6EEC" w:rsidRDefault="0067305D" w:rsidP="00FF6EEC">
          <w:pPr>
            <w:rPr>
              <w:sz w:val="20"/>
              <w:szCs w:val="20"/>
            </w:rPr>
          </w:pPr>
          <w:r w:rsidRPr="00FF6EEC">
            <w:rPr>
              <w:sz w:val="20"/>
              <w:szCs w:val="20"/>
            </w:rPr>
            <w:t>PRONOUNCEMENTS OF APPEALS RESERVED</w:t>
          </w:r>
        </w:p>
      </w:tc>
      <w:tc>
        <w:tcPr>
          <w:tcW w:w="1200" w:type="dxa"/>
          <w:tcMar>
            <w:left w:w="0" w:type="dxa"/>
            <w:right w:w="0" w:type="dxa"/>
          </w:tcMar>
        </w:tcPr>
        <w:p w:rsidR="0067305D" w:rsidRPr="00FF6EEC" w:rsidRDefault="0067305D" w:rsidP="00FF6EEC">
          <w:pPr>
            <w:jc w:val="center"/>
            <w:rPr>
              <w:sz w:val="20"/>
              <w:szCs w:val="20"/>
            </w:rPr>
          </w:pPr>
        </w:p>
        <w:p w:rsidR="0067305D" w:rsidRPr="00FF6EEC" w:rsidRDefault="0067305D" w:rsidP="00FF6EEC">
          <w:pPr>
            <w:jc w:val="center"/>
            <w:rPr>
              <w:sz w:val="20"/>
              <w:szCs w:val="20"/>
            </w:rPr>
          </w:pPr>
        </w:p>
        <w:p w:rsidR="0067305D" w:rsidRPr="00FF6EEC" w:rsidRDefault="0067305D" w:rsidP="00FF6EEC">
          <w:pPr>
            <w:jc w:val="center"/>
            <w:rPr>
              <w:sz w:val="20"/>
              <w:szCs w:val="20"/>
            </w:rPr>
          </w:pPr>
        </w:p>
      </w:tc>
      <w:tc>
        <w:tcPr>
          <w:tcW w:w="4080" w:type="dxa"/>
          <w:tcMar>
            <w:left w:w="0" w:type="dxa"/>
            <w:right w:w="0" w:type="dxa"/>
          </w:tcMar>
        </w:tcPr>
        <w:p w:rsidR="0067305D" w:rsidRPr="00FF6EEC" w:rsidRDefault="0067305D" w:rsidP="00FF6EEC">
          <w:pPr>
            <w:rPr>
              <w:sz w:val="20"/>
              <w:szCs w:val="20"/>
              <w:lang w:val="fr-CA"/>
            </w:rPr>
          </w:pPr>
          <w:r w:rsidRPr="00FF6EEC">
            <w:rPr>
              <w:sz w:val="20"/>
              <w:szCs w:val="20"/>
              <w:lang w:val="fr-CA"/>
            </w:rPr>
            <w:t>JUGEMENTS RENDUS SUR LES APPELS EN DÉLIBÉRÉ</w:t>
          </w:r>
        </w:p>
      </w:tc>
    </w:tr>
  </w:tbl>
  <w:p w:rsidR="0067305D" w:rsidRPr="003C2C0F" w:rsidRDefault="0067305D"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67305D" w:rsidRPr="002410B8" w:rsidTr="00245129">
      <w:tc>
        <w:tcPr>
          <w:tcW w:w="4200" w:type="dxa"/>
        </w:tcPr>
        <w:p w:rsidR="0067305D" w:rsidRPr="002410B8" w:rsidRDefault="0067305D" w:rsidP="00C50A5C">
          <w:pPr>
            <w:rPr>
              <w:sz w:val="20"/>
              <w:szCs w:val="20"/>
            </w:rPr>
          </w:pPr>
          <w:r w:rsidRPr="002410B8">
            <w:rPr>
              <w:sz w:val="20"/>
              <w:szCs w:val="20"/>
            </w:rPr>
            <w:t>NOTE TO SUBSCRIBERS</w:t>
          </w:r>
        </w:p>
      </w:tc>
      <w:tc>
        <w:tcPr>
          <w:tcW w:w="1200" w:type="dxa"/>
        </w:tcPr>
        <w:p w:rsidR="0067305D" w:rsidRPr="002410B8" w:rsidRDefault="0067305D" w:rsidP="002410B8">
          <w:pPr>
            <w:jc w:val="center"/>
            <w:rPr>
              <w:sz w:val="20"/>
              <w:szCs w:val="20"/>
            </w:rPr>
          </w:pPr>
        </w:p>
        <w:p w:rsidR="0067305D" w:rsidRPr="002410B8" w:rsidRDefault="0067305D" w:rsidP="002410B8">
          <w:pPr>
            <w:jc w:val="center"/>
            <w:rPr>
              <w:sz w:val="20"/>
              <w:szCs w:val="20"/>
            </w:rPr>
          </w:pPr>
        </w:p>
      </w:tc>
      <w:tc>
        <w:tcPr>
          <w:tcW w:w="4080" w:type="dxa"/>
        </w:tcPr>
        <w:p w:rsidR="0067305D" w:rsidRPr="002410B8" w:rsidRDefault="0067305D" w:rsidP="00C50A5C">
          <w:pPr>
            <w:rPr>
              <w:sz w:val="20"/>
              <w:szCs w:val="20"/>
              <w:lang w:val="fr-CA"/>
            </w:rPr>
          </w:pPr>
          <w:r w:rsidRPr="002410B8">
            <w:rPr>
              <w:sz w:val="20"/>
              <w:szCs w:val="20"/>
              <w:lang w:val="fr-CA"/>
            </w:rPr>
            <w:t>NOTE AUX ABONNÉS</w:t>
          </w:r>
        </w:p>
      </w:tc>
    </w:tr>
  </w:tbl>
  <w:p w:rsidR="0067305D" w:rsidRDefault="0067305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67305D" w:rsidRPr="003D7763" w:rsidTr="00245129">
      <w:tc>
        <w:tcPr>
          <w:tcW w:w="4200" w:type="dxa"/>
          <w:tcMar>
            <w:left w:w="0" w:type="dxa"/>
            <w:right w:w="0" w:type="dxa"/>
          </w:tcMar>
        </w:tcPr>
        <w:p w:rsidR="0067305D" w:rsidRPr="0044776A" w:rsidRDefault="0067305D" w:rsidP="0044776A">
          <w:pPr>
            <w:keepNext/>
            <w:keepLines/>
            <w:widowControl w:val="0"/>
            <w:rPr>
              <w:sz w:val="20"/>
              <w:szCs w:val="20"/>
            </w:rPr>
          </w:pPr>
          <w:r>
            <w:rPr>
              <w:sz w:val="20"/>
              <w:szCs w:val="20"/>
            </w:rPr>
            <w:t>APPLICATIONS FOR LEAVE</w:t>
          </w:r>
        </w:p>
        <w:p w:rsidR="0067305D" w:rsidRPr="0044776A" w:rsidRDefault="0067305D"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67305D" w:rsidRPr="0044776A" w:rsidRDefault="0067305D" w:rsidP="0044776A">
          <w:pPr>
            <w:keepNext/>
            <w:keepLines/>
            <w:widowControl w:val="0"/>
            <w:jc w:val="center"/>
            <w:rPr>
              <w:sz w:val="20"/>
              <w:szCs w:val="20"/>
            </w:rPr>
          </w:pPr>
        </w:p>
        <w:p w:rsidR="0067305D" w:rsidRPr="0044776A" w:rsidRDefault="0067305D" w:rsidP="0044776A">
          <w:pPr>
            <w:keepNext/>
            <w:keepLines/>
            <w:widowControl w:val="0"/>
            <w:jc w:val="center"/>
            <w:rPr>
              <w:sz w:val="20"/>
              <w:szCs w:val="20"/>
            </w:rPr>
          </w:pPr>
        </w:p>
        <w:p w:rsidR="0067305D" w:rsidRPr="0044776A" w:rsidRDefault="0067305D" w:rsidP="0044776A">
          <w:pPr>
            <w:keepNext/>
            <w:keepLines/>
            <w:widowControl w:val="0"/>
            <w:jc w:val="center"/>
            <w:rPr>
              <w:sz w:val="20"/>
              <w:szCs w:val="20"/>
            </w:rPr>
          </w:pPr>
        </w:p>
      </w:tc>
      <w:tc>
        <w:tcPr>
          <w:tcW w:w="4080" w:type="dxa"/>
          <w:tcMar>
            <w:left w:w="0" w:type="dxa"/>
            <w:right w:w="0" w:type="dxa"/>
          </w:tcMar>
        </w:tcPr>
        <w:p w:rsidR="0067305D" w:rsidRPr="0044776A" w:rsidRDefault="0067305D" w:rsidP="0044776A">
          <w:pPr>
            <w:keepLines/>
            <w:widowControl w:val="0"/>
            <w:rPr>
              <w:sz w:val="20"/>
              <w:szCs w:val="20"/>
              <w:lang w:val="fr-CA"/>
            </w:rPr>
          </w:pPr>
          <w:r w:rsidRPr="0044776A">
            <w:rPr>
              <w:sz w:val="20"/>
              <w:szCs w:val="20"/>
              <w:lang w:val="fr-CA"/>
            </w:rPr>
            <w:t>DEMANDES SOUMISES À LA COUR DEPUIS LA DERNIÈRE PARUTION</w:t>
          </w:r>
        </w:p>
        <w:p w:rsidR="0067305D" w:rsidRPr="0044776A" w:rsidRDefault="0067305D" w:rsidP="0044776A">
          <w:pPr>
            <w:widowControl w:val="0"/>
            <w:rPr>
              <w:sz w:val="20"/>
              <w:szCs w:val="20"/>
              <w:lang w:val="fr-CA"/>
            </w:rPr>
          </w:pPr>
        </w:p>
      </w:tc>
    </w:tr>
  </w:tbl>
  <w:p w:rsidR="0067305D" w:rsidRPr="002E2327" w:rsidRDefault="0067305D">
    <w:pPr>
      <w:pStyle w:val="Header"/>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67305D">
      <w:tc>
        <w:tcPr>
          <w:tcW w:w="4230" w:type="dxa"/>
          <w:tcMar>
            <w:left w:w="0" w:type="dxa"/>
            <w:right w:w="0" w:type="dxa"/>
          </w:tcMar>
        </w:tcPr>
        <w:p w:rsidR="0067305D" w:rsidRDefault="0067305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67305D" w:rsidRDefault="0067305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7305D" w:rsidRDefault="0067305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67305D">
      <w:trPr>
        <w:gridAfter w:val="2"/>
        <w:wAfter w:w="5250" w:type="dxa"/>
      </w:trPr>
      <w:tc>
        <w:tcPr>
          <w:tcW w:w="4230" w:type="dxa"/>
          <w:tcMar>
            <w:left w:w="0" w:type="dxa"/>
            <w:right w:w="0" w:type="dxa"/>
          </w:tcMar>
        </w:tcPr>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67305D"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67305D" w:rsidRPr="00755F22" w:rsidTr="00245129">
      <w:tc>
        <w:tcPr>
          <w:tcW w:w="4230" w:type="dxa"/>
          <w:tcMar>
            <w:left w:w="0" w:type="dxa"/>
            <w:right w:w="0" w:type="dxa"/>
          </w:tcMar>
        </w:tcPr>
        <w:p w:rsidR="0067305D" w:rsidRPr="00755F22" w:rsidRDefault="0067305D" w:rsidP="00831CA9">
          <w:pPr>
            <w:keepNext/>
            <w:keepLines/>
            <w:rPr>
              <w:sz w:val="20"/>
              <w:szCs w:val="20"/>
            </w:rPr>
          </w:pPr>
          <w:r w:rsidRPr="00755F22">
            <w:rPr>
              <w:sz w:val="20"/>
              <w:szCs w:val="20"/>
            </w:rPr>
            <w:t>MOTIONS</w:t>
          </w:r>
        </w:p>
      </w:tc>
      <w:tc>
        <w:tcPr>
          <w:tcW w:w="1170" w:type="dxa"/>
          <w:tcMar>
            <w:left w:w="0" w:type="dxa"/>
            <w:right w:w="0" w:type="dxa"/>
          </w:tcMar>
        </w:tcPr>
        <w:p w:rsidR="0067305D" w:rsidRPr="00755F22" w:rsidRDefault="0067305D" w:rsidP="00831CA9">
          <w:pPr>
            <w:keepLines/>
            <w:jc w:val="center"/>
            <w:rPr>
              <w:sz w:val="20"/>
              <w:szCs w:val="20"/>
            </w:rPr>
          </w:pPr>
        </w:p>
        <w:p w:rsidR="0067305D" w:rsidRPr="00755F22" w:rsidRDefault="0067305D" w:rsidP="00831CA9">
          <w:pPr>
            <w:keepLines/>
            <w:tabs>
              <w:tab w:val="left" w:pos="-1440"/>
              <w:tab w:val="left" w:pos="-720"/>
            </w:tabs>
            <w:jc w:val="center"/>
            <w:rPr>
              <w:sz w:val="20"/>
              <w:szCs w:val="20"/>
            </w:rPr>
          </w:pPr>
        </w:p>
      </w:tc>
      <w:tc>
        <w:tcPr>
          <w:tcW w:w="4080" w:type="dxa"/>
          <w:tcMar>
            <w:left w:w="0" w:type="dxa"/>
            <w:right w:w="0" w:type="dxa"/>
          </w:tcMar>
        </w:tcPr>
        <w:p w:rsidR="0067305D" w:rsidRPr="00BA6468" w:rsidRDefault="0067305D" w:rsidP="00BA6468">
          <w:pPr>
            <w:keepLines/>
            <w:rPr>
              <w:sz w:val="20"/>
              <w:szCs w:val="20"/>
              <w:lang w:val="fr-CA"/>
            </w:rPr>
          </w:pPr>
          <w:r w:rsidRPr="00BA6468">
            <w:rPr>
              <w:sz w:val="20"/>
              <w:szCs w:val="20"/>
              <w:lang w:val="fr-CA"/>
            </w:rPr>
            <w:t>REQUÊTES</w:t>
          </w:r>
        </w:p>
      </w:tc>
    </w:tr>
  </w:tbl>
  <w:p w:rsidR="0067305D" w:rsidRDefault="0067305D" w:rsidP="00831CA9">
    <w:pP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5D" w:rsidRDefault="006730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7305D" w:rsidRPr="003D7763">
      <w:tc>
        <w:tcPr>
          <w:tcW w:w="4200" w:type="dxa"/>
          <w:tcMar>
            <w:left w:w="0" w:type="dxa"/>
            <w:right w:w="0" w:type="dxa"/>
          </w:tcMar>
        </w:tcPr>
        <w:p w:rsidR="0067305D" w:rsidRDefault="0067305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67305D" w:rsidRDefault="0067305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7305D" w:rsidRPr="00B01A03" w:rsidRDefault="0067305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67305D" w:rsidRPr="00B01A03"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67305D" w:rsidRPr="00B01A03" w:rsidRDefault="0067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67305D" w:rsidRPr="003D7763" w:rsidTr="00245129">
      <w:tc>
        <w:tcPr>
          <w:tcW w:w="4200" w:type="dxa"/>
          <w:tcMar>
            <w:left w:w="0" w:type="dxa"/>
            <w:right w:w="0" w:type="dxa"/>
          </w:tcMar>
        </w:tcPr>
        <w:p w:rsidR="0067305D" w:rsidRPr="00F40249" w:rsidRDefault="0067305D"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67305D" w:rsidRDefault="0067305D" w:rsidP="00102926">
          <w:pPr>
            <w:keepNext/>
            <w:keepLines/>
            <w:tabs>
              <w:tab w:val="left" w:pos="-1440"/>
              <w:tab w:val="left" w:pos="-720"/>
            </w:tabs>
            <w:jc w:val="center"/>
            <w:rPr>
              <w:sz w:val="20"/>
              <w:szCs w:val="20"/>
            </w:rPr>
          </w:pPr>
        </w:p>
        <w:p w:rsidR="0067305D" w:rsidRDefault="0067305D" w:rsidP="00102926">
          <w:pPr>
            <w:keepNext/>
            <w:keepLines/>
            <w:tabs>
              <w:tab w:val="left" w:pos="-1440"/>
              <w:tab w:val="left" w:pos="-720"/>
            </w:tabs>
            <w:jc w:val="center"/>
            <w:rPr>
              <w:sz w:val="20"/>
              <w:szCs w:val="20"/>
            </w:rPr>
          </w:pPr>
        </w:p>
        <w:p w:rsidR="0067305D" w:rsidRPr="00F40249" w:rsidRDefault="0067305D" w:rsidP="00102926">
          <w:pPr>
            <w:keepNext/>
            <w:keepLines/>
            <w:tabs>
              <w:tab w:val="left" w:pos="-1440"/>
              <w:tab w:val="left" w:pos="-720"/>
            </w:tabs>
            <w:jc w:val="center"/>
            <w:rPr>
              <w:sz w:val="20"/>
              <w:szCs w:val="20"/>
            </w:rPr>
          </w:pPr>
        </w:p>
      </w:tc>
      <w:tc>
        <w:tcPr>
          <w:tcW w:w="4230" w:type="dxa"/>
          <w:tcMar>
            <w:left w:w="0" w:type="dxa"/>
            <w:right w:w="0" w:type="dxa"/>
          </w:tcMar>
        </w:tcPr>
        <w:p w:rsidR="0067305D" w:rsidRPr="00F40249" w:rsidRDefault="0067305D"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67305D" w:rsidRPr="00B01A03" w:rsidRDefault="0067305D"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23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A7"/>
    <w:rsid w:val="00002704"/>
    <w:rsid w:val="00020DC3"/>
    <w:rsid w:val="0003223B"/>
    <w:rsid w:val="000327B2"/>
    <w:rsid w:val="0004528B"/>
    <w:rsid w:val="00064FBA"/>
    <w:rsid w:val="00091FA6"/>
    <w:rsid w:val="00096BD9"/>
    <w:rsid w:val="000A53D5"/>
    <w:rsid w:val="000B2172"/>
    <w:rsid w:val="000B3C9A"/>
    <w:rsid w:val="000B40A2"/>
    <w:rsid w:val="000B4624"/>
    <w:rsid w:val="000C0ACD"/>
    <w:rsid w:val="000C0D2A"/>
    <w:rsid w:val="000C5CE8"/>
    <w:rsid w:val="000D65D2"/>
    <w:rsid w:val="000E27A5"/>
    <w:rsid w:val="000E2959"/>
    <w:rsid w:val="000F0B60"/>
    <w:rsid w:val="00100478"/>
    <w:rsid w:val="00102926"/>
    <w:rsid w:val="0010587F"/>
    <w:rsid w:val="00111C6B"/>
    <w:rsid w:val="0012102B"/>
    <w:rsid w:val="0013369E"/>
    <w:rsid w:val="0013595D"/>
    <w:rsid w:val="001575AF"/>
    <w:rsid w:val="00164E6D"/>
    <w:rsid w:val="00183454"/>
    <w:rsid w:val="00195F99"/>
    <w:rsid w:val="001A0CAA"/>
    <w:rsid w:val="001B157C"/>
    <w:rsid w:val="001B4006"/>
    <w:rsid w:val="001B5C23"/>
    <w:rsid w:val="001D0D5F"/>
    <w:rsid w:val="001D6B8C"/>
    <w:rsid w:val="001E0D40"/>
    <w:rsid w:val="001F1F83"/>
    <w:rsid w:val="001F40DF"/>
    <w:rsid w:val="001F43F8"/>
    <w:rsid w:val="001F5A22"/>
    <w:rsid w:val="001F6B2D"/>
    <w:rsid w:val="002021A9"/>
    <w:rsid w:val="0020290A"/>
    <w:rsid w:val="002139A7"/>
    <w:rsid w:val="00215F7C"/>
    <w:rsid w:val="0022323B"/>
    <w:rsid w:val="002410B8"/>
    <w:rsid w:val="00242AEE"/>
    <w:rsid w:val="00245129"/>
    <w:rsid w:val="00245879"/>
    <w:rsid w:val="00253236"/>
    <w:rsid w:val="00265655"/>
    <w:rsid w:val="00267FD5"/>
    <w:rsid w:val="00274D34"/>
    <w:rsid w:val="00283ED8"/>
    <w:rsid w:val="002868D0"/>
    <w:rsid w:val="002A008C"/>
    <w:rsid w:val="002A27D1"/>
    <w:rsid w:val="002A4AFA"/>
    <w:rsid w:val="002B516C"/>
    <w:rsid w:val="002D72EB"/>
    <w:rsid w:val="002E2327"/>
    <w:rsid w:val="002E3583"/>
    <w:rsid w:val="002E5576"/>
    <w:rsid w:val="002F595C"/>
    <w:rsid w:val="0030050B"/>
    <w:rsid w:val="00331B52"/>
    <w:rsid w:val="00335137"/>
    <w:rsid w:val="003359D3"/>
    <w:rsid w:val="00351475"/>
    <w:rsid w:val="00355967"/>
    <w:rsid w:val="00382C47"/>
    <w:rsid w:val="00384384"/>
    <w:rsid w:val="003866AE"/>
    <w:rsid w:val="003909E1"/>
    <w:rsid w:val="003B3977"/>
    <w:rsid w:val="003D060B"/>
    <w:rsid w:val="003D3C6B"/>
    <w:rsid w:val="003D7763"/>
    <w:rsid w:val="003D7F1C"/>
    <w:rsid w:val="003E1D4C"/>
    <w:rsid w:val="003E5F3E"/>
    <w:rsid w:val="0041245B"/>
    <w:rsid w:val="004137A0"/>
    <w:rsid w:val="00422D9A"/>
    <w:rsid w:val="00432989"/>
    <w:rsid w:val="00440E24"/>
    <w:rsid w:val="0044776A"/>
    <w:rsid w:val="00460AFC"/>
    <w:rsid w:val="0047471F"/>
    <w:rsid w:val="004812DF"/>
    <w:rsid w:val="004B195E"/>
    <w:rsid w:val="004B66B4"/>
    <w:rsid w:val="004B7F60"/>
    <w:rsid w:val="004C1AAC"/>
    <w:rsid w:val="004C5D38"/>
    <w:rsid w:val="004E1E0A"/>
    <w:rsid w:val="004E5524"/>
    <w:rsid w:val="004F090E"/>
    <w:rsid w:val="004F664C"/>
    <w:rsid w:val="005012C2"/>
    <w:rsid w:val="00501F3C"/>
    <w:rsid w:val="00520A2C"/>
    <w:rsid w:val="0052229C"/>
    <w:rsid w:val="00527CC7"/>
    <w:rsid w:val="0056248C"/>
    <w:rsid w:val="00571CA4"/>
    <w:rsid w:val="00582136"/>
    <w:rsid w:val="005923C0"/>
    <w:rsid w:val="005C3297"/>
    <w:rsid w:val="005C6840"/>
    <w:rsid w:val="005E5506"/>
    <w:rsid w:val="005F1ED8"/>
    <w:rsid w:val="005F263E"/>
    <w:rsid w:val="005F6218"/>
    <w:rsid w:val="00600252"/>
    <w:rsid w:val="00612A40"/>
    <w:rsid w:val="0062214C"/>
    <w:rsid w:val="0062714A"/>
    <w:rsid w:val="0067305D"/>
    <w:rsid w:val="00675479"/>
    <w:rsid w:val="00680709"/>
    <w:rsid w:val="00681F61"/>
    <w:rsid w:val="0068544F"/>
    <w:rsid w:val="00696BF9"/>
    <w:rsid w:val="00697C62"/>
    <w:rsid w:val="006A329B"/>
    <w:rsid w:val="006A33E8"/>
    <w:rsid w:val="006A7EB8"/>
    <w:rsid w:val="006B6926"/>
    <w:rsid w:val="006C2B78"/>
    <w:rsid w:val="006C3F47"/>
    <w:rsid w:val="006C5212"/>
    <w:rsid w:val="006C5F7A"/>
    <w:rsid w:val="006E06AF"/>
    <w:rsid w:val="006F350F"/>
    <w:rsid w:val="00732DB7"/>
    <w:rsid w:val="0074238B"/>
    <w:rsid w:val="00745EF7"/>
    <w:rsid w:val="00755F22"/>
    <w:rsid w:val="00766E4A"/>
    <w:rsid w:val="007778C4"/>
    <w:rsid w:val="007820CE"/>
    <w:rsid w:val="00782AE4"/>
    <w:rsid w:val="0079724F"/>
    <w:rsid w:val="007A3EAE"/>
    <w:rsid w:val="007B4DFF"/>
    <w:rsid w:val="007C04FC"/>
    <w:rsid w:val="007C3DB0"/>
    <w:rsid w:val="007C47C2"/>
    <w:rsid w:val="007C4B4E"/>
    <w:rsid w:val="007D0B41"/>
    <w:rsid w:val="007D3E0F"/>
    <w:rsid w:val="007E4282"/>
    <w:rsid w:val="007F387B"/>
    <w:rsid w:val="00802863"/>
    <w:rsid w:val="008112A9"/>
    <w:rsid w:val="0081473A"/>
    <w:rsid w:val="00815B3C"/>
    <w:rsid w:val="0081610A"/>
    <w:rsid w:val="0082783A"/>
    <w:rsid w:val="00831CA9"/>
    <w:rsid w:val="008375DB"/>
    <w:rsid w:val="00845C2A"/>
    <w:rsid w:val="00850E1F"/>
    <w:rsid w:val="0085476B"/>
    <w:rsid w:val="0086340B"/>
    <w:rsid w:val="008902B1"/>
    <w:rsid w:val="008907B9"/>
    <w:rsid w:val="00890FEB"/>
    <w:rsid w:val="00895811"/>
    <w:rsid w:val="00895E7E"/>
    <w:rsid w:val="008A5C1A"/>
    <w:rsid w:val="008B6155"/>
    <w:rsid w:val="008D292F"/>
    <w:rsid w:val="008D30E3"/>
    <w:rsid w:val="008D705B"/>
    <w:rsid w:val="008E03DC"/>
    <w:rsid w:val="008E1C3D"/>
    <w:rsid w:val="00902E51"/>
    <w:rsid w:val="0091033E"/>
    <w:rsid w:val="00924065"/>
    <w:rsid w:val="00930D68"/>
    <w:rsid w:val="00932DB4"/>
    <w:rsid w:val="00941A4B"/>
    <w:rsid w:val="00946242"/>
    <w:rsid w:val="0095096B"/>
    <w:rsid w:val="0095240F"/>
    <w:rsid w:val="0096525F"/>
    <w:rsid w:val="00970CD3"/>
    <w:rsid w:val="009723FA"/>
    <w:rsid w:val="00984546"/>
    <w:rsid w:val="00996510"/>
    <w:rsid w:val="009C43B7"/>
    <w:rsid w:val="009C470D"/>
    <w:rsid w:val="009D1F15"/>
    <w:rsid w:val="009D555E"/>
    <w:rsid w:val="009F3024"/>
    <w:rsid w:val="009F39BA"/>
    <w:rsid w:val="009F7CC2"/>
    <w:rsid w:val="00A0355E"/>
    <w:rsid w:val="00A375D1"/>
    <w:rsid w:val="00A51D10"/>
    <w:rsid w:val="00A52A83"/>
    <w:rsid w:val="00A52B93"/>
    <w:rsid w:val="00A6552C"/>
    <w:rsid w:val="00A87207"/>
    <w:rsid w:val="00A935AA"/>
    <w:rsid w:val="00A956D3"/>
    <w:rsid w:val="00AB2201"/>
    <w:rsid w:val="00AD1D34"/>
    <w:rsid w:val="00AD3259"/>
    <w:rsid w:val="00AF1715"/>
    <w:rsid w:val="00AF3904"/>
    <w:rsid w:val="00B010C0"/>
    <w:rsid w:val="00B10B1A"/>
    <w:rsid w:val="00B4740D"/>
    <w:rsid w:val="00B61629"/>
    <w:rsid w:val="00B7374B"/>
    <w:rsid w:val="00B82F8F"/>
    <w:rsid w:val="00B90DC0"/>
    <w:rsid w:val="00B9708F"/>
    <w:rsid w:val="00BA116A"/>
    <w:rsid w:val="00BA5582"/>
    <w:rsid w:val="00BA6468"/>
    <w:rsid w:val="00BB1D44"/>
    <w:rsid w:val="00BD06DA"/>
    <w:rsid w:val="00BD4217"/>
    <w:rsid w:val="00BE296C"/>
    <w:rsid w:val="00BF25F3"/>
    <w:rsid w:val="00C01FCB"/>
    <w:rsid w:val="00C04776"/>
    <w:rsid w:val="00C1697B"/>
    <w:rsid w:val="00C21644"/>
    <w:rsid w:val="00C21CB5"/>
    <w:rsid w:val="00C22343"/>
    <w:rsid w:val="00C406CA"/>
    <w:rsid w:val="00C41AE0"/>
    <w:rsid w:val="00C46376"/>
    <w:rsid w:val="00C50A5C"/>
    <w:rsid w:val="00C50FDF"/>
    <w:rsid w:val="00C63381"/>
    <w:rsid w:val="00C73D06"/>
    <w:rsid w:val="00C73E1B"/>
    <w:rsid w:val="00C7556C"/>
    <w:rsid w:val="00C759AB"/>
    <w:rsid w:val="00C759B4"/>
    <w:rsid w:val="00C77713"/>
    <w:rsid w:val="00C85BB7"/>
    <w:rsid w:val="00C92D5A"/>
    <w:rsid w:val="00CA2DEA"/>
    <w:rsid w:val="00CA30A7"/>
    <w:rsid w:val="00CA39D6"/>
    <w:rsid w:val="00CB3520"/>
    <w:rsid w:val="00CB43D5"/>
    <w:rsid w:val="00CC4D84"/>
    <w:rsid w:val="00CD75E6"/>
    <w:rsid w:val="00CE198A"/>
    <w:rsid w:val="00CE45A4"/>
    <w:rsid w:val="00CF08C8"/>
    <w:rsid w:val="00D004FC"/>
    <w:rsid w:val="00D11449"/>
    <w:rsid w:val="00D17782"/>
    <w:rsid w:val="00D64901"/>
    <w:rsid w:val="00D76BDF"/>
    <w:rsid w:val="00D771DE"/>
    <w:rsid w:val="00D818B6"/>
    <w:rsid w:val="00D862C1"/>
    <w:rsid w:val="00D87DF2"/>
    <w:rsid w:val="00D93B50"/>
    <w:rsid w:val="00D94028"/>
    <w:rsid w:val="00D94670"/>
    <w:rsid w:val="00DA46F6"/>
    <w:rsid w:val="00DA756F"/>
    <w:rsid w:val="00DA76F0"/>
    <w:rsid w:val="00DB7AEC"/>
    <w:rsid w:val="00DC0577"/>
    <w:rsid w:val="00DD0B49"/>
    <w:rsid w:val="00DE0502"/>
    <w:rsid w:val="00DE349D"/>
    <w:rsid w:val="00E06DFA"/>
    <w:rsid w:val="00E20A0A"/>
    <w:rsid w:val="00E240C2"/>
    <w:rsid w:val="00E3383D"/>
    <w:rsid w:val="00E356C7"/>
    <w:rsid w:val="00E414CA"/>
    <w:rsid w:val="00E41A5A"/>
    <w:rsid w:val="00E45FE4"/>
    <w:rsid w:val="00E64FA7"/>
    <w:rsid w:val="00E65B77"/>
    <w:rsid w:val="00E71D9E"/>
    <w:rsid w:val="00E75CFD"/>
    <w:rsid w:val="00E770CB"/>
    <w:rsid w:val="00E8064C"/>
    <w:rsid w:val="00E8544A"/>
    <w:rsid w:val="00E903A1"/>
    <w:rsid w:val="00E940EB"/>
    <w:rsid w:val="00E942C2"/>
    <w:rsid w:val="00E9703F"/>
    <w:rsid w:val="00EB2B90"/>
    <w:rsid w:val="00EB4EB1"/>
    <w:rsid w:val="00ED7E83"/>
    <w:rsid w:val="00EE091F"/>
    <w:rsid w:val="00EF4745"/>
    <w:rsid w:val="00EF4B63"/>
    <w:rsid w:val="00F0068D"/>
    <w:rsid w:val="00F0576D"/>
    <w:rsid w:val="00F14E6D"/>
    <w:rsid w:val="00F15EA8"/>
    <w:rsid w:val="00F16C8D"/>
    <w:rsid w:val="00F26C61"/>
    <w:rsid w:val="00F33CCE"/>
    <w:rsid w:val="00F4016B"/>
    <w:rsid w:val="00F40249"/>
    <w:rsid w:val="00F526C8"/>
    <w:rsid w:val="00F71277"/>
    <w:rsid w:val="00F761A3"/>
    <w:rsid w:val="00F9272D"/>
    <w:rsid w:val="00F9518C"/>
    <w:rsid w:val="00FA316E"/>
    <w:rsid w:val="00FA3373"/>
    <w:rsid w:val="00FA59EF"/>
    <w:rsid w:val="00FB19A2"/>
    <w:rsid w:val="00FB4A2E"/>
    <w:rsid w:val="00FD508C"/>
    <w:rsid w:val="00FD78C4"/>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3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styleId="BalloonText">
    <w:name w:val="Balloon Text"/>
    <w:basedOn w:val="Normal"/>
    <w:link w:val="BalloonTextChar"/>
    <w:uiPriority w:val="99"/>
    <w:semiHidden/>
    <w:unhideWhenUsed/>
    <w:rsid w:val="007D0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B41"/>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737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663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www.scc-csc.ca/case-dossier/info/sum-som-eng.aspx?cas=37679"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c-csc.ca"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Comm\24%20%20OP_MGT_CASES-GEST_OP_INSTANCE\11%20Communications%20(Case-Related)\01%20Bulletin%20of%20Proceedings\Draft\Word%20Templates\Bulletin%20of%20Proceedings%20-%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Bulletin of Proceedings - Revised.dotx</Template>
  <TotalTime>0</TotalTime>
  <Pages>19</Pages>
  <Words>8030</Words>
  <Characters>40878</Characters>
  <Application>Microsoft Office Word</Application>
  <DocSecurity>0</DocSecurity>
  <Lines>1946</Lines>
  <Paragraphs>1137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2018-09-11T11:28:00Z</dcterms:created>
  <dcterms:modified xsi:type="dcterms:W3CDTF">2018-09-14T16:10:00Z</dcterms:modified>
</cp:coreProperties>
</file>